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86B6" w14:textId="77777777" w:rsidR="00D82049" w:rsidRPr="00C576A1" w:rsidRDefault="00D82049" w:rsidP="00D82049">
      <w:pPr>
        <w:spacing w:after="120"/>
        <w:rPr>
          <w:rFonts w:eastAsia="Calibri" w:cstheme="minorHAnsi"/>
          <w:color w:val="FF0000"/>
          <w:lang w:eastAsia="en-US"/>
        </w:rPr>
      </w:pPr>
      <w:bookmarkStart w:id="0" w:name="_Toc135226796"/>
      <w:bookmarkStart w:id="1" w:name="_Hlk148361464"/>
      <w:r w:rsidRPr="00C576A1">
        <w:rPr>
          <w:rFonts w:eastAsia="Calibri" w:cstheme="minorHAnsi"/>
          <w:color w:val="FF0000"/>
          <w:lang w:eastAsia="en-US"/>
        </w:rPr>
        <w:t xml:space="preserve">An addendum to this Public Summary Document (PSD) has </w:t>
      </w:r>
      <w:proofErr w:type="gramStart"/>
      <w:r w:rsidRPr="00C576A1">
        <w:rPr>
          <w:rFonts w:eastAsia="Calibri" w:cstheme="minorHAnsi"/>
          <w:color w:val="FF0000"/>
          <w:lang w:eastAsia="en-US"/>
        </w:rPr>
        <w:t>been included</w:t>
      </w:r>
      <w:proofErr w:type="gramEnd"/>
      <w:r w:rsidRPr="00C576A1">
        <w:rPr>
          <w:rFonts w:eastAsia="Calibri" w:cstheme="minorHAnsi"/>
          <w:color w:val="FF0000"/>
          <w:lang w:eastAsia="en-US"/>
        </w:rPr>
        <w:t xml:space="preserve"> at the end of the document. </w:t>
      </w:r>
    </w:p>
    <w:p w14:paraId="0B71167F" w14:textId="0A05CDE4" w:rsidR="00230CBC" w:rsidRPr="00820689" w:rsidRDefault="00230CBC" w:rsidP="00820689">
      <w:pPr>
        <w:pStyle w:val="COMH1-non-numbered"/>
        <w:ind w:left="851" w:hanging="851"/>
        <w:rPr>
          <w:sz w:val="36"/>
        </w:rPr>
      </w:pPr>
      <w:r w:rsidRPr="00820689">
        <w:rPr>
          <w:sz w:val="36"/>
        </w:rPr>
        <w:t>5.09</w:t>
      </w:r>
      <w:r w:rsidRPr="00820689">
        <w:rPr>
          <w:sz w:val="36"/>
        </w:rPr>
        <w:tab/>
        <w:t>PATISIRAN,</w:t>
      </w:r>
      <w:r w:rsidRPr="00820689">
        <w:rPr>
          <w:sz w:val="36"/>
        </w:rPr>
        <w:br/>
        <w:t>Solution concentrate for I.V. infusion 10 mg in 5 mL,</w:t>
      </w:r>
      <w:r w:rsidRPr="00820689">
        <w:rPr>
          <w:sz w:val="36"/>
        </w:rPr>
        <w:br/>
        <w:t>Onpattro®,</w:t>
      </w:r>
      <w:r w:rsidRPr="00820689">
        <w:rPr>
          <w:sz w:val="36"/>
        </w:rPr>
        <w:br/>
      </w:r>
      <w:bookmarkStart w:id="2" w:name="_Hlk134529664"/>
      <w:r w:rsidRPr="00820689">
        <w:rPr>
          <w:sz w:val="36"/>
        </w:rPr>
        <w:t>Alnylam Australia Pty Ltd</w:t>
      </w:r>
      <w:bookmarkEnd w:id="0"/>
      <w:bookmarkEnd w:id="2"/>
    </w:p>
    <w:p w14:paraId="0C78C65B" w14:textId="77777777" w:rsidR="00230CBC" w:rsidRPr="0059433B" w:rsidRDefault="00230CBC" w:rsidP="00820689">
      <w:pPr>
        <w:pStyle w:val="COMH1numbered"/>
      </w:pPr>
      <w:bookmarkStart w:id="3" w:name="_Toc135226798"/>
      <w:r w:rsidRPr="0059433B">
        <w:t>Purpose of submission</w:t>
      </w:r>
      <w:bookmarkEnd w:id="3"/>
    </w:p>
    <w:p w14:paraId="105E37BA" w14:textId="77777777" w:rsidR="00230CBC" w:rsidRPr="0059433B" w:rsidRDefault="00230CBC" w:rsidP="00D7061F">
      <w:pPr>
        <w:pStyle w:val="COMexecsumnumberedpara"/>
        <w:numPr>
          <w:ilvl w:val="1"/>
          <w:numId w:val="27"/>
        </w:numPr>
      </w:pPr>
      <w:r w:rsidRPr="0059433B">
        <w:t>The Category 1 submission requested a Section 100 (Highly Specialised Drugs Program) Authority Required (Written) listing for patisiran for the treatment of hereditary transthyretin-mediated (hATTR) amyloidosis in adult patients with stage 1 or stage 2 polyneuropathy.</w:t>
      </w:r>
    </w:p>
    <w:p w14:paraId="098C838F" w14:textId="415AB3AB" w:rsidR="00230CBC" w:rsidRPr="0059433B" w:rsidRDefault="00230CBC" w:rsidP="00230CBC">
      <w:pPr>
        <w:pStyle w:val="COMexecsumnumberedpara"/>
      </w:pPr>
      <w:r w:rsidRPr="0059433B">
        <w:t xml:space="preserve">Listing </w:t>
      </w:r>
      <w:proofErr w:type="gramStart"/>
      <w:r w:rsidRPr="0059433B">
        <w:t>was requested</w:t>
      </w:r>
      <w:proofErr w:type="gramEnd"/>
      <w:r w:rsidRPr="0059433B">
        <w:t xml:space="preserve"> on the basis of a cost-effectiveness analysis versus best supportive care (BSC).</w:t>
      </w:r>
      <w:r w:rsidR="0014071D" w:rsidRPr="0059433B">
        <w:t xml:space="preserve"> </w:t>
      </w:r>
      <w:r w:rsidRPr="0059433B">
        <w:rPr>
          <w:iCs/>
        </w:rPr>
        <w:t>The PBAC has not previously considered patisiran for any indication.</w:t>
      </w:r>
    </w:p>
    <w:p w14:paraId="6E9FC622" w14:textId="5F1D0989" w:rsidR="00230CBC" w:rsidRPr="0059433B" w:rsidRDefault="00230CBC" w:rsidP="00230CBC">
      <w:pPr>
        <w:pStyle w:val="COMtablefigcaption"/>
      </w:pPr>
      <w:bookmarkStart w:id="4" w:name="_Ref132627446"/>
      <w:r w:rsidRPr="0059433B">
        <w:t xml:space="preserve">Table </w:t>
      </w:r>
      <w:fldSimple w:instr=" SEQ Table \* ARABIC " w:fldLock="1">
        <w:r w:rsidR="00042B2E" w:rsidRPr="0059433B">
          <w:t>1</w:t>
        </w:r>
      </w:fldSimple>
      <w:bookmarkEnd w:id="4"/>
      <w:r w:rsidRPr="0059433B">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6"/>
        <w:gridCol w:w="7351"/>
      </w:tblGrid>
      <w:tr w:rsidR="00230CBC" w:rsidRPr="0059433B" w14:paraId="40C832B5" w14:textId="77777777" w:rsidTr="00C5774C">
        <w:trPr>
          <w:cantSplit/>
          <w:tblHeader/>
        </w:trPr>
        <w:tc>
          <w:tcPr>
            <w:tcW w:w="924" w:type="pct"/>
            <w:shd w:val="clear" w:color="auto" w:fill="auto"/>
          </w:tcPr>
          <w:p w14:paraId="0281079B" w14:textId="77777777" w:rsidR="00230CBC" w:rsidRPr="0059433B" w:rsidRDefault="00230CBC" w:rsidP="00C5774C">
            <w:pPr>
              <w:pStyle w:val="COMTableheadingrow"/>
              <w:rPr>
                <w:szCs w:val="20"/>
                <w:lang w:val="en-AU"/>
              </w:rPr>
            </w:pPr>
            <w:r w:rsidRPr="0059433B">
              <w:rPr>
                <w:lang w:val="en-AU"/>
              </w:rPr>
              <w:t>Component</w:t>
            </w:r>
          </w:p>
        </w:tc>
        <w:tc>
          <w:tcPr>
            <w:tcW w:w="4076" w:type="pct"/>
            <w:shd w:val="clear" w:color="auto" w:fill="auto"/>
          </w:tcPr>
          <w:p w14:paraId="2B0D8586" w14:textId="77777777" w:rsidR="00230CBC" w:rsidRPr="0059433B" w:rsidRDefault="00230CBC" w:rsidP="00C5774C">
            <w:pPr>
              <w:pStyle w:val="COMTableheadingrow"/>
              <w:rPr>
                <w:lang w:val="en-AU"/>
              </w:rPr>
            </w:pPr>
            <w:r w:rsidRPr="0059433B">
              <w:rPr>
                <w:lang w:val="en-AU"/>
              </w:rPr>
              <w:t>Description</w:t>
            </w:r>
          </w:p>
        </w:tc>
      </w:tr>
      <w:tr w:rsidR="00230CBC" w:rsidRPr="0059433B" w14:paraId="2CCCCAF6" w14:textId="77777777" w:rsidTr="00C5774C">
        <w:trPr>
          <w:cantSplit/>
        </w:trPr>
        <w:tc>
          <w:tcPr>
            <w:tcW w:w="924" w:type="pct"/>
            <w:shd w:val="clear" w:color="auto" w:fill="auto"/>
          </w:tcPr>
          <w:p w14:paraId="5B4E301B" w14:textId="77777777" w:rsidR="00230CBC" w:rsidRPr="0059433B" w:rsidRDefault="00230CBC" w:rsidP="00C5774C">
            <w:pPr>
              <w:pStyle w:val="COMTabletext"/>
            </w:pPr>
            <w:r w:rsidRPr="0059433B">
              <w:t>Population</w:t>
            </w:r>
          </w:p>
        </w:tc>
        <w:tc>
          <w:tcPr>
            <w:tcW w:w="4076" w:type="pct"/>
            <w:shd w:val="clear" w:color="auto" w:fill="auto"/>
            <w:vAlign w:val="center"/>
          </w:tcPr>
          <w:p w14:paraId="61985A4B" w14:textId="77777777" w:rsidR="00230CBC" w:rsidRPr="0059433B" w:rsidRDefault="00230CBC" w:rsidP="00C5774C">
            <w:pPr>
              <w:pStyle w:val="COMTabletext"/>
              <w:rPr>
                <w:szCs w:val="20"/>
              </w:rPr>
            </w:pPr>
            <w:r w:rsidRPr="0059433B">
              <w:t>Adult patients with hATTR amyloidosis and stage 1 or 2 polyneuropathy, defined by FAP stage</w:t>
            </w:r>
          </w:p>
        </w:tc>
      </w:tr>
      <w:tr w:rsidR="00230CBC" w:rsidRPr="0059433B" w14:paraId="4ADC2E19" w14:textId="77777777" w:rsidTr="00C5774C">
        <w:trPr>
          <w:cantSplit/>
        </w:trPr>
        <w:tc>
          <w:tcPr>
            <w:tcW w:w="924" w:type="pct"/>
            <w:shd w:val="clear" w:color="auto" w:fill="auto"/>
          </w:tcPr>
          <w:p w14:paraId="4792FF6E" w14:textId="77777777" w:rsidR="00230CBC" w:rsidRPr="0059433B" w:rsidRDefault="00230CBC" w:rsidP="00C5774C">
            <w:pPr>
              <w:pStyle w:val="COMTabletext"/>
            </w:pPr>
            <w:r w:rsidRPr="0059433B">
              <w:t>Intervention</w:t>
            </w:r>
          </w:p>
        </w:tc>
        <w:tc>
          <w:tcPr>
            <w:tcW w:w="4076" w:type="pct"/>
            <w:shd w:val="clear" w:color="auto" w:fill="auto"/>
            <w:vAlign w:val="center"/>
          </w:tcPr>
          <w:p w14:paraId="6D5E0469" w14:textId="77777777" w:rsidR="00230CBC" w:rsidRPr="0059433B" w:rsidRDefault="00230CBC" w:rsidP="00C5774C">
            <w:pPr>
              <w:pStyle w:val="COMTabletext"/>
            </w:pPr>
            <w:r w:rsidRPr="0059433B">
              <w:t>Patisiran 0.3 mg/kg (to a maximum 30 mg for patients ≥ 100 kg) every 3 weeks by IV infusion, in addition to best supportive care (BSC).</w:t>
            </w:r>
          </w:p>
        </w:tc>
      </w:tr>
      <w:tr w:rsidR="00230CBC" w:rsidRPr="0059433B" w14:paraId="62EFB925" w14:textId="77777777" w:rsidTr="00C5774C">
        <w:trPr>
          <w:cantSplit/>
        </w:trPr>
        <w:tc>
          <w:tcPr>
            <w:tcW w:w="924" w:type="pct"/>
            <w:shd w:val="clear" w:color="auto" w:fill="auto"/>
          </w:tcPr>
          <w:p w14:paraId="7BE15BF5" w14:textId="77777777" w:rsidR="00230CBC" w:rsidRPr="0059433B" w:rsidRDefault="00230CBC" w:rsidP="00C5774C">
            <w:pPr>
              <w:pStyle w:val="COMTabletext"/>
            </w:pPr>
            <w:r w:rsidRPr="0059433B">
              <w:t>Comparator</w:t>
            </w:r>
          </w:p>
        </w:tc>
        <w:tc>
          <w:tcPr>
            <w:tcW w:w="4076" w:type="pct"/>
            <w:shd w:val="clear" w:color="auto" w:fill="auto"/>
            <w:vAlign w:val="center"/>
          </w:tcPr>
          <w:p w14:paraId="0F91AEE8" w14:textId="77777777" w:rsidR="00230CBC" w:rsidRPr="0059433B" w:rsidRDefault="00230CBC" w:rsidP="00C5774C">
            <w:pPr>
              <w:pStyle w:val="COMTabletext"/>
            </w:pPr>
            <w:r w:rsidRPr="0059433B">
              <w:t>BSC alone for symptom relief</w:t>
            </w:r>
          </w:p>
        </w:tc>
      </w:tr>
      <w:tr w:rsidR="00230CBC" w:rsidRPr="0059433B" w14:paraId="48D0CF36" w14:textId="77777777" w:rsidTr="00C5774C">
        <w:trPr>
          <w:cantSplit/>
        </w:trPr>
        <w:tc>
          <w:tcPr>
            <w:tcW w:w="924" w:type="pct"/>
            <w:shd w:val="clear" w:color="auto" w:fill="auto"/>
          </w:tcPr>
          <w:p w14:paraId="219EA97E" w14:textId="77777777" w:rsidR="00230CBC" w:rsidRPr="0059433B" w:rsidRDefault="00230CBC" w:rsidP="00C5774C">
            <w:pPr>
              <w:pStyle w:val="COMTabletext"/>
            </w:pPr>
            <w:r w:rsidRPr="0059433B">
              <w:t>Outcomes</w:t>
            </w:r>
          </w:p>
        </w:tc>
        <w:tc>
          <w:tcPr>
            <w:tcW w:w="4076" w:type="pct"/>
            <w:shd w:val="clear" w:color="auto" w:fill="auto"/>
            <w:vAlign w:val="center"/>
          </w:tcPr>
          <w:p w14:paraId="5ED91393" w14:textId="77777777" w:rsidR="00230CBC" w:rsidRPr="0059433B" w:rsidRDefault="00230CBC" w:rsidP="00C5774C">
            <w:pPr>
              <w:pStyle w:val="COMTabletext"/>
              <w:rPr>
                <w:rFonts w:eastAsia="Times New Roman" w:cs="Arial"/>
                <w:bCs w:val="0"/>
                <w:snapToGrid w:val="0"/>
                <w:color w:val="0066FF"/>
                <w:szCs w:val="20"/>
              </w:rPr>
            </w:pPr>
            <w:r w:rsidRPr="0059433B">
              <w:t>Change in neurological impairment, polyneuropathy progression, ambulatory ability, health related quality of life.</w:t>
            </w:r>
          </w:p>
        </w:tc>
      </w:tr>
      <w:tr w:rsidR="00230CBC" w:rsidRPr="0059433B" w14:paraId="0484B7AC" w14:textId="77777777" w:rsidTr="00C5774C">
        <w:trPr>
          <w:cantSplit/>
        </w:trPr>
        <w:tc>
          <w:tcPr>
            <w:tcW w:w="924" w:type="pct"/>
            <w:shd w:val="clear" w:color="auto" w:fill="auto"/>
          </w:tcPr>
          <w:p w14:paraId="0DAA182C" w14:textId="77777777" w:rsidR="00230CBC" w:rsidRPr="0059433B" w:rsidRDefault="00230CBC" w:rsidP="00C5774C">
            <w:pPr>
              <w:pStyle w:val="COMTabletext"/>
            </w:pPr>
            <w:r w:rsidRPr="0059433B">
              <w:t>Clinical claim</w:t>
            </w:r>
          </w:p>
        </w:tc>
        <w:tc>
          <w:tcPr>
            <w:tcW w:w="4076" w:type="pct"/>
            <w:shd w:val="clear" w:color="auto" w:fill="auto"/>
            <w:vAlign w:val="center"/>
          </w:tcPr>
          <w:p w14:paraId="516E0362" w14:textId="77777777" w:rsidR="00230CBC" w:rsidRPr="0059433B" w:rsidRDefault="00230CBC" w:rsidP="00C5774C">
            <w:pPr>
              <w:pStyle w:val="COMTabletext"/>
              <w:rPr>
                <w:rFonts w:eastAsia="Times New Roman" w:cs="Arial"/>
                <w:bCs w:val="0"/>
                <w:snapToGrid w:val="0"/>
                <w:color w:val="0066FF"/>
                <w:szCs w:val="20"/>
              </w:rPr>
            </w:pPr>
            <w:r w:rsidRPr="0059433B">
              <w:t>Patisiran (added to BSC) has superior efficacy and similar safety to BSC in adult patients with hATTR amyloidosis with stage 1 or 2 polyneuropathy.</w:t>
            </w:r>
          </w:p>
        </w:tc>
      </w:tr>
    </w:tbl>
    <w:p w14:paraId="7286F8A1" w14:textId="77777777" w:rsidR="00230CBC" w:rsidRPr="0059433B" w:rsidRDefault="00230CBC" w:rsidP="00230CBC">
      <w:pPr>
        <w:pStyle w:val="COMTablefooter"/>
        <w:keepNext/>
      </w:pPr>
      <w:r w:rsidRPr="0059433B">
        <w:t>Source: Table 1.1, p24 of the submission.</w:t>
      </w:r>
    </w:p>
    <w:p w14:paraId="3EFD2CB4" w14:textId="77777777" w:rsidR="00230CBC" w:rsidRPr="0059433B" w:rsidRDefault="00230CBC" w:rsidP="00230CBC">
      <w:pPr>
        <w:pStyle w:val="COMTablefooter"/>
      </w:pPr>
      <w:r w:rsidRPr="0059433B">
        <w:t>Abbreviations: BSC, best supportive care; FAP, Familial amyloid polyneuropathy; hATTR, hereditary transthyretin-mediated amyloidosis; IV, intravenous</w:t>
      </w:r>
    </w:p>
    <w:p w14:paraId="11A8C4BE" w14:textId="77777777" w:rsidR="00230CBC" w:rsidRPr="0059433B" w:rsidRDefault="00230CBC" w:rsidP="00230CBC">
      <w:pPr>
        <w:pStyle w:val="COMH1numbered"/>
      </w:pPr>
      <w:bookmarkStart w:id="5" w:name="_Toc135226799"/>
      <w:r w:rsidRPr="0059433B">
        <w:t>Background</w:t>
      </w:r>
      <w:bookmarkEnd w:id="5"/>
    </w:p>
    <w:p w14:paraId="12906E37" w14:textId="77777777" w:rsidR="00230CBC" w:rsidRPr="0059433B" w:rsidRDefault="00230CBC" w:rsidP="00230CBC">
      <w:pPr>
        <w:pStyle w:val="COMH2-non-numbered"/>
      </w:pPr>
      <w:bookmarkStart w:id="6" w:name="_Toc22897638"/>
      <w:bookmarkStart w:id="7" w:name="_Toc135226800"/>
      <w:r w:rsidRPr="0059433B">
        <w:t>Registration status</w:t>
      </w:r>
      <w:bookmarkEnd w:id="6"/>
      <w:bookmarkEnd w:id="7"/>
    </w:p>
    <w:p w14:paraId="41DA1D11" w14:textId="77777777" w:rsidR="00F126D4" w:rsidRPr="0059433B" w:rsidRDefault="00230CBC" w:rsidP="00D7061F">
      <w:pPr>
        <w:pStyle w:val="COMexecsumnumberedpara"/>
        <w:numPr>
          <w:ilvl w:val="1"/>
          <w:numId w:val="28"/>
        </w:numPr>
      </w:pPr>
      <w:r w:rsidRPr="0059433B">
        <w:t xml:space="preserve">Patisiran was TGA registered on 18 November 2022 for the treatment of hereditary transthyretin-mediated amyloidosis (hATTR amyloidosis) in adult patients with Familial Amyloid Neuropathy (FAP) stage 1 or stage 2 polyneuropathy. Clinical staging systems for patients with hATTR amyloidosis with polyneuropathy </w:t>
      </w:r>
      <w:proofErr w:type="gramStart"/>
      <w:r w:rsidRPr="0059433B">
        <w:t>are discussed</w:t>
      </w:r>
      <w:proofErr w:type="gramEnd"/>
      <w:r w:rsidRPr="0059433B">
        <w:t xml:space="preserve"> in paragraph </w:t>
      </w:r>
      <w:r w:rsidRPr="0059433B">
        <w:fldChar w:fldCharType="begin" w:fldLock="1"/>
      </w:r>
      <w:r w:rsidRPr="0059433B">
        <w:instrText xml:space="preserve"> REF _Ref135145733 \r \h </w:instrText>
      </w:r>
      <w:r w:rsidRPr="0059433B">
        <w:fldChar w:fldCharType="separate"/>
      </w:r>
      <w:r w:rsidR="00042B2E" w:rsidRPr="0059433B">
        <w:t>4.7</w:t>
      </w:r>
      <w:r w:rsidRPr="0059433B">
        <w:fldChar w:fldCharType="end"/>
      </w:r>
      <w:r w:rsidRPr="0059433B">
        <w:t>.</w:t>
      </w:r>
    </w:p>
    <w:p w14:paraId="5444835D" w14:textId="2DE1933B" w:rsidR="00230CBC" w:rsidRPr="0059433B" w:rsidRDefault="00230CBC" w:rsidP="00230CBC">
      <w:pPr>
        <w:pStyle w:val="COMH1numbered"/>
      </w:pPr>
      <w:bookmarkStart w:id="8" w:name="_Toc107902078"/>
      <w:bookmarkStart w:id="9" w:name="_Toc135226801"/>
      <w:bookmarkEnd w:id="8"/>
      <w:r w:rsidRPr="0059433B">
        <w:t>Requested listing</w:t>
      </w:r>
      <w:bookmarkEnd w:id="9"/>
    </w:p>
    <w:p w14:paraId="63707334" w14:textId="77777777" w:rsidR="00230CBC" w:rsidRPr="0059433B" w:rsidRDefault="00230CBC" w:rsidP="00D7061F">
      <w:pPr>
        <w:pStyle w:val="COMexecsumnumberedpara"/>
        <w:numPr>
          <w:ilvl w:val="1"/>
          <w:numId w:val="29"/>
        </w:numPr>
      </w:pPr>
      <w:r w:rsidRPr="0059433B">
        <w:t>Secretariat additions are in italic and deletions in strikethrough.</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707"/>
        <w:gridCol w:w="2306"/>
        <w:gridCol w:w="812"/>
        <w:gridCol w:w="1416"/>
        <w:gridCol w:w="1418"/>
      </w:tblGrid>
      <w:tr w:rsidR="00230CBC" w:rsidRPr="0059433B" w14:paraId="50557310" w14:textId="77777777" w:rsidTr="00E76F17">
        <w:trPr>
          <w:cantSplit/>
          <w:trHeight w:val="20"/>
        </w:trPr>
        <w:tc>
          <w:tcPr>
            <w:tcW w:w="1384" w:type="pct"/>
            <w:vAlign w:val="center"/>
          </w:tcPr>
          <w:p w14:paraId="6BFD1F62" w14:textId="77777777" w:rsidR="00230CBC" w:rsidRPr="0059433B" w:rsidRDefault="00230CBC" w:rsidP="00C5774C">
            <w:pPr>
              <w:keepNext/>
              <w:keepLines/>
              <w:rPr>
                <w:rFonts w:ascii="Arial Narrow" w:hAnsi="Arial Narrow"/>
                <w:b/>
                <w:bCs/>
                <w:sz w:val="20"/>
                <w:szCs w:val="20"/>
              </w:rPr>
            </w:pPr>
            <w:r w:rsidRPr="0059433B">
              <w:rPr>
                <w:rFonts w:ascii="Arial Narrow" w:hAnsi="Arial Narrow"/>
                <w:b/>
                <w:bCs/>
                <w:sz w:val="20"/>
                <w:szCs w:val="20"/>
              </w:rPr>
              <w:lastRenderedPageBreak/>
              <w:t>MEDICINAL PRODUCT</w:t>
            </w:r>
          </w:p>
          <w:p w14:paraId="68A9D116" w14:textId="77777777" w:rsidR="00230CBC" w:rsidRPr="0059433B" w:rsidRDefault="00230CBC" w:rsidP="00C5774C">
            <w:pPr>
              <w:keepNext/>
              <w:keepLines/>
              <w:rPr>
                <w:rFonts w:ascii="Arial Narrow" w:hAnsi="Arial Narrow"/>
                <w:b/>
                <w:sz w:val="20"/>
                <w:szCs w:val="20"/>
              </w:rPr>
            </w:pPr>
            <w:r w:rsidRPr="0059433B">
              <w:rPr>
                <w:rFonts w:ascii="Arial Narrow" w:hAnsi="Arial Narrow"/>
                <w:b/>
                <w:bCs/>
                <w:sz w:val="20"/>
                <w:szCs w:val="20"/>
              </w:rPr>
              <w:t>medicinal product pack</w:t>
            </w:r>
          </w:p>
        </w:tc>
        <w:tc>
          <w:tcPr>
            <w:tcW w:w="384" w:type="pct"/>
          </w:tcPr>
          <w:p w14:paraId="55C714C7" w14:textId="77777777" w:rsidR="00230CBC" w:rsidRPr="0059433B" w:rsidRDefault="00230CBC" w:rsidP="00C5774C">
            <w:pPr>
              <w:pStyle w:val="COMTabletext"/>
              <w:rPr>
                <w:b/>
                <w:bCs w:val="0"/>
                <w:szCs w:val="20"/>
              </w:rPr>
            </w:pPr>
            <w:r w:rsidRPr="0059433B">
              <w:rPr>
                <w:rFonts w:cs="Arial"/>
                <w:b/>
                <w:szCs w:val="20"/>
              </w:rPr>
              <w:t>PBS item code</w:t>
            </w:r>
          </w:p>
        </w:tc>
        <w:tc>
          <w:tcPr>
            <w:tcW w:w="1252" w:type="pct"/>
          </w:tcPr>
          <w:p w14:paraId="517503B0" w14:textId="77777777" w:rsidR="00230CBC" w:rsidRPr="0059433B" w:rsidRDefault="00230CBC" w:rsidP="00C5774C">
            <w:pPr>
              <w:keepNext/>
              <w:keepLines/>
              <w:jc w:val="center"/>
              <w:rPr>
                <w:rFonts w:ascii="Arial Narrow" w:hAnsi="Arial Narrow"/>
                <w:b/>
                <w:sz w:val="20"/>
                <w:szCs w:val="20"/>
              </w:rPr>
            </w:pPr>
            <w:r w:rsidRPr="0059433B">
              <w:rPr>
                <w:rFonts w:ascii="Arial Narrow" w:hAnsi="Arial Narrow"/>
                <w:b/>
                <w:sz w:val="20"/>
                <w:szCs w:val="20"/>
              </w:rPr>
              <w:t>Dispensed Price for Max. Qty</w:t>
            </w:r>
          </w:p>
        </w:tc>
        <w:tc>
          <w:tcPr>
            <w:tcW w:w="441" w:type="pct"/>
          </w:tcPr>
          <w:p w14:paraId="111B5846" w14:textId="77777777" w:rsidR="00230CBC" w:rsidRPr="0059433B" w:rsidRDefault="00230CBC" w:rsidP="00C5774C">
            <w:pPr>
              <w:keepNext/>
              <w:keepLines/>
              <w:jc w:val="center"/>
              <w:rPr>
                <w:rFonts w:ascii="Arial Narrow" w:hAnsi="Arial Narrow"/>
                <w:b/>
                <w:sz w:val="20"/>
                <w:szCs w:val="20"/>
              </w:rPr>
            </w:pPr>
            <w:r w:rsidRPr="0059433B">
              <w:rPr>
                <w:rFonts w:ascii="Arial Narrow" w:hAnsi="Arial Narrow"/>
                <w:b/>
                <w:sz w:val="20"/>
                <w:szCs w:val="20"/>
              </w:rPr>
              <w:t>Max. qty units</w:t>
            </w:r>
          </w:p>
        </w:tc>
        <w:tc>
          <w:tcPr>
            <w:tcW w:w="769" w:type="pct"/>
            <w:vAlign w:val="center"/>
          </w:tcPr>
          <w:p w14:paraId="61162708" w14:textId="77777777" w:rsidR="00230CBC" w:rsidRPr="0059433B" w:rsidRDefault="00230CBC" w:rsidP="00C5774C">
            <w:pPr>
              <w:keepNext/>
              <w:keepLines/>
              <w:jc w:val="center"/>
              <w:rPr>
                <w:rFonts w:ascii="Arial Narrow" w:hAnsi="Arial Narrow"/>
                <w:b/>
                <w:sz w:val="20"/>
                <w:szCs w:val="20"/>
              </w:rPr>
            </w:pPr>
            <w:r w:rsidRPr="0059433B">
              <w:rPr>
                <w:rFonts w:ascii="Arial Narrow" w:hAnsi="Arial Narrow"/>
                <w:b/>
                <w:sz w:val="20"/>
                <w:szCs w:val="20"/>
              </w:rPr>
              <w:t>№.of</w:t>
            </w:r>
          </w:p>
          <w:p w14:paraId="29E44130" w14:textId="77777777" w:rsidR="00230CBC" w:rsidRPr="0059433B" w:rsidRDefault="00230CBC" w:rsidP="00C5774C">
            <w:pPr>
              <w:keepNext/>
              <w:keepLines/>
              <w:jc w:val="center"/>
              <w:rPr>
                <w:rFonts w:ascii="Arial Narrow" w:hAnsi="Arial Narrow"/>
                <w:b/>
                <w:sz w:val="20"/>
                <w:szCs w:val="20"/>
              </w:rPr>
            </w:pPr>
            <w:r w:rsidRPr="0059433B">
              <w:rPr>
                <w:rFonts w:ascii="Arial Narrow" w:hAnsi="Arial Narrow"/>
                <w:b/>
                <w:sz w:val="20"/>
                <w:szCs w:val="20"/>
              </w:rPr>
              <w:t>Rpts</w:t>
            </w:r>
          </w:p>
        </w:tc>
        <w:tc>
          <w:tcPr>
            <w:tcW w:w="770" w:type="pct"/>
            <w:vAlign w:val="center"/>
          </w:tcPr>
          <w:p w14:paraId="34A59BC4" w14:textId="77777777" w:rsidR="00230CBC" w:rsidRPr="0059433B" w:rsidRDefault="00230CBC" w:rsidP="00C5774C">
            <w:pPr>
              <w:keepNext/>
              <w:keepLines/>
              <w:rPr>
                <w:rFonts w:ascii="Arial Narrow" w:hAnsi="Arial Narrow"/>
                <w:b/>
                <w:sz w:val="20"/>
                <w:szCs w:val="20"/>
              </w:rPr>
            </w:pPr>
            <w:r w:rsidRPr="0059433B">
              <w:rPr>
                <w:rFonts w:ascii="Arial Narrow" w:hAnsi="Arial Narrow"/>
                <w:b/>
                <w:sz w:val="20"/>
                <w:szCs w:val="20"/>
              </w:rPr>
              <w:t>Available brands</w:t>
            </w:r>
          </w:p>
        </w:tc>
      </w:tr>
      <w:tr w:rsidR="00230CBC" w:rsidRPr="0059433B" w14:paraId="289DAB20" w14:textId="77777777" w:rsidTr="00C5774C">
        <w:trPr>
          <w:cantSplit/>
          <w:trHeight w:val="20"/>
        </w:trPr>
        <w:tc>
          <w:tcPr>
            <w:tcW w:w="5000" w:type="pct"/>
            <w:gridSpan w:val="6"/>
            <w:vAlign w:val="center"/>
          </w:tcPr>
          <w:p w14:paraId="792C03E0" w14:textId="77777777" w:rsidR="00230CBC" w:rsidRPr="0059433B" w:rsidRDefault="00230CBC" w:rsidP="00C5774C">
            <w:pPr>
              <w:pStyle w:val="COMTabletext"/>
              <w:rPr>
                <w:rFonts w:cs="Arial"/>
                <w:szCs w:val="20"/>
              </w:rPr>
            </w:pPr>
            <w:r w:rsidRPr="0059433B">
              <w:rPr>
                <w:szCs w:val="20"/>
              </w:rPr>
              <w:t>PATISIRAN</w:t>
            </w:r>
          </w:p>
        </w:tc>
      </w:tr>
      <w:tr w:rsidR="00230CBC" w:rsidRPr="0059433B" w14:paraId="63F44A60" w14:textId="77777777" w:rsidTr="00E76F17">
        <w:trPr>
          <w:cantSplit/>
          <w:trHeight w:val="20"/>
        </w:trPr>
        <w:tc>
          <w:tcPr>
            <w:tcW w:w="1384" w:type="pct"/>
          </w:tcPr>
          <w:p w14:paraId="43BAC31E" w14:textId="77777777" w:rsidR="00230CBC" w:rsidRPr="0059433B" w:rsidRDefault="00230CBC" w:rsidP="00C5774C">
            <w:pPr>
              <w:pStyle w:val="COMTabletext"/>
              <w:keepLines/>
              <w:rPr>
                <w:color w:val="0066FF"/>
                <w:szCs w:val="20"/>
              </w:rPr>
            </w:pPr>
            <w:r w:rsidRPr="0059433B">
              <w:rPr>
                <w:szCs w:val="20"/>
              </w:rPr>
              <w:t xml:space="preserve">10 mg (5 mL) vial for complex IV infusion, </w:t>
            </w:r>
            <w:proofErr w:type="gramStart"/>
            <w:r w:rsidRPr="0059433B">
              <w:rPr>
                <w:szCs w:val="20"/>
              </w:rPr>
              <w:t>1</w:t>
            </w:r>
            <w:proofErr w:type="gramEnd"/>
          </w:p>
        </w:tc>
        <w:tc>
          <w:tcPr>
            <w:tcW w:w="384" w:type="pct"/>
          </w:tcPr>
          <w:p w14:paraId="6EDC1D3A" w14:textId="77777777" w:rsidR="00230CBC" w:rsidRPr="0059433B" w:rsidRDefault="00230CBC" w:rsidP="00C5774C">
            <w:pPr>
              <w:pStyle w:val="COMTabletext"/>
              <w:jc w:val="center"/>
              <w:rPr>
                <w:szCs w:val="20"/>
              </w:rPr>
            </w:pPr>
            <w:r w:rsidRPr="0059433B">
              <w:rPr>
                <w:szCs w:val="20"/>
              </w:rPr>
              <w:t>NEW</w:t>
            </w:r>
          </w:p>
          <w:p w14:paraId="0D5A3747" w14:textId="77777777" w:rsidR="00230CBC" w:rsidRPr="0059433B" w:rsidRDefault="00230CBC" w:rsidP="00C5774C">
            <w:pPr>
              <w:pStyle w:val="COMTabletext"/>
              <w:jc w:val="center"/>
              <w:rPr>
                <w:szCs w:val="20"/>
              </w:rPr>
            </w:pPr>
            <w:r w:rsidRPr="0059433B">
              <w:rPr>
                <w:i/>
                <w:iCs/>
                <w:szCs w:val="20"/>
              </w:rPr>
              <w:t>NEW</w:t>
            </w:r>
          </w:p>
        </w:tc>
        <w:tc>
          <w:tcPr>
            <w:tcW w:w="1252" w:type="pct"/>
          </w:tcPr>
          <w:p w14:paraId="59076659" w14:textId="30C0B6D9" w:rsidR="00230CBC" w:rsidRPr="0059433B" w:rsidRDefault="00230CBC" w:rsidP="00C5774C">
            <w:pPr>
              <w:pStyle w:val="COMTabletext"/>
              <w:jc w:val="center"/>
              <w:rPr>
                <w:szCs w:val="20"/>
              </w:rPr>
            </w:pPr>
            <w:r w:rsidRPr="0059433B">
              <w:t>Public: $</w:t>
            </w:r>
            <w:r w:rsidR="00B94620" w:rsidRPr="007A17D6">
              <w:rPr>
                <w:color w:val="000000"/>
                <w:spacing w:val="97"/>
                <w:shd w:val="solid" w:color="000000" w:fill="000000"/>
                <w:fitText w:val="183" w:id="-1171529728"/>
                <w14:textFill>
                  <w14:solidFill>
                    <w14:srgbClr w14:val="000000">
                      <w14:alpha w14:val="100000"/>
                    </w14:srgbClr>
                  </w14:solidFill>
                </w14:textFill>
              </w:rPr>
              <w:t>|</w:t>
            </w:r>
            <w:r w:rsidR="00B94620" w:rsidRPr="007A17D6">
              <w:rPr>
                <w:color w:val="000000"/>
                <w:shd w:val="solid" w:color="000000" w:fill="000000"/>
                <w:fitText w:val="183" w:id="-1171529728"/>
                <w14:textFill>
                  <w14:solidFill>
                    <w14:srgbClr w14:val="000000">
                      <w14:alpha w14:val="100000"/>
                    </w14:srgbClr>
                  </w14:solidFill>
                </w14:textFill>
              </w:rPr>
              <w:t>|</w:t>
            </w:r>
            <w:r w:rsidRPr="0059433B">
              <w:rPr>
                <w:szCs w:val="20"/>
              </w:rPr>
              <w:t xml:space="preserve"> published price</w:t>
            </w:r>
          </w:p>
          <w:p w14:paraId="0BEE5015" w14:textId="75A81EDC" w:rsidR="00230CBC" w:rsidRPr="0059433B" w:rsidRDefault="00230CBC" w:rsidP="00C5774C">
            <w:pPr>
              <w:pStyle w:val="COMTabletext"/>
              <w:jc w:val="center"/>
              <w:rPr>
                <w:szCs w:val="20"/>
              </w:rPr>
            </w:pPr>
            <w:r w:rsidRPr="0059433B">
              <w:rPr>
                <w:szCs w:val="20"/>
              </w:rPr>
              <w:t>$</w:t>
            </w:r>
            <w:r w:rsidR="00B94620" w:rsidRPr="00B94620">
              <w:rPr>
                <w:rFonts w:ascii="MS Mincho" w:eastAsia="MS Mincho" w:hAnsi="MS Mincho" w:cs="MS Mincho" w:hint="eastAsia"/>
                <w:color w:val="000000"/>
                <w:w w:val="18"/>
                <w:szCs w:val="20"/>
                <w:shd w:val="solid" w:color="000000" w:fill="000000"/>
                <w:fitText w:val="82" w:id="-1171529727"/>
                <w14:textFill>
                  <w14:solidFill>
                    <w14:srgbClr w14:val="000000">
                      <w14:alpha w14:val="100000"/>
                    </w14:srgbClr>
                  </w14:solidFill>
                </w14:textFill>
              </w:rPr>
              <w:t xml:space="preserve">　</w:t>
            </w:r>
            <w:r w:rsidR="00B94620" w:rsidRPr="00B94620">
              <w:rPr>
                <w:color w:val="000000"/>
                <w:w w:val="18"/>
                <w:szCs w:val="20"/>
                <w:shd w:val="solid" w:color="000000" w:fill="000000"/>
                <w:fitText w:val="82" w:id="-1171529727"/>
                <w14:textFill>
                  <w14:solidFill>
                    <w14:srgbClr w14:val="000000">
                      <w14:alpha w14:val="100000"/>
                    </w14:srgbClr>
                  </w14:solidFill>
                </w14:textFill>
              </w:rPr>
              <w:t>|</w:t>
            </w:r>
            <w:r w:rsidR="00B94620" w:rsidRPr="00B94620">
              <w:rPr>
                <w:rFonts w:ascii="MS Mincho" w:eastAsia="MS Mincho" w:hAnsi="MS Mincho" w:cs="MS Mincho" w:hint="eastAsia"/>
                <w:color w:val="000000"/>
                <w:w w:val="18"/>
                <w:szCs w:val="20"/>
                <w:shd w:val="solid" w:color="000000" w:fill="000000"/>
                <w:fitText w:val="82" w:id="-1171529727"/>
                <w14:textFill>
                  <w14:solidFill>
                    <w14:srgbClr w14:val="000000">
                      <w14:alpha w14:val="100000"/>
                    </w14:srgbClr>
                  </w14:solidFill>
                </w14:textFill>
              </w:rPr>
              <w:t xml:space="preserve">　</w:t>
            </w:r>
            <w:r w:rsidRPr="0059433B">
              <w:rPr>
                <w:szCs w:val="20"/>
              </w:rPr>
              <w:t xml:space="preserve"> effective price</w:t>
            </w:r>
          </w:p>
        </w:tc>
        <w:tc>
          <w:tcPr>
            <w:tcW w:w="441" w:type="pct"/>
          </w:tcPr>
          <w:p w14:paraId="5082F0BF" w14:textId="77777777" w:rsidR="00230CBC" w:rsidRPr="0059433B" w:rsidRDefault="00230CBC" w:rsidP="00C5774C">
            <w:pPr>
              <w:keepNext/>
              <w:keepLines/>
              <w:jc w:val="center"/>
              <w:rPr>
                <w:rFonts w:ascii="Arial Narrow" w:hAnsi="Arial Narrow"/>
                <w:sz w:val="20"/>
                <w:szCs w:val="20"/>
              </w:rPr>
            </w:pPr>
            <w:r w:rsidRPr="0059433B">
              <w:rPr>
                <w:rFonts w:ascii="Arial Narrow" w:hAnsi="Arial Narrow"/>
                <w:sz w:val="20"/>
                <w:szCs w:val="20"/>
              </w:rPr>
              <w:t>3</w:t>
            </w:r>
          </w:p>
        </w:tc>
        <w:tc>
          <w:tcPr>
            <w:tcW w:w="769" w:type="pct"/>
          </w:tcPr>
          <w:p w14:paraId="4A5AB54A" w14:textId="77777777" w:rsidR="00230CBC" w:rsidRPr="0059433B" w:rsidRDefault="00230CBC" w:rsidP="00C5774C">
            <w:pPr>
              <w:keepNext/>
              <w:keepLines/>
              <w:jc w:val="center"/>
              <w:rPr>
                <w:rFonts w:ascii="Arial Narrow" w:hAnsi="Arial Narrow"/>
                <w:sz w:val="20"/>
                <w:szCs w:val="20"/>
              </w:rPr>
            </w:pPr>
            <w:r w:rsidRPr="0059433B">
              <w:rPr>
                <w:rFonts w:ascii="Arial Narrow" w:hAnsi="Arial Narrow"/>
                <w:strike/>
                <w:sz w:val="20"/>
                <w:szCs w:val="20"/>
              </w:rPr>
              <w:t>8.7 in a 6-month period</w:t>
            </w:r>
            <w:r w:rsidRPr="0059433B">
              <w:rPr>
                <w:rFonts w:ascii="Arial Narrow" w:hAnsi="Arial Narrow"/>
                <w:strike/>
                <w:sz w:val="20"/>
                <w:szCs w:val="20"/>
                <w:vertAlign w:val="superscript"/>
              </w:rPr>
              <w:t>a</w:t>
            </w:r>
          </w:p>
          <w:p w14:paraId="14E9B2EC" w14:textId="77777777" w:rsidR="00230CBC" w:rsidRPr="0059433B" w:rsidRDefault="00230CBC" w:rsidP="00C5774C">
            <w:pPr>
              <w:keepNext/>
              <w:keepLines/>
              <w:jc w:val="center"/>
              <w:rPr>
                <w:rFonts w:ascii="Arial Narrow" w:hAnsi="Arial Narrow"/>
                <w:i/>
                <w:iCs/>
                <w:sz w:val="20"/>
                <w:szCs w:val="20"/>
              </w:rPr>
            </w:pPr>
            <w:r w:rsidRPr="0059433B">
              <w:rPr>
                <w:rFonts w:ascii="Arial Narrow" w:hAnsi="Arial Narrow"/>
                <w:i/>
                <w:iCs/>
                <w:sz w:val="20"/>
                <w:szCs w:val="20"/>
              </w:rPr>
              <w:t>7</w:t>
            </w:r>
          </w:p>
        </w:tc>
        <w:tc>
          <w:tcPr>
            <w:tcW w:w="770" w:type="pct"/>
          </w:tcPr>
          <w:p w14:paraId="6481D5CF" w14:textId="77777777" w:rsidR="00230CBC" w:rsidRPr="0059433B" w:rsidRDefault="00230CBC" w:rsidP="00C5774C">
            <w:pPr>
              <w:keepNext/>
              <w:keepLines/>
              <w:jc w:val="center"/>
              <w:rPr>
                <w:rFonts w:ascii="Arial Narrow" w:hAnsi="Arial Narrow"/>
                <w:color w:val="0066FF"/>
                <w:sz w:val="20"/>
                <w:szCs w:val="20"/>
              </w:rPr>
            </w:pPr>
            <w:r w:rsidRPr="0059433B">
              <w:rPr>
                <w:rFonts w:ascii="Arial Narrow" w:hAnsi="Arial Narrow"/>
                <w:sz w:val="20"/>
                <w:szCs w:val="20"/>
              </w:rPr>
              <w:t>Onpattro</w:t>
            </w:r>
          </w:p>
        </w:tc>
      </w:tr>
      <w:tr w:rsidR="00230CBC" w:rsidRPr="0059433B" w14:paraId="235B87C7" w14:textId="77777777" w:rsidTr="00C5774C">
        <w:tblPrEx>
          <w:tblCellMar>
            <w:top w:w="15" w:type="dxa"/>
            <w:bottom w:w="15" w:type="dxa"/>
          </w:tblCellMar>
          <w:tblLook w:val="04A0" w:firstRow="1" w:lastRow="0" w:firstColumn="1" w:lastColumn="0" w:noHBand="0" w:noVBand="1"/>
        </w:tblPrEx>
        <w:trPr>
          <w:cantSplit/>
          <w:trHeight w:val="20"/>
        </w:trPr>
        <w:tc>
          <w:tcPr>
            <w:tcW w:w="5000" w:type="pct"/>
            <w:gridSpan w:val="6"/>
          </w:tcPr>
          <w:p w14:paraId="2DD63F76" w14:textId="4E72E271" w:rsidR="00230CBC" w:rsidRPr="0059433B" w:rsidRDefault="00230CBC" w:rsidP="00C5774C">
            <w:pPr>
              <w:pStyle w:val="COMTabletext"/>
              <w:keepLines/>
              <w:rPr>
                <w:szCs w:val="20"/>
              </w:rPr>
            </w:pPr>
            <w:r w:rsidRPr="0059433B">
              <w:rPr>
                <w:b/>
                <w:szCs w:val="20"/>
              </w:rPr>
              <w:t xml:space="preserve">Category / Program: </w:t>
            </w:r>
            <w:r w:rsidRPr="0059433B">
              <w:rPr>
                <w:b/>
                <w:szCs w:val="20"/>
              </w:rPr>
              <w:tab/>
            </w:r>
            <w:r w:rsidRPr="0059433B">
              <w:rPr>
                <w:szCs w:val="20"/>
              </w:rPr>
              <w:t xml:space="preserve">Section 100 </w:t>
            </w:r>
            <w:r w:rsidR="001C26A4" w:rsidRPr="0059433B">
              <w:rPr>
                <w:szCs w:val="20"/>
              </w:rPr>
              <w:t xml:space="preserve">HSD </w:t>
            </w:r>
            <w:r w:rsidRPr="0059433B">
              <w:rPr>
                <w:szCs w:val="20"/>
              </w:rPr>
              <w:t>– Public Hospital</w:t>
            </w:r>
          </w:p>
          <w:p w14:paraId="0F4D4BA4" w14:textId="792A42C5" w:rsidR="00230CBC" w:rsidRPr="0059433B" w:rsidRDefault="00230CBC" w:rsidP="00C5774C">
            <w:pPr>
              <w:pStyle w:val="COMTabletext"/>
              <w:keepLines/>
              <w:rPr>
                <w:i/>
                <w:iCs/>
                <w:szCs w:val="20"/>
              </w:rPr>
            </w:pPr>
            <w:r w:rsidRPr="0059433B">
              <w:rPr>
                <w:szCs w:val="20"/>
              </w:rPr>
              <w:tab/>
            </w:r>
            <w:r w:rsidRPr="0059433B">
              <w:rPr>
                <w:szCs w:val="20"/>
              </w:rPr>
              <w:tab/>
            </w:r>
            <w:r w:rsidRPr="0059433B">
              <w:rPr>
                <w:szCs w:val="20"/>
              </w:rPr>
              <w:tab/>
            </w:r>
            <w:r w:rsidRPr="0059433B">
              <w:rPr>
                <w:i/>
                <w:iCs/>
                <w:szCs w:val="20"/>
              </w:rPr>
              <w:t xml:space="preserve">Section 100 </w:t>
            </w:r>
            <w:r w:rsidR="001C26A4" w:rsidRPr="0059433B">
              <w:rPr>
                <w:i/>
                <w:iCs/>
                <w:szCs w:val="20"/>
              </w:rPr>
              <w:t xml:space="preserve">HSD </w:t>
            </w:r>
            <w:r w:rsidRPr="0059433B">
              <w:rPr>
                <w:i/>
                <w:iCs/>
                <w:szCs w:val="20"/>
              </w:rPr>
              <w:t>– Private Hospital</w:t>
            </w:r>
          </w:p>
        </w:tc>
      </w:tr>
      <w:tr w:rsidR="00230CBC" w:rsidRPr="0059433B" w14:paraId="5D6EA75A" w14:textId="77777777" w:rsidTr="00C5774C">
        <w:tblPrEx>
          <w:tblCellMar>
            <w:top w:w="15" w:type="dxa"/>
            <w:bottom w:w="15" w:type="dxa"/>
          </w:tblCellMar>
          <w:tblLook w:val="04A0" w:firstRow="1" w:lastRow="0" w:firstColumn="1" w:lastColumn="0" w:noHBand="0" w:noVBand="1"/>
        </w:tblPrEx>
        <w:trPr>
          <w:cantSplit/>
          <w:trHeight w:val="20"/>
        </w:trPr>
        <w:tc>
          <w:tcPr>
            <w:tcW w:w="5000" w:type="pct"/>
            <w:gridSpan w:val="6"/>
          </w:tcPr>
          <w:p w14:paraId="0974B5C9" w14:textId="77777777" w:rsidR="00230CBC" w:rsidRPr="0059433B" w:rsidRDefault="00230CBC" w:rsidP="00C5774C">
            <w:pPr>
              <w:pStyle w:val="COMTabletext"/>
              <w:keepLines/>
              <w:rPr>
                <w:b/>
                <w:szCs w:val="20"/>
              </w:rPr>
            </w:pPr>
            <w:r w:rsidRPr="0059433B">
              <w:rPr>
                <w:b/>
              </w:rPr>
              <w:t xml:space="preserve">Prescriber type: </w:t>
            </w:r>
            <w:r w:rsidRPr="0059433B">
              <w:fldChar w:fldCharType="begin" w:fldLock="1">
                <w:ffData>
                  <w:name w:val=""/>
                  <w:enabled/>
                  <w:calcOnExit w:val="0"/>
                  <w:checkBox>
                    <w:sizeAuto/>
                    <w:default w:val="1"/>
                  </w:checkBox>
                </w:ffData>
              </w:fldChar>
            </w:r>
            <w:r w:rsidRPr="0059433B">
              <w:instrText xml:space="preserve"> FORMCHECKBOX </w:instrText>
            </w:r>
            <w:r w:rsidR="00867C25">
              <w:fldChar w:fldCharType="separate"/>
            </w:r>
            <w:r w:rsidRPr="0059433B">
              <w:fldChar w:fldCharType="end"/>
            </w:r>
            <w:r w:rsidRPr="0059433B">
              <w:t>Medical Practitioners</w:t>
            </w:r>
          </w:p>
        </w:tc>
      </w:tr>
    </w:tbl>
    <w:tbl>
      <w:tblPr>
        <w:tblStyle w:val="TableGrid1"/>
        <w:tblW w:w="5106" w:type="pct"/>
        <w:tblLook w:val="04A0" w:firstRow="1" w:lastRow="0" w:firstColumn="1" w:lastColumn="0" w:noHBand="0" w:noVBand="1"/>
      </w:tblPr>
      <w:tblGrid>
        <w:gridCol w:w="1696"/>
        <w:gridCol w:w="7512"/>
      </w:tblGrid>
      <w:tr w:rsidR="00230CBC" w:rsidRPr="0059433B" w14:paraId="7C3D5AF6" w14:textId="77777777" w:rsidTr="00042B2E">
        <w:trPr>
          <w:trHeight w:val="136"/>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6FE89" w14:textId="77777777" w:rsidR="00230CBC" w:rsidRPr="0059433B" w:rsidRDefault="00230CBC" w:rsidP="00C5774C">
            <w:pPr>
              <w:pStyle w:val="TableLeft"/>
              <w:keepNext/>
              <w:jc w:val="left"/>
              <w:rPr>
                <w:rFonts w:ascii="Arial Narrow" w:hAnsi="Arial Narrow"/>
                <w:sz w:val="20"/>
                <w:szCs w:val="20"/>
                <w:lang w:val="en-AU"/>
              </w:rPr>
            </w:pPr>
            <w:r w:rsidRPr="0059433B">
              <w:rPr>
                <w:rFonts w:ascii="Arial Narrow" w:hAnsi="Arial Narrow" w:cs="Arial"/>
                <w:b/>
                <w:sz w:val="20"/>
                <w:szCs w:val="20"/>
                <w:lang w:val="en-AU"/>
              </w:rPr>
              <w:t>Condition: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FBB9E" w14:textId="77777777" w:rsidR="00230CBC" w:rsidRPr="0059433B" w:rsidRDefault="00230CBC" w:rsidP="00C5774C">
            <w:pPr>
              <w:keepNext/>
              <w:rPr>
                <w:rFonts w:ascii="Arial Narrow" w:hAnsi="Arial Narrow"/>
                <w:sz w:val="20"/>
                <w:szCs w:val="20"/>
                <w:lang w:val="en-AU"/>
              </w:rPr>
            </w:pPr>
            <w:r w:rsidRPr="0059433B">
              <w:rPr>
                <w:rFonts w:ascii="Arial Narrow" w:hAnsi="Arial Narrow"/>
                <w:i/>
                <w:iCs/>
                <w:sz w:val="20"/>
                <w:szCs w:val="20"/>
                <w:lang w:val="en-AU"/>
              </w:rPr>
              <w:t xml:space="preserve">Hereditary transthyretin </w:t>
            </w:r>
            <w:r w:rsidRPr="0059433B">
              <w:rPr>
                <w:rFonts w:ascii="Arial Narrow" w:hAnsi="Arial Narrow"/>
                <w:strike/>
                <w:sz w:val="20"/>
                <w:szCs w:val="20"/>
                <w:lang w:val="en-AU"/>
              </w:rPr>
              <w:t xml:space="preserve">hATTR </w:t>
            </w:r>
            <w:r w:rsidRPr="0059433B">
              <w:rPr>
                <w:rFonts w:ascii="Arial Narrow" w:hAnsi="Arial Narrow"/>
                <w:sz w:val="20"/>
                <w:szCs w:val="20"/>
                <w:lang w:val="en-AU"/>
              </w:rPr>
              <w:t>amyloidosis with polyneuropathy.</w:t>
            </w:r>
          </w:p>
        </w:tc>
      </w:tr>
      <w:tr w:rsidR="00230CBC" w:rsidRPr="0059433B" w14:paraId="6AFA8126" w14:textId="77777777" w:rsidTr="00042B2E">
        <w:trPr>
          <w:trHeight w:val="53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782E8" w14:textId="77777777" w:rsidR="00230CBC" w:rsidRPr="0059433B" w:rsidRDefault="00230CBC" w:rsidP="00C5774C">
            <w:pPr>
              <w:pStyle w:val="TableLeft"/>
              <w:keepNext/>
              <w:jc w:val="left"/>
              <w:rPr>
                <w:rFonts w:ascii="Arial Narrow" w:hAnsi="Arial Narrow"/>
                <w:sz w:val="20"/>
                <w:szCs w:val="20"/>
                <w:lang w:val="en-AU"/>
              </w:rPr>
            </w:pPr>
            <w:r w:rsidRPr="0059433B">
              <w:rPr>
                <w:rFonts w:ascii="Arial Narrow" w:hAnsi="Arial Narrow" w:cs="Arial"/>
                <w:b/>
                <w:sz w:val="20"/>
                <w:szCs w:val="20"/>
                <w:lang w:val="en-AU"/>
              </w:rPr>
              <w:t>PBS indication: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F2A5" w14:textId="77777777" w:rsidR="00230CBC" w:rsidRPr="0059433B" w:rsidRDefault="00230CBC" w:rsidP="00C5774C">
            <w:pPr>
              <w:keepNext/>
              <w:rPr>
                <w:rFonts w:ascii="Arial Narrow" w:hAnsi="Arial Narrow"/>
                <w:sz w:val="20"/>
                <w:szCs w:val="20"/>
                <w:lang w:val="en-AU"/>
              </w:rPr>
            </w:pPr>
            <w:r w:rsidRPr="0059433B">
              <w:rPr>
                <w:rFonts w:ascii="Arial Narrow" w:hAnsi="Arial Narrow"/>
                <w:sz w:val="20"/>
                <w:szCs w:val="20"/>
                <w:lang w:val="en-AU"/>
              </w:rPr>
              <w:t>Hereditary transthyretin amyloidosis in adult patients with stage 1 or stage 2 polyneuropathy</w:t>
            </w:r>
          </w:p>
        </w:tc>
      </w:tr>
      <w:tr w:rsidR="00230CBC" w:rsidRPr="0059433B" w14:paraId="3F9AE980" w14:textId="77777777" w:rsidTr="00042B2E">
        <w:trPr>
          <w:trHeight w:val="446"/>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98D83" w14:textId="77777777" w:rsidR="00230CBC" w:rsidRPr="0059433B" w:rsidRDefault="00230CBC" w:rsidP="00C5774C">
            <w:pPr>
              <w:keepNext/>
              <w:rPr>
                <w:rFonts w:ascii="Arial Narrow" w:hAnsi="Arial Narrow"/>
                <w:b/>
                <w:sz w:val="20"/>
                <w:szCs w:val="20"/>
                <w:lang w:val="en-AU"/>
              </w:rPr>
            </w:pPr>
            <w:r w:rsidRPr="0059433B">
              <w:rPr>
                <w:rFonts w:ascii="Arial Narrow" w:hAnsi="Arial Narrow"/>
                <w:b/>
                <w:sz w:val="20"/>
                <w:szCs w:val="20"/>
                <w:lang w:val="en-AU"/>
              </w:rPr>
              <w:t>Restriction: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6940F" w14:textId="77777777" w:rsidR="00230CBC" w:rsidRPr="0059433B" w:rsidRDefault="00230CBC" w:rsidP="00C5774C">
            <w:pPr>
              <w:keepNext/>
              <w:spacing w:line="360" w:lineRule="auto"/>
              <w:rPr>
                <w:rFonts w:ascii="Arial Narrow" w:hAnsi="Arial Narrow"/>
                <w:sz w:val="20"/>
                <w:szCs w:val="20"/>
                <w:lang w:val="en-AU"/>
              </w:rPr>
            </w:pPr>
            <w:r w:rsidRPr="0059433B">
              <w:rPr>
                <w:rFonts w:ascii="Arial Narrow" w:hAnsi="Arial Narrow"/>
                <w:sz w:val="20"/>
                <w:szCs w:val="20"/>
              </w:rPr>
              <w:fldChar w:fldCharType="begin" w:fldLock="1">
                <w:ffData>
                  <w:name w:val=""/>
                  <w:enabled/>
                  <w:calcOnExit w:val="0"/>
                  <w:checkBox>
                    <w:sizeAuto/>
                    <w:default w:val="1"/>
                  </w:checkBox>
                </w:ffData>
              </w:fldChar>
            </w:r>
            <w:r w:rsidRPr="0059433B">
              <w:rPr>
                <w:rFonts w:ascii="Arial Narrow" w:hAnsi="Arial Narrow"/>
                <w:sz w:val="20"/>
                <w:szCs w:val="20"/>
                <w:lang w:val="en-AU"/>
              </w:rPr>
              <w:instrText xml:space="preserve"> FORMCHECKBOX </w:instrText>
            </w:r>
            <w:r w:rsidR="00867C25">
              <w:rPr>
                <w:rFonts w:ascii="Arial Narrow" w:hAnsi="Arial Narrow"/>
                <w:sz w:val="20"/>
                <w:szCs w:val="20"/>
              </w:rPr>
            </w:r>
            <w:r w:rsidR="00867C25">
              <w:rPr>
                <w:rFonts w:ascii="Arial Narrow" w:hAnsi="Arial Narrow"/>
                <w:sz w:val="20"/>
                <w:szCs w:val="20"/>
              </w:rPr>
              <w:fldChar w:fldCharType="separate"/>
            </w:r>
            <w:r w:rsidRPr="0059433B">
              <w:rPr>
                <w:rFonts w:ascii="Arial Narrow" w:hAnsi="Arial Narrow"/>
                <w:sz w:val="20"/>
                <w:szCs w:val="20"/>
              </w:rPr>
              <w:fldChar w:fldCharType="end"/>
            </w:r>
            <w:r w:rsidRPr="0059433B">
              <w:rPr>
                <w:rFonts w:ascii="Arial Narrow" w:hAnsi="Arial Narrow"/>
                <w:sz w:val="20"/>
                <w:szCs w:val="20"/>
                <w:lang w:val="en-AU"/>
              </w:rPr>
              <w:t>Authority Required - In Writing</w:t>
            </w:r>
          </w:p>
        </w:tc>
      </w:tr>
      <w:tr w:rsidR="00230CBC" w:rsidRPr="0059433B" w14:paraId="06AA6F1A" w14:textId="77777777" w:rsidTr="00042B2E">
        <w:trPr>
          <w:trHeight w:val="209"/>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BC7A" w14:textId="77777777" w:rsidR="00230CBC" w:rsidRPr="0059433B" w:rsidRDefault="00230CBC" w:rsidP="00C5774C">
            <w:pPr>
              <w:keepNext/>
              <w:rPr>
                <w:rFonts w:ascii="Arial Narrow" w:hAnsi="Arial Narrow"/>
                <w:i/>
                <w:sz w:val="20"/>
                <w:szCs w:val="20"/>
                <w:lang w:val="en-AU"/>
              </w:rPr>
            </w:pPr>
            <w:r w:rsidRPr="0059433B">
              <w:rPr>
                <w:rFonts w:ascii="Arial Narrow" w:hAnsi="Arial Narrow"/>
                <w:b/>
                <w:sz w:val="20"/>
                <w:szCs w:val="20"/>
                <w:lang w:val="en-AU"/>
              </w:rPr>
              <w:t>Treatment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75A27" w14:textId="77777777" w:rsidR="00230CBC" w:rsidRPr="0059433B" w:rsidRDefault="00230CBC" w:rsidP="00C5774C">
            <w:pPr>
              <w:keepNext/>
              <w:rPr>
                <w:rFonts w:ascii="Arial Narrow" w:hAnsi="Arial Narrow"/>
                <w:sz w:val="20"/>
                <w:szCs w:val="20"/>
                <w:lang w:val="en-AU"/>
              </w:rPr>
            </w:pPr>
            <w:r w:rsidRPr="0059433B">
              <w:rPr>
                <w:rFonts w:ascii="Arial Narrow" w:hAnsi="Arial Narrow"/>
                <w:sz w:val="20"/>
                <w:szCs w:val="20"/>
                <w:lang w:val="en-AU"/>
              </w:rPr>
              <w:t xml:space="preserve">Must </w:t>
            </w:r>
            <w:proofErr w:type="gramStart"/>
            <w:r w:rsidRPr="0059433B">
              <w:rPr>
                <w:rFonts w:ascii="Arial Narrow" w:hAnsi="Arial Narrow"/>
                <w:sz w:val="20"/>
                <w:szCs w:val="20"/>
                <w:lang w:val="en-AU"/>
              </w:rPr>
              <w:t>be treated</w:t>
            </w:r>
            <w:proofErr w:type="gramEnd"/>
            <w:r w:rsidRPr="0059433B">
              <w:rPr>
                <w:rFonts w:ascii="Arial Narrow" w:hAnsi="Arial Narrow"/>
                <w:sz w:val="20"/>
                <w:szCs w:val="20"/>
                <w:lang w:val="en-AU"/>
              </w:rPr>
              <w:t xml:space="preserve"> by a consultant physician with experience in the management of amyloid disorders.</w:t>
            </w:r>
          </w:p>
        </w:tc>
      </w:tr>
      <w:tr w:rsidR="00230CBC" w:rsidRPr="0059433B" w14:paraId="03671DA7" w14:textId="77777777" w:rsidTr="00042B2E">
        <w:trPr>
          <w:trHeight w:val="411"/>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74DF42" w14:textId="77777777" w:rsidR="00230CBC" w:rsidRPr="0059433B" w:rsidRDefault="00230CBC" w:rsidP="00C5774C">
            <w:pPr>
              <w:keepNext/>
              <w:rPr>
                <w:rFonts w:ascii="Arial Narrow" w:hAnsi="Arial Narrow"/>
                <w:b/>
                <w:sz w:val="20"/>
                <w:szCs w:val="20"/>
                <w:lang w:val="en-AU"/>
              </w:rPr>
            </w:pPr>
            <w:r w:rsidRPr="0059433B">
              <w:rPr>
                <w:rFonts w:ascii="Arial Narrow" w:hAnsi="Arial Narrow"/>
                <w:b/>
                <w:sz w:val="20"/>
                <w:szCs w:val="20"/>
                <w:lang w:val="en-AU"/>
              </w:rPr>
              <w:t>Treatment phase:</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A5C443" w14:textId="77777777" w:rsidR="00230CBC" w:rsidRPr="0059433B" w:rsidRDefault="00230CBC" w:rsidP="00C5774C">
            <w:pPr>
              <w:keepNext/>
              <w:rPr>
                <w:rFonts w:ascii="Arial Narrow" w:hAnsi="Arial Narrow"/>
                <w:b/>
                <w:sz w:val="20"/>
                <w:szCs w:val="20"/>
                <w:lang w:val="en-AU"/>
              </w:rPr>
            </w:pPr>
            <w:r w:rsidRPr="0059433B">
              <w:rPr>
                <w:rFonts w:ascii="Arial Narrow" w:hAnsi="Arial Narrow"/>
                <w:b/>
                <w:sz w:val="20"/>
                <w:szCs w:val="20"/>
                <w:lang w:val="en-AU"/>
              </w:rPr>
              <w:t>Initiating treatment</w:t>
            </w:r>
          </w:p>
        </w:tc>
      </w:tr>
      <w:tr w:rsidR="00230CBC" w:rsidRPr="0059433B" w14:paraId="32D6F831" w14:textId="77777777" w:rsidTr="00042B2E">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44F2" w14:textId="77777777" w:rsidR="00230CBC" w:rsidRPr="0059433B" w:rsidRDefault="00230CBC" w:rsidP="00C5774C">
            <w:pPr>
              <w:keepNext/>
              <w:rPr>
                <w:rFonts w:ascii="Arial Narrow" w:hAnsi="Arial Narrow"/>
                <w:sz w:val="20"/>
                <w:szCs w:val="20"/>
                <w:lang w:val="en-AU"/>
              </w:rPr>
            </w:pPr>
            <w:r w:rsidRPr="0059433B">
              <w:rPr>
                <w:rFonts w:ascii="Arial Narrow" w:hAnsi="Arial Narrow"/>
                <w:b/>
                <w:sz w:val="20"/>
                <w:szCs w:val="20"/>
                <w:lang w:val="en-AU"/>
              </w:rPr>
              <w:t>Clinical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B103" w14:textId="77777777" w:rsidR="00230CBC" w:rsidRPr="0059433B" w:rsidRDefault="00230CBC" w:rsidP="00230CBC">
            <w:pPr>
              <w:pStyle w:val="ListParagraph"/>
              <w:keepNext/>
              <w:numPr>
                <w:ilvl w:val="0"/>
                <w:numId w:val="7"/>
              </w:numPr>
              <w:spacing w:after="60"/>
              <w:contextualSpacing/>
              <w:rPr>
                <w:rFonts w:ascii="Arial Narrow" w:hAnsi="Arial Narrow"/>
                <w:sz w:val="20"/>
                <w:szCs w:val="20"/>
                <w:lang w:val="en-AU"/>
              </w:rPr>
            </w:pPr>
            <w:r w:rsidRPr="0059433B">
              <w:rPr>
                <w:rFonts w:ascii="Arial Narrow" w:hAnsi="Arial Narrow"/>
                <w:sz w:val="20"/>
                <w:szCs w:val="20"/>
                <w:lang w:val="en-AU"/>
              </w:rPr>
              <w:t xml:space="preserve">The condition must be </w:t>
            </w:r>
            <w:r w:rsidRPr="0059433B">
              <w:rPr>
                <w:rFonts w:ascii="Arial Narrow" w:hAnsi="Arial Narrow"/>
                <w:i/>
                <w:iCs/>
                <w:sz w:val="20"/>
                <w:szCs w:val="20"/>
                <w:lang w:val="en-AU"/>
              </w:rPr>
              <w:t>hereditary transthyretin</w:t>
            </w:r>
            <w:r w:rsidRPr="0059433B">
              <w:rPr>
                <w:rFonts w:ascii="Arial Narrow" w:hAnsi="Arial Narrow"/>
                <w:sz w:val="20"/>
                <w:szCs w:val="20"/>
                <w:lang w:val="en-AU"/>
              </w:rPr>
              <w:t xml:space="preserve"> </w:t>
            </w:r>
            <w:r w:rsidRPr="0059433B">
              <w:rPr>
                <w:rFonts w:ascii="Arial Narrow" w:hAnsi="Arial Narrow"/>
                <w:strike/>
                <w:sz w:val="20"/>
                <w:szCs w:val="20"/>
                <w:lang w:val="en-AU"/>
              </w:rPr>
              <w:t xml:space="preserve">hATTR </w:t>
            </w:r>
            <w:r w:rsidRPr="0059433B">
              <w:rPr>
                <w:rFonts w:ascii="Arial Narrow" w:hAnsi="Arial Narrow"/>
                <w:sz w:val="20"/>
                <w:szCs w:val="20"/>
                <w:lang w:val="en-AU"/>
              </w:rPr>
              <w:t>amyloidosis confirmed by genetic testing; and</w:t>
            </w:r>
          </w:p>
          <w:p w14:paraId="78C1834C" w14:textId="77777777" w:rsidR="00230CBC" w:rsidRPr="0059433B" w:rsidRDefault="00230CBC" w:rsidP="00230CBC">
            <w:pPr>
              <w:pStyle w:val="ListParagraph"/>
              <w:keepNext/>
              <w:numPr>
                <w:ilvl w:val="0"/>
                <w:numId w:val="7"/>
              </w:numPr>
              <w:spacing w:after="60"/>
              <w:contextualSpacing/>
              <w:rPr>
                <w:rFonts w:ascii="Arial Narrow" w:hAnsi="Arial Narrow"/>
                <w:sz w:val="20"/>
                <w:szCs w:val="20"/>
                <w:lang w:val="en-AU"/>
              </w:rPr>
            </w:pPr>
            <w:r w:rsidRPr="0059433B">
              <w:rPr>
                <w:rFonts w:ascii="Arial Narrow" w:hAnsi="Arial Narrow"/>
                <w:sz w:val="20"/>
                <w:szCs w:val="20"/>
                <w:lang w:val="en-AU"/>
              </w:rPr>
              <w:t>The patient must have a PND score description of I, II, IIIA, or IIIB or the patient must have an FAP stage description of 1 or 2.</w:t>
            </w:r>
          </w:p>
        </w:tc>
      </w:tr>
      <w:tr w:rsidR="00230CBC" w:rsidRPr="0059433B" w14:paraId="24AF5DBB" w14:textId="77777777" w:rsidTr="00042B2E">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3F4C" w14:textId="77777777" w:rsidR="00230CBC" w:rsidRPr="0059433B" w:rsidRDefault="00230CBC" w:rsidP="00042B2E">
            <w:pPr>
              <w:rPr>
                <w:rFonts w:ascii="Arial Narrow" w:hAnsi="Arial Narrow"/>
                <w:b/>
                <w:i/>
                <w:iCs/>
                <w:sz w:val="20"/>
                <w:szCs w:val="20"/>
                <w:lang w:val="en-AU"/>
              </w:rPr>
            </w:pPr>
            <w:r w:rsidRPr="0059433B">
              <w:rPr>
                <w:rFonts w:ascii="Arial Narrow" w:hAnsi="Arial Narrow"/>
                <w:b/>
                <w:i/>
                <w:iCs/>
                <w:sz w:val="20"/>
                <w:szCs w:val="20"/>
                <w:lang w:val="en-AU"/>
              </w:rPr>
              <w:t>Prescriber Instruction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DE43C" w14:textId="53E9A4BC" w:rsidR="00230CBC" w:rsidRPr="0059433B" w:rsidRDefault="00230CBC" w:rsidP="00042B2E">
            <w:pPr>
              <w:pStyle w:val="COMtablefigcaption"/>
              <w:keepNext w:val="0"/>
              <w:rPr>
                <w:i/>
                <w:iCs/>
                <w:szCs w:val="20"/>
                <w:lang w:val="en-AU"/>
              </w:rPr>
            </w:pPr>
            <w:r w:rsidRPr="0059433B">
              <w:rPr>
                <w:i/>
                <w:iCs/>
                <w:szCs w:val="20"/>
                <w:lang w:val="en-AU"/>
              </w:rPr>
              <w:t xml:space="preserve">Clinical staging scales relevant to clinical criteria </w:t>
            </w:r>
            <w:r w:rsidR="00850577" w:rsidRPr="0059433B">
              <w:rPr>
                <w:rStyle w:val="FootnoteReference"/>
                <w:i/>
                <w:iCs/>
                <w:szCs w:val="20"/>
                <w:lang w:val="en-AU"/>
              </w:rPr>
              <w:footnoteReference w:id="1"/>
            </w:r>
          </w:p>
          <w:tbl>
            <w:tblPr>
              <w:tblStyle w:val="Submissionstandard"/>
              <w:tblW w:w="0" w:type="auto"/>
              <w:tblLook w:val="04A0" w:firstRow="1" w:lastRow="0" w:firstColumn="1" w:lastColumn="0" w:noHBand="0" w:noVBand="1"/>
            </w:tblPr>
            <w:tblGrid>
              <w:gridCol w:w="818"/>
              <w:gridCol w:w="1480"/>
              <w:gridCol w:w="992"/>
              <w:gridCol w:w="3712"/>
            </w:tblGrid>
            <w:tr w:rsidR="006A29AA" w:rsidRPr="0059433B" w14:paraId="60D4BB43" w14:textId="77777777" w:rsidTr="006A29AA">
              <w:trPr>
                <w:cnfStyle w:val="100000000000" w:firstRow="1" w:lastRow="0" w:firstColumn="0" w:lastColumn="0" w:oddVBand="0" w:evenVBand="0" w:oddHBand="0" w:evenHBand="0" w:firstRowFirstColumn="0" w:firstRowLastColumn="0" w:lastRowFirstColumn="0" w:lastRowLastColumn="0"/>
              </w:trPr>
              <w:tc>
                <w:tcPr>
                  <w:tcW w:w="22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7506D5" w14:textId="77777777" w:rsidR="009776B5" w:rsidRPr="0059433B" w:rsidRDefault="009776B5" w:rsidP="00042B2E">
                  <w:pPr>
                    <w:pStyle w:val="COMTableheadingrow"/>
                    <w:keepNext w:val="0"/>
                    <w:rPr>
                      <w:b/>
                      <w:bCs/>
                      <w:i/>
                      <w:iCs/>
                      <w:szCs w:val="20"/>
                      <w:lang w:val="en-AU"/>
                    </w:rPr>
                  </w:pPr>
                  <w:r w:rsidRPr="0059433B">
                    <w:rPr>
                      <w:b/>
                      <w:bCs/>
                      <w:i/>
                      <w:iCs/>
                      <w:szCs w:val="20"/>
                      <w:lang w:val="en-AU"/>
                    </w:rPr>
                    <w:t>Familial Amyloid Polyneuropathy (FAP) stage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9406C7" w14:textId="77777777" w:rsidR="009776B5" w:rsidRPr="0059433B" w:rsidRDefault="009776B5" w:rsidP="00042B2E">
                  <w:pPr>
                    <w:pStyle w:val="COMTableheadingrow"/>
                    <w:keepNext w:val="0"/>
                    <w:rPr>
                      <w:b/>
                      <w:bCs/>
                      <w:i/>
                      <w:iCs/>
                      <w:szCs w:val="20"/>
                      <w:lang w:val="en-AU"/>
                    </w:rPr>
                  </w:pPr>
                  <w:r w:rsidRPr="0059433B">
                    <w:rPr>
                      <w:b/>
                      <w:bCs/>
                      <w:i/>
                      <w:iCs/>
                      <w:szCs w:val="20"/>
                      <w:lang w:val="en-AU"/>
                    </w:rPr>
                    <w:t>Polyneuropathy Disability (PND) Score</w:t>
                  </w:r>
                </w:p>
              </w:tc>
            </w:tr>
            <w:tr w:rsidR="00042B2E" w:rsidRPr="0059433B" w14:paraId="33233107" w14:textId="77777777" w:rsidTr="006A29AA">
              <w:tc>
                <w:tcPr>
                  <w:tcW w:w="818" w:type="dxa"/>
                  <w:tcBorders>
                    <w:top w:val="single" w:sz="4" w:space="0" w:color="auto"/>
                    <w:left w:val="single" w:sz="4" w:space="0" w:color="auto"/>
                    <w:bottom w:val="single" w:sz="4" w:space="0" w:color="auto"/>
                    <w:right w:val="single" w:sz="4" w:space="0" w:color="auto"/>
                  </w:tcBorders>
                </w:tcPr>
                <w:p w14:paraId="5C20D14E" w14:textId="77777777" w:rsidR="009776B5" w:rsidRPr="0059433B" w:rsidRDefault="009776B5" w:rsidP="00042B2E">
                  <w:pPr>
                    <w:pStyle w:val="COMTabletext"/>
                    <w:keepNext w:val="0"/>
                    <w:rPr>
                      <w:i/>
                      <w:iCs/>
                      <w:szCs w:val="20"/>
                      <w:lang w:val="en-AU"/>
                    </w:rPr>
                  </w:pPr>
                  <w:r w:rsidRPr="0059433B">
                    <w:rPr>
                      <w:i/>
                      <w:iCs/>
                      <w:szCs w:val="20"/>
                      <w:lang w:val="en-AU"/>
                    </w:rPr>
                    <w:t>Stage 0</w:t>
                  </w:r>
                </w:p>
              </w:tc>
              <w:tc>
                <w:tcPr>
                  <w:tcW w:w="1480" w:type="dxa"/>
                  <w:tcBorders>
                    <w:top w:val="single" w:sz="4" w:space="0" w:color="auto"/>
                    <w:left w:val="single" w:sz="4" w:space="0" w:color="auto"/>
                    <w:bottom w:val="single" w:sz="4" w:space="0" w:color="auto"/>
                    <w:right w:val="single" w:sz="4" w:space="0" w:color="auto"/>
                  </w:tcBorders>
                </w:tcPr>
                <w:p w14:paraId="720A809D" w14:textId="77777777" w:rsidR="009776B5" w:rsidRPr="0059433B" w:rsidRDefault="009776B5" w:rsidP="00042B2E">
                  <w:pPr>
                    <w:pStyle w:val="COMTabletext"/>
                    <w:keepNext w:val="0"/>
                    <w:rPr>
                      <w:i/>
                      <w:iCs/>
                      <w:szCs w:val="20"/>
                      <w:lang w:val="en-AU"/>
                    </w:rPr>
                  </w:pPr>
                  <w:r w:rsidRPr="0059433B">
                    <w:rPr>
                      <w:i/>
                      <w:iCs/>
                      <w:szCs w:val="20"/>
                      <w:lang w:val="en-AU"/>
                    </w:rPr>
                    <w:t>No symptoms</w:t>
                  </w:r>
                </w:p>
              </w:tc>
              <w:tc>
                <w:tcPr>
                  <w:tcW w:w="992" w:type="dxa"/>
                  <w:tcBorders>
                    <w:top w:val="single" w:sz="4" w:space="0" w:color="auto"/>
                    <w:left w:val="single" w:sz="4" w:space="0" w:color="auto"/>
                    <w:bottom w:val="single" w:sz="4" w:space="0" w:color="auto"/>
                    <w:right w:val="single" w:sz="4" w:space="0" w:color="auto"/>
                  </w:tcBorders>
                  <w:vAlign w:val="center"/>
                </w:tcPr>
                <w:p w14:paraId="17F4FABA" w14:textId="77777777" w:rsidR="009776B5" w:rsidRPr="0059433B" w:rsidRDefault="009776B5" w:rsidP="00042B2E">
                  <w:pPr>
                    <w:pStyle w:val="COMTabletext"/>
                    <w:keepNext w:val="0"/>
                    <w:rPr>
                      <w:i/>
                      <w:iCs/>
                      <w:szCs w:val="20"/>
                      <w:lang w:val="en-AU"/>
                    </w:rPr>
                  </w:pPr>
                  <w:r w:rsidRPr="0059433B">
                    <w:rPr>
                      <w:i/>
                      <w:iCs/>
                      <w:szCs w:val="20"/>
                      <w:lang w:val="en-AU"/>
                    </w:rPr>
                    <w:t>Stage 0</w:t>
                  </w:r>
                </w:p>
              </w:tc>
              <w:tc>
                <w:tcPr>
                  <w:tcW w:w="3712" w:type="dxa"/>
                  <w:tcBorders>
                    <w:top w:val="single" w:sz="4" w:space="0" w:color="auto"/>
                    <w:left w:val="single" w:sz="4" w:space="0" w:color="auto"/>
                    <w:bottom w:val="single" w:sz="4" w:space="0" w:color="auto"/>
                    <w:right w:val="single" w:sz="4" w:space="0" w:color="auto"/>
                  </w:tcBorders>
                </w:tcPr>
                <w:p w14:paraId="2C43766E" w14:textId="77777777" w:rsidR="009776B5" w:rsidRPr="0059433B" w:rsidRDefault="009776B5" w:rsidP="00042B2E">
                  <w:pPr>
                    <w:pStyle w:val="COMTabletext"/>
                    <w:keepNext w:val="0"/>
                    <w:rPr>
                      <w:i/>
                      <w:iCs/>
                      <w:szCs w:val="20"/>
                      <w:lang w:val="en-AU"/>
                    </w:rPr>
                  </w:pPr>
                  <w:r w:rsidRPr="0059433B">
                    <w:rPr>
                      <w:i/>
                      <w:iCs/>
                      <w:szCs w:val="20"/>
                      <w:lang w:val="en-AU"/>
                    </w:rPr>
                    <w:t>No symptoms</w:t>
                  </w:r>
                </w:p>
              </w:tc>
            </w:tr>
            <w:tr w:rsidR="00042B2E" w:rsidRPr="0059433B" w14:paraId="5A8BCA40" w14:textId="77777777" w:rsidTr="006A29AA">
              <w:tc>
                <w:tcPr>
                  <w:tcW w:w="818" w:type="dxa"/>
                  <w:tcBorders>
                    <w:top w:val="single" w:sz="4" w:space="0" w:color="auto"/>
                    <w:left w:val="single" w:sz="4" w:space="0" w:color="auto"/>
                    <w:bottom w:val="single" w:sz="4" w:space="0" w:color="auto"/>
                    <w:right w:val="single" w:sz="4" w:space="0" w:color="auto"/>
                  </w:tcBorders>
                </w:tcPr>
                <w:p w14:paraId="681CB5ED" w14:textId="77777777" w:rsidR="009776B5" w:rsidRPr="0059433B" w:rsidRDefault="009776B5" w:rsidP="00042B2E">
                  <w:pPr>
                    <w:pStyle w:val="COMTabletext"/>
                    <w:keepNext w:val="0"/>
                    <w:rPr>
                      <w:i/>
                      <w:iCs/>
                      <w:szCs w:val="20"/>
                      <w:lang w:val="en-AU"/>
                    </w:rPr>
                  </w:pPr>
                  <w:r w:rsidRPr="0059433B">
                    <w:rPr>
                      <w:i/>
                      <w:iCs/>
                      <w:szCs w:val="20"/>
                      <w:lang w:val="en-AU"/>
                    </w:rPr>
                    <w:t>Stage 1</w:t>
                  </w:r>
                </w:p>
              </w:tc>
              <w:tc>
                <w:tcPr>
                  <w:tcW w:w="1480" w:type="dxa"/>
                  <w:tcBorders>
                    <w:top w:val="single" w:sz="4" w:space="0" w:color="auto"/>
                    <w:left w:val="single" w:sz="4" w:space="0" w:color="auto"/>
                    <w:bottom w:val="single" w:sz="4" w:space="0" w:color="auto"/>
                    <w:right w:val="single" w:sz="4" w:space="0" w:color="auto"/>
                  </w:tcBorders>
                </w:tcPr>
                <w:p w14:paraId="307C43E1" w14:textId="77777777" w:rsidR="009776B5" w:rsidRPr="0059433B" w:rsidRDefault="009776B5" w:rsidP="00042B2E">
                  <w:pPr>
                    <w:pStyle w:val="COMTabletext"/>
                    <w:keepNext w:val="0"/>
                    <w:rPr>
                      <w:i/>
                      <w:iCs/>
                      <w:szCs w:val="20"/>
                      <w:lang w:val="en-AU"/>
                    </w:rPr>
                  </w:pPr>
                  <w:r w:rsidRPr="0059433B">
                    <w:rPr>
                      <w:i/>
                      <w:iCs/>
                      <w:szCs w:val="20"/>
                      <w:lang w:val="en-AU"/>
                    </w:rPr>
                    <w:t>Unimpaired ambulation</w:t>
                  </w:r>
                </w:p>
              </w:tc>
              <w:tc>
                <w:tcPr>
                  <w:tcW w:w="992" w:type="dxa"/>
                  <w:tcBorders>
                    <w:top w:val="single" w:sz="4" w:space="0" w:color="auto"/>
                    <w:left w:val="single" w:sz="4" w:space="0" w:color="auto"/>
                    <w:bottom w:val="single" w:sz="4" w:space="0" w:color="auto"/>
                    <w:right w:val="single" w:sz="4" w:space="0" w:color="auto"/>
                  </w:tcBorders>
                  <w:vAlign w:val="center"/>
                </w:tcPr>
                <w:p w14:paraId="2A44CF1A" w14:textId="77777777" w:rsidR="009776B5" w:rsidRPr="0059433B" w:rsidRDefault="009776B5" w:rsidP="00042B2E">
                  <w:pPr>
                    <w:pStyle w:val="COMTabletext"/>
                    <w:keepNext w:val="0"/>
                    <w:rPr>
                      <w:i/>
                      <w:iCs/>
                      <w:szCs w:val="20"/>
                      <w:lang w:val="en-AU"/>
                    </w:rPr>
                  </w:pPr>
                  <w:r w:rsidRPr="0059433B">
                    <w:rPr>
                      <w:i/>
                      <w:iCs/>
                      <w:szCs w:val="20"/>
                      <w:lang w:val="en-AU"/>
                    </w:rPr>
                    <w:t>Stage I</w:t>
                  </w:r>
                </w:p>
              </w:tc>
              <w:tc>
                <w:tcPr>
                  <w:tcW w:w="3712" w:type="dxa"/>
                  <w:tcBorders>
                    <w:top w:val="single" w:sz="4" w:space="0" w:color="auto"/>
                    <w:left w:val="single" w:sz="4" w:space="0" w:color="auto"/>
                    <w:bottom w:val="single" w:sz="4" w:space="0" w:color="auto"/>
                    <w:right w:val="single" w:sz="4" w:space="0" w:color="auto"/>
                  </w:tcBorders>
                </w:tcPr>
                <w:p w14:paraId="2CC9F369" w14:textId="77777777" w:rsidR="009776B5" w:rsidRPr="0059433B" w:rsidRDefault="009776B5" w:rsidP="00042B2E">
                  <w:pPr>
                    <w:pStyle w:val="COMTabletext"/>
                    <w:keepNext w:val="0"/>
                    <w:rPr>
                      <w:i/>
                      <w:iCs/>
                      <w:szCs w:val="20"/>
                      <w:lang w:val="en-AU"/>
                    </w:rPr>
                  </w:pPr>
                  <w:r w:rsidRPr="0059433B">
                    <w:rPr>
                      <w:i/>
                      <w:iCs/>
                      <w:szCs w:val="20"/>
                      <w:lang w:val="en-AU"/>
                    </w:rPr>
                    <w:t>Sensory disturbances but preserved walking capability</w:t>
                  </w:r>
                </w:p>
              </w:tc>
            </w:tr>
            <w:tr w:rsidR="00042B2E" w:rsidRPr="0059433B" w14:paraId="628B43B1" w14:textId="77777777" w:rsidTr="006A29AA">
              <w:tc>
                <w:tcPr>
                  <w:tcW w:w="818" w:type="dxa"/>
                  <w:vMerge w:val="restart"/>
                  <w:tcBorders>
                    <w:top w:val="single" w:sz="4" w:space="0" w:color="auto"/>
                    <w:left w:val="single" w:sz="4" w:space="0" w:color="auto"/>
                    <w:right w:val="single" w:sz="4" w:space="0" w:color="auto"/>
                  </w:tcBorders>
                  <w:vAlign w:val="center"/>
                </w:tcPr>
                <w:p w14:paraId="3FDAE18D" w14:textId="77777777" w:rsidR="009776B5" w:rsidRPr="0059433B" w:rsidRDefault="009776B5" w:rsidP="00042B2E">
                  <w:pPr>
                    <w:pStyle w:val="COMTabletext"/>
                    <w:keepNext w:val="0"/>
                    <w:rPr>
                      <w:i/>
                      <w:iCs/>
                      <w:szCs w:val="20"/>
                      <w:lang w:val="en-AU"/>
                    </w:rPr>
                  </w:pPr>
                  <w:r w:rsidRPr="0059433B">
                    <w:rPr>
                      <w:i/>
                      <w:iCs/>
                      <w:szCs w:val="20"/>
                      <w:lang w:val="en-AU"/>
                    </w:rPr>
                    <w:t>Stage 2</w:t>
                  </w:r>
                </w:p>
              </w:tc>
              <w:tc>
                <w:tcPr>
                  <w:tcW w:w="1480" w:type="dxa"/>
                  <w:vMerge w:val="restart"/>
                  <w:tcBorders>
                    <w:top w:val="single" w:sz="4" w:space="0" w:color="auto"/>
                    <w:left w:val="single" w:sz="4" w:space="0" w:color="auto"/>
                    <w:right w:val="single" w:sz="4" w:space="0" w:color="auto"/>
                  </w:tcBorders>
                  <w:vAlign w:val="center"/>
                </w:tcPr>
                <w:p w14:paraId="4B0BB211" w14:textId="77777777" w:rsidR="009776B5" w:rsidRPr="0059433B" w:rsidRDefault="009776B5" w:rsidP="00042B2E">
                  <w:pPr>
                    <w:pStyle w:val="COMTabletext"/>
                    <w:keepNext w:val="0"/>
                    <w:rPr>
                      <w:i/>
                      <w:iCs/>
                      <w:szCs w:val="20"/>
                      <w:lang w:val="en-AU"/>
                    </w:rPr>
                  </w:pPr>
                  <w:r w:rsidRPr="0059433B">
                    <w:rPr>
                      <w:i/>
                      <w:iCs/>
                      <w:szCs w:val="20"/>
                      <w:lang w:val="en-AU"/>
                    </w:rPr>
                    <w:t>Assistance with ambulation required</w:t>
                  </w:r>
                </w:p>
              </w:tc>
              <w:tc>
                <w:tcPr>
                  <w:tcW w:w="992" w:type="dxa"/>
                  <w:tcBorders>
                    <w:top w:val="single" w:sz="4" w:space="0" w:color="auto"/>
                    <w:left w:val="single" w:sz="4" w:space="0" w:color="auto"/>
                    <w:bottom w:val="single" w:sz="4" w:space="0" w:color="auto"/>
                    <w:right w:val="single" w:sz="4" w:space="0" w:color="auto"/>
                  </w:tcBorders>
                  <w:vAlign w:val="center"/>
                </w:tcPr>
                <w:p w14:paraId="1ABB19D5" w14:textId="77777777" w:rsidR="009776B5" w:rsidRPr="0059433B" w:rsidRDefault="009776B5" w:rsidP="00042B2E">
                  <w:pPr>
                    <w:pStyle w:val="COMTabletext"/>
                    <w:keepNext w:val="0"/>
                    <w:rPr>
                      <w:i/>
                      <w:iCs/>
                      <w:szCs w:val="20"/>
                      <w:lang w:val="en-AU"/>
                    </w:rPr>
                  </w:pPr>
                  <w:r w:rsidRPr="0059433B">
                    <w:rPr>
                      <w:i/>
                      <w:iCs/>
                      <w:szCs w:val="20"/>
                      <w:lang w:val="en-AU"/>
                    </w:rPr>
                    <w:t>Stage II</w:t>
                  </w:r>
                </w:p>
              </w:tc>
              <w:tc>
                <w:tcPr>
                  <w:tcW w:w="3712" w:type="dxa"/>
                  <w:tcBorders>
                    <w:top w:val="single" w:sz="4" w:space="0" w:color="auto"/>
                    <w:left w:val="single" w:sz="4" w:space="0" w:color="auto"/>
                    <w:bottom w:val="single" w:sz="4" w:space="0" w:color="auto"/>
                    <w:right w:val="single" w:sz="4" w:space="0" w:color="auto"/>
                  </w:tcBorders>
                </w:tcPr>
                <w:p w14:paraId="16DACA30" w14:textId="77777777" w:rsidR="009776B5" w:rsidRPr="0059433B" w:rsidRDefault="009776B5" w:rsidP="00042B2E">
                  <w:pPr>
                    <w:pStyle w:val="COMTabletext"/>
                    <w:keepNext w:val="0"/>
                    <w:rPr>
                      <w:i/>
                      <w:iCs/>
                      <w:szCs w:val="20"/>
                      <w:lang w:val="en-AU"/>
                    </w:rPr>
                  </w:pPr>
                  <w:r w:rsidRPr="0059433B">
                    <w:rPr>
                      <w:i/>
                      <w:iCs/>
                      <w:szCs w:val="20"/>
                      <w:lang w:val="en-AU"/>
                    </w:rPr>
                    <w:t>Impaired walking capacity but able to walk without stick or crutches</w:t>
                  </w:r>
                </w:p>
              </w:tc>
            </w:tr>
            <w:tr w:rsidR="00042B2E" w:rsidRPr="0059433B" w14:paraId="5442169B" w14:textId="77777777" w:rsidTr="006A29AA">
              <w:tc>
                <w:tcPr>
                  <w:tcW w:w="818" w:type="dxa"/>
                  <w:vMerge/>
                  <w:tcBorders>
                    <w:left w:val="single" w:sz="4" w:space="0" w:color="auto"/>
                    <w:right w:val="single" w:sz="4" w:space="0" w:color="auto"/>
                  </w:tcBorders>
                </w:tcPr>
                <w:p w14:paraId="13B0B63E" w14:textId="77777777" w:rsidR="009776B5" w:rsidRPr="0059433B" w:rsidRDefault="009776B5" w:rsidP="00042B2E">
                  <w:pPr>
                    <w:pStyle w:val="COMTabletext"/>
                    <w:keepNext w:val="0"/>
                    <w:rPr>
                      <w:i/>
                      <w:iCs/>
                      <w:szCs w:val="20"/>
                      <w:lang w:val="en-AU"/>
                    </w:rPr>
                  </w:pPr>
                </w:p>
              </w:tc>
              <w:tc>
                <w:tcPr>
                  <w:tcW w:w="1480" w:type="dxa"/>
                  <w:vMerge/>
                  <w:tcBorders>
                    <w:left w:val="single" w:sz="4" w:space="0" w:color="auto"/>
                    <w:right w:val="single" w:sz="4" w:space="0" w:color="auto"/>
                  </w:tcBorders>
                </w:tcPr>
                <w:p w14:paraId="7D4C334C" w14:textId="77777777" w:rsidR="009776B5" w:rsidRPr="0059433B" w:rsidRDefault="009776B5" w:rsidP="00042B2E">
                  <w:pPr>
                    <w:pStyle w:val="COMTabletext"/>
                    <w:keepNext w:val="0"/>
                    <w:rPr>
                      <w:i/>
                      <w:iCs/>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6F58F573" w14:textId="77777777" w:rsidR="009776B5" w:rsidRPr="0059433B" w:rsidRDefault="009776B5" w:rsidP="00042B2E">
                  <w:pPr>
                    <w:pStyle w:val="COMTabletext"/>
                    <w:keepNext w:val="0"/>
                    <w:rPr>
                      <w:i/>
                      <w:iCs/>
                      <w:szCs w:val="20"/>
                      <w:lang w:val="en-AU"/>
                    </w:rPr>
                  </w:pPr>
                  <w:r w:rsidRPr="0059433B">
                    <w:rPr>
                      <w:i/>
                      <w:iCs/>
                      <w:szCs w:val="20"/>
                      <w:lang w:val="en-AU"/>
                    </w:rPr>
                    <w:t>Stage IIIA</w:t>
                  </w:r>
                </w:p>
              </w:tc>
              <w:tc>
                <w:tcPr>
                  <w:tcW w:w="3712" w:type="dxa"/>
                  <w:tcBorders>
                    <w:top w:val="single" w:sz="4" w:space="0" w:color="auto"/>
                    <w:left w:val="single" w:sz="4" w:space="0" w:color="auto"/>
                    <w:bottom w:val="single" w:sz="4" w:space="0" w:color="auto"/>
                    <w:right w:val="single" w:sz="4" w:space="0" w:color="auto"/>
                  </w:tcBorders>
                </w:tcPr>
                <w:p w14:paraId="42CD2CF2" w14:textId="77777777" w:rsidR="009776B5" w:rsidRPr="0059433B" w:rsidRDefault="009776B5" w:rsidP="00042B2E">
                  <w:pPr>
                    <w:pStyle w:val="COMTabletext"/>
                    <w:keepNext w:val="0"/>
                    <w:rPr>
                      <w:i/>
                      <w:iCs/>
                      <w:szCs w:val="20"/>
                      <w:lang w:val="en-AU"/>
                    </w:rPr>
                  </w:pPr>
                  <w:r w:rsidRPr="0059433B">
                    <w:rPr>
                      <w:i/>
                      <w:iCs/>
                      <w:szCs w:val="20"/>
                      <w:lang w:val="en-AU"/>
                    </w:rPr>
                    <w:t>Walking with help of one stick or crutch</w:t>
                  </w:r>
                </w:p>
              </w:tc>
            </w:tr>
            <w:tr w:rsidR="00042B2E" w:rsidRPr="0059433B" w14:paraId="0ADE8E9D" w14:textId="77777777" w:rsidTr="006A29AA">
              <w:tc>
                <w:tcPr>
                  <w:tcW w:w="818" w:type="dxa"/>
                  <w:vMerge/>
                  <w:tcBorders>
                    <w:left w:val="single" w:sz="4" w:space="0" w:color="auto"/>
                    <w:bottom w:val="single" w:sz="4" w:space="0" w:color="auto"/>
                    <w:right w:val="single" w:sz="4" w:space="0" w:color="auto"/>
                  </w:tcBorders>
                </w:tcPr>
                <w:p w14:paraId="066A1838" w14:textId="77777777" w:rsidR="009776B5" w:rsidRPr="0059433B" w:rsidRDefault="009776B5" w:rsidP="00042B2E">
                  <w:pPr>
                    <w:pStyle w:val="COMTabletext"/>
                    <w:keepNext w:val="0"/>
                    <w:rPr>
                      <w:i/>
                      <w:iCs/>
                      <w:szCs w:val="20"/>
                      <w:lang w:val="en-AU"/>
                    </w:rPr>
                  </w:pPr>
                </w:p>
              </w:tc>
              <w:tc>
                <w:tcPr>
                  <w:tcW w:w="1480" w:type="dxa"/>
                  <w:vMerge/>
                  <w:tcBorders>
                    <w:left w:val="single" w:sz="4" w:space="0" w:color="auto"/>
                    <w:bottom w:val="single" w:sz="4" w:space="0" w:color="auto"/>
                    <w:right w:val="single" w:sz="4" w:space="0" w:color="auto"/>
                  </w:tcBorders>
                </w:tcPr>
                <w:p w14:paraId="2F2FE301" w14:textId="77777777" w:rsidR="009776B5" w:rsidRPr="0059433B" w:rsidRDefault="009776B5" w:rsidP="00042B2E">
                  <w:pPr>
                    <w:pStyle w:val="COMTabletext"/>
                    <w:keepNext w:val="0"/>
                    <w:rPr>
                      <w:i/>
                      <w:iCs/>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5B245BDA" w14:textId="77777777" w:rsidR="009776B5" w:rsidRPr="0059433B" w:rsidRDefault="009776B5" w:rsidP="00042B2E">
                  <w:pPr>
                    <w:pStyle w:val="COMTabletext"/>
                    <w:keepNext w:val="0"/>
                    <w:rPr>
                      <w:i/>
                      <w:iCs/>
                      <w:szCs w:val="20"/>
                      <w:lang w:val="en-AU"/>
                    </w:rPr>
                  </w:pPr>
                  <w:r w:rsidRPr="0059433B">
                    <w:rPr>
                      <w:i/>
                      <w:iCs/>
                      <w:szCs w:val="20"/>
                      <w:lang w:val="en-AU"/>
                    </w:rPr>
                    <w:t>Stage IIIB</w:t>
                  </w:r>
                </w:p>
              </w:tc>
              <w:tc>
                <w:tcPr>
                  <w:tcW w:w="3712" w:type="dxa"/>
                  <w:tcBorders>
                    <w:top w:val="single" w:sz="4" w:space="0" w:color="auto"/>
                    <w:left w:val="single" w:sz="4" w:space="0" w:color="auto"/>
                    <w:bottom w:val="single" w:sz="4" w:space="0" w:color="auto"/>
                    <w:right w:val="single" w:sz="4" w:space="0" w:color="auto"/>
                  </w:tcBorders>
                </w:tcPr>
                <w:p w14:paraId="1CE4A6C5" w14:textId="77777777" w:rsidR="009776B5" w:rsidRPr="0059433B" w:rsidRDefault="009776B5" w:rsidP="00042B2E">
                  <w:pPr>
                    <w:pStyle w:val="COMTabletext"/>
                    <w:keepNext w:val="0"/>
                    <w:rPr>
                      <w:i/>
                      <w:iCs/>
                      <w:szCs w:val="20"/>
                      <w:lang w:val="en-AU"/>
                    </w:rPr>
                  </w:pPr>
                  <w:r w:rsidRPr="0059433B">
                    <w:rPr>
                      <w:i/>
                      <w:iCs/>
                      <w:szCs w:val="20"/>
                      <w:lang w:val="en-AU"/>
                    </w:rPr>
                    <w:t>Walking with help of two sticks or crutches</w:t>
                  </w:r>
                </w:p>
              </w:tc>
            </w:tr>
            <w:tr w:rsidR="00042B2E" w:rsidRPr="0059433B" w14:paraId="7D5D73BC" w14:textId="77777777" w:rsidTr="006A29AA">
              <w:trPr>
                <w:trHeight w:val="70"/>
              </w:trPr>
              <w:tc>
                <w:tcPr>
                  <w:tcW w:w="818" w:type="dxa"/>
                  <w:tcBorders>
                    <w:top w:val="single" w:sz="4" w:space="0" w:color="auto"/>
                    <w:left w:val="single" w:sz="4" w:space="0" w:color="auto"/>
                    <w:bottom w:val="single" w:sz="4" w:space="0" w:color="auto"/>
                    <w:right w:val="single" w:sz="4" w:space="0" w:color="auto"/>
                  </w:tcBorders>
                </w:tcPr>
                <w:p w14:paraId="1711D59C" w14:textId="77777777" w:rsidR="009776B5" w:rsidRPr="0059433B" w:rsidRDefault="009776B5" w:rsidP="00042B2E">
                  <w:pPr>
                    <w:pStyle w:val="COMTabletext"/>
                    <w:keepNext w:val="0"/>
                    <w:rPr>
                      <w:i/>
                      <w:iCs/>
                      <w:szCs w:val="20"/>
                      <w:lang w:val="en-AU"/>
                    </w:rPr>
                  </w:pPr>
                  <w:r w:rsidRPr="0059433B">
                    <w:rPr>
                      <w:i/>
                      <w:iCs/>
                      <w:szCs w:val="20"/>
                      <w:lang w:val="en-AU"/>
                    </w:rPr>
                    <w:t>Stage 3</w:t>
                  </w:r>
                </w:p>
              </w:tc>
              <w:tc>
                <w:tcPr>
                  <w:tcW w:w="1480" w:type="dxa"/>
                  <w:tcBorders>
                    <w:top w:val="single" w:sz="4" w:space="0" w:color="auto"/>
                    <w:left w:val="single" w:sz="4" w:space="0" w:color="auto"/>
                    <w:bottom w:val="single" w:sz="4" w:space="0" w:color="auto"/>
                    <w:right w:val="single" w:sz="4" w:space="0" w:color="auto"/>
                  </w:tcBorders>
                </w:tcPr>
                <w:p w14:paraId="223C7A78" w14:textId="77777777" w:rsidR="009776B5" w:rsidRPr="0059433B" w:rsidRDefault="009776B5" w:rsidP="00042B2E">
                  <w:pPr>
                    <w:pStyle w:val="COMTabletext"/>
                    <w:keepNext w:val="0"/>
                    <w:rPr>
                      <w:i/>
                      <w:iCs/>
                      <w:szCs w:val="20"/>
                      <w:lang w:val="en-AU"/>
                    </w:rPr>
                  </w:pPr>
                  <w:r w:rsidRPr="0059433B">
                    <w:rPr>
                      <w:i/>
                      <w:iCs/>
                      <w:szCs w:val="20"/>
                      <w:lang w:val="en-AU"/>
                    </w:rPr>
                    <w:t>Wheelchair-bound or bedridden</w:t>
                  </w:r>
                </w:p>
              </w:tc>
              <w:tc>
                <w:tcPr>
                  <w:tcW w:w="992" w:type="dxa"/>
                  <w:tcBorders>
                    <w:top w:val="single" w:sz="4" w:space="0" w:color="auto"/>
                    <w:left w:val="single" w:sz="4" w:space="0" w:color="auto"/>
                    <w:bottom w:val="single" w:sz="4" w:space="0" w:color="auto"/>
                    <w:right w:val="single" w:sz="4" w:space="0" w:color="auto"/>
                  </w:tcBorders>
                  <w:vAlign w:val="center"/>
                </w:tcPr>
                <w:p w14:paraId="05331B4C" w14:textId="77777777" w:rsidR="009776B5" w:rsidRPr="0059433B" w:rsidRDefault="009776B5" w:rsidP="00042B2E">
                  <w:pPr>
                    <w:pStyle w:val="COMTabletext"/>
                    <w:keepNext w:val="0"/>
                    <w:rPr>
                      <w:i/>
                      <w:iCs/>
                      <w:szCs w:val="20"/>
                      <w:lang w:val="en-AU"/>
                    </w:rPr>
                  </w:pPr>
                  <w:r w:rsidRPr="0059433B">
                    <w:rPr>
                      <w:i/>
                      <w:iCs/>
                      <w:szCs w:val="20"/>
                      <w:lang w:val="en-AU"/>
                    </w:rPr>
                    <w:t>Stage IV</w:t>
                  </w:r>
                </w:p>
              </w:tc>
              <w:tc>
                <w:tcPr>
                  <w:tcW w:w="3712" w:type="dxa"/>
                  <w:tcBorders>
                    <w:top w:val="single" w:sz="4" w:space="0" w:color="auto"/>
                    <w:left w:val="single" w:sz="4" w:space="0" w:color="auto"/>
                    <w:bottom w:val="single" w:sz="4" w:space="0" w:color="auto"/>
                    <w:right w:val="single" w:sz="4" w:space="0" w:color="auto"/>
                  </w:tcBorders>
                </w:tcPr>
                <w:p w14:paraId="14AAF3F3" w14:textId="77777777" w:rsidR="009776B5" w:rsidRPr="0059433B" w:rsidRDefault="009776B5" w:rsidP="00042B2E">
                  <w:pPr>
                    <w:pStyle w:val="COMTabletext"/>
                    <w:keepNext w:val="0"/>
                    <w:rPr>
                      <w:i/>
                      <w:iCs/>
                      <w:szCs w:val="20"/>
                      <w:lang w:val="en-AU"/>
                    </w:rPr>
                  </w:pPr>
                  <w:r w:rsidRPr="0059433B">
                    <w:rPr>
                      <w:i/>
                      <w:iCs/>
                      <w:szCs w:val="20"/>
                      <w:lang w:val="en-AU"/>
                    </w:rPr>
                    <w:t>Confined to wheelchair or bedridden</w:t>
                  </w:r>
                </w:p>
              </w:tc>
            </w:tr>
          </w:tbl>
          <w:p w14:paraId="17153C1A" w14:textId="2EB99755" w:rsidR="009776B5" w:rsidRPr="0059433B" w:rsidRDefault="009776B5" w:rsidP="00042B2E">
            <w:pPr>
              <w:pStyle w:val="COMTableheadingrow"/>
              <w:keepNext w:val="0"/>
              <w:rPr>
                <w:lang w:val="en-AU"/>
              </w:rPr>
            </w:pPr>
          </w:p>
        </w:tc>
      </w:tr>
      <w:tr w:rsidR="00230CBC" w:rsidRPr="0059433B" w14:paraId="165880D2" w14:textId="77777777" w:rsidTr="00042B2E">
        <w:trPr>
          <w:trHeight w:val="411"/>
        </w:trPr>
        <w:tc>
          <w:tcPr>
            <w:tcW w:w="921" w:type="pct"/>
            <w:shd w:val="clear" w:color="auto" w:fill="F2F2F2" w:themeFill="background1" w:themeFillShade="F2"/>
          </w:tcPr>
          <w:p w14:paraId="76AB8FD2" w14:textId="77777777" w:rsidR="00230CBC" w:rsidRPr="0059433B" w:rsidRDefault="00230CBC" w:rsidP="006A29AA">
            <w:pPr>
              <w:keepNext/>
              <w:rPr>
                <w:rFonts w:ascii="Arial Narrow" w:hAnsi="Arial Narrow"/>
                <w:b/>
                <w:sz w:val="20"/>
                <w:szCs w:val="20"/>
                <w:lang w:val="en-AU"/>
              </w:rPr>
            </w:pPr>
            <w:r w:rsidRPr="0059433B">
              <w:rPr>
                <w:rFonts w:ascii="Arial Narrow" w:hAnsi="Arial Narrow"/>
                <w:b/>
                <w:sz w:val="20"/>
                <w:szCs w:val="20"/>
                <w:lang w:val="en-AU"/>
              </w:rPr>
              <w:t>Treatment phase:</w:t>
            </w:r>
          </w:p>
        </w:tc>
        <w:tc>
          <w:tcPr>
            <w:tcW w:w="4079" w:type="pct"/>
            <w:shd w:val="clear" w:color="auto" w:fill="F2F2F2" w:themeFill="background1" w:themeFillShade="F2"/>
          </w:tcPr>
          <w:p w14:paraId="2EB950AB" w14:textId="77777777" w:rsidR="00230CBC" w:rsidRPr="0059433B" w:rsidRDefault="00230CBC" w:rsidP="006A29AA">
            <w:pPr>
              <w:keepNext/>
              <w:rPr>
                <w:rFonts w:ascii="Arial Narrow" w:hAnsi="Arial Narrow"/>
                <w:b/>
                <w:sz w:val="20"/>
                <w:szCs w:val="20"/>
                <w:lang w:val="en-AU"/>
              </w:rPr>
            </w:pPr>
            <w:r w:rsidRPr="0059433B">
              <w:rPr>
                <w:rFonts w:ascii="Arial Narrow" w:hAnsi="Arial Narrow"/>
                <w:b/>
                <w:sz w:val="20"/>
                <w:szCs w:val="20"/>
                <w:lang w:val="en-AU"/>
              </w:rPr>
              <w:t>Continuing treatment</w:t>
            </w:r>
          </w:p>
        </w:tc>
      </w:tr>
      <w:tr w:rsidR="00230CBC" w:rsidRPr="0059433B" w14:paraId="4D2232E7" w14:textId="77777777" w:rsidTr="00042B2E">
        <w:trPr>
          <w:trHeight w:val="70"/>
        </w:trPr>
        <w:tc>
          <w:tcPr>
            <w:tcW w:w="921" w:type="pct"/>
          </w:tcPr>
          <w:p w14:paraId="5C52C3D1" w14:textId="77777777" w:rsidR="00230CBC" w:rsidRPr="0059433B" w:rsidRDefault="00230CBC" w:rsidP="00042B2E">
            <w:pPr>
              <w:rPr>
                <w:rFonts w:ascii="Arial Narrow" w:hAnsi="Arial Narrow"/>
                <w:sz w:val="20"/>
                <w:szCs w:val="20"/>
                <w:lang w:val="en-AU"/>
              </w:rPr>
            </w:pPr>
            <w:r w:rsidRPr="0059433B">
              <w:rPr>
                <w:rFonts w:ascii="Arial Narrow" w:hAnsi="Arial Narrow"/>
                <w:b/>
                <w:sz w:val="20"/>
                <w:szCs w:val="20"/>
                <w:lang w:val="en-AU"/>
              </w:rPr>
              <w:t>Clinical criteria:</w:t>
            </w:r>
          </w:p>
        </w:tc>
        <w:tc>
          <w:tcPr>
            <w:tcW w:w="4079" w:type="pct"/>
          </w:tcPr>
          <w:p w14:paraId="6E2F065C" w14:textId="77777777" w:rsidR="00230CBC" w:rsidRPr="0059433B" w:rsidRDefault="00230CBC" w:rsidP="00042B2E">
            <w:pPr>
              <w:pStyle w:val="ListParagraph"/>
              <w:numPr>
                <w:ilvl w:val="0"/>
                <w:numId w:val="8"/>
              </w:numPr>
              <w:spacing w:after="60"/>
              <w:contextualSpacing/>
              <w:rPr>
                <w:rFonts w:ascii="Arial Narrow" w:hAnsi="Arial Narrow"/>
                <w:i/>
                <w:iCs/>
                <w:sz w:val="20"/>
                <w:szCs w:val="20"/>
                <w:lang w:val="en-AU"/>
              </w:rPr>
            </w:pPr>
            <w:r w:rsidRPr="0059433B">
              <w:rPr>
                <w:rFonts w:ascii="Arial Narrow" w:hAnsi="Arial Narrow"/>
                <w:i/>
                <w:iCs/>
                <w:sz w:val="20"/>
                <w:szCs w:val="20"/>
                <w:lang w:val="en-AU"/>
              </w:rPr>
              <w:t>The patient must have previously received PBS-subsidised treatment with this drug for this condition; and</w:t>
            </w:r>
          </w:p>
          <w:p w14:paraId="1D13E4AB" w14:textId="77777777" w:rsidR="00230CBC" w:rsidRPr="0059433B" w:rsidRDefault="00230CBC" w:rsidP="00042B2E">
            <w:pPr>
              <w:pStyle w:val="ListParagraph"/>
              <w:numPr>
                <w:ilvl w:val="0"/>
                <w:numId w:val="8"/>
              </w:numPr>
              <w:spacing w:after="60"/>
              <w:contextualSpacing/>
              <w:rPr>
                <w:rFonts w:ascii="Arial Narrow" w:hAnsi="Arial Narrow"/>
                <w:sz w:val="20"/>
                <w:szCs w:val="20"/>
                <w:lang w:val="en-AU"/>
              </w:rPr>
            </w:pPr>
            <w:r w:rsidRPr="0059433B">
              <w:rPr>
                <w:rFonts w:ascii="Arial Narrow" w:hAnsi="Arial Narrow"/>
                <w:sz w:val="20"/>
                <w:szCs w:val="20"/>
                <w:lang w:val="en-AU"/>
              </w:rPr>
              <w:t>The patient must continue to demonstrate clinical benefit; and</w:t>
            </w:r>
          </w:p>
          <w:p w14:paraId="1F3847AB" w14:textId="77777777" w:rsidR="00230CBC" w:rsidRPr="0059433B" w:rsidRDefault="00230CBC" w:rsidP="00042B2E">
            <w:pPr>
              <w:pStyle w:val="ListParagraph"/>
              <w:numPr>
                <w:ilvl w:val="0"/>
                <w:numId w:val="8"/>
              </w:numPr>
              <w:spacing w:after="60"/>
              <w:contextualSpacing/>
              <w:rPr>
                <w:rFonts w:ascii="Arial Narrow" w:hAnsi="Arial Narrow"/>
                <w:sz w:val="20"/>
                <w:szCs w:val="20"/>
                <w:lang w:val="en-AU"/>
              </w:rPr>
            </w:pPr>
            <w:r w:rsidRPr="0059433B">
              <w:rPr>
                <w:rFonts w:ascii="Arial Narrow" w:hAnsi="Arial Narrow"/>
                <w:sz w:val="20"/>
                <w:szCs w:val="20"/>
                <w:lang w:val="en-AU"/>
              </w:rPr>
              <w:t>The patient must not be permanently bedridden or receiving end-of-life care.</w:t>
            </w:r>
          </w:p>
        </w:tc>
      </w:tr>
      <w:tr w:rsidR="00230CBC" w:rsidRPr="0059433B" w14:paraId="61A34389" w14:textId="77777777" w:rsidTr="00042B2E">
        <w:trPr>
          <w:trHeight w:val="70"/>
        </w:trPr>
        <w:tc>
          <w:tcPr>
            <w:tcW w:w="921" w:type="pct"/>
            <w:shd w:val="clear" w:color="auto" w:fill="F2F2F2" w:themeFill="background1" w:themeFillShade="F2"/>
          </w:tcPr>
          <w:p w14:paraId="3407A235" w14:textId="77777777" w:rsidR="00230CBC" w:rsidRPr="0059433B" w:rsidRDefault="00230CBC" w:rsidP="00324DCA">
            <w:pPr>
              <w:keepNext/>
              <w:rPr>
                <w:rFonts w:ascii="Arial Narrow" w:hAnsi="Arial Narrow"/>
                <w:b/>
                <w:i/>
                <w:iCs/>
                <w:sz w:val="20"/>
                <w:szCs w:val="20"/>
                <w:lang w:val="en-AU"/>
              </w:rPr>
            </w:pPr>
            <w:r w:rsidRPr="0059433B">
              <w:rPr>
                <w:rFonts w:ascii="Arial Narrow" w:hAnsi="Arial Narrow"/>
                <w:b/>
                <w:i/>
                <w:iCs/>
                <w:sz w:val="20"/>
                <w:szCs w:val="20"/>
                <w:lang w:val="en-AU"/>
              </w:rPr>
              <w:t>Treatment phase:</w:t>
            </w:r>
          </w:p>
        </w:tc>
        <w:tc>
          <w:tcPr>
            <w:tcW w:w="4079" w:type="pct"/>
            <w:shd w:val="clear" w:color="auto" w:fill="F2F2F2" w:themeFill="background1" w:themeFillShade="F2"/>
          </w:tcPr>
          <w:p w14:paraId="23E6A060" w14:textId="77777777" w:rsidR="00230CBC" w:rsidRPr="0059433B" w:rsidRDefault="00230CBC" w:rsidP="00324DCA">
            <w:pPr>
              <w:keepNext/>
              <w:rPr>
                <w:b/>
                <w:i/>
                <w:iCs/>
                <w:lang w:val="en-AU"/>
              </w:rPr>
            </w:pPr>
            <w:r w:rsidRPr="0059433B">
              <w:rPr>
                <w:rFonts w:ascii="Arial Narrow" w:hAnsi="Arial Narrow"/>
                <w:b/>
                <w:i/>
                <w:iCs/>
                <w:sz w:val="20"/>
                <w:szCs w:val="20"/>
                <w:lang w:val="en-AU"/>
              </w:rPr>
              <w:t>Grandfather arrangements</w:t>
            </w:r>
          </w:p>
        </w:tc>
      </w:tr>
      <w:tr w:rsidR="00230CBC" w:rsidRPr="0059433B" w14:paraId="2ED95DDC" w14:textId="77777777" w:rsidTr="00042B2E">
        <w:trPr>
          <w:trHeight w:val="70"/>
        </w:trPr>
        <w:tc>
          <w:tcPr>
            <w:tcW w:w="921" w:type="pct"/>
          </w:tcPr>
          <w:p w14:paraId="4F62D59B" w14:textId="77777777" w:rsidR="00230CBC" w:rsidRPr="0059433B" w:rsidRDefault="00230CBC" w:rsidP="00324DCA">
            <w:pPr>
              <w:keepNext/>
              <w:rPr>
                <w:rFonts w:ascii="Arial Narrow" w:hAnsi="Arial Narrow"/>
                <w:b/>
                <w:i/>
                <w:iCs/>
                <w:sz w:val="20"/>
                <w:szCs w:val="20"/>
                <w:lang w:val="en-AU"/>
              </w:rPr>
            </w:pPr>
            <w:r w:rsidRPr="0059433B">
              <w:rPr>
                <w:rFonts w:ascii="Arial Narrow" w:hAnsi="Arial Narrow"/>
                <w:b/>
                <w:i/>
                <w:iCs/>
                <w:sz w:val="20"/>
                <w:szCs w:val="20"/>
                <w:lang w:val="en-AU"/>
              </w:rPr>
              <w:t>Clinical criteria:</w:t>
            </w:r>
          </w:p>
        </w:tc>
        <w:tc>
          <w:tcPr>
            <w:tcW w:w="4079" w:type="pct"/>
          </w:tcPr>
          <w:p w14:paraId="1DA9784C" w14:textId="77777777" w:rsidR="00230CBC" w:rsidRPr="0059433B" w:rsidRDefault="00230CBC" w:rsidP="00324DCA">
            <w:pPr>
              <w:pStyle w:val="ListParagraph"/>
              <w:keepNext/>
              <w:numPr>
                <w:ilvl w:val="0"/>
                <w:numId w:val="8"/>
              </w:numPr>
              <w:spacing w:after="60"/>
              <w:contextualSpacing/>
              <w:rPr>
                <w:rFonts w:ascii="Arial Narrow" w:hAnsi="Arial Narrow"/>
                <w:i/>
                <w:iCs/>
                <w:sz w:val="20"/>
                <w:szCs w:val="20"/>
                <w:lang w:val="en-AU"/>
              </w:rPr>
            </w:pPr>
            <w:r w:rsidRPr="0059433B">
              <w:rPr>
                <w:rFonts w:ascii="Arial Narrow" w:hAnsi="Arial Narrow"/>
                <w:i/>
                <w:iCs/>
                <w:sz w:val="20"/>
                <w:szCs w:val="20"/>
                <w:lang w:val="en-AU"/>
              </w:rPr>
              <w:t>The patient must have previously received non-PBS-subsidised treatment with this drug for this condition; and</w:t>
            </w:r>
          </w:p>
          <w:p w14:paraId="0978BF0C" w14:textId="77777777" w:rsidR="00230CBC" w:rsidRPr="0059433B" w:rsidRDefault="00230CBC" w:rsidP="00324DCA">
            <w:pPr>
              <w:pStyle w:val="ListParagraph"/>
              <w:keepNext/>
              <w:numPr>
                <w:ilvl w:val="0"/>
                <w:numId w:val="8"/>
              </w:numPr>
              <w:spacing w:after="60"/>
              <w:contextualSpacing/>
              <w:rPr>
                <w:rFonts w:ascii="Arial Narrow" w:hAnsi="Arial Narrow"/>
                <w:i/>
                <w:iCs/>
                <w:sz w:val="20"/>
                <w:szCs w:val="20"/>
                <w:lang w:val="en-AU"/>
              </w:rPr>
            </w:pPr>
            <w:r w:rsidRPr="0059433B">
              <w:rPr>
                <w:rFonts w:ascii="Arial Narrow" w:hAnsi="Arial Narrow"/>
                <w:i/>
                <w:iCs/>
                <w:sz w:val="20"/>
                <w:szCs w:val="20"/>
                <w:lang w:val="en-AU"/>
              </w:rPr>
              <w:t>The patient must continue to demonstrate clinical benefit; and</w:t>
            </w:r>
          </w:p>
          <w:p w14:paraId="7845F51D" w14:textId="77777777" w:rsidR="00230CBC" w:rsidRPr="0059433B" w:rsidRDefault="00230CBC" w:rsidP="00324DCA">
            <w:pPr>
              <w:pStyle w:val="ListParagraph"/>
              <w:keepNext/>
              <w:numPr>
                <w:ilvl w:val="0"/>
                <w:numId w:val="8"/>
              </w:numPr>
              <w:spacing w:after="60"/>
              <w:contextualSpacing/>
              <w:rPr>
                <w:rFonts w:ascii="Arial Narrow" w:hAnsi="Arial Narrow"/>
                <w:i/>
                <w:iCs/>
                <w:sz w:val="20"/>
                <w:szCs w:val="20"/>
                <w:lang w:val="en-AU"/>
              </w:rPr>
            </w:pPr>
            <w:r w:rsidRPr="0059433B">
              <w:rPr>
                <w:rFonts w:ascii="Arial Narrow" w:hAnsi="Arial Narrow"/>
                <w:i/>
                <w:iCs/>
                <w:sz w:val="20"/>
                <w:szCs w:val="20"/>
                <w:lang w:val="en-AU"/>
              </w:rPr>
              <w:t>The patient must not be permanently bedridden or receiving end-of-life care.</w:t>
            </w:r>
          </w:p>
        </w:tc>
      </w:tr>
    </w:tbl>
    <w:p w14:paraId="63F2925E" w14:textId="77777777" w:rsidR="00230CBC" w:rsidRPr="0059433B" w:rsidRDefault="00230CBC" w:rsidP="00E76F17">
      <w:pPr>
        <w:pStyle w:val="COMTablefooter"/>
        <w:rPr>
          <w:strike/>
        </w:rPr>
      </w:pPr>
      <w:r w:rsidRPr="0059433B">
        <w:rPr>
          <w:strike/>
          <w:vertAlign w:val="superscript"/>
        </w:rPr>
        <w:t xml:space="preserve">a </w:t>
      </w:r>
      <w:r w:rsidRPr="0059433B">
        <w:rPr>
          <w:strike/>
        </w:rPr>
        <w:t xml:space="preserve">Accounts for one repeat every </w:t>
      </w:r>
      <w:proofErr w:type="gramStart"/>
      <w:r w:rsidRPr="0059433B">
        <w:rPr>
          <w:strike/>
        </w:rPr>
        <w:t>3</w:t>
      </w:r>
      <w:proofErr w:type="gramEnd"/>
      <w:r w:rsidRPr="0059433B">
        <w:rPr>
          <w:strike/>
        </w:rPr>
        <w:t xml:space="preserve"> weeks</w:t>
      </w:r>
    </w:p>
    <w:p w14:paraId="7340B339" w14:textId="6AD318B9" w:rsidR="00230CBC" w:rsidRPr="0059433B" w:rsidRDefault="00230CBC" w:rsidP="00230CBC">
      <w:pPr>
        <w:pStyle w:val="COMexecsumnumberedpara"/>
        <w:rPr>
          <w:iCs/>
        </w:rPr>
      </w:pPr>
      <w:bookmarkStart w:id="10" w:name="_Ref142311609"/>
      <w:r w:rsidRPr="0059433B">
        <w:rPr>
          <w:iCs/>
        </w:rPr>
        <w:lastRenderedPageBreak/>
        <w:t>The ESC noted that the submission requested a single vial size containing 10 mg of patisiran</w:t>
      </w:r>
      <w:r w:rsidR="000C55EA" w:rsidRPr="0059433B">
        <w:rPr>
          <w:iCs/>
        </w:rPr>
        <w:t>.</w:t>
      </w:r>
      <w:r w:rsidR="0014071D" w:rsidRPr="0059433B">
        <w:rPr>
          <w:iCs/>
        </w:rPr>
        <w:t xml:space="preserve"> </w:t>
      </w:r>
      <w:r w:rsidRPr="0059433B">
        <w:rPr>
          <w:iCs/>
        </w:rPr>
        <w:t xml:space="preserve">The ESC noted that a degree of drug wastage would occur for most patients, i.e. those requiring a dose that does not correspond to a multiple of 10 mg, e.g. a patient weighing 70 kg would require a dose of 21 mg according to the recommended dosing regimen which would require </w:t>
      </w:r>
      <w:proofErr w:type="gramStart"/>
      <w:r w:rsidRPr="0059433B">
        <w:rPr>
          <w:iCs/>
        </w:rPr>
        <w:t>3</w:t>
      </w:r>
      <w:proofErr w:type="gramEnd"/>
      <w:r w:rsidRPr="0059433B">
        <w:rPr>
          <w:iCs/>
        </w:rPr>
        <w:t xml:space="preserve"> vials.</w:t>
      </w:r>
      <w:r w:rsidR="0014071D" w:rsidRPr="0059433B">
        <w:rPr>
          <w:iCs/>
        </w:rPr>
        <w:t xml:space="preserve"> </w:t>
      </w:r>
      <w:r w:rsidRPr="0059433B">
        <w:rPr>
          <w:iCs/>
        </w:rPr>
        <w:t xml:space="preserve">The pre-PBAC response stated that the sponsor manufactures only one vial size of patisiran for global use, and this cannot </w:t>
      </w:r>
      <w:proofErr w:type="gramStart"/>
      <w:r w:rsidRPr="0059433B">
        <w:rPr>
          <w:iCs/>
        </w:rPr>
        <w:t>be altered</w:t>
      </w:r>
      <w:proofErr w:type="gramEnd"/>
      <w:r w:rsidRPr="0059433B">
        <w:rPr>
          <w:iCs/>
        </w:rPr>
        <w:t>.</w:t>
      </w:r>
      <w:bookmarkEnd w:id="10"/>
      <w:r w:rsidR="00EC3F0E" w:rsidRPr="0059433B">
        <w:t xml:space="preserve"> The PBAC</w:t>
      </w:r>
      <w:r w:rsidR="00EC3F0E" w:rsidRPr="0059433B">
        <w:rPr>
          <w:iCs/>
        </w:rPr>
        <w:t xml:space="preserve"> advised that wastage must </w:t>
      </w:r>
      <w:proofErr w:type="gramStart"/>
      <w:r w:rsidR="00EC3F0E" w:rsidRPr="0059433B">
        <w:rPr>
          <w:iCs/>
        </w:rPr>
        <w:t>be incorporated</w:t>
      </w:r>
      <w:proofErr w:type="gramEnd"/>
      <w:r w:rsidR="00EC3F0E" w:rsidRPr="0059433B">
        <w:rPr>
          <w:iCs/>
        </w:rPr>
        <w:t xml:space="preserve"> in the economic model consistent with PBAC guidelines.</w:t>
      </w:r>
    </w:p>
    <w:p w14:paraId="142882C7" w14:textId="7DF740EA" w:rsidR="00230CBC" w:rsidRPr="0059433B" w:rsidRDefault="00230CBC" w:rsidP="00230CBC">
      <w:pPr>
        <w:pStyle w:val="COMexecsumnumberedpara"/>
      </w:pPr>
      <w:bookmarkStart w:id="11" w:name="_Ref142376127"/>
      <w:r w:rsidRPr="0059433B">
        <w:rPr>
          <w:iCs/>
        </w:rPr>
        <w:t xml:space="preserve">The submission requested listing for the Highly Specialised Drug program (S100-HSD) in the public hospital setting only, however </w:t>
      </w:r>
      <w:r w:rsidR="00AF00B5" w:rsidRPr="0059433B">
        <w:t>t</w:t>
      </w:r>
      <w:r w:rsidRPr="0059433B">
        <w:t>he</w:t>
      </w:r>
      <w:r w:rsidR="009866CF">
        <w:t xml:space="preserve"> Pre-Sub-Committee Response</w:t>
      </w:r>
      <w:r w:rsidRPr="0059433B">
        <w:t xml:space="preserve"> </w:t>
      </w:r>
      <w:r w:rsidR="009866CF">
        <w:t>(</w:t>
      </w:r>
      <w:r w:rsidRPr="0059433B">
        <w:t>PSCR</w:t>
      </w:r>
      <w:r w:rsidR="009866CF">
        <w:t>)</w:t>
      </w:r>
      <w:r w:rsidRPr="0059433B">
        <w:t xml:space="preserve"> noted the Secretariat’s suggested update to the proposed restriction to reflect public and private hospital settings and accepted this change.</w:t>
      </w:r>
      <w:bookmarkEnd w:id="11"/>
    </w:p>
    <w:p w14:paraId="712DC383" w14:textId="149BC3F0" w:rsidR="00230CBC" w:rsidRPr="0059433B" w:rsidRDefault="00230CBC" w:rsidP="00230CBC">
      <w:pPr>
        <w:pStyle w:val="COMexecsumnumberedpara"/>
        <w:rPr>
          <w:iCs/>
        </w:rPr>
      </w:pPr>
      <w:r w:rsidRPr="0059433B">
        <w:t>The submission proposed a special pricing arrangement with an effective ex-manufacturer price of $</w:t>
      </w:r>
      <w:r w:rsidR="00B94620" w:rsidRPr="00AC5845">
        <w:rPr>
          <w:color w:val="000000"/>
          <w:w w:val="15"/>
          <w:shd w:val="solid" w:color="000000" w:fill="000000"/>
          <w:fitText w:val="-20" w:id="-1171529726"/>
          <w14:textFill>
            <w14:solidFill>
              <w14:srgbClr w14:val="000000">
                <w14:alpha w14:val="100000"/>
              </w14:srgbClr>
            </w14:solidFill>
          </w14:textFill>
        </w:rPr>
        <w:t xml:space="preserve">|  </w:t>
      </w:r>
      <w:r w:rsidR="00B94620" w:rsidRPr="00AC5845">
        <w:rPr>
          <w:color w:val="000000"/>
          <w:spacing w:val="-69"/>
          <w:w w:val="15"/>
          <w:shd w:val="solid" w:color="000000" w:fill="000000"/>
          <w:fitText w:val="-20" w:id="-1171529726"/>
          <w14:textFill>
            <w14:solidFill>
              <w14:srgbClr w14:val="000000">
                <w14:alpha w14:val="100000"/>
              </w14:srgbClr>
            </w14:solidFill>
          </w14:textFill>
        </w:rPr>
        <w:t>|</w:t>
      </w:r>
      <w:r w:rsidRPr="0059433B">
        <w:t xml:space="preserve"> per 10 mg vial.</w:t>
      </w:r>
    </w:p>
    <w:p w14:paraId="70103E15" w14:textId="77777777" w:rsidR="00230CBC" w:rsidRPr="0059433B" w:rsidRDefault="00230CBC" w:rsidP="00230CBC">
      <w:pPr>
        <w:pStyle w:val="COMexecsumnumberedpara"/>
      </w:pPr>
      <w:r w:rsidRPr="0059433B">
        <w:t>Patisiran is dosed by weight at 0.3 mg per kg of body weight, but for patients weighing 100 kg or more, the recommended dose is fixed at 30 mg.</w:t>
      </w:r>
      <w:r w:rsidRPr="0059433B">
        <w:rPr>
          <w:iCs/>
        </w:rPr>
        <w:t xml:space="preserve"> Patients with a body weight over 66.7 kg will require the maximum quantity of </w:t>
      </w:r>
      <w:proofErr w:type="gramStart"/>
      <w:r w:rsidRPr="0059433B">
        <w:rPr>
          <w:iCs/>
        </w:rPr>
        <w:t>3</w:t>
      </w:r>
      <w:proofErr w:type="gramEnd"/>
      <w:r w:rsidRPr="0059433B">
        <w:rPr>
          <w:iCs/>
        </w:rPr>
        <w:t xml:space="preserve"> vials per dose (corresponding to approximately 40% of the APOLLO trial population).</w:t>
      </w:r>
    </w:p>
    <w:p w14:paraId="19D1C2D7" w14:textId="77777777" w:rsidR="00F126D4" w:rsidRPr="0059433B" w:rsidRDefault="00230CBC" w:rsidP="00230CBC">
      <w:pPr>
        <w:pStyle w:val="COMexecsumnumberedpara"/>
      </w:pPr>
      <w:r w:rsidRPr="0059433B">
        <w:t xml:space="preserve">The requested restriction is consistent with the TGA indication, hATTR amyloidosis in adult patients with stage 1 or stage 2 polyneuropathy (FAP stage 1 or 2, or PND </w:t>
      </w:r>
      <w:r w:rsidR="00512F3E" w:rsidRPr="0059433B">
        <w:t>score</w:t>
      </w:r>
      <w:r w:rsidRPr="0059433B">
        <w:t xml:space="preserve"> I, II, IIIA or IIIB), however the requested restriction </w:t>
      </w:r>
      <w:r w:rsidR="000C55EA" w:rsidRPr="0059433B">
        <w:t xml:space="preserve">also </w:t>
      </w:r>
      <w:r w:rsidRPr="0059433B">
        <w:t xml:space="preserve">requires the hATTR amyloidosis to </w:t>
      </w:r>
      <w:proofErr w:type="gramStart"/>
      <w:r w:rsidRPr="0059433B">
        <w:t>be confirmed</w:t>
      </w:r>
      <w:proofErr w:type="gramEnd"/>
      <w:r w:rsidRPr="0059433B">
        <w:t xml:space="preserve"> by genetic testing.</w:t>
      </w:r>
    </w:p>
    <w:p w14:paraId="0D603222" w14:textId="1A73C677" w:rsidR="00230CBC" w:rsidRPr="0059433B" w:rsidRDefault="00230CBC" w:rsidP="00230CBC">
      <w:pPr>
        <w:pStyle w:val="COMexecsumnumberedpara"/>
      </w:pPr>
      <w:r w:rsidRPr="0059433B">
        <w:t xml:space="preserve">The requested restriction is </w:t>
      </w:r>
      <w:proofErr w:type="gramStart"/>
      <w:r w:rsidRPr="0059433B">
        <w:t>generally consistent</w:t>
      </w:r>
      <w:proofErr w:type="gramEnd"/>
      <w:r w:rsidRPr="0059433B">
        <w:t xml:space="preserve"> with the evidence presented in the submission, with the exception of eligibility for continued treatment with patisiran. While patients in the APOLLO clinical trial </w:t>
      </w:r>
      <w:proofErr w:type="gramStart"/>
      <w:r w:rsidRPr="0059433B">
        <w:t>were excluded</w:t>
      </w:r>
      <w:proofErr w:type="gramEnd"/>
      <w:r w:rsidRPr="0059433B">
        <w:t xml:space="preserve"> at baseline if bedridden or in a wheelchair (stage 3 polyneuropathy), they were not required to cease treatment if disease progressed to this stage during the trial, or during the open-label extension study.</w:t>
      </w:r>
      <w:r w:rsidR="0014071D" w:rsidRPr="0059433B">
        <w:t xml:space="preserve"> </w:t>
      </w:r>
      <w:r w:rsidRPr="0059433B">
        <w:t xml:space="preserve">Patients in the patisiran arm transitioning into the PND IV health state </w:t>
      </w:r>
      <w:proofErr w:type="gramStart"/>
      <w:r w:rsidRPr="0059433B">
        <w:t>were assumed</w:t>
      </w:r>
      <w:proofErr w:type="gramEnd"/>
      <w:r w:rsidRPr="0059433B">
        <w:t xml:space="preserve"> to cease treatment in the economic evaluation presented by the submission (paragraph </w:t>
      </w:r>
      <w:r w:rsidRPr="0059433B">
        <w:fldChar w:fldCharType="begin" w:fldLock="1"/>
      </w:r>
      <w:r w:rsidRPr="0059433B">
        <w:instrText xml:space="preserve"> REF _Ref142311904 \r \h </w:instrText>
      </w:r>
      <w:r w:rsidRPr="0059433B">
        <w:fldChar w:fldCharType="separate"/>
      </w:r>
      <w:r w:rsidR="00042B2E" w:rsidRPr="0059433B">
        <w:t>6.5</w:t>
      </w:r>
      <w:r w:rsidR="00677DB4">
        <w:t>2</w:t>
      </w:r>
      <w:r w:rsidRPr="0059433B">
        <w:fldChar w:fldCharType="end"/>
      </w:r>
      <w:r w:rsidRPr="0059433B">
        <w:t>).</w:t>
      </w:r>
    </w:p>
    <w:p w14:paraId="3E6FFB73" w14:textId="66A8DA36" w:rsidR="00230CBC" w:rsidRPr="0059433B" w:rsidRDefault="00230CBC" w:rsidP="00230CBC">
      <w:pPr>
        <w:pStyle w:val="COMexecsumnumberedpara"/>
        <w:rPr>
          <w:iCs/>
        </w:rPr>
      </w:pPr>
      <w:r w:rsidRPr="0059433B">
        <w:t xml:space="preserve">The submission stated that patients should continue to receive treatment with patisiran until no further clinical benefit from treatment is evident, as assessed by a physician with experience in the management of amyloid disorders. The submission stated that the assessment should include PND or FAP staging systems (measures of ambulatory ability), alongside appraisal of other aspects of the patient’s condition, treatment, daily routine and outlook. The continuation criteria exclude patients that are permanently bedridden or are receiving end-of-life care. </w:t>
      </w:r>
      <w:r w:rsidRPr="0059433B">
        <w:rPr>
          <w:iCs/>
        </w:rPr>
        <w:t xml:space="preserve">It is unclear whether a formal definition of clinical benefit from treatment with patisiran, or specific discontinuation criteria should </w:t>
      </w:r>
      <w:proofErr w:type="gramStart"/>
      <w:r w:rsidRPr="0059433B">
        <w:rPr>
          <w:iCs/>
        </w:rPr>
        <w:t>be included</w:t>
      </w:r>
      <w:proofErr w:type="gramEnd"/>
      <w:r w:rsidRPr="0059433B">
        <w:rPr>
          <w:iCs/>
        </w:rPr>
        <w:t xml:space="preserve">. Patients and clinicians may be reluctant to cease treatment with patisiran in FAP Stage 3 or PND IV (confined to wheelchair or </w:t>
      </w:r>
      <w:r w:rsidRPr="0059433B">
        <w:rPr>
          <w:iCs/>
        </w:rPr>
        <w:lastRenderedPageBreak/>
        <w:t xml:space="preserve">bedridden) if treatment </w:t>
      </w:r>
      <w:proofErr w:type="gramStart"/>
      <w:r w:rsidRPr="0059433B">
        <w:rPr>
          <w:iCs/>
        </w:rPr>
        <w:t>is still considered</w:t>
      </w:r>
      <w:proofErr w:type="gramEnd"/>
      <w:r w:rsidRPr="0059433B">
        <w:rPr>
          <w:iCs/>
        </w:rPr>
        <w:t xml:space="preserve"> to be providing a benefit</w:t>
      </w:r>
      <w:r w:rsidR="000C55EA" w:rsidRPr="0059433B">
        <w:rPr>
          <w:iCs/>
        </w:rPr>
        <w:t xml:space="preserve"> despite evidence of disease progression</w:t>
      </w:r>
      <w:r w:rsidRPr="0059433B">
        <w:rPr>
          <w:iCs/>
        </w:rPr>
        <w:t>.</w:t>
      </w:r>
    </w:p>
    <w:p w14:paraId="690E2DFC" w14:textId="35B841B5" w:rsidR="00230CBC" w:rsidRPr="0059433B" w:rsidRDefault="00230CBC" w:rsidP="00230CBC">
      <w:pPr>
        <w:pStyle w:val="COMexecsumnumberedpara"/>
        <w:rPr>
          <w:iCs/>
        </w:rPr>
      </w:pPr>
      <w:r w:rsidRPr="0059433B">
        <w:t xml:space="preserve">The submission noted </w:t>
      </w:r>
      <w:r w:rsidRPr="0059433B">
        <w:rPr>
          <w:color w:val="000000" w:themeColor="text1"/>
        </w:rPr>
        <w:t xml:space="preserve">a recently approved MBS listing (Item 73422, which commenced on 1 November 2022) for next-generation sequencing for the diagnosis of early-onset or familial neuromuscular disorders. The genetic panel testing includes TTR, which is the gene that requires sequencing when making a diagnosis of hATTR amyloidosis. The submission noted that the addition of genetic testing for neuromuscular disorders to the MBS is likely to increase the detection rate for hATTR amyloidosis. </w:t>
      </w:r>
      <w:r w:rsidRPr="0059433B">
        <w:rPr>
          <w:iCs/>
          <w:color w:val="000000" w:themeColor="text1"/>
        </w:rPr>
        <w:t xml:space="preserve">The availability of MBS-funded genetic testing and the PBS listing of a disease-modifying treatment may lead to an increase in diagnostic </w:t>
      </w:r>
      <w:r w:rsidR="00E82C1A" w:rsidRPr="0059433B">
        <w:rPr>
          <w:iCs/>
          <w:color w:val="000000" w:themeColor="text1"/>
        </w:rPr>
        <w:t>testing and</w:t>
      </w:r>
      <w:r w:rsidRPr="0059433B">
        <w:rPr>
          <w:iCs/>
          <w:color w:val="000000" w:themeColor="text1"/>
        </w:rPr>
        <w:t xml:space="preserve"> may identify greater numbers of patients at </w:t>
      </w:r>
      <w:proofErr w:type="gramStart"/>
      <w:r w:rsidRPr="0059433B">
        <w:rPr>
          <w:iCs/>
          <w:color w:val="000000" w:themeColor="text1"/>
        </w:rPr>
        <w:t>early stages</w:t>
      </w:r>
      <w:proofErr w:type="gramEnd"/>
      <w:r w:rsidRPr="0059433B">
        <w:rPr>
          <w:iCs/>
          <w:color w:val="000000" w:themeColor="text1"/>
        </w:rPr>
        <w:t xml:space="preserve"> of disease.</w:t>
      </w:r>
    </w:p>
    <w:p w14:paraId="0B8227F4" w14:textId="7DC7E7AD" w:rsidR="00230CBC" w:rsidRPr="0059433B" w:rsidRDefault="00230CBC" w:rsidP="00230CBC">
      <w:pPr>
        <w:pStyle w:val="COMexecsumnumberedpara"/>
        <w:rPr>
          <w:iCs/>
        </w:rPr>
      </w:pPr>
      <w:bookmarkStart w:id="12" w:name="_Ref142312040"/>
      <w:r w:rsidRPr="0059433B">
        <w:t>The ESC noted that the submission proposed a treatment criteria that the patient “Must be treated by a consultant physician with experience in the management of amyloid disorders</w:t>
      </w:r>
      <w:r w:rsidR="00201A36" w:rsidRPr="0059433B">
        <w:t>.”</w:t>
      </w:r>
      <w:r w:rsidR="0014071D" w:rsidRPr="0059433B">
        <w:t xml:space="preserve"> </w:t>
      </w:r>
      <w:r w:rsidRPr="0059433B">
        <w:t>The ESC considered this may require clarification, such as defining the relevant specialist prescriber types</w:t>
      </w:r>
      <w:r w:rsidRPr="0059433B">
        <w:rPr>
          <w:iCs/>
        </w:rPr>
        <w:t>.</w:t>
      </w:r>
      <w:r w:rsidR="0014071D" w:rsidRPr="0059433B">
        <w:rPr>
          <w:iCs/>
        </w:rPr>
        <w:t xml:space="preserve"> </w:t>
      </w:r>
      <w:r w:rsidRPr="0059433B">
        <w:rPr>
          <w:iCs/>
        </w:rPr>
        <w:t xml:space="preserve">The PBAC considered that initiation by neurologists would be appropriate and should </w:t>
      </w:r>
      <w:proofErr w:type="gramStart"/>
      <w:r w:rsidRPr="0059433B">
        <w:rPr>
          <w:iCs/>
        </w:rPr>
        <w:t>be specified</w:t>
      </w:r>
      <w:proofErr w:type="gramEnd"/>
      <w:r w:rsidRPr="0059433B">
        <w:rPr>
          <w:iCs/>
        </w:rPr>
        <w:t xml:space="preserve"> in the restriction.</w:t>
      </w:r>
      <w:bookmarkEnd w:id="12"/>
    </w:p>
    <w:p w14:paraId="1B436574" w14:textId="44C7516E" w:rsidR="00230CBC" w:rsidRPr="0059433B" w:rsidRDefault="00230CBC" w:rsidP="00230CBC">
      <w:pPr>
        <w:pStyle w:val="COMexecsumnumberedpara"/>
      </w:pPr>
      <w:bookmarkStart w:id="13" w:name="_Ref142312251"/>
      <w:r w:rsidRPr="0059433B">
        <w:t xml:space="preserve">The submission stated that grandfathered patients (currently enrolled in clinical trials or receiving patisiran via an alternative access scheme) should receive PBS-funded treatment once patisiran </w:t>
      </w:r>
      <w:proofErr w:type="gramStart"/>
      <w:r w:rsidRPr="0059433B">
        <w:t>is PBS-listed</w:t>
      </w:r>
      <w:proofErr w:type="gramEnd"/>
      <w:r w:rsidRPr="0059433B">
        <w:t xml:space="preserve">. The pre-PBAC response estimated that up to </w:t>
      </w:r>
      <w:r w:rsidR="00D2467F" w:rsidRPr="00D2467F">
        <w:t>&lt;</w:t>
      </w:r>
      <w:r w:rsidR="00D2467F">
        <w:t> </w:t>
      </w:r>
      <w:r w:rsidR="00D2467F" w:rsidRPr="00D2467F">
        <w:t>500</w:t>
      </w:r>
      <w:r w:rsidRPr="0059433B">
        <w:t xml:space="preserve"> patients could be eligible for grandfathering once patisiran </w:t>
      </w:r>
      <w:proofErr w:type="gramStart"/>
      <w:r w:rsidRPr="0059433B">
        <w:t>is PBS-listed</w:t>
      </w:r>
      <w:proofErr w:type="gramEnd"/>
      <w:r w:rsidRPr="0059433B">
        <w:t>.</w:t>
      </w:r>
      <w:r w:rsidR="0014071D" w:rsidRPr="0059433B">
        <w:t xml:space="preserve"> </w:t>
      </w:r>
      <w:r w:rsidRPr="0059433B">
        <w:t>The PBAC considered that a grandfather restriction was appropriate.</w:t>
      </w:r>
      <w:bookmarkEnd w:id="13"/>
    </w:p>
    <w:p w14:paraId="071C2177" w14:textId="77777777" w:rsidR="00F126D4" w:rsidRPr="0059433B" w:rsidRDefault="00230CBC" w:rsidP="00230CBC">
      <w:pPr>
        <w:pStyle w:val="COMexecsumnumberedpara"/>
      </w:pPr>
      <w:r w:rsidRPr="0059433B">
        <w:rPr>
          <w:iCs/>
        </w:rPr>
        <w:t xml:space="preserve">In addition to the subjective continuation criteria, there is potential for use of patisiran outside of the requested restriction due to use in patients with hATTR amyloidosis with cardiomyopathy (in the absence of polyneuropathy). Results </w:t>
      </w:r>
      <w:proofErr w:type="gramStart"/>
      <w:r w:rsidRPr="0059433B">
        <w:rPr>
          <w:iCs/>
        </w:rPr>
        <w:t>were recently published</w:t>
      </w:r>
      <w:proofErr w:type="gramEnd"/>
      <w:r w:rsidRPr="0059433B">
        <w:rPr>
          <w:iCs/>
        </w:rPr>
        <w:t xml:space="preserve"> for APOLLO-B, a randomised, double-blind, placebo-controlled trial of patisiran in 360 patients with ATTR amyloidosis (wild-type or hereditary) with cardiomyopathy (Maurer 2022, presented at the XVIII Meeting of the International Society of Amyloidosis). The primary endpoint, change from baseline to Month 12 in 6 minute walk test, showed a statistically significant difference in favour of patisiran. An open-label extension period for the APOLLO-B trial is ongoing.</w:t>
      </w:r>
      <w:r w:rsidR="0014071D" w:rsidRPr="0059433B">
        <w:rPr>
          <w:iCs/>
        </w:rPr>
        <w:t xml:space="preserve"> </w:t>
      </w:r>
      <w:r w:rsidRPr="0059433B">
        <w:t xml:space="preserve">However, the ESC considered that </w:t>
      </w:r>
      <w:r w:rsidR="000C55EA" w:rsidRPr="0059433B">
        <w:t xml:space="preserve">the </w:t>
      </w:r>
      <w:r w:rsidRPr="0059433B">
        <w:t xml:space="preserve">risk </w:t>
      </w:r>
      <w:r w:rsidR="000C55EA" w:rsidRPr="0059433B">
        <w:t xml:space="preserve">of usage outside the restriction </w:t>
      </w:r>
      <w:proofErr w:type="gramStart"/>
      <w:r w:rsidRPr="0059433B">
        <w:t>was covered</w:t>
      </w:r>
      <w:proofErr w:type="gramEnd"/>
      <w:r w:rsidRPr="0059433B">
        <w:t xml:space="preserve"> by the written Authority required.</w:t>
      </w:r>
    </w:p>
    <w:p w14:paraId="776650F7" w14:textId="77777777" w:rsidR="00F126D4" w:rsidRPr="0059433B" w:rsidRDefault="00230CBC" w:rsidP="00230CBC">
      <w:pPr>
        <w:pStyle w:val="COMexecsumnumberedpara"/>
        <w:rPr>
          <w:iCs/>
        </w:rPr>
      </w:pPr>
      <w:bookmarkStart w:id="14" w:name="_Ref142312312"/>
      <w:r w:rsidRPr="0059433B">
        <w:rPr>
          <w:iCs/>
        </w:rPr>
        <w:t xml:space="preserve">The proposed restriction is </w:t>
      </w:r>
      <w:proofErr w:type="gramStart"/>
      <w:r w:rsidRPr="0059433B">
        <w:rPr>
          <w:iCs/>
        </w:rPr>
        <w:t>generally consistent</w:t>
      </w:r>
      <w:proofErr w:type="gramEnd"/>
      <w:r w:rsidRPr="0059433B">
        <w:rPr>
          <w:iCs/>
        </w:rPr>
        <w:t xml:space="preserve"> with the eligibility criteria for the pivotal patisiran study (APOLLO), although the trial also excluded patients with a previous liver transplant, and patients with New York Heart Association (NYHA) heart failure classification of &gt;2.</w:t>
      </w:r>
      <w:r w:rsidR="0014071D" w:rsidRPr="0059433B">
        <w:rPr>
          <w:iCs/>
        </w:rPr>
        <w:t xml:space="preserve"> </w:t>
      </w:r>
      <w:r w:rsidRPr="0059433B">
        <w:rPr>
          <w:iCs/>
        </w:rPr>
        <w:t>The PBAC considered the proposed restriction should include these criteria for consistency with the trial population.</w:t>
      </w:r>
      <w:bookmarkEnd w:id="14"/>
    </w:p>
    <w:p w14:paraId="6FCA91A9" w14:textId="5D3C8FD2" w:rsidR="00230CBC" w:rsidRPr="0059433B" w:rsidRDefault="00230CBC" w:rsidP="00230CBC">
      <w:pPr>
        <w:pStyle w:val="3-BodyText"/>
        <w:ind w:firstLine="0"/>
        <w:rPr>
          <w:iCs/>
          <w:color w:val="0066FF"/>
        </w:rPr>
      </w:pPr>
      <w:r w:rsidRPr="0059433B">
        <w:rPr>
          <w:i/>
        </w:rPr>
        <w:t>For more detail on PBAC’s view, see section 7 PBAC outcome.</w:t>
      </w:r>
    </w:p>
    <w:p w14:paraId="2B18D84B" w14:textId="77777777" w:rsidR="00230CBC" w:rsidRPr="0059433B" w:rsidDel="00195452" w:rsidRDefault="00230CBC" w:rsidP="00230CBC">
      <w:pPr>
        <w:pStyle w:val="COMH1numbered"/>
      </w:pPr>
      <w:bookmarkStart w:id="15" w:name="_Toc135226802"/>
      <w:r w:rsidRPr="0059433B" w:rsidDel="00195452">
        <w:lastRenderedPageBreak/>
        <w:t>Population and disease</w:t>
      </w:r>
      <w:bookmarkEnd w:id="15"/>
    </w:p>
    <w:p w14:paraId="5E3E8B82" w14:textId="79238A89" w:rsidR="00F126D4" w:rsidRPr="0059433B" w:rsidRDefault="00230CBC" w:rsidP="00D7061F">
      <w:pPr>
        <w:pStyle w:val="COMexecsumnumberedpara"/>
        <w:numPr>
          <w:ilvl w:val="1"/>
          <w:numId w:val="30"/>
        </w:numPr>
      </w:pPr>
      <w:r w:rsidRPr="0059433B">
        <w:t xml:space="preserve">ATTR amyloidosis is a rare, rapidly </w:t>
      </w:r>
      <w:r w:rsidR="00201A36" w:rsidRPr="0059433B">
        <w:t>progressive,</w:t>
      </w:r>
      <w:r w:rsidRPr="0059433B">
        <w:t xml:space="preserve"> and fatal disease, caused by misfolded transthyretin (TTR) protein that leads to the accumulation of amyloid deposits in the body. There are two types of ATTR amyloidosis: hereditary (hATTR) amyloidosis (also referred to as variant ATTR amyloidosis, ATTRv), and wild-type (wtATTR) amyloidosis. hATTR amyloidosis is less prevalent than wtATTR amyloidosis, with the submission reporting estimates of </w:t>
      </w:r>
      <w:proofErr w:type="gramStart"/>
      <w:r w:rsidRPr="0059433B">
        <w:t>approximately 50,000</w:t>
      </w:r>
      <w:proofErr w:type="gramEnd"/>
      <w:r w:rsidRPr="0059433B">
        <w:t xml:space="preserve"> patients worldwide with hATTR amyloidosis versus 200,000 to 300,000 with wtATTR amyloidosis.</w:t>
      </w:r>
    </w:p>
    <w:p w14:paraId="5900D585" w14:textId="30014A1E" w:rsidR="00230CBC" w:rsidRPr="0059433B" w:rsidRDefault="00230CBC" w:rsidP="00230CBC">
      <w:pPr>
        <w:pStyle w:val="COMexecsumnumberedpara"/>
      </w:pPr>
      <w:r w:rsidRPr="0059433B">
        <w:t xml:space="preserve">hATTR amyloidosis is an inherited, autosomal dominant, multisystem disease with a heterogenous clinical presentation that includes sensory, </w:t>
      </w:r>
      <w:r w:rsidR="00201A36" w:rsidRPr="0059433B">
        <w:t>motor,</w:t>
      </w:r>
      <w:r w:rsidRPr="0059433B">
        <w:t xml:space="preserve"> and autonomic dysfunction, </w:t>
      </w:r>
      <w:proofErr w:type="gramStart"/>
      <w:r w:rsidRPr="0059433B">
        <w:t>polyneuropathy</w:t>
      </w:r>
      <w:proofErr w:type="gramEnd"/>
      <w:r w:rsidRPr="0059433B">
        <w:t xml:space="preserve"> and cardiomyopathy, with the potential involvement of other organ systems as well. Symptoms of hATTR amyloidosis will vary depending on the organ systems affected. Over 120 reported TTR genetic variants are associated with hATTR amyloidosis that result in varying clinical presentation, ranging from </w:t>
      </w:r>
      <w:proofErr w:type="gramStart"/>
      <w:r w:rsidRPr="0059433B">
        <w:t>predominantly neuropathic</w:t>
      </w:r>
      <w:proofErr w:type="gramEnd"/>
      <w:r w:rsidRPr="0059433B">
        <w:t xml:space="preserve"> (e.g., early onset V30M) to predominantly cardiac (V122I, wild-type ATTR), to mixed disease (e.g. late onset V30M, Adams 2021). However, Adams (2021) notes that a mixed phenotype including polyneuropathy and cardiomyopathy can </w:t>
      </w:r>
      <w:proofErr w:type="gramStart"/>
      <w:r w:rsidRPr="0059433B">
        <w:t>be found</w:t>
      </w:r>
      <w:proofErr w:type="gramEnd"/>
      <w:r w:rsidRPr="0059433B">
        <w:t xml:space="preserve"> in the majority of patients. The V30M variant is the most frequently </w:t>
      </w:r>
      <w:r w:rsidR="0066610E" w:rsidRPr="0059433B">
        <w:t>reported and</w:t>
      </w:r>
      <w:r w:rsidRPr="0059433B">
        <w:t xml:space="preserve"> is responsible for the high prevalence of hATTR amyloidosis in endemic areas, including Portugal, </w:t>
      </w:r>
      <w:r w:rsidR="00201A36" w:rsidRPr="0059433B">
        <w:t>Sweden,</w:t>
      </w:r>
      <w:r w:rsidRPr="0059433B">
        <w:t xml:space="preserve"> and Japan (Carroll 2022). hATTR amyloidosis is often underdiagnosed or misdiagnosed due to disease and symptom heterogeneity. The mean age of onset is 55 years, and 61 years at diagnosis (Waddington Cruz 2017).</w:t>
      </w:r>
    </w:p>
    <w:p w14:paraId="100C4063" w14:textId="379DFDAD" w:rsidR="00230CBC" w:rsidRPr="0059433B" w:rsidRDefault="00230CBC" w:rsidP="00230CBC">
      <w:pPr>
        <w:pStyle w:val="COMexecsumnumberedpara"/>
      </w:pPr>
      <w:r w:rsidRPr="0059433B">
        <w:t xml:space="preserve">hATTR amyloidosis with polyneuropathy is associated with significant morbidity and profound and rapid worsening of health-related quality of life, leading to premature death. Peripheral nerve dysfunction can begin with lower-limb numbness and pain, while autonomic nerve dysfunction may manifest as constipation alternating with diarrhoea, nausea and vomiting, orthostatic </w:t>
      </w:r>
      <w:r w:rsidR="00201A36" w:rsidRPr="0059433B">
        <w:t>hypotension,</w:t>
      </w:r>
      <w:r w:rsidRPr="0059433B">
        <w:t xml:space="preserve"> and sexual dysfunction. Disease progression eventually leads to motor weakness, decreased pain sensation, loss of ambulation and inanition (exhaustion due to prolonged undernutrition).</w:t>
      </w:r>
    </w:p>
    <w:p w14:paraId="2487F1F1" w14:textId="54CA0B5C" w:rsidR="00F126D4" w:rsidRPr="0059433B" w:rsidRDefault="00230CBC" w:rsidP="00230CBC">
      <w:pPr>
        <w:pStyle w:val="COMexecsumnumberedpara"/>
      </w:pPr>
      <w:r w:rsidRPr="0059433B">
        <w:t>Median survival after disease onset or diagnosis varies depending on the TTR variant and organ system involvement. In patients with hATTR amyloidosis with polyneuropathy, median survival from disease onset ranges from approximately 12</w:t>
      </w:r>
      <w:r w:rsidR="00253DD6">
        <w:t> </w:t>
      </w:r>
      <w:r w:rsidRPr="0059433B">
        <w:t xml:space="preserve">years in those with early-onset V30M disease (predominantly polyneuropathy symptoms) to approximately 7 years in those with late-onset disease caused by V30M or V107I genetic variant (mixed polyneuropathy and cardiomyopathy symptoms), with death often due to inanition caused by malnutrition due to GI autonomic neuropathy and advanced neuropathy (increased PND/FAP stage, Adams 2021). Given the frequent delay in diagnosing hATTR amyloidosis, median survival time from diagnosis for all hATTR amyloidosis is 4.7 years. For patients with the late-onset V30M variant, </w:t>
      </w:r>
      <w:r w:rsidRPr="0059433B">
        <w:lastRenderedPageBreak/>
        <w:t xml:space="preserve">median survival after diagnosis has </w:t>
      </w:r>
      <w:proofErr w:type="gramStart"/>
      <w:r w:rsidRPr="0059433B">
        <w:t>been reported</w:t>
      </w:r>
      <w:proofErr w:type="gramEnd"/>
      <w:r w:rsidRPr="0059433B">
        <w:t xml:space="preserve"> from 3.5 to 5.7 years</w:t>
      </w:r>
      <w:r w:rsidR="0014071D" w:rsidRPr="0059433B">
        <w:t xml:space="preserve"> </w:t>
      </w:r>
      <w:r w:rsidRPr="0059433B">
        <w:t>(associated with mixed polyneuropathy/cardiomyopathy symptoms. Adams 2021; Carroll 2022). In patients presenting with cardiomyopathy-predominant hATTR amyloidosis, median survival from diagnosis is shorter at approximately 3.4 years, with death usually due to progressive heart failure or life-threatening cardiac arrhythmia (Adams, 2021).</w:t>
      </w:r>
    </w:p>
    <w:p w14:paraId="19EE30E0" w14:textId="77777777" w:rsidR="00F126D4" w:rsidRPr="0059433B" w:rsidRDefault="00230CBC" w:rsidP="00230CBC">
      <w:pPr>
        <w:pStyle w:val="COMexecsumnumberedpara"/>
      </w:pPr>
      <w:r w:rsidRPr="0059433B">
        <w:t xml:space="preserve">A retrospective analysis of hATTR amyloidosis patients attending Australian Amyloidosis Network (AAN) clinics between 2007-2022 identified 130 prevalent patients with hATTR amyloidosis, of whom </w:t>
      </w:r>
      <w:proofErr w:type="gramStart"/>
      <w:r w:rsidRPr="0059433B">
        <w:t>59</w:t>
      </w:r>
      <w:proofErr w:type="gramEnd"/>
      <w:r w:rsidRPr="0059433B">
        <w:t xml:space="preserve"> patients were reported to have FAP stage 1 or 2 disease. Of all prevalent patients, 40% had neuropathic-predominant disease, 32% cardiac, 25% mixed cardiac and neuropathic symptoms, and 3% other organs. The study authors noted that patient numbers were an underestimate, as hereditary amyloidosis is an under-recognised and underdiagnosed disorder, and diagnosed cases </w:t>
      </w:r>
      <w:proofErr w:type="gramStart"/>
      <w:r w:rsidRPr="0059433B">
        <w:t>are not necessarily referred</w:t>
      </w:r>
      <w:proofErr w:type="gramEnd"/>
      <w:r w:rsidRPr="0059433B">
        <w:t xml:space="preserve"> to an AAN clinic </w:t>
      </w:r>
      <w:r w:rsidRPr="0059433B">
        <w:rPr>
          <w:color w:val="000000" w:themeColor="text1"/>
        </w:rPr>
        <w:t>(Carroll et al, unpublished abstract)</w:t>
      </w:r>
      <w:r w:rsidRPr="0059433B">
        <w:t>.</w:t>
      </w:r>
    </w:p>
    <w:p w14:paraId="70F2683D" w14:textId="0E597BC7" w:rsidR="00230CBC" w:rsidRPr="0059433B" w:rsidRDefault="00230CBC" w:rsidP="00230CBC">
      <w:pPr>
        <w:pStyle w:val="COMexecsumnumberedpara"/>
        <w:rPr>
          <w:color w:val="0066FF"/>
        </w:rPr>
      </w:pPr>
      <w:r w:rsidRPr="0059433B">
        <w:rPr>
          <w:color w:val="000000" w:themeColor="text1"/>
        </w:rPr>
        <w:t>The population targeted in the submission was adult patients with a confirmed diagnosis of hATTR amyloidosis with stage 1 or stage 2 polyneuropathy (symptomatic but not wheelchair-bound or bedridden).</w:t>
      </w:r>
    </w:p>
    <w:p w14:paraId="607EEA3C" w14:textId="77777777" w:rsidR="00F126D4" w:rsidRPr="0059433B" w:rsidRDefault="00230CBC" w:rsidP="00230CBC">
      <w:pPr>
        <w:pStyle w:val="COMexecsumnumberedpara"/>
        <w:rPr>
          <w:iCs/>
        </w:rPr>
      </w:pPr>
      <w:bookmarkStart w:id="16" w:name="_Ref135145733"/>
      <w:r w:rsidRPr="0059433B">
        <w:t xml:space="preserve">The submission described two clinical staging systems for patients with hATTR amyloidosis with polyneuropathy: the FAP stage system, developed to classify the disease based on the patient’s ability to ambulate (Coutinho 1980); and the PND score, based on both sensory and motor impairment and associated impact on ambulation (Suhr 1994; see </w:t>
      </w:r>
      <w:r w:rsidRPr="0059433B">
        <w:fldChar w:fldCharType="begin" w:fldLock="1"/>
      </w:r>
      <w:r w:rsidRPr="0059433B">
        <w:instrText xml:space="preserve"> REF _Ref134693371 \h </w:instrText>
      </w:r>
      <w:r w:rsidRPr="0059433B">
        <w:fldChar w:fldCharType="separate"/>
      </w:r>
      <w:r w:rsidR="00042B2E" w:rsidRPr="0059433B">
        <w:t>Table 2</w:t>
      </w:r>
      <w:r w:rsidRPr="0059433B">
        <w:fldChar w:fldCharType="end"/>
      </w:r>
      <w:r w:rsidRPr="0059433B">
        <w:t xml:space="preserve">). In both scales, a higher stage is indicative of greater disease severity and impact on ambulation. </w:t>
      </w:r>
      <w:r w:rsidRPr="0059433B">
        <w:rPr>
          <w:iCs/>
        </w:rPr>
        <w:t>The TGA indication and requested PBS restriction for patisiran limit treatment to patients with Stage 1 or 2 polyneuropathy (i.e. FAP stage 1 or 2, or PND score of I, II, IIIA, or IIIB).</w:t>
      </w:r>
      <w:bookmarkEnd w:id="16"/>
    </w:p>
    <w:p w14:paraId="73E233D9" w14:textId="6622AED9" w:rsidR="00230CBC" w:rsidRPr="0059433B" w:rsidRDefault="00230CBC" w:rsidP="00230CBC">
      <w:pPr>
        <w:pStyle w:val="TableFigureCaption"/>
      </w:pPr>
      <w:bookmarkStart w:id="17" w:name="_Ref134693371"/>
      <w:r w:rsidRPr="0059433B">
        <w:t xml:space="preserve">Table </w:t>
      </w:r>
      <w:fldSimple w:instr=" SEQ Table \* ARABIC " w:fldLock="1">
        <w:r w:rsidR="00042B2E" w:rsidRPr="0059433B">
          <w:t>2</w:t>
        </w:r>
      </w:fldSimple>
      <w:bookmarkEnd w:id="17"/>
      <w:r w:rsidRPr="0059433B">
        <w:t>: Clinical staging in hATTR amyloidosis with polyneuropathy</w:t>
      </w:r>
    </w:p>
    <w:tbl>
      <w:tblPr>
        <w:tblStyle w:val="Submissionstandard"/>
        <w:tblW w:w="0" w:type="auto"/>
        <w:tblLayout w:type="fixed"/>
        <w:tblLook w:val="04A0" w:firstRow="1" w:lastRow="0" w:firstColumn="1" w:lastColumn="0" w:noHBand="0" w:noVBand="1"/>
        <w:tblCaption w:val="Table 2: Clinical staging in hATTR amyloidosis with polyneuropathy"/>
      </w:tblPr>
      <w:tblGrid>
        <w:gridCol w:w="846"/>
        <w:gridCol w:w="2977"/>
        <w:gridCol w:w="992"/>
        <w:gridCol w:w="4202"/>
      </w:tblGrid>
      <w:tr w:rsidR="00230CBC" w:rsidRPr="0059433B" w14:paraId="00646A98" w14:textId="77777777" w:rsidTr="00C5774C">
        <w:trPr>
          <w:cnfStyle w:val="100000000000" w:firstRow="1" w:lastRow="0" w:firstColumn="0" w:lastColumn="0" w:oddVBand="0" w:evenVBand="0" w:oddHBand="0" w:evenHBand="0" w:firstRowFirstColumn="0" w:firstRowLastColumn="0" w:lastRowFirstColumn="0" w:lastRowLastColumn="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EBF0AF" w14:textId="77777777" w:rsidR="00230CBC" w:rsidRPr="0059433B" w:rsidRDefault="00230CBC" w:rsidP="00C5774C">
            <w:pPr>
              <w:pStyle w:val="COMTableheadingrow"/>
              <w:rPr>
                <w:b/>
                <w:bCs/>
                <w:lang w:val="en-AU"/>
              </w:rPr>
            </w:pPr>
            <w:r w:rsidRPr="0059433B">
              <w:rPr>
                <w:b/>
                <w:bCs/>
                <w:lang w:val="en-AU"/>
              </w:rPr>
              <w:t>Familial Amyloid Polyneuropathy (FAP) stage</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D564C" w14:textId="77777777" w:rsidR="00230CBC" w:rsidRPr="0059433B" w:rsidRDefault="00230CBC" w:rsidP="00C5774C">
            <w:pPr>
              <w:pStyle w:val="COMTableheadingrow"/>
              <w:rPr>
                <w:b/>
                <w:bCs/>
                <w:lang w:val="en-AU"/>
              </w:rPr>
            </w:pPr>
            <w:r w:rsidRPr="0059433B">
              <w:rPr>
                <w:b/>
                <w:bCs/>
                <w:lang w:val="en-AU"/>
              </w:rPr>
              <w:t>Polyneuropathy Disability (PND) Score</w:t>
            </w:r>
          </w:p>
        </w:tc>
      </w:tr>
      <w:tr w:rsidR="00230CBC" w:rsidRPr="0059433B" w14:paraId="33234F87" w14:textId="77777777" w:rsidTr="00C5774C">
        <w:tc>
          <w:tcPr>
            <w:tcW w:w="846" w:type="dxa"/>
            <w:tcBorders>
              <w:top w:val="single" w:sz="4" w:space="0" w:color="auto"/>
              <w:left w:val="single" w:sz="4" w:space="0" w:color="auto"/>
              <w:bottom w:val="single" w:sz="4" w:space="0" w:color="auto"/>
              <w:right w:val="single" w:sz="4" w:space="0" w:color="auto"/>
            </w:tcBorders>
          </w:tcPr>
          <w:p w14:paraId="2759F98D" w14:textId="77777777" w:rsidR="00230CBC" w:rsidRPr="0059433B" w:rsidRDefault="00230CBC" w:rsidP="00C5774C">
            <w:pPr>
              <w:pStyle w:val="COMTabletext"/>
              <w:rPr>
                <w:lang w:val="en-AU"/>
              </w:rPr>
            </w:pPr>
            <w:r w:rsidRPr="0059433B">
              <w:rPr>
                <w:lang w:val="en-AU"/>
              </w:rPr>
              <w:t>Stage 0</w:t>
            </w:r>
          </w:p>
        </w:tc>
        <w:tc>
          <w:tcPr>
            <w:tcW w:w="2977" w:type="dxa"/>
            <w:tcBorders>
              <w:top w:val="single" w:sz="4" w:space="0" w:color="auto"/>
              <w:left w:val="single" w:sz="4" w:space="0" w:color="auto"/>
              <w:bottom w:val="single" w:sz="4" w:space="0" w:color="auto"/>
              <w:right w:val="single" w:sz="4" w:space="0" w:color="auto"/>
            </w:tcBorders>
          </w:tcPr>
          <w:p w14:paraId="41C74FC5" w14:textId="77777777" w:rsidR="00230CBC" w:rsidRPr="0059433B" w:rsidRDefault="00230CBC" w:rsidP="00C5774C">
            <w:pPr>
              <w:pStyle w:val="COMTabletext"/>
              <w:rPr>
                <w:lang w:val="en-AU"/>
              </w:rPr>
            </w:pPr>
            <w:r w:rsidRPr="0059433B">
              <w:rPr>
                <w:lang w:val="en-AU"/>
              </w:rPr>
              <w:t>No symptoms</w:t>
            </w:r>
          </w:p>
        </w:tc>
        <w:tc>
          <w:tcPr>
            <w:tcW w:w="992" w:type="dxa"/>
            <w:tcBorders>
              <w:top w:val="single" w:sz="4" w:space="0" w:color="auto"/>
              <w:left w:val="single" w:sz="4" w:space="0" w:color="auto"/>
              <w:bottom w:val="single" w:sz="4" w:space="0" w:color="auto"/>
              <w:right w:val="single" w:sz="4" w:space="0" w:color="auto"/>
            </w:tcBorders>
            <w:vAlign w:val="center"/>
          </w:tcPr>
          <w:p w14:paraId="164C0D9D" w14:textId="77777777" w:rsidR="00230CBC" w:rsidRPr="0059433B" w:rsidRDefault="00230CBC" w:rsidP="00C5774C">
            <w:pPr>
              <w:pStyle w:val="COMTabletext"/>
              <w:rPr>
                <w:lang w:val="en-AU"/>
              </w:rPr>
            </w:pPr>
            <w:r w:rsidRPr="0059433B">
              <w:rPr>
                <w:lang w:val="en-AU"/>
              </w:rPr>
              <w:t>Stage 0</w:t>
            </w:r>
          </w:p>
        </w:tc>
        <w:tc>
          <w:tcPr>
            <w:tcW w:w="4202" w:type="dxa"/>
            <w:tcBorders>
              <w:top w:val="single" w:sz="4" w:space="0" w:color="auto"/>
              <w:left w:val="single" w:sz="4" w:space="0" w:color="auto"/>
              <w:bottom w:val="single" w:sz="4" w:space="0" w:color="auto"/>
              <w:right w:val="single" w:sz="4" w:space="0" w:color="auto"/>
            </w:tcBorders>
          </w:tcPr>
          <w:p w14:paraId="7EB2F9BA" w14:textId="77777777" w:rsidR="00230CBC" w:rsidRPr="0059433B" w:rsidRDefault="00230CBC" w:rsidP="00C5774C">
            <w:pPr>
              <w:pStyle w:val="COMTabletext"/>
              <w:rPr>
                <w:lang w:val="en-AU"/>
              </w:rPr>
            </w:pPr>
            <w:r w:rsidRPr="0059433B">
              <w:rPr>
                <w:lang w:val="en-AU"/>
              </w:rPr>
              <w:t>No symptoms</w:t>
            </w:r>
          </w:p>
        </w:tc>
      </w:tr>
      <w:tr w:rsidR="00230CBC" w:rsidRPr="0059433B" w14:paraId="4691643A" w14:textId="77777777" w:rsidTr="00C5774C">
        <w:tc>
          <w:tcPr>
            <w:tcW w:w="846" w:type="dxa"/>
            <w:tcBorders>
              <w:top w:val="single" w:sz="4" w:space="0" w:color="auto"/>
              <w:left w:val="single" w:sz="4" w:space="0" w:color="auto"/>
              <w:bottom w:val="single" w:sz="4" w:space="0" w:color="auto"/>
              <w:right w:val="single" w:sz="4" w:space="0" w:color="auto"/>
            </w:tcBorders>
          </w:tcPr>
          <w:p w14:paraId="6CAECABA" w14:textId="77777777" w:rsidR="00230CBC" w:rsidRPr="0059433B" w:rsidRDefault="00230CBC" w:rsidP="00C5774C">
            <w:pPr>
              <w:pStyle w:val="COMTabletext"/>
              <w:rPr>
                <w:lang w:val="en-AU"/>
              </w:rPr>
            </w:pPr>
            <w:r w:rsidRPr="0059433B">
              <w:rPr>
                <w:lang w:val="en-AU"/>
              </w:rPr>
              <w:t>Stage 1</w:t>
            </w:r>
          </w:p>
        </w:tc>
        <w:tc>
          <w:tcPr>
            <w:tcW w:w="2977" w:type="dxa"/>
            <w:tcBorders>
              <w:top w:val="single" w:sz="4" w:space="0" w:color="auto"/>
              <w:left w:val="single" w:sz="4" w:space="0" w:color="auto"/>
              <w:bottom w:val="single" w:sz="4" w:space="0" w:color="auto"/>
              <w:right w:val="single" w:sz="4" w:space="0" w:color="auto"/>
            </w:tcBorders>
          </w:tcPr>
          <w:p w14:paraId="08A435DD" w14:textId="77777777" w:rsidR="00230CBC" w:rsidRPr="0059433B" w:rsidRDefault="00230CBC" w:rsidP="00C5774C">
            <w:pPr>
              <w:pStyle w:val="COMTabletext"/>
              <w:rPr>
                <w:lang w:val="en-AU"/>
              </w:rPr>
            </w:pPr>
            <w:r w:rsidRPr="0059433B">
              <w:rPr>
                <w:lang w:val="en-AU"/>
              </w:rPr>
              <w:t>Unimpaired ambulation</w:t>
            </w:r>
          </w:p>
        </w:tc>
        <w:tc>
          <w:tcPr>
            <w:tcW w:w="992" w:type="dxa"/>
            <w:tcBorders>
              <w:top w:val="single" w:sz="4" w:space="0" w:color="auto"/>
              <w:left w:val="single" w:sz="4" w:space="0" w:color="auto"/>
              <w:bottom w:val="single" w:sz="4" w:space="0" w:color="auto"/>
              <w:right w:val="single" w:sz="4" w:space="0" w:color="auto"/>
            </w:tcBorders>
            <w:vAlign w:val="center"/>
          </w:tcPr>
          <w:p w14:paraId="1EB30F2B" w14:textId="77777777" w:rsidR="00230CBC" w:rsidRPr="0059433B" w:rsidRDefault="00230CBC" w:rsidP="00C5774C">
            <w:pPr>
              <w:pStyle w:val="COMTabletext"/>
              <w:rPr>
                <w:lang w:val="en-AU"/>
              </w:rPr>
            </w:pPr>
            <w:r w:rsidRPr="0059433B">
              <w:rPr>
                <w:lang w:val="en-AU"/>
              </w:rPr>
              <w:t>Stage I</w:t>
            </w:r>
          </w:p>
        </w:tc>
        <w:tc>
          <w:tcPr>
            <w:tcW w:w="4202" w:type="dxa"/>
            <w:tcBorders>
              <w:top w:val="single" w:sz="4" w:space="0" w:color="auto"/>
              <w:left w:val="single" w:sz="4" w:space="0" w:color="auto"/>
              <w:bottom w:val="single" w:sz="4" w:space="0" w:color="auto"/>
              <w:right w:val="single" w:sz="4" w:space="0" w:color="auto"/>
            </w:tcBorders>
          </w:tcPr>
          <w:p w14:paraId="56599AB8" w14:textId="77777777" w:rsidR="00230CBC" w:rsidRPr="0059433B" w:rsidRDefault="00230CBC" w:rsidP="00C5774C">
            <w:pPr>
              <w:pStyle w:val="COMTabletext"/>
              <w:rPr>
                <w:lang w:val="en-AU"/>
              </w:rPr>
            </w:pPr>
            <w:r w:rsidRPr="0059433B">
              <w:rPr>
                <w:lang w:val="en-AU"/>
              </w:rPr>
              <w:t>Sensory disturbances but preserved walking capability</w:t>
            </w:r>
          </w:p>
        </w:tc>
      </w:tr>
      <w:tr w:rsidR="00230CBC" w:rsidRPr="0059433B" w14:paraId="2AFA83B5" w14:textId="77777777" w:rsidTr="00C5774C">
        <w:tc>
          <w:tcPr>
            <w:tcW w:w="846" w:type="dxa"/>
            <w:vMerge w:val="restart"/>
            <w:tcBorders>
              <w:top w:val="single" w:sz="4" w:space="0" w:color="auto"/>
              <w:left w:val="single" w:sz="4" w:space="0" w:color="auto"/>
              <w:right w:val="single" w:sz="4" w:space="0" w:color="auto"/>
            </w:tcBorders>
            <w:vAlign w:val="center"/>
          </w:tcPr>
          <w:p w14:paraId="52BEE7AD" w14:textId="77777777" w:rsidR="00230CBC" w:rsidRPr="0059433B" w:rsidRDefault="00230CBC" w:rsidP="00C5774C">
            <w:pPr>
              <w:pStyle w:val="COMTabletext"/>
              <w:rPr>
                <w:lang w:val="en-AU"/>
              </w:rPr>
            </w:pPr>
            <w:r w:rsidRPr="0059433B">
              <w:rPr>
                <w:lang w:val="en-AU"/>
              </w:rPr>
              <w:t>Stage 2</w:t>
            </w:r>
          </w:p>
        </w:tc>
        <w:tc>
          <w:tcPr>
            <w:tcW w:w="2977" w:type="dxa"/>
            <w:vMerge w:val="restart"/>
            <w:tcBorders>
              <w:top w:val="single" w:sz="4" w:space="0" w:color="auto"/>
              <w:left w:val="single" w:sz="4" w:space="0" w:color="auto"/>
              <w:right w:val="single" w:sz="4" w:space="0" w:color="auto"/>
            </w:tcBorders>
            <w:vAlign w:val="center"/>
          </w:tcPr>
          <w:p w14:paraId="00CAB330" w14:textId="77777777" w:rsidR="00230CBC" w:rsidRPr="0059433B" w:rsidRDefault="00230CBC" w:rsidP="00C5774C">
            <w:pPr>
              <w:pStyle w:val="COMTabletext"/>
              <w:rPr>
                <w:lang w:val="en-AU"/>
              </w:rPr>
            </w:pPr>
            <w:r w:rsidRPr="0059433B">
              <w:rPr>
                <w:lang w:val="en-AU"/>
              </w:rPr>
              <w:t>Assistance with ambulation required</w:t>
            </w:r>
          </w:p>
        </w:tc>
        <w:tc>
          <w:tcPr>
            <w:tcW w:w="992" w:type="dxa"/>
            <w:tcBorders>
              <w:top w:val="single" w:sz="4" w:space="0" w:color="auto"/>
              <w:left w:val="single" w:sz="4" w:space="0" w:color="auto"/>
              <w:bottom w:val="single" w:sz="4" w:space="0" w:color="auto"/>
              <w:right w:val="single" w:sz="4" w:space="0" w:color="auto"/>
            </w:tcBorders>
            <w:vAlign w:val="center"/>
          </w:tcPr>
          <w:p w14:paraId="7B48FC05" w14:textId="77777777" w:rsidR="00230CBC" w:rsidRPr="0059433B" w:rsidRDefault="00230CBC" w:rsidP="00C5774C">
            <w:pPr>
              <w:pStyle w:val="COMTabletext"/>
              <w:rPr>
                <w:lang w:val="en-AU"/>
              </w:rPr>
            </w:pPr>
            <w:r w:rsidRPr="0059433B">
              <w:rPr>
                <w:lang w:val="en-AU"/>
              </w:rPr>
              <w:t>Stage II</w:t>
            </w:r>
          </w:p>
        </w:tc>
        <w:tc>
          <w:tcPr>
            <w:tcW w:w="4202" w:type="dxa"/>
            <w:tcBorders>
              <w:top w:val="single" w:sz="4" w:space="0" w:color="auto"/>
              <w:left w:val="single" w:sz="4" w:space="0" w:color="auto"/>
              <w:bottom w:val="single" w:sz="4" w:space="0" w:color="auto"/>
              <w:right w:val="single" w:sz="4" w:space="0" w:color="auto"/>
            </w:tcBorders>
          </w:tcPr>
          <w:p w14:paraId="39F945E0" w14:textId="77777777" w:rsidR="00230CBC" w:rsidRPr="0059433B" w:rsidRDefault="00230CBC" w:rsidP="00C5774C">
            <w:pPr>
              <w:pStyle w:val="COMTabletext"/>
              <w:rPr>
                <w:lang w:val="en-AU"/>
              </w:rPr>
            </w:pPr>
            <w:r w:rsidRPr="0059433B">
              <w:rPr>
                <w:lang w:val="en-AU"/>
              </w:rPr>
              <w:t>Impaired walking capacity but able to walk without stick or crutches</w:t>
            </w:r>
          </w:p>
        </w:tc>
      </w:tr>
      <w:tr w:rsidR="00230CBC" w:rsidRPr="0059433B" w14:paraId="46CD7A91" w14:textId="77777777" w:rsidTr="00C5774C">
        <w:tc>
          <w:tcPr>
            <w:tcW w:w="846" w:type="dxa"/>
            <w:vMerge/>
            <w:tcBorders>
              <w:left w:val="single" w:sz="4" w:space="0" w:color="auto"/>
              <w:right w:val="single" w:sz="4" w:space="0" w:color="auto"/>
            </w:tcBorders>
          </w:tcPr>
          <w:p w14:paraId="679B8EB8" w14:textId="77777777" w:rsidR="00230CBC" w:rsidRPr="0059433B" w:rsidRDefault="00230CBC" w:rsidP="00C5774C">
            <w:pPr>
              <w:pStyle w:val="COMTabletext"/>
              <w:rPr>
                <w:lang w:val="en-AU"/>
              </w:rPr>
            </w:pPr>
          </w:p>
        </w:tc>
        <w:tc>
          <w:tcPr>
            <w:tcW w:w="2977" w:type="dxa"/>
            <w:vMerge/>
            <w:tcBorders>
              <w:left w:val="single" w:sz="4" w:space="0" w:color="auto"/>
              <w:right w:val="single" w:sz="4" w:space="0" w:color="auto"/>
            </w:tcBorders>
          </w:tcPr>
          <w:p w14:paraId="55BF0C1F" w14:textId="77777777" w:rsidR="00230CBC" w:rsidRPr="0059433B" w:rsidRDefault="00230CBC" w:rsidP="00C5774C">
            <w:pPr>
              <w:pStyle w:val="COMTabletext"/>
              <w:rPr>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1D40F4F4" w14:textId="77777777" w:rsidR="00230CBC" w:rsidRPr="0059433B" w:rsidRDefault="00230CBC" w:rsidP="00C5774C">
            <w:pPr>
              <w:pStyle w:val="COMTabletext"/>
              <w:rPr>
                <w:lang w:val="en-AU"/>
              </w:rPr>
            </w:pPr>
            <w:r w:rsidRPr="0059433B">
              <w:rPr>
                <w:lang w:val="en-AU"/>
              </w:rPr>
              <w:t>Stage IIIA</w:t>
            </w:r>
          </w:p>
        </w:tc>
        <w:tc>
          <w:tcPr>
            <w:tcW w:w="4202" w:type="dxa"/>
            <w:tcBorders>
              <w:top w:val="single" w:sz="4" w:space="0" w:color="auto"/>
              <w:left w:val="single" w:sz="4" w:space="0" w:color="auto"/>
              <w:bottom w:val="single" w:sz="4" w:space="0" w:color="auto"/>
              <w:right w:val="single" w:sz="4" w:space="0" w:color="auto"/>
            </w:tcBorders>
          </w:tcPr>
          <w:p w14:paraId="6001F980" w14:textId="77777777" w:rsidR="00230CBC" w:rsidRPr="0059433B" w:rsidRDefault="00230CBC" w:rsidP="00C5774C">
            <w:pPr>
              <w:pStyle w:val="COMTabletext"/>
              <w:rPr>
                <w:lang w:val="en-AU"/>
              </w:rPr>
            </w:pPr>
            <w:r w:rsidRPr="0059433B">
              <w:rPr>
                <w:lang w:val="en-AU"/>
              </w:rPr>
              <w:t>Walking with help of one stick or crutch</w:t>
            </w:r>
          </w:p>
        </w:tc>
      </w:tr>
      <w:tr w:rsidR="00230CBC" w:rsidRPr="0059433B" w14:paraId="22FF3703" w14:textId="77777777" w:rsidTr="00C5774C">
        <w:tc>
          <w:tcPr>
            <w:tcW w:w="846" w:type="dxa"/>
            <w:vMerge/>
            <w:tcBorders>
              <w:left w:val="single" w:sz="4" w:space="0" w:color="auto"/>
              <w:bottom w:val="single" w:sz="4" w:space="0" w:color="auto"/>
              <w:right w:val="single" w:sz="4" w:space="0" w:color="auto"/>
            </w:tcBorders>
          </w:tcPr>
          <w:p w14:paraId="53E3E910" w14:textId="77777777" w:rsidR="00230CBC" w:rsidRPr="0059433B" w:rsidRDefault="00230CBC" w:rsidP="00C5774C">
            <w:pPr>
              <w:pStyle w:val="COMTabletext"/>
              <w:rPr>
                <w:lang w:val="en-AU"/>
              </w:rPr>
            </w:pPr>
          </w:p>
        </w:tc>
        <w:tc>
          <w:tcPr>
            <w:tcW w:w="2977" w:type="dxa"/>
            <w:vMerge/>
            <w:tcBorders>
              <w:left w:val="single" w:sz="4" w:space="0" w:color="auto"/>
              <w:bottom w:val="single" w:sz="4" w:space="0" w:color="auto"/>
              <w:right w:val="single" w:sz="4" w:space="0" w:color="auto"/>
            </w:tcBorders>
          </w:tcPr>
          <w:p w14:paraId="6970E33A" w14:textId="77777777" w:rsidR="00230CBC" w:rsidRPr="0059433B" w:rsidRDefault="00230CBC" w:rsidP="00C5774C">
            <w:pPr>
              <w:pStyle w:val="COMTabletext"/>
              <w:rPr>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2ACA0ECC" w14:textId="77777777" w:rsidR="00230CBC" w:rsidRPr="0059433B" w:rsidRDefault="00230CBC" w:rsidP="00C5774C">
            <w:pPr>
              <w:pStyle w:val="COMTabletext"/>
              <w:rPr>
                <w:lang w:val="en-AU"/>
              </w:rPr>
            </w:pPr>
            <w:r w:rsidRPr="0059433B">
              <w:rPr>
                <w:lang w:val="en-AU"/>
              </w:rPr>
              <w:t>Stage IIIB</w:t>
            </w:r>
          </w:p>
        </w:tc>
        <w:tc>
          <w:tcPr>
            <w:tcW w:w="4202" w:type="dxa"/>
            <w:tcBorders>
              <w:top w:val="single" w:sz="4" w:space="0" w:color="auto"/>
              <w:left w:val="single" w:sz="4" w:space="0" w:color="auto"/>
              <w:bottom w:val="single" w:sz="4" w:space="0" w:color="auto"/>
              <w:right w:val="single" w:sz="4" w:space="0" w:color="auto"/>
            </w:tcBorders>
          </w:tcPr>
          <w:p w14:paraId="24A68313" w14:textId="77777777" w:rsidR="00230CBC" w:rsidRPr="0059433B" w:rsidRDefault="00230CBC" w:rsidP="00C5774C">
            <w:pPr>
              <w:pStyle w:val="COMTabletext"/>
              <w:rPr>
                <w:lang w:val="en-AU"/>
              </w:rPr>
            </w:pPr>
            <w:r w:rsidRPr="0059433B">
              <w:rPr>
                <w:lang w:val="en-AU"/>
              </w:rPr>
              <w:t>Walking with help of two sticks or crutches</w:t>
            </w:r>
          </w:p>
        </w:tc>
      </w:tr>
      <w:tr w:rsidR="00230CBC" w:rsidRPr="0059433B" w14:paraId="67216B5E" w14:textId="77777777" w:rsidTr="00C5774C">
        <w:trPr>
          <w:trHeight w:val="70"/>
        </w:trPr>
        <w:tc>
          <w:tcPr>
            <w:tcW w:w="846" w:type="dxa"/>
            <w:tcBorders>
              <w:top w:val="single" w:sz="4" w:space="0" w:color="auto"/>
              <w:left w:val="single" w:sz="4" w:space="0" w:color="auto"/>
              <w:bottom w:val="single" w:sz="4" w:space="0" w:color="auto"/>
              <w:right w:val="single" w:sz="4" w:space="0" w:color="auto"/>
            </w:tcBorders>
          </w:tcPr>
          <w:p w14:paraId="33EE3007" w14:textId="77777777" w:rsidR="00230CBC" w:rsidRPr="0059433B" w:rsidRDefault="00230CBC" w:rsidP="00C5774C">
            <w:pPr>
              <w:pStyle w:val="COMTabletext"/>
              <w:rPr>
                <w:lang w:val="en-AU"/>
              </w:rPr>
            </w:pPr>
            <w:r w:rsidRPr="0059433B">
              <w:rPr>
                <w:lang w:val="en-AU"/>
              </w:rPr>
              <w:t>Stage 3</w:t>
            </w:r>
          </w:p>
        </w:tc>
        <w:tc>
          <w:tcPr>
            <w:tcW w:w="2977" w:type="dxa"/>
            <w:tcBorders>
              <w:top w:val="single" w:sz="4" w:space="0" w:color="auto"/>
              <w:left w:val="single" w:sz="4" w:space="0" w:color="auto"/>
              <w:bottom w:val="single" w:sz="4" w:space="0" w:color="auto"/>
              <w:right w:val="single" w:sz="4" w:space="0" w:color="auto"/>
            </w:tcBorders>
          </w:tcPr>
          <w:p w14:paraId="53B55063" w14:textId="77777777" w:rsidR="00230CBC" w:rsidRPr="0059433B" w:rsidRDefault="00230CBC" w:rsidP="00C5774C">
            <w:pPr>
              <w:pStyle w:val="COMTabletext"/>
              <w:rPr>
                <w:lang w:val="en-AU"/>
              </w:rPr>
            </w:pPr>
            <w:r w:rsidRPr="0059433B">
              <w:rPr>
                <w:lang w:val="en-AU"/>
              </w:rPr>
              <w:t>Wheelchair-bound or bedridden</w:t>
            </w:r>
          </w:p>
        </w:tc>
        <w:tc>
          <w:tcPr>
            <w:tcW w:w="992" w:type="dxa"/>
            <w:tcBorders>
              <w:top w:val="single" w:sz="4" w:space="0" w:color="auto"/>
              <w:left w:val="single" w:sz="4" w:space="0" w:color="auto"/>
              <w:bottom w:val="single" w:sz="4" w:space="0" w:color="auto"/>
              <w:right w:val="single" w:sz="4" w:space="0" w:color="auto"/>
            </w:tcBorders>
            <w:vAlign w:val="center"/>
          </w:tcPr>
          <w:p w14:paraId="6DD9C99E" w14:textId="77777777" w:rsidR="00230CBC" w:rsidRPr="0059433B" w:rsidRDefault="00230CBC" w:rsidP="00C5774C">
            <w:pPr>
              <w:pStyle w:val="COMTabletext"/>
              <w:rPr>
                <w:lang w:val="en-AU"/>
              </w:rPr>
            </w:pPr>
            <w:r w:rsidRPr="0059433B">
              <w:rPr>
                <w:lang w:val="en-AU"/>
              </w:rPr>
              <w:t>Stage IV</w:t>
            </w:r>
          </w:p>
        </w:tc>
        <w:tc>
          <w:tcPr>
            <w:tcW w:w="4202" w:type="dxa"/>
            <w:tcBorders>
              <w:top w:val="single" w:sz="4" w:space="0" w:color="auto"/>
              <w:left w:val="single" w:sz="4" w:space="0" w:color="auto"/>
              <w:bottom w:val="single" w:sz="4" w:space="0" w:color="auto"/>
              <w:right w:val="single" w:sz="4" w:space="0" w:color="auto"/>
            </w:tcBorders>
          </w:tcPr>
          <w:p w14:paraId="5718A291" w14:textId="77777777" w:rsidR="00230CBC" w:rsidRPr="0059433B" w:rsidRDefault="00230CBC" w:rsidP="00C5774C">
            <w:pPr>
              <w:pStyle w:val="COMTabletext"/>
              <w:rPr>
                <w:lang w:val="en-AU"/>
              </w:rPr>
            </w:pPr>
            <w:r w:rsidRPr="0059433B">
              <w:rPr>
                <w:lang w:val="en-AU"/>
              </w:rPr>
              <w:t>Confined to wheelchair or bedridden</w:t>
            </w:r>
          </w:p>
        </w:tc>
      </w:tr>
    </w:tbl>
    <w:p w14:paraId="0820D50F" w14:textId="77777777" w:rsidR="00230CBC" w:rsidRPr="0059433B" w:rsidRDefault="00230CBC" w:rsidP="00230CBC">
      <w:pPr>
        <w:pStyle w:val="COMTablefooter"/>
      </w:pPr>
      <w:r w:rsidRPr="0059433B">
        <w:t>Source: Table 1.2, p30 of the submission.</w:t>
      </w:r>
    </w:p>
    <w:p w14:paraId="3D7CE758" w14:textId="77777777" w:rsidR="00F126D4" w:rsidRPr="0059433B" w:rsidRDefault="00230CBC" w:rsidP="00230CBC">
      <w:pPr>
        <w:pStyle w:val="COMexecsumnumberedpara"/>
        <w:rPr>
          <w:rStyle w:val="COMexecsumnumberedparaChar"/>
        </w:rPr>
      </w:pPr>
      <w:r w:rsidRPr="0059433B">
        <w:t xml:space="preserve">The </w:t>
      </w:r>
      <w:r w:rsidRPr="0059433B">
        <w:rPr>
          <w:rStyle w:val="COMexecsumnumberedparaChar"/>
        </w:rPr>
        <w:t xml:space="preserve">submission noted that the 10-metre walk test (10-MWT) is also an outcome for assessment of ambulatory ability in clinical studies of patients with hATTR amyloidosis with polyneuropathy. The modified Neuropathy Impairment Score +7 (mNIS+7) is another measure of polyneuropathy impairment which </w:t>
      </w:r>
      <w:proofErr w:type="gramStart"/>
      <w:r w:rsidRPr="0059433B">
        <w:rPr>
          <w:rStyle w:val="COMexecsumnumberedparaChar"/>
        </w:rPr>
        <w:t>is used</w:t>
      </w:r>
      <w:proofErr w:type="gramEnd"/>
      <w:r w:rsidRPr="0059433B">
        <w:rPr>
          <w:rStyle w:val="COMexecsumnumberedparaChar"/>
        </w:rPr>
        <w:t xml:space="preserve"> as the primary endpoint in the key clinical trial (APOLLO). The submission noted that the detailed assessment of muscle weakness, muscle stretch reflexes, sensory loss and autonomic impairment </w:t>
      </w:r>
      <w:r w:rsidR="000C55EA" w:rsidRPr="0059433B">
        <w:rPr>
          <w:rStyle w:val="COMexecsumnumberedparaChar"/>
        </w:rPr>
        <w:t xml:space="preserve">required for the mNIS+7 </w:t>
      </w:r>
      <w:r w:rsidRPr="0059433B">
        <w:rPr>
          <w:rStyle w:val="COMexecsumnumberedparaChar"/>
        </w:rPr>
        <w:t xml:space="preserve">is valuable in clinical studies but requires specific </w:t>
      </w:r>
      <w:r w:rsidRPr="0059433B">
        <w:rPr>
          <w:rStyle w:val="COMexecsumnumberedparaChar"/>
        </w:rPr>
        <w:lastRenderedPageBreak/>
        <w:t>training and monitoring, and is time consuming to complete, which may limit the usefulness of this measure in clinical practice.</w:t>
      </w:r>
    </w:p>
    <w:p w14:paraId="34725BAA" w14:textId="7FECE0E6" w:rsidR="00230CBC" w:rsidRPr="0059433B" w:rsidRDefault="00230CBC" w:rsidP="00230CBC">
      <w:pPr>
        <w:pStyle w:val="COMexecsumnumberedpara"/>
      </w:pPr>
      <w:r w:rsidRPr="0059433B">
        <w:t xml:space="preserve">Patisiran is a small interfering ribonucleic acid (siRNA) therapeutic that </w:t>
      </w:r>
      <w:proofErr w:type="gramStart"/>
      <w:r w:rsidRPr="0059433B">
        <w:t>is specifically engineered</w:t>
      </w:r>
      <w:proofErr w:type="gramEnd"/>
      <w:r w:rsidRPr="0059433B">
        <w:t xml:space="preserve"> to target a sequence in the mRNA that codes for TTR, blocking production of the TTR protein, and thus reducing the accumulation of TTR-derived amyloid deposits in tissues and organs. Patisiran </w:t>
      </w:r>
      <w:proofErr w:type="gramStart"/>
      <w:r w:rsidRPr="0059433B">
        <w:t>is administered</w:t>
      </w:r>
      <w:proofErr w:type="gramEnd"/>
      <w:r w:rsidRPr="0059433B">
        <w:t xml:space="preserve"> every 3 weeks by intravenous infusion (over approximately 80 minutes).</w:t>
      </w:r>
      <w:r w:rsidR="00A66278" w:rsidRPr="0059433B">
        <w:t xml:space="preserve"> </w:t>
      </w:r>
      <w:r w:rsidRPr="0059433B">
        <w:t xml:space="preserve">At least 60 minutes prior to each patisiran infusion, patients receive premedication to minimise infusion-related adverse events, including intravenous (IV) corticosteroids (dexamethasone 10 mg, or equivalent), oral paracetamol (500 mg), IV H1 blocker (diphenhydramine 50 mg, or equivalent), and IV H2 blocker (ranitidine 50 mg, or equivalent). Co-administered therapies include best supportive care for symptom management. Treatment with patisiran </w:t>
      </w:r>
      <w:proofErr w:type="gramStart"/>
      <w:r w:rsidRPr="0059433B">
        <w:t>is expected</w:t>
      </w:r>
      <w:proofErr w:type="gramEnd"/>
      <w:r w:rsidRPr="0059433B">
        <w:t xml:space="preserve"> to be ongoing, subject to the clinical judgment of the treating physician.</w:t>
      </w:r>
    </w:p>
    <w:p w14:paraId="22334F1E" w14:textId="77777777" w:rsidR="00230CBC" w:rsidRPr="0059433B" w:rsidRDefault="00230CBC" w:rsidP="00230CBC">
      <w:pPr>
        <w:pStyle w:val="COMexecsumnumberedpara"/>
        <w:rPr>
          <w:color w:val="0066FF"/>
        </w:rPr>
      </w:pPr>
      <w:r w:rsidRPr="0059433B">
        <w:t xml:space="preserve">By reducing serum TTR protein, patisiran treatment leads to a decrease in serum vitamin A levels. Vitamin A supplementation at approximately 2500 IU per day </w:t>
      </w:r>
      <w:proofErr w:type="gramStart"/>
      <w:r w:rsidRPr="0059433B">
        <w:t>is advised</w:t>
      </w:r>
      <w:proofErr w:type="gramEnd"/>
      <w:r w:rsidRPr="0059433B">
        <w:t xml:space="preserve"> to reduce the potential risk of ocular toxicity due to vitamin A deficiency.</w:t>
      </w:r>
    </w:p>
    <w:p w14:paraId="2D9B606F" w14:textId="19E7456D" w:rsidR="00230CBC" w:rsidRPr="0059433B" w:rsidDel="00195452" w:rsidRDefault="00230CBC" w:rsidP="00233EF9">
      <w:pPr>
        <w:pStyle w:val="3-BodyText"/>
        <w:ind w:firstLine="0"/>
        <w:rPr>
          <w:iCs/>
          <w:color w:val="0066FF"/>
        </w:rPr>
      </w:pPr>
      <w:r w:rsidRPr="0059433B">
        <w:rPr>
          <w:i/>
        </w:rPr>
        <w:t>For more detail on PBAC’s view, see section 7 PBAC outcome.</w:t>
      </w:r>
    </w:p>
    <w:p w14:paraId="3CCF3BDF" w14:textId="77777777" w:rsidR="00230CBC" w:rsidRPr="0059433B" w:rsidRDefault="00230CBC" w:rsidP="00230CBC">
      <w:pPr>
        <w:pStyle w:val="COMH1numbered"/>
      </w:pPr>
      <w:bookmarkStart w:id="18" w:name="_Toc135226803"/>
      <w:r w:rsidRPr="0059433B">
        <w:t>Comparator</w:t>
      </w:r>
      <w:bookmarkEnd w:id="18"/>
    </w:p>
    <w:p w14:paraId="251B1753" w14:textId="5EB6601E" w:rsidR="00F126D4" w:rsidRPr="0059433B" w:rsidRDefault="00230CBC" w:rsidP="00D7061F">
      <w:pPr>
        <w:pStyle w:val="COMexecsumnumberedpara"/>
        <w:numPr>
          <w:ilvl w:val="1"/>
          <w:numId w:val="31"/>
        </w:numPr>
      </w:pPr>
      <w:r w:rsidRPr="0059433B">
        <w:t xml:space="preserve">The submission nominated BSC as the main comparator. The main argument provided in support of this nomination was that patisiran is the only therapy with market authorisation in Australian for patients with hATTR amyloidosis with polyneuropathy and there are no PBS-funded disease modifying treatments available for these patients. In the absence of disease modifying treatments, BSC </w:t>
      </w:r>
      <w:proofErr w:type="gramStart"/>
      <w:r w:rsidRPr="0059433B">
        <w:t>is provided</w:t>
      </w:r>
      <w:proofErr w:type="gramEnd"/>
      <w:r w:rsidRPr="0059433B">
        <w:t xml:space="preserve"> for relief of neuropathic pain and amelioration of symptoms of autonomic neuropathy. BSC varies based on the symptoms experienced, but may include treatments for early satiety, postural hypotension, diarrhoea/constipation, painful neuropathy, </w:t>
      </w:r>
      <w:r w:rsidR="00201A36" w:rsidRPr="0059433B">
        <w:t>light-headedness,</w:t>
      </w:r>
      <w:r w:rsidRPr="0059433B">
        <w:t xml:space="preserve"> and fainting.</w:t>
      </w:r>
    </w:p>
    <w:p w14:paraId="7D508EC6" w14:textId="014C8BB3" w:rsidR="00F126D4" w:rsidRPr="0059433B" w:rsidRDefault="00230CBC" w:rsidP="00230CBC">
      <w:pPr>
        <w:pStyle w:val="COMexecsumnumberedpara"/>
        <w:rPr>
          <w:iCs/>
        </w:rPr>
      </w:pPr>
      <w:r w:rsidRPr="0059433B">
        <w:t xml:space="preserve">Tafamidis </w:t>
      </w:r>
      <w:proofErr w:type="gramStart"/>
      <w:r w:rsidRPr="0059433B">
        <w:t>is TGA-approved</w:t>
      </w:r>
      <w:proofErr w:type="gramEnd"/>
      <w:r w:rsidRPr="0059433B">
        <w:t xml:space="preserve"> for the treatment of adult patients with wtATTR or hATTR amyloid </w:t>
      </w:r>
      <w:r w:rsidR="0066610E" w:rsidRPr="0059433B">
        <w:t>cardiomyopathy and</w:t>
      </w:r>
      <w:r w:rsidRPr="0059433B">
        <w:t xml:space="preserve"> is being considered for PBS listing at the July 2023 PBAC meeting</w:t>
      </w:r>
      <w:r w:rsidRPr="0059433B">
        <w:rPr>
          <w:rStyle w:val="FootnoteReference"/>
        </w:rPr>
        <w:footnoteReference w:id="2"/>
      </w:r>
      <w:r w:rsidRPr="0059433B">
        <w:t xml:space="preserve"> (refer</w:t>
      </w:r>
      <w:r w:rsidR="008A780C">
        <w:t xml:space="preserve"> to tafamidis </w:t>
      </w:r>
      <w:r w:rsidR="00F916B0" w:rsidRPr="0059433B">
        <w:t>Public Summary Document (PSD), July 202</w:t>
      </w:r>
      <w:r w:rsidR="00F916B0">
        <w:t xml:space="preserve">3 </w:t>
      </w:r>
      <w:r w:rsidR="00F916B0" w:rsidRPr="0059433B">
        <w:t>PBAC meeting</w:t>
      </w:r>
      <w:r w:rsidRPr="0059433B">
        <w:t>) for the treatment of transthyretin amyloid cardiomyopathy (also referred to as ATTR amyloidosis with cardiomyopathy or ATTR-CM). The submission noted that this patient group does not align with the indicated population and requested restriction for treatment with patisiran and</w:t>
      </w:r>
      <w:r w:rsidR="00ED0DCA" w:rsidRPr="0059433B">
        <w:t>,</w:t>
      </w:r>
      <w:r w:rsidRPr="0059433B">
        <w:t xml:space="preserve"> as such, tafamidis is not a near-market comparator. </w:t>
      </w:r>
      <w:r w:rsidRPr="0059433B">
        <w:rPr>
          <w:iCs/>
        </w:rPr>
        <w:t xml:space="preserve">There may be </w:t>
      </w:r>
      <w:proofErr w:type="gramStart"/>
      <w:r w:rsidRPr="0059433B">
        <w:rPr>
          <w:iCs/>
        </w:rPr>
        <w:t>some</w:t>
      </w:r>
      <w:proofErr w:type="gramEnd"/>
      <w:r w:rsidRPr="0059433B">
        <w:rPr>
          <w:iCs/>
        </w:rPr>
        <w:t xml:space="preserve"> overlap in the relevant patient groups for tafamidis and patisiran, as some patients with hATTR amyloidosis will experience mixed </w:t>
      </w:r>
      <w:r w:rsidRPr="0059433B">
        <w:rPr>
          <w:iCs/>
        </w:rPr>
        <w:lastRenderedPageBreak/>
        <w:t>neuropathy and cardiac symptoms. Australian data from the AAN (see above) suggests that approximately 25% of prevalent patients have mixed symptoms.</w:t>
      </w:r>
    </w:p>
    <w:p w14:paraId="1BF6BDB5" w14:textId="3557C3A9" w:rsidR="00F126D4" w:rsidRPr="0059433B" w:rsidRDefault="00230CBC" w:rsidP="00230CBC">
      <w:pPr>
        <w:pStyle w:val="COMexecsumnumberedpara"/>
      </w:pPr>
      <w:r w:rsidRPr="0059433B">
        <w:t xml:space="preserve">The submission also noted that the PBAC has previously considered that diflunisal, which is not currently listed on the Australian Register of Therapeutic Goods, but used off-label in some patients with ATTR with cardiomyopathy, was not a near-market comparator for tafamidis (para 5.3, tafamidis PSD, July 2020 PBAC meeting), and therefore would not be a near-market comparator for patisiran. </w:t>
      </w:r>
      <w:r w:rsidRPr="0059433B">
        <w:rPr>
          <w:iCs/>
        </w:rPr>
        <w:t xml:space="preserve">While not currently registered for use in Australia, diflunisal may </w:t>
      </w:r>
      <w:proofErr w:type="gramStart"/>
      <w:r w:rsidRPr="0059433B">
        <w:rPr>
          <w:iCs/>
        </w:rPr>
        <w:t>be accessed</w:t>
      </w:r>
      <w:proofErr w:type="gramEnd"/>
      <w:r w:rsidRPr="0059433B">
        <w:rPr>
          <w:iCs/>
        </w:rPr>
        <w:t xml:space="preserve"> through the Special Access Scheme (SAS) for </w:t>
      </w:r>
      <w:r w:rsidR="00ED0DCA" w:rsidRPr="0059433B">
        <w:rPr>
          <w:iCs/>
        </w:rPr>
        <w:t xml:space="preserve">treatment </w:t>
      </w:r>
      <w:r w:rsidRPr="0059433B">
        <w:rPr>
          <w:iCs/>
        </w:rPr>
        <w:t>of amyloidosis</w:t>
      </w:r>
      <w:r w:rsidRPr="0059433B">
        <w:rPr>
          <w:rStyle w:val="FootnoteReference"/>
          <w:iCs/>
        </w:rPr>
        <w:footnoteReference w:id="3"/>
      </w:r>
      <w:r w:rsidRPr="0059433B">
        <w:rPr>
          <w:iCs/>
        </w:rPr>
        <w:t>.</w:t>
      </w:r>
      <w:r w:rsidR="0014071D" w:rsidRPr="0059433B">
        <w:rPr>
          <w:iCs/>
        </w:rPr>
        <w:t xml:space="preserve"> </w:t>
      </w:r>
      <w:r w:rsidRPr="0059433B">
        <w:rPr>
          <w:iCs/>
          <w:color w:val="000000" w:themeColor="text1"/>
        </w:rPr>
        <w:t>Published guidelines proposed by expert consensus (Ando 2022)</w:t>
      </w:r>
      <w:r w:rsidRPr="0059433B">
        <w:rPr>
          <w:rStyle w:val="FootnoteReference"/>
          <w:iCs/>
          <w:color w:val="000000" w:themeColor="text1"/>
        </w:rPr>
        <w:footnoteReference w:id="4"/>
      </w:r>
      <w:r w:rsidRPr="0059433B">
        <w:rPr>
          <w:iCs/>
          <w:color w:val="000000" w:themeColor="text1"/>
        </w:rPr>
        <w:t xml:space="preserve"> r</w:t>
      </w:r>
      <w:r w:rsidRPr="0059433B">
        <w:rPr>
          <w:iCs/>
        </w:rPr>
        <w:t>eported that diflunisal inhibited progression for patients with familial ATTR amyloidosis, based on an international, placebo-controlled RCT which enrolled 130 patients with hereditary TTR amyloid polyneuropathy.</w:t>
      </w:r>
      <w:r w:rsidR="0014071D" w:rsidRPr="0059433B">
        <w:rPr>
          <w:iCs/>
        </w:rPr>
        <w:t xml:space="preserve"> </w:t>
      </w:r>
      <w:r w:rsidRPr="0059433B">
        <w:rPr>
          <w:iCs/>
        </w:rPr>
        <w:t>The AAN has reported that diflunisal has efficacy in delaying the prevention of peripheral neuropathy in hATTR amyloidosis and may be useful to delay progression of cardiomyopathy in ATTR amyloidosis as well</w:t>
      </w:r>
      <w:r w:rsidRPr="0059433B">
        <w:rPr>
          <w:rStyle w:val="FootnoteReference"/>
          <w:iCs/>
        </w:rPr>
        <w:footnoteReference w:id="5"/>
      </w:r>
      <w:r w:rsidRPr="0059433B">
        <w:rPr>
          <w:iCs/>
        </w:rPr>
        <w:t>.</w:t>
      </w:r>
    </w:p>
    <w:p w14:paraId="152E9AB2" w14:textId="1682334D" w:rsidR="00230CBC" w:rsidRPr="0059433B" w:rsidRDefault="00230CBC" w:rsidP="00230CBC">
      <w:pPr>
        <w:pStyle w:val="COMexecsumnumberedpara"/>
      </w:pPr>
      <w:r w:rsidRPr="0059433B">
        <w:t xml:space="preserve">Other disease-modifying treatments for hATTR amyloidosis with polyneuropathy </w:t>
      </w:r>
      <w:proofErr w:type="gramStart"/>
      <w:r w:rsidRPr="0059433B">
        <w:t>are approved</w:t>
      </w:r>
      <w:proofErr w:type="gramEnd"/>
      <w:r w:rsidRPr="0059433B">
        <w:t xml:space="preserve"> for use in other countries. Vutrisiran (administered by subcutaneous injection every 3 months) and inotersen (once-weekly subcutaneous injection) have a similar mechanism of action to patisiran. </w:t>
      </w:r>
      <w:r w:rsidRPr="0059433B">
        <w:rPr>
          <w:iCs/>
        </w:rPr>
        <w:t xml:space="preserve">Whilst these therapies </w:t>
      </w:r>
      <w:proofErr w:type="gramStart"/>
      <w:r w:rsidRPr="0059433B">
        <w:rPr>
          <w:iCs/>
        </w:rPr>
        <w:t>are not currently TGA-approved</w:t>
      </w:r>
      <w:proofErr w:type="gramEnd"/>
      <w:r w:rsidRPr="0059433B">
        <w:rPr>
          <w:iCs/>
        </w:rPr>
        <w:t xml:space="preserve"> or PBS-listed for use in Australian patients, they may be potential future comparators</w:t>
      </w:r>
      <w:r w:rsidRPr="0059433B">
        <w:t>.</w:t>
      </w:r>
    </w:p>
    <w:p w14:paraId="37F14EFE" w14:textId="77777777" w:rsidR="00230CBC" w:rsidRPr="0059433B" w:rsidRDefault="00230CBC" w:rsidP="00230CBC">
      <w:pPr>
        <w:pStyle w:val="COMexecsumnumberedpara"/>
      </w:pPr>
      <w:r w:rsidRPr="0059433B">
        <w:t xml:space="preserve">Orthotopic liver transplant was not considered a suitable comparator, as it is only an option for </w:t>
      </w:r>
      <w:proofErr w:type="gramStart"/>
      <w:r w:rsidRPr="0059433B">
        <w:t>a very small</w:t>
      </w:r>
      <w:proofErr w:type="gramEnd"/>
      <w:r w:rsidRPr="0059433B">
        <w:t xml:space="preserve"> number of patients with early-stage hATTR amyloidosis with polyneuropathy, and is associated with high mortality and morbidity, as well as worsening of polyneuropathy within 3 to 5 years post-transplant for some patients. The ESC considered this was reasonable as liver transplant </w:t>
      </w:r>
      <w:proofErr w:type="gramStart"/>
      <w:r w:rsidRPr="0059433B">
        <w:t>is no longer considered</w:t>
      </w:r>
      <w:proofErr w:type="gramEnd"/>
      <w:r w:rsidRPr="0059433B">
        <w:t xml:space="preserve"> a treatment option in practice, noting that the condition is known to progress after liver transplant.</w:t>
      </w:r>
    </w:p>
    <w:p w14:paraId="606DC746" w14:textId="5DFF6E50" w:rsidR="00230CBC" w:rsidRPr="0059433B" w:rsidRDefault="00230CBC" w:rsidP="00233EF9">
      <w:pPr>
        <w:pStyle w:val="3-BodyText"/>
        <w:ind w:firstLine="0"/>
        <w:rPr>
          <w:iCs/>
          <w:color w:val="0066FF"/>
        </w:rPr>
      </w:pPr>
      <w:r w:rsidRPr="0059433B">
        <w:rPr>
          <w:i/>
        </w:rPr>
        <w:t>For more detail on PBAC’s view, see section 7 PBAC outcome.</w:t>
      </w:r>
    </w:p>
    <w:p w14:paraId="6E82A7A9" w14:textId="77777777" w:rsidR="00230CBC" w:rsidRPr="0059433B" w:rsidRDefault="00230CBC" w:rsidP="00230CBC">
      <w:pPr>
        <w:pStyle w:val="COMH1numbered"/>
      </w:pPr>
      <w:bookmarkStart w:id="19" w:name="_Toc135226804"/>
      <w:r w:rsidRPr="0059433B">
        <w:lastRenderedPageBreak/>
        <w:t>Consideration of the evidence</w:t>
      </w:r>
      <w:bookmarkStart w:id="20" w:name="_Toc22897640"/>
      <w:bookmarkEnd w:id="19"/>
    </w:p>
    <w:p w14:paraId="05A97803" w14:textId="77777777" w:rsidR="00F126D4" w:rsidRPr="0059433B" w:rsidRDefault="00230CBC" w:rsidP="00230CBC">
      <w:pPr>
        <w:pStyle w:val="3-SubsectionHeading"/>
      </w:pPr>
      <w:bookmarkStart w:id="21" w:name="_Hlk76375935"/>
      <w:bookmarkStart w:id="22" w:name="_Toc135226805"/>
      <w:r w:rsidRPr="0059433B">
        <w:t>Sponsor hearing</w:t>
      </w:r>
    </w:p>
    <w:p w14:paraId="7A7BAE53" w14:textId="47125B99" w:rsidR="00230CBC" w:rsidRPr="00BD2F36" w:rsidRDefault="00230CBC" w:rsidP="00BD2F36">
      <w:pPr>
        <w:pStyle w:val="COMexecsumnumberedpara"/>
        <w:numPr>
          <w:ilvl w:val="1"/>
          <w:numId w:val="26"/>
        </w:numPr>
        <w:rPr>
          <w:lang w:eastAsia="en-US"/>
        </w:rPr>
      </w:pPr>
      <w:bookmarkStart w:id="23" w:name="_Hlk76382586"/>
      <w:r w:rsidRPr="00BD2F36">
        <w:t>The sponsor requested a hearing for this item.</w:t>
      </w:r>
      <w:r w:rsidR="0014071D" w:rsidRPr="00BD2F36">
        <w:t xml:space="preserve"> </w:t>
      </w:r>
      <w:r w:rsidRPr="00BD2F36">
        <w:t>The clinician discussed the natural history of the disease and the impact of the condition on patient quality of life.</w:t>
      </w:r>
      <w:r w:rsidR="0014071D" w:rsidRPr="00BD2F36">
        <w:t xml:space="preserve"> </w:t>
      </w:r>
      <w:r w:rsidRPr="00BD2F36">
        <w:t xml:space="preserve">The clinician also discussed the genetic characteristics of </w:t>
      </w:r>
      <w:r w:rsidRPr="0059433B">
        <w:t>hATTR</w:t>
      </w:r>
      <w:r w:rsidRPr="00BD2F36">
        <w:t xml:space="preserve"> in </w:t>
      </w:r>
      <w:r w:rsidR="0066610E" w:rsidRPr="00BD2F36">
        <w:t>Australia and</w:t>
      </w:r>
      <w:r w:rsidRPr="00BD2F36">
        <w:t xml:space="preserve"> presented clinical case studies The PBAC considered that the hearing was informative as it provided a</w:t>
      </w:r>
      <w:r w:rsidR="00ED0DCA" w:rsidRPr="00BD2F36">
        <w:t xml:space="preserve">n experienced </w:t>
      </w:r>
      <w:r w:rsidRPr="00BD2F36">
        <w:t xml:space="preserve">clinical perspective on </w:t>
      </w:r>
      <w:r w:rsidR="00ED0DCA" w:rsidRPr="00BD2F36">
        <w:t xml:space="preserve">managing </w:t>
      </w:r>
      <w:r w:rsidRPr="00BD2F36">
        <w:t>this uncommon disease.</w:t>
      </w:r>
    </w:p>
    <w:bookmarkEnd w:id="23"/>
    <w:p w14:paraId="75DB9D49" w14:textId="77777777" w:rsidR="00230CBC" w:rsidRPr="0059433B" w:rsidRDefault="00230CBC" w:rsidP="00230CBC">
      <w:pPr>
        <w:pStyle w:val="3-SubsectionHeading"/>
      </w:pPr>
      <w:r w:rsidRPr="0059433B">
        <w:t>Consumer comments</w:t>
      </w:r>
    </w:p>
    <w:p w14:paraId="052DF288" w14:textId="2ED1FAE5" w:rsidR="00230CBC" w:rsidRPr="00F27B5E" w:rsidRDefault="00230CBC" w:rsidP="00F27B5E">
      <w:pPr>
        <w:pStyle w:val="COMexecsumnumberedpara"/>
        <w:numPr>
          <w:ilvl w:val="1"/>
          <w:numId w:val="26"/>
        </w:numPr>
        <w:rPr>
          <w:bCs/>
          <w:lang w:eastAsia="en-US"/>
        </w:rPr>
      </w:pPr>
      <w:bookmarkStart w:id="24" w:name="_Hlk76382618"/>
      <w:r w:rsidRPr="00F27B5E">
        <w:rPr>
          <w:bCs/>
        </w:rPr>
        <w:t>The PBAC noted and welcomed the input from individuals (57) and organisations (2) via the Consumer Comments facility on the PBS website.</w:t>
      </w:r>
      <w:r w:rsidR="0014071D" w:rsidRPr="00F27B5E">
        <w:rPr>
          <w:bCs/>
        </w:rPr>
        <w:t xml:space="preserve"> </w:t>
      </w:r>
      <w:r w:rsidRPr="00F27B5E">
        <w:rPr>
          <w:bCs/>
        </w:rPr>
        <w:t>The comments described a range of benefits of treatment with patisiran including improvement in the individual’s condition and the slowing of deterioration.</w:t>
      </w:r>
      <w:r w:rsidR="0014071D" w:rsidRPr="00F27B5E">
        <w:rPr>
          <w:bCs/>
        </w:rPr>
        <w:t xml:space="preserve"> </w:t>
      </w:r>
      <w:r w:rsidRPr="00F27B5E">
        <w:rPr>
          <w:bCs/>
          <w:lang w:eastAsia="en-US"/>
        </w:rPr>
        <w:t>The input also described an improvement in quality of life on treatment, but noted the time needed for regular infusions.</w:t>
      </w:r>
      <w:r w:rsidR="0014071D" w:rsidRPr="00F27B5E">
        <w:rPr>
          <w:bCs/>
          <w:lang w:eastAsia="en-US"/>
        </w:rPr>
        <w:t xml:space="preserve"> </w:t>
      </w:r>
      <w:r w:rsidRPr="00F27B5E">
        <w:rPr>
          <w:bCs/>
          <w:lang w:eastAsia="en-US"/>
        </w:rPr>
        <w:t>The input described anticipated improvements in ability to perform daily activities and live a more fulfilling life due to treatment. T</w:t>
      </w:r>
      <w:r w:rsidRPr="00F27B5E">
        <w:rPr>
          <w:bCs/>
        </w:rPr>
        <w:t xml:space="preserve">he input </w:t>
      </w:r>
      <w:r w:rsidRPr="00F27B5E">
        <w:rPr>
          <w:bCs/>
          <w:lang w:eastAsia="en-US"/>
        </w:rPr>
        <w:t xml:space="preserve">indicated minimal side effects </w:t>
      </w:r>
      <w:proofErr w:type="gramStart"/>
      <w:r w:rsidRPr="00F27B5E">
        <w:rPr>
          <w:bCs/>
          <w:lang w:eastAsia="en-US"/>
        </w:rPr>
        <w:t>were anticipated</w:t>
      </w:r>
      <w:proofErr w:type="gramEnd"/>
      <w:r w:rsidRPr="00F27B5E">
        <w:rPr>
          <w:bCs/>
          <w:lang w:eastAsia="en-US"/>
        </w:rPr>
        <w:t xml:space="preserve">. Concerns </w:t>
      </w:r>
      <w:proofErr w:type="gramStart"/>
      <w:r w:rsidRPr="00F27B5E">
        <w:rPr>
          <w:bCs/>
          <w:lang w:eastAsia="en-US"/>
        </w:rPr>
        <w:t>were raised</w:t>
      </w:r>
      <w:proofErr w:type="gramEnd"/>
      <w:r w:rsidRPr="00F27B5E">
        <w:rPr>
          <w:bCs/>
          <w:lang w:eastAsia="en-US"/>
        </w:rPr>
        <w:t xml:space="preserve"> regarding the unaffordability of the drug without compassionate access.</w:t>
      </w:r>
    </w:p>
    <w:p w14:paraId="4EBE0C5E" w14:textId="7CC2072B" w:rsidR="00230CBC" w:rsidRPr="0059433B" w:rsidRDefault="00230CBC" w:rsidP="00F27B5E">
      <w:pPr>
        <w:pStyle w:val="COMexecsumnumberedpara"/>
        <w:rPr>
          <w:bCs/>
        </w:rPr>
      </w:pPr>
      <w:r w:rsidRPr="0059433B">
        <w:rPr>
          <w:bCs/>
        </w:rPr>
        <w:t>The PBAC noted the advice received from the Australian Amyloidosis Network (AAN) discussing the effects of the condition and need for effective therapies.</w:t>
      </w:r>
      <w:r w:rsidR="0014071D" w:rsidRPr="0059433B">
        <w:rPr>
          <w:bCs/>
        </w:rPr>
        <w:t xml:space="preserve"> </w:t>
      </w:r>
      <w:r w:rsidRPr="0059433B">
        <w:rPr>
          <w:bCs/>
        </w:rPr>
        <w:t xml:space="preserve">It </w:t>
      </w:r>
      <w:proofErr w:type="gramStart"/>
      <w:r w:rsidRPr="0059433B">
        <w:rPr>
          <w:bCs/>
        </w:rPr>
        <w:t>was noted</w:t>
      </w:r>
      <w:proofErr w:type="gramEnd"/>
      <w:r w:rsidRPr="0059433B">
        <w:rPr>
          <w:bCs/>
        </w:rPr>
        <w:t xml:space="preserve"> that patients with </w:t>
      </w:r>
      <w:r w:rsidRPr="0059433B">
        <w:t xml:space="preserve">hATTR are typically </w:t>
      </w:r>
      <w:r w:rsidRPr="0059433B">
        <w:rPr>
          <w:bCs/>
        </w:rPr>
        <w:t xml:space="preserve">younger than their </w:t>
      </w:r>
      <w:r w:rsidRPr="0059433B">
        <w:t>wtATTR</w:t>
      </w:r>
      <w:r w:rsidRPr="0059433B">
        <w:rPr>
          <w:bCs/>
        </w:rPr>
        <w:t xml:space="preserve"> counterparts, and they require assistance from multiple specialists to continue to function as best they can.</w:t>
      </w:r>
      <w:r w:rsidR="0014071D" w:rsidRPr="0059433B">
        <w:rPr>
          <w:bCs/>
        </w:rPr>
        <w:t xml:space="preserve"> </w:t>
      </w:r>
      <w:r w:rsidRPr="0059433B">
        <w:rPr>
          <w:bCs/>
        </w:rPr>
        <w:t>The AAN supported the proposed listing based on clinical experience with patisiran in clinical trials and medicine access programs.</w:t>
      </w:r>
      <w:r w:rsidR="0014071D" w:rsidRPr="0059433B">
        <w:rPr>
          <w:bCs/>
        </w:rPr>
        <w:t xml:space="preserve"> </w:t>
      </w:r>
      <w:r w:rsidRPr="0059433B">
        <w:rPr>
          <w:bCs/>
        </w:rPr>
        <w:t xml:space="preserve">The medication </w:t>
      </w:r>
      <w:proofErr w:type="gramStart"/>
      <w:r w:rsidRPr="0059433B">
        <w:rPr>
          <w:bCs/>
        </w:rPr>
        <w:t>was described</w:t>
      </w:r>
      <w:proofErr w:type="gramEnd"/>
      <w:r w:rsidRPr="0059433B">
        <w:rPr>
          <w:bCs/>
        </w:rPr>
        <w:t xml:space="preserve"> as well tolerated with minimal and manageable toxicity.</w:t>
      </w:r>
    </w:p>
    <w:p w14:paraId="79293E5F" w14:textId="77777777" w:rsidR="00F126D4" w:rsidRPr="0059433B" w:rsidRDefault="00230CBC" w:rsidP="00F27B5E">
      <w:pPr>
        <w:pStyle w:val="COMexecsumnumberedpara"/>
        <w:rPr>
          <w:bCs/>
        </w:rPr>
      </w:pPr>
      <w:r w:rsidRPr="0059433B">
        <w:rPr>
          <w:bCs/>
        </w:rPr>
        <w:t xml:space="preserve">The PBAC noted the advice from the Amyloidosis Research Consortium which reported on an online global survey conducted using the </w:t>
      </w:r>
      <w:r w:rsidRPr="0059433B">
        <w:rPr>
          <w:sz w:val="23"/>
          <w:szCs w:val="23"/>
        </w:rPr>
        <w:t>ATTR Quality of Life Questionnaire to measure symptoms and the impact of ATTR on physical functioning, activities of daily living, emotional well-being, and productivity (n=390).</w:t>
      </w:r>
      <w:r w:rsidR="0014071D" w:rsidRPr="0059433B">
        <w:rPr>
          <w:sz w:val="23"/>
          <w:szCs w:val="23"/>
        </w:rPr>
        <w:t xml:space="preserve"> </w:t>
      </w:r>
      <w:r w:rsidRPr="0059433B">
        <w:rPr>
          <w:sz w:val="23"/>
          <w:szCs w:val="23"/>
        </w:rPr>
        <w:t>Of patients completing the survey, 56 (14%) had PN only and 57 (40%) reported both CM and PN.</w:t>
      </w:r>
      <w:r w:rsidR="0014071D" w:rsidRPr="0059433B">
        <w:rPr>
          <w:sz w:val="23"/>
          <w:szCs w:val="23"/>
        </w:rPr>
        <w:t xml:space="preserve"> </w:t>
      </w:r>
      <w:r w:rsidRPr="0059433B">
        <w:rPr>
          <w:sz w:val="23"/>
          <w:szCs w:val="23"/>
        </w:rPr>
        <w:t xml:space="preserve">The input provided a </w:t>
      </w:r>
      <w:r w:rsidRPr="0059433B">
        <w:rPr>
          <w:bCs/>
        </w:rPr>
        <w:t>detailed description of physical effects, impacts on QOL (physical and emotional), and concerns about the future reported by patients.</w:t>
      </w:r>
      <w:bookmarkEnd w:id="21"/>
      <w:bookmarkEnd w:id="24"/>
    </w:p>
    <w:p w14:paraId="4CF22A96" w14:textId="516DB799" w:rsidR="00230CBC" w:rsidRPr="0059433B" w:rsidRDefault="00230CBC" w:rsidP="00230CBC">
      <w:pPr>
        <w:pStyle w:val="COMH2-non-numbered"/>
      </w:pPr>
      <w:r w:rsidRPr="0059433B">
        <w:t>Clinical trials</w:t>
      </w:r>
      <w:bookmarkEnd w:id="20"/>
      <w:bookmarkEnd w:id="22"/>
    </w:p>
    <w:p w14:paraId="0158A180" w14:textId="77777777" w:rsidR="00230CBC" w:rsidRPr="0059433B" w:rsidRDefault="00230CBC" w:rsidP="00230CBC">
      <w:pPr>
        <w:pStyle w:val="COMexecsumnumberedpara"/>
      </w:pPr>
      <w:r w:rsidRPr="0059433B">
        <w:rPr>
          <w:snapToGrid/>
        </w:rPr>
        <w:t>The submission was based on one randomised placebo-controlled trial (APOLLO) comparing patisiran with placebo in patients with hATTR amyloidosis with polyneuropathy (n=225).</w:t>
      </w:r>
    </w:p>
    <w:p w14:paraId="54FD1993" w14:textId="77777777" w:rsidR="00F126D4" w:rsidRPr="0059433B" w:rsidRDefault="00230CBC" w:rsidP="00230CBC">
      <w:pPr>
        <w:pStyle w:val="COMexecsumnumberedpara"/>
      </w:pPr>
      <w:bookmarkStart w:id="25" w:name="_Hlk142040953"/>
      <w:r w:rsidRPr="0059433B">
        <w:t xml:space="preserve">The submission also presented a brief summary of efficacy and safety outcomes from a phase 2 multiple ascending dose study (ALN-TTR02-002) and associated open label extension study (ALN-TTR02-003), as well as interim results from an ongoing global </w:t>
      </w:r>
      <w:r w:rsidRPr="0059433B">
        <w:lastRenderedPageBreak/>
        <w:t>open label extension study (Global OLE, ALN-TTR02-006). Patients who completed studies ALN-TTR02-003 or the APOLLO trial were eligible to continue into the Global OLE study.</w:t>
      </w:r>
    </w:p>
    <w:bookmarkEnd w:id="25"/>
    <w:p w14:paraId="4CC5F852" w14:textId="3E4AC1E4" w:rsidR="00230CBC" w:rsidRPr="0059433B" w:rsidRDefault="00230CBC" w:rsidP="00230CBC">
      <w:pPr>
        <w:pStyle w:val="COMexecsumnumberedpara"/>
      </w:pPr>
      <w:r w:rsidRPr="0059433B">
        <w:rPr>
          <w:snapToGrid/>
        </w:rPr>
        <w:t xml:space="preserve">Details of the trials presented in the submission </w:t>
      </w:r>
      <w:proofErr w:type="gramStart"/>
      <w:r w:rsidRPr="0059433B">
        <w:rPr>
          <w:snapToGrid/>
        </w:rPr>
        <w:t>are provided</w:t>
      </w:r>
      <w:proofErr w:type="gramEnd"/>
      <w:r w:rsidRPr="0059433B">
        <w:rPr>
          <w:snapToGrid/>
        </w:rPr>
        <w:t xml:space="preserve"> in </w:t>
      </w:r>
      <w:r w:rsidRPr="0059433B">
        <w:rPr>
          <w:snapToGrid/>
        </w:rPr>
        <w:fldChar w:fldCharType="begin" w:fldLock="1"/>
      </w:r>
      <w:r w:rsidRPr="0059433B">
        <w:rPr>
          <w:snapToGrid/>
        </w:rPr>
        <w:instrText xml:space="preserve"> REF _Ref132619715 \h </w:instrText>
      </w:r>
      <w:r w:rsidRPr="0059433B">
        <w:rPr>
          <w:snapToGrid/>
        </w:rPr>
      </w:r>
      <w:r w:rsidRPr="0059433B">
        <w:rPr>
          <w:snapToGrid/>
        </w:rPr>
        <w:fldChar w:fldCharType="separate"/>
      </w:r>
      <w:r w:rsidR="00042B2E" w:rsidRPr="0059433B">
        <w:t>Table 3</w:t>
      </w:r>
      <w:r w:rsidRPr="0059433B">
        <w:rPr>
          <w:snapToGrid/>
        </w:rPr>
        <w:fldChar w:fldCharType="end"/>
      </w:r>
      <w:r w:rsidRPr="0059433B">
        <w:rPr>
          <w:snapToGrid/>
        </w:rPr>
        <w:t>.</w:t>
      </w:r>
    </w:p>
    <w:p w14:paraId="61D44CEF" w14:textId="7BF68E06" w:rsidR="00230CBC" w:rsidRPr="0059433B" w:rsidRDefault="00230CBC" w:rsidP="00230CBC">
      <w:pPr>
        <w:pStyle w:val="COMTableheadingrow"/>
        <w:rPr>
          <w:lang w:val="en-AU"/>
        </w:rPr>
      </w:pPr>
      <w:bookmarkStart w:id="26" w:name="_Ref132619715"/>
      <w:r w:rsidRPr="0059433B">
        <w:rPr>
          <w:lang w:val="en-AU"/>
        </w:rPr>
        <w:t xml:space="preserve">Table </w:t>
      </w:r>
      <w:r w:rsidRPr="0059433B">
        <w:rPr>
          <w:lang w:val="en-AU"/>
        </w:rPr>
        <w:fldChar w:fldCharType="begin" w:fldLock="1"/>
      </w:r>
      <w:r w:rsidRPr="0059433B">
        <w:rPr>
          <w:lang w:val="en-AU"/>
        </w:rPr>
        <w:instrText xml:space="preserve"> SEQ Table \* ARABIC </w:instrText>
      </w:r>
      <w:r w:rsidRPr="0059433B">
        <w:rPr>
          <w:lang w:val="en-AU"/>
        </w:rPr>
        <w:fldChar w:fldCharType="separate"/>
      </w:r>
      <w:r w:rsidR="00042B2E" w:rsidRPr="0059433B">
        <w:rPr>
          <w:lang w:val="en-AU"/>
        </w:rPr>
        <w:t>3</w:t>
      </w:r>
      <w:r w:rsidRPr="0059433B">
        <w:rPr>
          <w:lang w:val="en-AU"/>
        </w:rPr>
        <w:fldChar w:fldCharType="end"/>
      </w:r>
      <w:bookmarkEnd w:id="26"/>
      <w:r w:rsidRPr="0059433B">
        <w:rPr>
          <w:lang w:val="en-AU"/>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230CBC" w:rsidRPr="0059433B" w14:paraId="3A591A74" w14:textId="77777777" w:rsidTr="00C5774C">
        <w:trPr>
          <w:tblHeader/>
        </w:trPr>
        <w:tc>
          <w:tcPr>
            <w:tcW w:w="796" w:type="pct"/>
            <w:vAlign w:val="center"/>
          </w:tcPr>
          <w:p w14:paraId="2898634A" w14:textId="77777777" w:rsidR="00230CBC" w:rsidRPr="0059433B" w:rsidRDefault="00230CBC" w:rsidP="00C5774C">
            <w:pPr>
              <w:pStyle w:val="COMTableheadingrow"/>
              <w:rPr>
                <w:lang w:val="en-AU"/>
              </w:rPr>
            </w:pPr>
            <w:r w:rsidRPr="0059433B">
              <w:rPr>
                <w:lang w:val="en-AU"/>
              </w:rPr>
              <w:t>Trial ID</w:t>
            </w:r>
          </w:p>
        </w:tc>
        <w:tc>
          <w:tcPr>
            <w:tcW w:w="3027" w:type="pct"/>
            <w:tcBorders>
              <w:bottom w:val="single" w:sz="4" w:space="0" w:color="auto"/>
            </w:tcBorders>
            <w:vAlign w:val="center"/>
          </w:tcPr>
          <w:p w14:paraId="7925C806" w14:textId="77777777" w:rsidR="00230CBC" w:rsidRPr="0059433B" w:rsidRDefault="00230CBC" w:rsidP="00C5774C">
            <w:pPr>
              <w:pStyle w:val="COMTableheadingrow"/>
              <w:rPr>
                <w:lang w:val="en-AU"/>
              </w:rPr>
            </w:pPr>
            <w:r w:rsidRPr="0059433B">
              <w:rPr>
                <w:lang w:val="en-AU"/>
              </w:rPr>
              <w:t>Protocol title/ Publication title</w:t>
            </w:r>
          </w:p>
        </w:tc>
        <w:tc>
          <w:tcPr>
            <w:tcW w:w="1177" w:type="pct"/>
            <w:tcBorders>
              <w:bottom w:val="single" w:sz="4" w:space="0" w:color="auto"/>
            </w:tcBorders>
            <w:vAlign w:val="center"/>
          </w:tcPr>
          <w:p w14:paraId="39778C96" w14:textId="77777777" w:rsidR="00230CBC" w:rsidRPr="0059433B" w:rsidRDefault="00230CBC" w:rsidP="00C5774C">
            <w:pPr>
              <w:pStyle w:val="COMTableheadingrow"/>
              <w:rPr>
                <w:lang w:val="en-AU"/>
              </w:rPr>
            </w:pPr>
            <w:r w:rsidRPr="0059433B">
              <w:rPr>
                <w:lang w:val="en-AU"/>
              </w:rPr>
              <w:t>Publication citation</w:t>
            </w:r>
          </w:p>
        </w:tc>
      </w:tr>
      <w:tr w:rsidR="00230CBC" w:rsidRPr="0059433B" w14:paraId="3B8DCF04" w14:textId="77777777" w:rsidTr="00C5774C">
        <w:tc>
          <w:tcPr>
            <w:tcW w:w="796" w:type="pct"/>
            <w:vMerge w:val="restart"/>
            <w:vAlign w:val="center"/>
          </w:tcPr>
          <w:p w14:paraId="0758A451" w14:textId="77777777" w:rsidR="00230CBC" w:rsidRPr="0059433B" w:rsidRDefault="00230CBC" w:rsidP="00C5774C">
            <w:pPr>
              <w:pStyle w:val="COMTabletext"/>
            </w:pPr>
            <w:r w:rsidRPr="0059433B">
              <w:t>APOLLO</w:t>
            </w:r>
          </w:p>
          <w:p w14:paraId="6EA47889" w14:textId="77777777" w:rsidR="00230CBC" w:rsidRPr="0059433B" w:rsidRDefault="00230CBC" w:rsidP="00C5774C">
            <w:pPr>
              <w:pStyle w:val="COMTabletext"/>
            </w:pPr>
            <w:r w:rsidRPr="0059433B">
              <w:t>(ALN-TTR02-004)</w:t>
            </w:r>
          </w:p>
        </w:tc>
        <w:tc>
          <w:tcPr>
            <w:tcW w:w="3027" w:type="pct"/>
            <w:tcBorders>
              <w:bottom w:val="nil"/>
            </w:tcBorders>
          </w:tcPr>
          <w:p w14:paraId="36B11A0E" w14:textId="77777777" w:rsidR="00230CBC" w:rsidRPr="0059433B" w:rsidRDefault="00230CBC" w:rsidP="00C5774C">
            <w:pPr>
              <w:pStyle w:val="COMTabletext"/>
              <w:rPr>
                <w:szCs w:val="18"/>
              </w:rPr>
            </w:pPr>
            <w:r w:rsidRPr="0059433B">
              <w:rPr>
                <w:szCs w:val="18"/>
              </w:rPr>
              <w:t>APOLLO: A Phase 3 Multicenter, Multinational, Randomized, Double-blind, Placebo-controlled Study to Evaluate the Efficacy and Safety of Patisiran (ALN-TTR02) in Transthyretin (TTR)-Mediated Polyneuropathy (Familial Amyloidotic Polyneuropathy-FAP).</w:t>
            </w:r>
          </w:p>
        </w:tc>
        <w:tc>
          <w:tcPr>
            <w:tcW w:w="1177" w:type="pct"/>
            <w:tcBorders>
              <w:bottom w:val="nil"/>
            </w:tcBorders>
          </w:tcPr>
          <w:p w14:paraId="43414F59" w14:textId="77777777" w:rsidR="00230CBC" w:rsidRPr="0059433B" w:rsidRDefault="00230CBC" w:rsidP="00C5774C">
            <w:pPr>
              <w:pStyle w:val="COMTabletext"/>
            </w:pPr>
            <w:r w:rsidRPr="0059433B">
              <w:t>Clinical Study Report, August 2017</w:t>
            </w:r>
          </w:p>
        </w:tc>
      </w:tr>
      <w:tr w:rsidR="00230CBC" w:rsidRPr="0059433B" w14:paraId="7A0F2B5B" w14:textId="77777777" w:rsidTr="00C5774C">
        <w:trPr>
          <w:trHeight w:val="459"/>
        </w:trPr>
        <w:tc>
          <w:tcPr>
            <w:tcW w:w="796" w:type="pct"/>
            <w:vMerge/>
            <w:vAlign w:val="center"/>
          </w:tcPr>
          <w:p w14:paraId="4A4BA372" w14:textId="77777777" w:rsidR="00230CBC" w:rsidRPr="0059433B" w:rsidRDefault="00230CBC" w:rsidP="00C5774C">
            <w:pPr>
              <w:pStyle w:val="COMTabletext"/>
            </w:pPr>
          </w:p>
        </w:tc>
        <w:tc>
          <w:tcPr>
            <w:tcW w:w="3027" w:type="pct"/>
            <w:tcBorders>
              <w:top w:val="nil"/>
              <w:bottom w:val="nil"/>
            </w:tcBorders>
          </w:tcPr>
          <w:p w14:paraId="52CA21D5" w14:textId="77777777" w:rsidR="00230CBC" w:rsidRPr="0059433B" w:rsidRDefault="00230CBC" w:rsidP="00C5774C">
            <w:pPr>
              <w:pStyle w:val="COMTabletext"/>
              <w:rPr>
                <w:szCs w:val="18"/>
              </w:rPr>
            </w:pPr>
            <w:r w:rsidRPr="0059433B">
              <w:rPr>
                <w:szCs w:val="18"/>
              </w:rPr>
              <w:t xml:space="preserve">Adams D, Gonzalez-Duarte A, O’Riordan WD, et al. Patisiran, an RNAi therapeutic, for hereditary transthyretin amyloidosis. </w:t>
            </w:r>
          </w:p>
        </w:tc>
        <w:tc>
          <w:tcPr>
            <w:tcW w:w="1177" w:type="pct"/>
            <w:tcBorders>
              <w:top w:val="nil"/>
              <w:bottom w:val="nil"/>
            </w:tcBorders>
          </w:tcPr>
          <w:p w14:paraId="2F80C4EB" w14:textId="77777777" w:rsidR="00230CBC" w:rsidRPr="0059433B" w:rsidRDefault="00230CBC" w:rsidP="00C5774C">
            <w:pPr>
              <w:pStyle w:val="COMTabletext"/>
              <w:rPr>
                <w:szCs w:val="18"/>
              </w:rPr>
            </w:pPr>
            <w:r w:rsidRPr="0059433B">
              <w:rPr>
                <w:iCs/>
                <w:szCs w:val="18"/>
              </w:rPr>
              <w:t xml:space="preserve">N Engl J Med </w:t>
            </w:r>
            <w:r w:rsidRPr="0059433B">
              <w:rPr>
                <w:szCs w:val="18"/>
              </w:rPr>
              <w:t>2018; 379(1):11-21</w:t>
            </w:r>
          </w:p>
        </w:tc>
      </w:tr>
      <w:tr w:rsidR="00230CBC" w:rsidRPr="0059433B" w14:paraId="3CE8B55F" w14:textId="77777777" w:rsidTr="00C5774C">
        <w:trPr>
          <w:trHeight w:val="459"/>
        </w:trPr>
        <w:tc>
          <w:tcPr>
            <w:tcW w:w="796" w:type="pct"/>
            <w:vMerge/>
            <w:vAlign w:val="center"/>
          </w:tcPr>
          <w:p w14:paraId="32FF46E8" w14:textId="77777777" w:rsidR="00230CBC" w:rsidRPr="0059433B" w:rsidRDefault="00230CBC" w:rsidP="00C5774C">
            <w:pPr>
              <w:pStyle w:val="COMTabletext"/>
            </w:pPr>
          </w:p>
        </w:tc>
        <w:tc>
          <w:tcPr>
            <w:tcW w:w="3027" w:type="pct"/>
            <w:tcBorders>
              <w:top w:val="nil"/>
              <w:bottom w:val="nil"/>
            </w:tcBorders>
          </w:tcPr>
          <w:p w14:paraId="06500E12" w14:textId="77777777" w:rsidR="00230CBC" w:rsidRPr="0059433B" w:rsidRDefault="00230CBC" w:rsidP="00C5774C">
            <w:pPr>
              <w:pStyle w:val="COMTabletext"/>
              <w:rPr>
                <w:szCs w:val="18"/>
              </w:rPr>
            </w:pPr>
            <w:r w:rsidRPr="0059433B">
              <w:rPr>
                <w:szCs w:val="18"/>
              </w:rPr>
              <w:t xml:space="preserve">Gonzalez-Duarte A, Berk JL, Quan D, et al. Analysis of autonomic outcomes in APOLLO, a phase III trial of the RNAi therapeutic patisiran in patients with hereditary transthyretin-mediated amyloidosis. </w:t>
            </w:r>
          </w:p>
        </w:tc>
        <w:tc>
          <w:tcPr>
            <w:tcW w:w="1177" w:type="pct"/>
            <w:tcBorders>
              <w:top w:val="nil"/>
              <w:bottom w:val="nil"/>
            </w:tcBorders>
          </w:tcPr>
          <w:p w14:paraId="48388F92" w14:textId="77777777" w:rsidR="00230CBC" w:rsidRPr="0059433B" w:rsidRDefault="00230CBC" w:rsidP="00C5774C">
            <w:pPr>
              <w:pStyle w:val="COMTabletext"/>
              <w:rPr>
                <w:i/>
                <w:iCs/>
                <w:szCs w:val="18"/>
              </w:rPr>
            </w:pPr>
            <w:r w:rsidRPr="0059433B">
              <w:rPr>
                <w:iCs/>
                <w:szCs w:val="18"/>
              </w:rPr>
              <w:t>J Neurology 2</w:t>
            </w:r>
            <w:r w:rsidRPr="0059433B">
              <w:rPr>
                <w:szCs w:val="18"/>
              </w:rPr>
              <w:t>020; 267(3):703-712</w:t>
            </w:r>
          </w:p>
        </w:tc>
      </w:tr>
      <w:tr w:rsidR="00230CBC" w:rsidRPr="0059433B" w14:paraId="53B3EB4A" w14:textId="77777777" w:rsidTr="00C5774C">
        <w:trPr>
          <w:trHeight w:val="459"/>
        </w:trPr>
        <w:tc>
          <w:tcPr>
            <w:tcW w:w="796" w:type="pct"/>
            <w:vMerge/>
            <w:vAlign w:val="center"/>
          </w:tcPr>
          <w:p w14:paraId="4682D57A" w14:textId="77777777" w:rsidR="00230CBC" w:rsidRPr="0059433B" w:rsidRDefault="00230CBC" w:rsidP="00C5774C">
            <w:pPr>
              <w:pStyle w:val="COMTabletext"/>
            </w:pPr>
          </w:p>
        </w:tc>
        <w:tc>
          <w:tcPr>
            <w:tcW w:w="3027" w:type="pct"/>
            <w:tcBorders>
              <w:top w:val="nil"/>
              <w:bottom w:val="nil"/>
            </w:tcBorders>
          </w:tcPr>
          <w:p w14:paraId="24448C9A" w14:textId="77777777" w:rsidR="00230CBC" w:rsidRPr="0059433B" w:rsidRDefault="00230CBC" w:rsidP="00C5774C">
            <w:pPr>
              <w:pStyle w:val="COMTabletext"/>
              <w:rPr>
                <w:szCs w:val="18"/>
              </w:rPr>
            </w:pPr>
            <w:r w:rsidRPr="0059433B">
              <w:rPr>
                <w:szCs w:val="18"/>
              </w:rPr>
              <w:t xml:space="preserve">Minamisawa M, Claggett B, Adams D, et al. Association of patisiran, an RNA interference therapeutic, with regional left ventricular myocardial strain in hereditary transthyretin amyloidosis: the APOLLO study. </w:t>
            </w:r>
          </w:p>
        </w:tc>
        <w:tc>
          <w:tcPr>
            <w:tcW w:w="1177" w:type="pct"/>
            <w:tcBorders>
              <w:top w:val="nil"/>
              <w:bottom w:val="nil"/>
            </w:tcBorders>
          </w:tcPr>
          <w:p w14:paraId="74D2BD45" w14:textId="77777777" w:rsidR="00230CBC" w:rsidRPr="0059433B" w:rsidRDefault="00230CBC" w:rsidP="00C5774C">
            <w:pPr>
              <w:pStyle w:val="COMTabletext"/>
              <w:rPr>
                <w:i/>
                <w:iCs/>
                <w:szCs w:val="18"/>
              </w:rPr>
            </w:pPr>
            <w:r w:rsidRPr="0059433B">
              <w:rPr>
                <w:iCs/>
                <w:szCs w:val="18"/>
              </w:rPr>
              <w:t>JAMA Cardiology</w:t>
            </w:r>
            <w:r w:rsidRPr="0059433B">
              <w:rPr>
                <w:szCs w:val="18"/>
              </w:rPr>
              <w:t xml:space="preserve"> 2019; 4(5):466-472</w:t>
            </w:r>
          </w:p>
        </w:tc>
      </w:tr>
      <w:tr w:rsidR="00230CBC" w:rsidRPr="0059433B" w14:paraId="48E50AEA" w14:textId="77777777" w:rsidTr="00C5774C">
        <w:trPr>
          <w:trHeight w:val="459"/>
        </w:trPr>
        <w:tc>
          <w:tcPr>
            <w:tcW w:w="796" w:type="pct"/>
            <w:vMerge/>
            <w:vAlign w:val="center"/>
          </w:tcPr>
          <w:p w14:paraId="38564D06" w14:textId="77777777" w:rsidR="00230CBC" w:rsidRPr="0059433B" w:rsidRDefault="00230CBC" w:rsidP="00C5774C">
            <w:pPr>
              <w:pStyle w:val="COMTabletext"/>
            </w:pPr>
          </w:p>
        </w:tc>
        <w:tc>
          <w:tcPr>
            <w:tcW w:w="3027" w:type="pct"/>
            <w:tcBorders>
              <w:top w:val="nil"/>
              <w:bottom w:val="nil"/>
            </w:tcBorders>
          </w:tcPr>
          <w:p w14:paraId="61D5C288" w14:textId="77777777" w:rsidR="00230CBC" w:rsidRPr="0059433B" w:rsidRDefault="00230CBC" w:rsidP="00C5774C">
            <w:pPr>
              <w:pStyle w:val="COMTabletext"/>
              <w:rPr>
                <w:szCs w:val="18"/>
              </w:rPr>
            </w:pPr>
            <w:r w:rsidRPr="0059433B">
              <w:rPr>
                <w:szCs w:val="18"/>
              </w:rPr>
              <w:t xml:space="preserve">Obici L, Berk JL, González-Duarte A, et al. Quality of life outcomes in APOLLO, the phase 3 trial of the RNAi therapeutic patisiran in patients with hereditary transthyretin-mediated amyloidosis. </w:t>
            </w:r>
          </w:p>
        </w:tc>
        <w:tc>
          <w:tcPr>
            <w:tcW w:w="1177" w:type="pct"/>
            <w:tcBorders>
              <w:top w:val="nil"/>
              <w:bottom w:val="nil"/>
            </w:tcBorders>
          </w:tcPr>
          <w:p w14:paraId="6094D610" w14:textId="77777777" w:rsidR="00230CBC" w:rsidRPr="0059433B" w:rsidRDefault="00230CBC" w:rsidP="00C5774C">
            <w:pPr>
              <w:pStyle w:val="COMTabletext"/>
              <w:rPr>
                <w:i/>
                <w:iCs/>
                <w:szCs w:val="18"/>
              </w:rPr>
            </w:pPr>
            <w:r w:rsidRPr="0059433B">
              <w:rPr>
                <w:iCs/>
                <w:szCs w:val="18"/>
              </w:rPr>
              <w:t>Amyloid</w:t>
            </w:r>
            <w:r w:rsidRPr="0059433B">
              <w:rPr>
                <w:szCs w:val="18"/>
              </w:rPr>
              <w:t xml:space="preserve"> 2020; 27(3):153-162</w:t>
            </w:r>
          </w:p>
        </w:tc>
      </w:tr>
      <w:tr w:rsidR="00230CBC" w:rsidRPr="0059433B" w14:paraId="0AEA7D5A" w14:textId="77777777" w:rsidTr="00C5774C">
        <w:trPr>
          <w:trHeight w:val="459"/>
        </w:trPr>
        <w:tc>
          <w:tcPr>
            <w:tcW w:w="796" w:type="pct"/>
            <w:vMerge/>
            <w:vAlign w:val="center"/>
          </w:tcPr>
          <w:p w14:paraId="15E08A74" w14:textId="77777777" w:rsidR="00230CBC" w:rsidRPr="0059433B" w:rsidRDefault="00230CBC" w:rsidP="00C5774C">
            <w:pPr>
              <w:pStyle w:val="COMTabletext"/>
            </w:pPr>
          </w:p>
        </w:tc>
        <w:tc>
          <w:tcPr>
            <w:tcW w:w="3027" w:type="pct"/>
            <w:tcBorders>
              <w:top w:val="nil"/>
              <w:bottom w:val="nil"/>
            </w:tcBorders>
          </w:tcPr>
          <w:p w14:paraId="622C36A4" w14:textId="77777777" w:rsidR="00230CBC" w:rsidRPr="0059433B" w:rsidRDefault="00230CBC" w:rsidP="00C5774C">
            <w:pPr>
              <w:pStyle w:val="COMTabletext"/>
              <w:rPr>
                <w:szCs w:val="18"/>
              </w:rPr>
            </w:pPr>
            <w:r w:rsidRPr="0059433B">
              <w:rPr>
                <w:szCs w:val="18"/>
              </w:rPr>
              <w:t xml:space="preserve">Solomon SD, Adams D, Kristen A, et al. Effects of patisiran, an RNA interference therapeutic, on cardiac parameters in patients with hereditary transthyretin-mediated amyloidosis. </w:t>
            </w:r>
          </w:p>
        </w:tc>
        <w:tc>
          <w:tcPr>
            <w:tcW w:w="1177" w:type="pct"/>
            <w:tcBorders>
              <w:top w:val="nil"/>
              <w:bottom w:val="nil"/>
            </w:tcBorders>
          </w:tcPr>
          <w:p w14:paraId="55391BC0" w14:textId="77777777" w:rsidR="00230CBC" w:rsidRPr="0059433B" w:rsidRDefault="00230CBC" w:rsidP="00C5774C">
            <w:pPr>
              <w:pStyle w:val="COMTabletext"/>
              <w:rPr>
                <w:i/>
                <w:iCs/>
                <w:szCs w:val="18"/>
              </w:rPr>
            </w:pPr>
            <w:r w:rsidRPr="0059433B">
              <w:rPr>
                <w:iCs/>
                <w:szCs w:val="18"/>
              </w:rPr>
              <w:t>Circulation</w:t>
            </w:r>
            <w:r w:rsidRPr="0059433B">
              <w:rPr>
                <w:szCs w:val="18"/>
              </w:rPr>
              <w:t xml:space="preserve"> 2019; 139(4):431-443</w:t>
            </w:r>
          </w:p>
        </w:tc>
      </w:tr>
      <w:tr w:rsidR="00230CBC" w:rsidRPr="0059433B" w14:paraId="3C5D14AB" w14:textId="77777777" w:rsidTr="00C5774C">
        <w:trPr>
          <w:trHeight w:val="459"/>
        </w:trPr>
        <w:tc>
          <w:tcPr>
            <w:tcW w:w="796" w:type="pct"/>
            <w:vMerge/>
            <w:vAlign w:val="center"/>
          </w:tcPr>
          <w:p w14:paraId="60D7AF0C" w14:textId="77777777" w:rsidR="00230CBC" w:rsidRPr="0059433B" w:rsidRDefault="00230CBC" w:rsidP="00C5774C">
            <w:pPr>
              <w:pStyle w:val="COMTabletext"/>
            </w:pPr>
          </w:p>
        </w:tc>
        <w:tc>
          <w:tcPr>
            <w:tcW w:w="3027" w:type="pct"/>
            <w:tcBorders>
              <w:top w:val="nil"/>
            </w:tcBorders>
          </w:tcPr>
          <w:p w14:paraId="4D6358E4" w14:textId="77777777" w:rsidR="00230CBC" w:rsidRPr="0059433B" w:rsidRDefault="00230CBC" w:rsidP="00C5774C">
            <w:pPr>
              <w:pStyle w:val="COMTabletext"/>
              <w:rPr>
                <w:szCs w:val="18"/>
              </w:rPr>
            </w:pPr>
            <w:r w:rsidRPr="0059433B">
              <w:rPr>
                <w:szCs w:val="18"/>
              </w:rPr>
              <w:t xml:space="preserve">Yamashita T, Ueda M, Koike H, et al. Patisiran, an RNAi therapeutic for patients with hereditary transthyretin-mediated amyloidosis: sub-analysis in Japanese patients from the APOLLO study. </w:t>
            </w:r>
          </w:p>
        </w:tc>
        <w:tc>
          <w:tcPr>
            <w:tcW w:w="1177" w:type="pct"/>
            <w:tcBorders>
              <w:top w:val="nil"/>
            </w:tcBorders>
          </w:tcPr>
          <w:p w14:paraId="7756147E" w14:textId="77777777" w:rsidR="00230CBC" w:rsidRPr="0059433B" w:rsidRDefault="00230CBC" w:rsidP="00C5774C">
            <w:pPr>
              <w:pStyle w:val="COMTabletext"/>
              <w:rPr>
                <w:i/>
                <w:iCs/>
                <w:szCs w:val="18"/>
              </w:rPr>
            </w:pPr>
            <w:r w:rsidRPr="0059433B">
              <w:rPr>
                <w:iCs/>
                <w:szCs w:val="18"/>
              </w:rPr>
              <w:t>Neurol Clin Neurosci</w:t>
            </w:r>
            <w:r w:rsidRPr="0059433B">
              <w:rPr>
                <w:szCs w:val="18"/>
              </w:rPr>
              <w:t xml:space="preserve"> 2020; 8(5):251-260</w:t>
            </w:r>
          </w:p>
        </w:tc>
      </w:tr>
      <w:tr w:rsidR="00230CBC" w:rsidRPr="0059433B" w14:paraId="13C58F90" w14:textId="77777777" w:rsidTr="00C5774C">
        <w:tc>
          <w:tcPr>
            <w:tcW w:w="796" w:type="pct"/>
            <w:tcBorders>
              <w:bottom w:val="nil"/>
            </w:tcBorders>
            <w:vAlign w:val="center"/>
          </w:tcPr>
          <w:p w14:paraId="59EEB75D" w14:textId="77777777" w:rsidR="00230CBC" w:rsidRPr="0059433B" w:rsidRDefault="00230CBC" w:rsidP="00C5774C">
            <w:pPr>
              <w:pStyle w:val="COMTabletext"/>
            </w:pPr>
            <w:r w:rsidRPr="0059433B">
              <w:t>ALN-TTR02-002</w:t>
            </w:r>
          </w:p>
        </w:tc>
        <w:tc>
          <w:tcPr>
            <w:tcW w:w="3027" w:type="pct"/>
            <w:tcBorders>
              <w:bottom w:val="nil"/>
            </w:tcBorders>
          </w:tcPr>
          <w:p w14:paraId="35FD636C" w14:textId="77777777" w:rsidR="00230CBC" w:rsidRPr="0059433B" w:rsidRDefault="00230CBC" w:rsidP="00C5774C">
            <w:pPr>
              <w:pStyle w:val="COMTabletext"/>
            </w:pPr>
            <w:r w:rsidRPr="0059433B">
              <w:t xml:space="preserve">Suhr OB, Coelho T, Buades J, et al. Efficacy and safety of patisiran for familial amyloidotic polyneuropathy: A phase II multi-dose study. </w:t>
            </w:r>
          </w:p>
        </w:tc>
        <w:tc>
          <w:tcPr>
            <w:tcW w:w="1177" w:type="pct"/>
            <w:tcBorders>
              <w:bottom w:val="nil"/>
            </w:tcBorders>
          </w:tcPr>
          <w:p w14:paraId="54DBEAA5" w14:textId="77777777" w:rsidR="00230CBC" w:rsidRPr="0059433B" w:rsidRDefault="00230CBC" w:rsidP="00C5774C">
            <w:pPr>
              <w:pStyle w:val="COMTabletext"/>
            </w:pPr>
            <w:r w:rsidRPr="0059433B">
              <w:rPr>
                <w:iCs/>
              </w:rPr>
              <w:t>Orphanet J Rare Dis.</w:t>
            </w:r>
            <w:r w:rsidRPr="0059433B">
              <w:t xml:space="preserve"> 2015;10:109</w:t>
            </w:r>
          </w:p>
        </w:tc>
      </w:tr>
      <w:tr w:rsidR="00230CBC" w:rsidRPr="0059433B" w14:paraId="620ECDED" w14:textId="77777777" w:rsidTr="00C5774C">
        <w:trPr>
          <w:trHeight w:val="247"/>
        </w:trPr>
        <w:tc>
          <w:tcPr>
            <w:tcW w:w="796" w:type="pct"/>
            <w:vMerge w:val="restart"/>
            <w:tcBorders>
              <w:top w:val="single" w:sz="4" w:space="0" w:color="auto"/>
            </w:tcBorders>
            <w:vAlign w:val="center"/>
          </w:tcPr>
          <w:p w14:paraId="1D215611" w14:textId="77777777" w:rsidR="00230CBC" w:rsidRPr="0059433B" w:rsidRDefault="00230CBC" w:rsidP="00C5774C">
            <w:pPr>
              <w:pStyle w:val="COMTabletext"/>
            </w:pPr>
            <w:r w:rsidRPr="0059433B">
              <w:t>ALN-TTR02-003</w:t>
            </w:r>
          </w:p>
          <w:p w14:paraId="22EF79FB" w14:textId="77777777" w:rsidR="00230CBC" w:rsidRPr="0059433B" w:rsidRDefault="00230CBC" w:rsidP="00C5774C">
            <w:pPr>
              <w:pStyle w:val="COMTabletext"/>
            </w:pPr>
            <w:r w:rsidRPr="0059433B">
              <w:t>(Phase 2 OLE study)</w:t>
            </w:r>
          </w:p>
        </w:tc>
        <w:tc>
          <w:tcPr>
            <w:tcW w:w="3027" w:type="pct"/>
            <w:tcBorders>
              <w:top w:val="single" w:sz="4" w:space="0" w:color="auto"/>
              <w:bottom w:val="nil"/>
            </w:tcBorders>
          </w:tcPr>
          <w:p w14:paraId="582767AD" w14:textId="77777777" w:rsidR="00230CBC" w:rsidRPr="0059433B" w:rsidRDefault="00230CBC" w:rsidP="00C5774C">
            <w:pPr>
              <w:pStyle w:val="COMTabletext"/>
              <w:rPr>
                <w:szCs w:val="18"/>
              </w:rPr>
            </w:pPr>
            <w:r w:rsidRPr="0059433B">
              <w:rPr>
                <w:szCs w:val="18"/>
              </w:rPr>
              <w:t>A Phase 2, Multicentre, Open-label, Extension Study to Evaluate the Long-Term Safety, Clinical Activity, and Pharmacokinetics of ALN-TTR02 in Patients with Familial Amyloidotic Polyneuropathy Who Have Previously Received ALN-TTR02</w:t>
            </w:r>
          </w:p>
        </w:tc>
        <w:tc>
          <w:tcPr>
            <w:tcW w:w="1177" w:type="pct"/>
            <w:tcBorders>
              <w:top w:val="single" w:sz="4" w:space="0" w:color="auto"/>
              <w:bottom w:val="nil"/>
            </w:tcBorders>
          </w:tcPr>
          <w:p w14:paraId="7AC13B59" w14:textId="77777777" w:rsidR="00230CBC" w:rsidRPr="0059433B" w:rsidRDefault="00230CBC" w:rsidP="00C5774C">
            <w:pPr>
              <w:pStyle w:val="COMTabletext"/>
              <w:rPr>
                <w:iCs/>
                <w:szCs w:val="18"/>
              </w:rPr>
            </w:pPr>
            <w:r w:rsidRPr="0059433B">
              <w:rPr>
                <w:iCs/>
                <w:szCs w:val="18"/>
              </w:rPr>
              <w:t>Clinical Study Report, February 2017</w:t>
            </w:r>
          </w:p>
        </w:tc>
      </w:tr>
      <w:tr w:rsidR="00230CBC" w:rsidRPr="0059433B" w14:paraId="572DFBD1" w14:textId="77777777" w:rsidTr="00C5774C">
        <w:trPr>
          <w:trHeight w:val="247"/>
        </w:trPr>
        <w:tc>
          <w:tcPr>
            <w:tcW w:w="796" w:type="pct"/>
            <w:vMerge/>
            <w:tcBorders>
              <w:bottom w:val="single" w:sz="4" w:space="0" w:color="auto"/>
            </w:tcBorders>
            <w:vAlign w:val="center"/>
          </w:tcPr>
          <w:p w14:paraId="6CFEDC08" w14:textId="77777777" w:rsidR="00230CBC" w:rsidRPr="0059433B" w:rsidRDefault="00230CBC" w:rsidP="00C5774C">
            <w:pPr>
              <w:pStyle w:val="COMTabletext"/>
            </w:pPr>
          </w:p>
        </w:tc>
        <w:tc>
          <w:tcPr>
            <w:tcW w:w="3027" w:type="pct"/>
            <w:tcBorders>
              <w:top w:val="nil"/>
              <w:bottom w:val="single" w:sz="4" w:space="0" w:color="auto"/>
            </w:tcBorders>
          </w:tcPr>
          <w:p w14:paraId="084BFE12" w14:textId="77777777" w:rsidR="00230CBC" w:rsidRPr="0059433B" w:rsidRDefault="00230CBC" w:rsidP="00C5774C">
            <w:pPr>
              <w:pStyle w:val="COMTabletext"/>
              <w:rPr>
                <w:szCs w:val="18"/>
              </w:rPr>
            </w:pPr>
            <w:r w:rsidRPr="0059433B">
              <w:rPr>
                <w:szCs w:val="18"/>
              </w:rPr>
              <w:t xml:space="preserve">Coelho T, Adams D, Conceição I, et al. A phase II, open-label, extension study of long-term patisiran treatment in patients with hereditary transthyretin-mediated (hATTR) amyloidosis. </w:t>
            </w:r>
          </w:p>
        </w:tc>
        <w:tc>
          <w:tcPr>
            <w:tcW w:w="1177" w:type="pct"/>
            <w:tcBorders>
              <w:top w:val="nil"/>
              <w:bottom w:val="single" w:sz="4" w:space="0" w:color="auto"/>
            </w:tcBorders>
          </w:tcPr>
          <w:p w14:paraId="665EA006" w14:textId="77777777" w:rsidR="00230CBC" w:rsidRPr="0059433B" w:rsidRDefault="00230CBC" w:rsidP="00C5774C">
            <w:pPr>
              <w:pStyle w:val="COMTabletext"/>
              <w:rPr>
                <w:i/>
                <w:szCs w:val="18"/>
              </w:rPr>
            </w:pPr>
            <w:r w:rsidRPr="0059433B">
              <w:rPr>
                <w:iCs/>
                <w:szCs w:val="18"/>
              </w:rPr>
              <w:t>Orphanet J Rare Dis.</w:t>
            </w:r>
            <w:r w:rsidRPr="0059433B">
              <w:rPr>
                <w:szCs w:val="18"/>
              </w:rPr>
              <w:t xml:space="preserve"> 2020;15(1):179.</w:t>
            </w:r>
          </w:p>
        </w:tc>
      </w:tr>
      <w:tr w:rsidR="00230CBC" w:rsidRPr="0059433B" w14:paraId="37F0FBED" w14:textId="77777777" w:rsidTr="00C5774C">
        <w:tc>
          <w:tcPr>
            <w:tcW w:w="796" w:type="pct"/>
            <w:vMerge w:val="restart"/>
            <w:tcBorders>
              <w:top w:val="single" w:sz="4" w:space="0" w:color="auto"/>
            </w:tcBorders>
            <w:vAlign w:val="center"/>
          </w:tcPr>
          <w:p w14:paraId="1A226183" w14:textId="77777777" w:rsidR="00230CBC" w:rsidRPr="0059433B" w:rsidRDefault="00230CBC" w:rsidP="00C5774C">
            <w:pPr>
              <w:pStyle w:val="COMTabletext"/>
            </w:pPr>
            <w:r w:rsidRPr="0059433B">
              <w:t>ALN-TTR02-006</w:t>
            </w:r>
          </w:p>
          <w:p w14:paraId="3403973D" w14:textId="77777777" w:rsidR="00230CBC" w:rsidRPr="0059433B" w:rsidRDefault="00230CBC" w:rsidP="00C5774C">
            <w:pPr>
              <w:pStyle w:val="COMTabletext"/>
            </w:pPr>
            <w:r w:rsidRPr="0059433B">
              <w:t>(Global OLE study)</w:t>
            </w:r>
          </w:p>
        </w:tc>
        <w:tc>
          <w:tcPr>
            <w:tcW w:w="3027" w:type="pct"/>
            <w:tcBorders>
              <w:top w:val="single" w:sz="4" w:space="0" w:color="auto"/>
              <w:bottom w:val="nil"/>
            </w:tcBorders>
          </w:tcPr>
          <w:p w14:paraId="08CDBEEE" w14:textId="77777777" w:rsidR="00230CBC" w:rsidRPr="0059433B" w:rsidRDefault="00230CBC" w:rsidP="00C5774C">
            <w:pPr>
              <w:pStyle w:val="COMTabletext"/>
            </w:pPr>
            <w:r w:rsidRPr="0059433B">
              <w:t>A Multicenter, Open-Label, Extension Study to Evaluate the Long-term Safety and Efficacy of Patisiran in Patients with Familial Amyloidotic Polyneuropathy Who Have Completed a Prior Clinical Study with Patisiran</w:t>
            </w:r>
          </w:p>
        </w:tc>
        <w:tc>
          <w:tcPr>
            <w:tcW w:w="1177" w:type="pct"/>
            <w:tcBorders>
              <w:top w:val="single" w:sz="4" w:space="0" w:color="auto"/>
              <w:bottom w:val="nil"/>
            </w:tcBorders>
          </w:tcPr>
          <w:p w14:paraId="582253AD" w14:textId="77777777" w:rsidR="00230CBC" w:rsidRPr="0059433B" w:rsidRDefault="00230CBC" w:rsidP="00C5774C">
            <w:pPr>
              <w:pStyle w:val="COMTabletext"/>
            </w:pPr>
            <w:r w:rsidRPr="0059433B">
              <w:t>Clinical Study Report: Data Update Report 1, 17 March 2022</w:t>
            </w:r>
          </w:p>
        </w:tc>
      </w:tr>
      <w:tr w:rsidR="00230CBC" w:rsidRPr="0059433B" w14:paraId="3508037F" w14:textId="77777777" w:rsidTr="00C5774C">
        <w:tc>
          <w:tcPr>
            <w:tcW w:w="796" w:type="pct"/>
            <w:vMerge/>
            <w:tcBorders>
              <w:bottom w:val="single" w:sz="4" w:space="0" w:color="auto"/>
            </w:tcBorders>
            <w:vAlign w:val="center"/>
          </w:tcPr>
          <w:p w14:paraId="32FD720A" w14:textId="77777777" w:rsidR="00230CBC" w:rsidRPr="0059433B" w:rsidRDefault="00230CBC" w:rsidP="00C5774C">
            <w:pPr>
              <w:pStyle w:val="COMTabletext"/>
            </w:pPr>
          </w:p>
        </w:tc>
        <w:tc>
          <w:tcPr>
            <w:tcW w:w="3027" w:type="pct"/>
            <w:tcBorders>
              <w:top w:val="nil"/>
              <w:bottom w:val="single" w:sz="4" w:space="0" w:color="auto"/>
            </w:tcBorders>
          </w:tcPr>
          <w:p w14:paraId="400CB34A" w14:textId="77777777" w:rsidR="00230CBC" w:rsidRPr="0059433B" w:rsidRDefault="00230CBC" w:rsidP="00C5774C">
            <w:pPr>
              <w:pStyle w:val="COMTabletext"/>
              <w:rPr>
                <w:szCs w:val="18"/>
              </w:rPr>
            </w:pPr>
            <w:r w:rsidRPr="0059433B">
              <w:rPr>
                <w:szCs w:val="18"/>
              </w:rPr>
              <w:t xml:space="preserve">Adams D, Polydefkis M, González-Duarte A, et al. Long-term </w:t>
            </w:r>
            <w:proofErr w:type="gramStart"/>
            <w:r w:rsidRPr="0059433B">
              <w:rPr>
                <w:szCs w:val="18"/>
              </w:rPr>
              <w:t>safety</w:t>
            </w:r>
            <w:proofErr w:type="gramEnd"/>
            <w:r w:rsidRPr="0059433B">
              <w:rPr>
                <w:szCs w:val="18"/>
              </w:rPr>
              <w:t xml:space="preserve"> and efficacy of patisiran for hereditary transthyretin-mediated amyloidosis with polyneuropathy: 12-month results of an open-label extension study.</w:t>
            </w:r>
          </w:p>
        </w:tc>
        <w:tc>
          <w:tcPr>
            <w:tcW w:w="1177" w:type="pct"/>
            <w:tcBorders>
              <w:top w:val="nil"/>
              <w:bottom w:val="single" w:sz="4" w:space="0" w:color="auto"/>
            </w:tcBorders>
          </w:tcPr>
          <w:p w14:paraId="4246E690" w14:textId="77777777" w:rsidR="00230CBC" w:rsidRPr="0059433B" w:rsidRDefault="00230CBC" w:rsidP="00C5774C">
            <w:pPr>
              <w:pStyle w:val="COMTabletext"/>
            </w:pPr>
            <w:r w:rsidRPr="0059433B">
              <w:rPr>
                <w:iCs/>
                <w:szCs w:val="18"/>
              </w:rPr>
              <w:t>Lancet Neurol.</w:t>
            </w:r>
            <w:r w:rsidRPr="0059433B">
              <w:rPr>
                <w:szCs w:val="18"/>
              </w:rPr>
              <w:t xml:space="preserve"> 2021 Feb 21;20(1):49-59</w:t>
            </w:r>
          </w:p>
        </w:tc>
      </w:tr>
    </w:tbl>
    <w:p w14:paraId="0F7AE92B" w14:textId="77777777" w:rsidR="00230CBC" w:rsidRPr="0059433B" w:rsidRDefault="00230CBC" w:rsidP="00230CBC">
      <w:pPr>
        <w:pStyle w:val="COMTablefooter"/>
      </w:pPr>
      <w:r w:rsidRPr="0059433B">
        <w:t>Source: Table 2.3, p46; Section 2.2.6, pp46-47 of the submission.</w:t>
      </w:r>
    </w:p>
    <w:p w14:paraId="794FDBC7" w14:textId="77777777" w:rsidR="00230CBC" w:rsidRPr="0059433B" w:rsidRDefault="00230CBC" w:rsidP="00230CBC">
      <w:pPr>
        <w:pStyle w:val="COMTablefooter"/>
      </w:pPr>
      <w:r w:rsidRPr="0059433B">
        <w:t>Abbreviations: OLE, open-label extension</w:t>
      </w:r>
    </w:p>
    <w:p w14:paraId="07AF543D" w14:textId="77777777" w:rsidR="00230CBC" w:rsidRPr="0059433B" w:rsidRDefault="00230CBC" w:rsidP="00230CBC">
      <w:pPr>
        <w:pStyle w:val="COMTablefooter"/>
      </w:pPr>
      <w:r w:rsidRPr="0059433B">
        <w:t xml:space="preserve">Note: Abstracts of studies with full publications </w:t>
      </w:r>
      <w:proofErr w:type="gramStart"/>
      <w:r w:rsidRPr="0059433B">
        <w:t>are not presented</w:t>
      </w:r>
      <w:proofErr w:type="gramEnd"/>
      <w:r w:rsidRPr="0059433B">
        <w:t>.</w:t>
      </w:r>
    </w:p>
    <w:p w14:paraId="6C3F4DD9" w14:textId="20546EFA" w:rsidR="00230CBC" w:rsidRPr="0059433B" w:rsidRDefault="00230CBC" w:rsidP="00230CBC">
      <w:pPr>
        <w:pStyle w:val="COMexecsumnumberedpara"/>
        <w:rPr>
          <w:color w:val="0066FF"/>
        </w:rPr>
      </w:pPr>
      <w:r w:rsidRPr="0059433B">
        <w:t xml:space="preserve">The key features of the key randomised APOLLO trial and Global OLE study are summarised in </w:t>
      </w:r>
      <w:r w:rsidRPr="0059433B">
        <w:fldChar w:fldCharType="begin" w:fldLock="1"/>
      </w:r>
      <w:r w:rsidRPr="0059433B">
        <w:instrText xml:space="preserve"> REF _Ref104804098 \h </w:instrText>
      </w:r>
      <w:r w:rsidRPr="0059433B">
        <w:fldChar w:fldCharType="separate"/>
      </w:r>
      <w:r w:rsidR="00042B2E" w:rsidRPr="0059433B">
        <w:t>Table 4</w:t>
      </w:r>
      <w:r w:rsidRPr="0059433B">
        <w:fldChar w:fldCharType="end"/>
      </w:r>
      <w:r w:rsidRPr="0059433B">
        <w:t>.</w:t>
      </w:r>
    </w:p>
    <w:p w14:paraId="539A65AF" w14:textId="6E52769D" w:rsidR="00230CBC" w:rsidRPr="0059433B" w:rsidRDefault="00230CBC" w:rsidP="00230CBC">
      <w:pPr>
        <w:pStyle w:val="COMtablefigcaption"/>
      </w:pPr>
      <w:bookmarkStart w:id="27" w:name="_Ref104804098"/>
      <w:r w:rsidRPr="0059433B">
        <w:lastRenderedPageBreak/>
        <w:t xml:space="preserve">Table </w:t>
      </w:r>
      <w:fldSimple w:instr=" SEQ Table \* ARABIC " w:fldLock="1">
        <w:r w:rsidR="00042B2E" w:rsidRPr="0059433B">
          <w:t>4</w:t>
        </w:r>
      </w:fldSimple>
      <w:bookmarkEnd w:id="27"/>
      <w:r w:rsidRPr="0059433B">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84"/>
        <w:gridCol w:w="568"/>
        <w:gridCol w:w="1560"/>
        <w:gridCol w:w="709"/>
        <w:gridCol w:w="1702"/>
        <w:gridCol w:w="1811"/>
        <w:gridCol w:w="1683"/>
      </w:tblGrid>
      <w:tr w:rsidR="00230CBC" w:rsidRPr="0059433B" w14:paraId="6CDC3DA2" w14:textId="77777777" w:rsidTr="00C5774C">
        <w:trPr>
          <w:cantSplit/>
          <w:tblHeader/>
        </w:trPr>
        <w:tc>
          <w:tcPr>
            <w:tcW w:w="546" w:type="pct"/>
            <w:shd w:val="clear" w:color="auto" w:fill="auto"/>
            <w:vAlign w:val="center"/>
          </w:tcPr>
          <w:p w14:paraId="653BBB1F" w14:textId="77777777" w:rsidR="00230CBC" w:rsidRPr="0059433B" w:rsidRDefault="00230CBC" w:rsidP="00C5774C">
            <w:pPr>
              <w:pStyle w:val="COMTableheadingrow"/>
              <w:rPr>
                <w:lang w:val="en-AU"/>
              </w:rPr>
            </w:pPr>
            <w:r w:rsidRPr="0059433B">
              <w:rPr>
                <w:lang w:val="en-AU"/>
              </w:rPr>
              <w:t>Trial</w:t>
            </w:r>
          </w:p>
        </w:tc>
        <w:tc>
          <w:tcPr>
            <w:tcW w:w="315" w:type="pct"/>
            <w:shd w:val="clear" w:color="auto" w:fill="auto"/>
            <w:vAlign w:val="center"/>
          </w:tcPr>
          <w:p w14:paraId="3F867837" w14:textId="77777777" w:rsidR="00230CBC" w:rsidRPr="0059433B" w:rsidRDefault="00230CBC" w:rsidP="00C5774C">
            <w:pPr>
              <w:pStyle w:val="COMTableheadingrow"/>
              <w:jc w:val="center"/>
              <w:rPr>
                <w:lang w:val="en-AU"/>
              </w:rPr>
            </w:pPr>
            <w:r w:rsidRPr="0059433B">
              <w:rPr>
                <w:lang w:val="en-AU"/>
              </w:rPr>
              <w:t>N</w:t>
            </w:r>
          </w:p>
        </w:tc>
        <w:tc>
          <w:tcPr>
            <w:tcW w:w="865" w:type="pct"/>
            <w:shd w:val="clear" w:color="auto" w:fill="auto"/>
            <w:vAlign w:val="center"/>
          </w:tcPr>
          <w:p w14:paraId="24BEBBA9" w14:textId="77777777" w:rsidR="00230CBC" w:rsidRPr="0059433B" w:rsidRDefault="00230CBC" w:rsidP="00C5774C">
            <w:pPr>
              <w:pStyle w:val="COMTableheadingrow"/>
              <w:jc w:val="center"/>
              <w:rPr>
                <w:lang w:val="en-AU"/>
              </w:rPr>
            </w:pPr>
            <w:r w:rsidRPr="0059433B">
              <w:rPr>
                <w:lang w:val="en-AU"/>
              </w:rPr>
              <w:t>Design/ duration</w:t>
            </w:r>
          </w:p>
        </w:tc>
        <w:tc>
          <w:tcPr>
            <w:tcW w:w="393" w:type="pct"/>
            <w:shd w:val="clear" w:color="auto" w:fill="auto"/>
            <w:vAlign w:val="center"/>
          </w:tcPr>
          <w:p w14:paraId="44320887" w14:textId="77777777" w:rsidR="00230CBC" w:rsidRPr="0059433B" w:rsidRDefault="00230CBC" w:rsidP="00C5774C">
            <w:pPr>
              <w:pStyle w:val="COMTableheadingrow"/>
              <w:jc w:val="center"/>
              <w:rPr>
                <w:lang w:val="en-AU"/>
              </w:rPr>
            </w:pPr>
            <w:r w:rsidRPr="0059433B">
              <w:rPr>
                <w:lang w:val="en-AU"/>
              </w:rPr>
              <w:t>Risk of bias</w:t>
            </w:r>
          </w:p>
        </w:tc>
        <w:tc>
          <w:tcPr>
            <w:tcW w:w="944" w:type="pct"/>
            <w:shd w:val="clear" w:color="auto" w:fill="auto"/>
            <w:vAlign w:val="center"/>
          </w:tcPr>
          <w:p w14:paraId="4E7DFD7B" w14:textId="77777777" w:rsidR="00230CBC" w:rsidRPr="0059433B" w:rsidRDefault="00230CBC" w:rsidP="00C5774C">
            <w:pPr>
              <w:pStyle w:val="COMTableheadingrow"/>
              <w:jc w:val="center"/>
              <w:rPr>
                <w:lang w:val="en-AU"/>
              </w:rPr>
            </w:pPr>
            <w:r w:rsidRPr="0059433B">
              <w:rPr>
                <w:lang w:val="en-AU"/>
              </w:rPr>
              <w:t>Patient population</w:t>
            </w:r>
          </w:p>
        </w:tc>
        <w:tc>
          <w:tcPr>
            <w:tcW w:w="1004" w:type="pct"/>
            <w:shd w:val="clear" w:color="auto" w:fill="auto"/>
            <w:vAlign w:val="center"/>
          </w:tcPr>
          <w:p w14:paraId="52723ABD" w14:textId="77777777" w:rsidR="00230CBC" w:rsidRPr="0059433B" w:rsidRDefault="00230CBC" w:rsidP="00C5774C">
            <w:pPr>
              <w:pStyle w:val="COMTableheadingrow"/>
              <w:jc w:val="center"/>
              <w:rPr>
                <w:lang w:val="en-AU"/>
              </w:rPr>
            </w:pPr>
            <w:r w:rsidRPr="0059433B">
              <w:rPr>
                <w:lang w:val="en-AU"/>
              </w:rPr>
              <w:t>Outcome(s)</w:t>
            </w:r>
          </w:p>
        </w:tc>
        <w:tc>
          <w:tcPr>
            <w:tcW w:w="933" w:type="pct"/>
            <w:shd w:val="clear" w:color="auto" w:fill="auto"/>
            <w:vAlign w:val="center"/>
          </w:tcPr>
          <w:p w14:paraId="03444373" w14:textId="77777777" w:rsidR="00230CBC" w:rsidRPr="0059433B" w:rsidRDefault="00230CBC" w:rsidP="00C5774C">
            <w:pPr>
              <w:pStyle w:val="COMTableheadingrow"/>
              <w:jc w:val="center"/>
              <w:rPr>
                <w:vertAlign w:val="superscript"/>
                <w:lang w:val="en-AU"/>
              </w:rPr>
            </w:pPr>
            <w:r w:rsidRPr="0059433B">
              <w:rPr>
                <w:lang w:val="en-AU"/>
              </w:rPr>
              <w:t xml:space="preserve">Use in modelled evaluation </w:t>
            </w:r>
            <w:r w:rsidRPr="0059433B">
              <w:rPr>
                <w:vertAlign w:val="superscript"/>
                <w:lang w:val="en-AU"/>
              </w:rPr>
              <w:t>a</w:t>
            </w:r>
          </w:p>
        </w:tc>
      </w:tr>
      <w:tr w:rsidR="00230CBC" w:rsidRPr="0059433B" w14:paraId="1483387D" w14:textId="77777777" w:rsidTr="00C5774C">
        <w:trPr>
          <w:cantSplit/>
        </w:trPr>
        <w:tc>
          <w:tcPr>
            <w:tcW w:w="5000" w:type="pct"/>
            <w:gridSpan w:val="7"/>
            <w:shd w:val="clear" w:color="auto" w:fill="auto"/>
            <w:vAlign w:val="center"/>
          </w:tcPr>
          <w:p w14:paraId="58356C29" w14:textId="77777777" w:rsidR="00230CBC" w:rsidRPr="0059433B" w:rsidRDefault="00230CBC" w:rsidP="00C5774C">
            <w:pPr>
              <w:pStyle w:val="COMTableheadingrow"/>
              <w:rPr>
                <w:lang w:val="en-AU"/>
              </w:rPr>
            </w:pPr>
            <w:r w:rsidRPr="0059433B">
              <w:rPr>
                <w:lang w:val="en-AU"/>
              </w:rPr>
              <w:t>Patisiran versus placebo</w:t>
            </w:r>
          </w:p>
        </w:tc>
      </w:tr>
      <w:tr w:rsidR="00230CBC" w:rsidRPr="0059433B" w14:paraId="5D2855DE" w14:textId="77777777" w:rsidTr="00C5774C">
        <w:trPr>
          <w:cantSplit/>
        </w:trPr>
        <w:tc>
          <w:tcPr>
            <w:tcW w:w="546" w:type="pct"/>
            <w:shd w:val="clear" w:color="auto" w:fill="auto"/>
            <w:vAlign w:val="center"/>
          </w:tcPr>
          <w:p w14:paraId="091AD3DA" w14:textId="77777777" w:rsidR="00230CBC" w:rsidRPr="0059433B" w:rsidRDefault="00230CBC" w:rsidP="00C5774C">
            <w:pPr>
              <w:pStyle w:val="COMTabletext"/>
            </w:pPr>
            <w:r w:rsidRPr="0059433B">
              <w:t>APOLLO</w:t>
            </w:r>
          </w:p>
        </w:tc>
        <w:tc>
          <w:tcPr>
            <w:tcW w:w="315" w:type="pct"/>
            <w:shd w:val="clear" w:color="auto" w:fill="auto"/>
            <w:vAlign w:val="center"/>
          </w:tcPr>
          <w:p w14:paraId="653E0DC3" w14:textId="77777777" w:rsidR="00230CBC" w:rsidRPr="0059433B" w:rsidRDefault="00230CBC" w:rsidP="00C5774C">
            <w:pPr>
              <w:pStyle w:val="COMTabletext"/>
              <w:jc w:val="center"/>
            </w:pPr>
            <w:r w:rsidRPr="0059433B">
              <w:t>225</w:t>
            </w:r>
          </w:p>
        </w:tc>
        <w:tc>
          <w:tcPr>
            <w:tcW w:w="865" w:type="pct"/>
            <w:shd w:val="clear" w:color="auto" w:fill="auto"/>
            <w:vAlign w:val="center"/>
          </w:tcPr>
          <w:p w14:paraId="18A2DB31" w14:textId="77777777" w:rsidR="00230CBC" w:rsidRPr="0059433B" w:rsidRDefault="00230CBC" w:rsidP="00C5774C">
            <w:pPr>
              <w:pStyle w:val="COMTabletext"/>
              <w:jc w:val="center"/>
            </w:pPr>
            <w:r w:rsidRPr="0059433B">
              <w:t>Randomised, double blind, placebo controlled multicentre trial,</w:t>
            </w:r>
          </w:p>
          <w:p w14:paraId="3ABFA91D" w14:textId="77777777" w:rsidR="00230CBC" w:rsidRPr="0059433B" w:rsidRDefault="00230CBC" w:rsidP="00C5774C">
            <w:pPr>
              <w:pStyle w:val="COMTabletext"/>
              <w:jc w:val="center"/>
            </w:pPr>
            <w:r w:rsidRPr="0059433B">
              <w:t>18 months</w:t>
            </w:r>
          </w:p>
        </w:tc>
        <w:tc>
          <w:tcPr>
            <w:tcW w:w="393" w:type="pct"/>
            <w:shd w:val="clear" w:color="auto" w:fill="auto"/>
            <w:vAlign w:val="center"/>
          </w:tcPr>
          <w:p w14:paraId="65C78DDB" w14:textId="77777777" w:rsidR="00230CBC" w:rsidRPr="0059433B" w:rsidRDefault="00230CBC" w:rsidP="00C5774C">
            <w:pPr>
              <w:pStyle w:val="COMTabletext"/>
              <w:jc w:val="center"/>
            </w:pPr>
            <w:r w:rsidRPr="0059433B">
              <w:t>Low</w:t>
            </w:r>
          </w:p>
        </w:tc>
        <w:tc>
          <w:tcPr>
            <w:tcW w:w="944" w:type="pct"/>
            <w:shd w:val="clear" w:color="auto" w:fill="auto"/>
            <w:vAlign w:val="center"/>
          </w:tcPr>
          <w:p w14:paraId="3399FFF9" w14:textId="77777777" w:rsidR="00230CBC" w:rsidRPr="0059433B" w:rsidRDefault="00230CBC" w:rsidP="00C5774C">
            <w:pPr>
              <w:pStyle w:val="COMTabletext"/>
              <w:jc w:val="center"/>
            </w:pPr>
            <w:r w:rsidRPr="0059433B">
              <w:t>18-85 years, hATTR amyloidosis with polyneuropathy (NIS of 5-130 and PND of ≤IIIB)</w:t>
            </w:r>
          </w:p>
        </w:tc>
        <w:tc>
          <w:tcPr>
            <w:tcW w:w="1004" w:type="pct"/>
            <w:shd w:val="clear" w:color="auto" w:fill="auto"/>
            <w:vAlign w:val="center"/>
          </w:tcPr>
          <w:p w14:paraId="35FDBF23" w14:textId="77777777" w:rsidR="00230CBC" w:rsidRPr="0059433B" w:rsidRDefault="00230CBC" w:rsidP="00C5774C">
            <w:pPr>
              <w:pStyle w:val="COMTabletext"/>
            </w:pPr>
            <w:r w:rsidRPr="0059433B">
              <w:t>Primary: Neurological impairment (mNIS+7)</w:t>
            </w:r>
          </w:p>
          <w:p w14:paraId="629A66B9" w14:textId="77777777" w:rsidR="00230CBC" w:rsidRPr="0059433B" w:rsidRDefault="00230CBC" w:rsidP="00C5774C">
            <w:pPr>
              <w:pStyle w:val="COMTabletext"/>
            </w:pPr>
            <w:r w:rsidRPr="0059433B">
              <w:t>Secondary: Health-related quality of life (Norfolk QoL-DN), weakness (NIS-W), disability (R-ODS), 10-MWT, mBMI, autonomic symptoms (COMPASS-31)</w:t>
            </w:r>
          </w:p>
          <w:p w14:paraId="5863AC36" w14:textId="77777777" w:rsidR="00230CBC" w:rsidRPr="0059433B" w:rsidRDefault="00230CBC" w:rsidP="00C5774C">
            <w:pPr>
              <w:pStyle w:val="COMTabletext"/>
            </w:pPr>
            <w:r w:rsidRPr="0059433B">
              <w:t>Exploratory: PND score change from baseline, Serum TTR reduction, EQ-5D-5L</w:t>
            </w:r>
          </w:p>
        </w:tc>
        <w:tc>
          <w:tcPr>
            <w:tcW w:w="933" w:type="pct"/>
            <w:shd w:val="clear" w:color="auto" w:fill="auto"/>
          </w:tcPr>
          <w:p w14:paraId="02D267C4" w14:textId="77777777" w:rsidR="00230CBC" w:rsidRPr="0059433B" w:rsidRDefault="00230CBC" w:rsidP="00C5774C">
            <w:pPr>
              <w:pStyle w:val="COMTabletext"/>
              <w:jc w:val="center"/>
            </w:pPr>
            <w:r w:rsidRPr="0059433B">
              <w:t>EQ-5D-5L</w:t>
            </w:r>
          </w:p>
          <w:p w14:paraId="5CE37D01" w14:textId="77777777" w:rsidR="00230CBC" w:rsidRPr="0059433B" w:rsidRDefault="00230CBC" w:rsidP="00C5774C">
            <w:pPr>
              <w:pStyle w:val="COMTabletext"/>
              <w:jc w:val="center"/>
            </w:pPr>
            <w:r w:rsidRPr="0059433B">
              <w:t>Change in PND score</w:t>
            </w:r>
          </w:p>
          <w:p w14:paraId="1E3F6F0D" w14:textId="77777777" w:rsidR="00230CBC" w:rsidRPr="0059433B" w:rsidRDefault="00230CBC" w:rsidP="00C5774C">
            <w:pPr>
              <w:pStyle w:val="COMTabletext"/>
              <w:jc w:val="center"/>
            </w:pPr>
            <w:r w:rsidRPr="0059433B">
              <w:t>Overall survival</w:t>
            </w:r>
          </w:p>
          <w:p w14:paraId="02940E7B" w14:textId="77777777" w:rsidR="00230CBC" w:rsidRPr="0059433B" w:rsidRDefault="00230CBC" w:rsidP="00C5774C">
            <w:pPr>
              <w:pStyle w:val="COMTabletext"/>
              <w:jc w:val="center"/>
            </w:pPr>
            <w:r w:rsidRPr="0059433B">
              <w:t>Time to treatment discontinuation</w:t>
            </w:r>
          </w:p>
          <w:p w14:paraId="04FC4679" w14:textId="77777777" w:rsidR="00230CBC" w:rsidRPr="0059433B" w:rsidRDefault="00230CBC" w:rsidP="00C5774C">
            <w:pPr>
              <w:pStyle w:val="COMTabletext"/>
              <w:jc w:val="center"/>
            </w:pPr>
            <w:r w:rsidRPr="0059433B">
              <w:t>Serious adverse events</w:t>
            </w:r>
          </w:p>
        </w:tc>
      </w:tr>
      <w:tr w:rsidR="00230CBC" w:rsidRPr="0059433B" w14:paraId="21D9B624" w14:textId="77777777" w:rsidTr="00C5774C">
        <w:trPr>
          <w:cantSplit/>
        </w:trPr>
        <w:tc>
          <w:tcPr>
            <w:tcW w:w="546" w:type="pct"/>
            <w:shd w:val="clear" w:color="auto" w:fill="auto"/>
            <w:vAlign w:val="center"/>
          </w:tcPr>
          <w:p w14:paraId="6F73022C" w14:textId="77777777" w:rsidR="00230CBC" w:rsidRPr="0059433B" w:rsidRDefault="00230CBC" w:rsidP="00C5774C">
            <w:pPr>
              <w:pStyle w:val="COMTabletext"/>
            </w:pPr>
            <w:r w:rsidRPr="0059433B">
              <w:t>Global OLE</w:t>
            </w:r>
          </w:p>
        </w:tc>
        <w:tc>
          <w:tcPr>
            <w:tcW w:w="315" w:type="pct"/>
            <w:shd w:val="clear" w:color="auto" w:fill="auto"/>
            <w:vAlign w:val="center"/>
          </w:tcPr>
          <w:p w14:paraId="2A274F6A" w14:textId="77777777" w:rsidR="00230CBC" w:rsidRPr="0059433B" w:rsidRDefault="00230CBC" w:rsidP="00C5774C">
            <w:pPr>
              <w:pStyle w:val="COMTabletext"/>
              <w:jc w:val="center"/>
            </w:pPr>
            <w:r w:rsidRPr="0059433B">
              <w:t>211</w:t>
            </w:r>
          </w:p>
        </w:tc>
        <w:tc>
          <w:tcPr>
            <w:tcW w:w="865" w:type="pct"/>
            <w:shd w:val="clear" w:color="auto" w:fill="auto"/>
            <w:vAlign w:val="center"/>
          </w:tcPr>
          <w:p w14:paraId="411E720B" w14:textId="77777777" w:rsidR="00230CBC" w:rsidRPr="0059433B" w:rsidRDefault="00230CBC" w:rsidP="00C5774C">
            <w:pPr>
              <w:pStyle w:val="COMTabletext"/>
              <w:jc w:val="center"/>
            </w:pPr>
            <w:r w:rsidRPr="0059433B">
              <w:t>Open label, single-arm study</w:t>
            </w:r>
          </w:p>
          <w:p w14:paraId="4809F659" w14:textId="47BE4D7F" w:rsidR="00230CBC" w:rsidRPr="0059433B" w:rsidRDefault="00230CBC" w:rsidP="00C5774C">
            <w:pPr>
              <w:pStyle w:val="COMTabletext"/>
              <w:jc w:val="center"/>
            </w:pPr>
            <w:r w:rsidRPr="0059433B">
              <w:t xml:space="preserve">5 years (ongoing – </w:t>
            </w:r>
            <w:r w:rsidR="00ED2F6E" w:rsidRPr="0059433B">
              <w:t>36-month</w:t>
            </w:r>
            <w:r w:rsidRPr="0059433B">
              <w:t xml:space="preserve"> data presented in this submission)</w:t>
            </w:r>
          </w:p>
        </w:tc>
        <w:tc>
          <w:tcPr>
            <w:tcW w:w="393" w:type="pct"/>
            <w:shd w:val="clear" w:color="auto" w:fill="auto"/>
            <w:vAlign w:val="center"/>
          </w:tcPr>
          <w:p w14:paraId="413C92D1" w14:textId="77777777" w:rsidR="00230CBC" w:rsidRPr="0059433B" w:rsidRDefault="00230CBC" w:rsidP="00C5774C">
            <w:pPr>
              <w:pStyle w:val="COMTabletext"/>
              <w:jc w:val="center"/>
            </w:pPr>
            <w:r w:rsidRPr="0059433B">
              <w:t>High</w:t>
            </w:r>
          </w:p>
        </w:tc>
        <w:tc>
          <w:tcPr>
            <w:tcW w:w="944" w:type="pct"/>
            <w:shd w:val="clear" w:color="auto" w:fill="auto"/>
            <w:vAlign w:val="center"/>
          </w:tcPr>
          <w:p w14:paraId="4BD937A3" w14:textId="77777777" w:rsidR="00230CBC" w:rsidRPr="0059433B" w:rsidRDefault="00230CBC" w:rsidP="00C5774C">
            <w:pPr>
              <w:pStyle w:val="COMTabletext"/>
              <w:jc w:val="center"/>
            </w:pPr>
            <w:r w:rsidRPr="0059433B">
              <w:t>Completed a patisiran trial (APOLLO or Phase 2 extension trial) and tolerated trial drug</w:t>
            </w:r>
          </w:p>
        </w:tc>
        <w:tc>
          <w:tcPr>
            <w:tcW w:w="1004" w:type="pct"/>
            <w:shd w:val="clear" w:color="auto" w:fill="auto"/>
            <w:vAlign w:val="center"/>
          </w:tcPr>
          <w:p w14:paraId="67384EA4" w14:textId="77777777" w:rsidR="00230CBC" w:rsidRPr="0059433B" w:rsidRDefault="00230CBC" w:rsidP="00C5774C">
            <w:pPr>
              <w:pStyle w:val="COMTabletext"/>
            </w:pPr>
            <w:r w:rsidRPr="0059433B">
              <w:t>Primary: AEs leading to study drug discontinuation</w:t>
            </w:r>
          </w:p>
          <w:p w14:paraId="762DCF07" w14:textId="77777777" w:rsidR="00230CBC" w:rsidRPr="0059433B" w:rsidRDefault="00230CBC" w:rsidP="00C5774C">
            <w:pPr>
              <w:pStyle w:val="COMTabletext"/>
            </w:pPr>
            <w:r w:rsidRPr="0059433B">
              <w:t>Secondary: neurological impairment (mNIS+7), health-related quality of life (Norfolk QoL-DN), disability (R-ODS), , mBMI, change in FAP and PND scores</w:t>
            </w:r>
          </w:p>
        </w:tc>
        <w:tc>
          <w:tcPr>
            <w:tcW w:w="933" w:type="pct"/>
            <w:shd w:val="clear" w:color="auto" w:fill="auto"/>
            <w:vAlign w:val="center"/>
          </w:tcPr>
          <w:p w14:paraId="566C3D7F" w14:textId="393011D9" w:rsidR="00230CBC" w:rsidRPr="0059433B" w:rsidRDefault="00230CBC" w:rsidP="00C5774C">
            <w:pPr>
              <w:pStyle w:val="COMTabletext"/>
              <w:jc w:val="center"/>
              <w:rPr>
                <w:rFonts w:cs="Times New Roman"/>
                <w:szCs w:val="20"/>
              </w:rPr>
            </w:pPr>
            <w:r w:rsidRPr="0059433B">
              <w:t xml:space="preserve">Change in PND </w:t>
            </w:r>
            <w:r w:rsidR="00ED2F6E" w:rsidRPr="0059433B">
              <w:t>score.</w:t>
            </w:r>
          </w:p>
          <w:p w14:paraId="11801804" w14:textId="77777777" w:rsidR="00230CBC" w:rsidRPr="0059433B" w:rsidRDefault="00230CBC" w:rsidP="00C5774C">
            <w:pPr>
              <w:pStyle w:val="COMTabletext"/>
              <w:jc w:val="center"/>
            </w:pPr>
            <w:r w:rsidRPr="0059433B">
              <w:t>Overall survival</w:t>
            </w:r>
          </w:p>
          <w:p w14:paraId="7A2613FC" w14:textId="77777777" w:rsidR="00230CBC" w:rsidRPr="0059433B" w:rsidRDefault="00230CBC" w:rsidP="00C5774C">
            <w:pPr>
              <w:pStyle w:val="COMTabletext"/>
              <w:jc w:val="center"/>
            </w:pPr>
            <w:r w:rsidRPr="0059433B">
              <w:t>Time to treatment discontinuation</w:t>
            </w:r>
          </w:p>
        </w:tc>
      </w:tr>
    </w:tbl>
    <w:p w14:paraId="382D45D7" w14:textId="77777777" w:rsidR="00230CBC" w:rsidRPr="0059433B" w:rsidRDefault="00230CBC" w:rsidP="00230CBC">
      <w:pPr>
        <w:pStyle w:val="COMTablefooter"/>
      </w:pPr>
      <w:r w:rsidRPr="0059433B">
        <w:t>Source: Table 2.6, pp53-54; Table 2.13, p57; Table 2.14, p58 of the submission; Table 2.15, p62 of the submission.</w:t>
      </w:r>
    </w:p>
    <w:p w14:paraId="3BDD1CE0" w14:textId="77777777" w:rsidR="00230CBC" w:rsidRPr="0059433B" w:rsidRDefault="00230CBC" w:rsidP="00230CBC">
      <w:pPr>
        <w:pStyle w:val="COMTablefooter"/>
      </w:pPr>
      <w:r w:rsidRPr="0059433B">
        <w:t xml:space="preserve">Abbreviations: 10-MWT, </w:t>
      </w:r>
      <w:proofErr w:type="gramStart"/>
      <w:r w:rsidRPr="0059433B">
        <w:t>10</w:t>
      </w:r>
      <w:proofErr w:type="gramEnd"/>
      <w:r w:rsidRPr="0059433B">
        <w:t xml:space="preserve"> metre walk test; AE, adverse events; mBMI, modified body mass index (BMI x serum albumin concentration); NIS, neuropathic impairment scale; Norfolk QoL-DN, Norfolk quality of life diabetic neuropathy; OLE, open label extension; PND, polyneuropathy disability score; R-ODS, Rasch-built Overall Disability Scale; TTR, transthyretin.</w:t>
      </w:r>
    </w:p>
    <w:p w14:paraId="2CA99A10" w14:textId="77777777" w:rsidR="00230CBC" w:rsidRPr="0059433B" w:rsidRDefault="00230CBC" w:rsidP="00230CBC">
      <w:pPr>
        <w:pStyle w:val="COMTablefooter"/>
      </w:pPr>
      <w:r w:rsidRPr="0059433B">
        <w:rPr>
          <w:vertAlign w:val="superscript"/>
        </w:rPr>
        <w:t>a</w:t>
      </w:r>
      <w:r w:rsidRPr="0059433B">
        <w:t xml:space="preserve"> Individual patient data from the APOLLO trial and Global OLE study </w:t>
      </w:r>
      <w:proofErr w:type="gramStart"/>
      <w:r w:rsidRPr="0059433B">
        <w:t>were used</w:t>
      </w:r>
      <w:proofErr w:type="gramEnd"/>
      <w:r w:rsidRPr="0059433B">
        <w:t xml:space="preserve"> in the modelled evaluation.</w:t>
      </w:r>
    </w:p>
    <w:p w14:paraId="018825BE" w14:textId="77777777" w:rsidR="00230CBC" w:rsidRPr="0059433B" w:rsidRDefault="00230CBC" w:rsidP="00230CBC">
      <w:pPr>
        <w:pStyle w:val="COMexecsumnumberedpara"/>
        <w:rPr>
          <w:color w:val="0066FF"/>
        </w:rPr>
      </w:pPr>
      <w:r w:rsidRPr="0059433B">
        <w:rPr>
          <w:iCs/>
        </w:rPr>
        <w:t xml:space="preserve">Overall, the risk of bias in the APOLLO trial was low, although there may be a risk of attrition bias with a larger proportion of patients in the placebo group </w:t>
      </w:r>
      <w:proofErr w:type="gramStart"/>
      <w:r w:rsidRPr="0059433B">
        <w:rPr>
          <w:iCs/>
        </w:rPr>
        <w:t>being withdrawn</w:t>
      </w:r>
      <w:proofErr w:type="gramEnd"/>
      <w:r w:rsidRPr="0059433B">
        <w:rPr>
          <w:iCs/>
        </w:rPr>
        <w:t xml:space="preserve"> from the study compared to the patisiran group, and a potential for functional unblinding of treatment groups given the substantial differences in discontinuation rates between treatment arms. A total of 11 (7%) patisiran-treated patients and 29 (38%) placebo-treated patients discontinued their trial regimen, with most (10 and 22 patients, respectively) withdrawn completely from the trial. Of the </w:t>
      </w:r>
      <w:proofErr w:type="gramStart"/>
      <w:r w:rsidRPr="0059433B">
        <w:rPr>
          <w:iCs/>
        </w:rPr>
        <w:t>11</w:t>
      </w:r>
      <w:proofErr w:type="gramEnd"/>
      <w:r w:rsidRPr="0059433B">
        <w:rPr>
          <w:iCs/>
        </w:rPr>
        <w:t xml:space="preserve"> patisiran patients who discontinued treatment, 3 had an adverse event, 5 died, 1 had progressive disease, 1 had a protocol violation and 1 withdrew consent. In the placebo arm, </w:t>
      </w:r>
      <w:proofErr w:type="gramStart"/>
      <w:r w:rsidRPr="0059433B">
        <w:rPr>
          <w:iCs/>
        </w:rPr>
        <w:t>12</w:t>
      </w:r>
      <w:proofErr w:type="gramEnd"/>
      <w:r w:rsidRPr="0059433B">
        <w:rPr>
          <w:iCs/>
        </w:rPr>
        <w:t xml:space="preserve"> of the 29 patients withdrew consent (9 of whom stated that they felt their disease had progressed), 7 had an adverse event, 4 died, 4 had progressive disease, and 2 were withdrawn by a physician. </w:t>
      </w:r>
      <w:r w:rsidRPr="0059433B">
        <w:t xml:space="preserve">The submission noted that the primary population included for efficacy and safety analyses was the modified intention-to-treat (mITT) population, which included all patients who received at least </w:t>
      </w:r>
      <w:proofErr w:type="gramStart"/>
      <w:r w:rsidRPr="0059433B">
        <w:t>1</w:t>
      </w:r>
      <w:proofErr w:type="gramEnd"/>
      <w:r w:rsidRPr="0059433B">
        <w:t xml:space="preserve"> dose of patisiran or placebo. Missing data were </w:t>
      </w:r>
      <w:proofErr w:type="gramStart"/>
      <w:r w:rsidRPr="0059433B">
        <w:t>handled</w:t>
      </w:r>
      <w:proofErr w:type="gramEnd"/>
      <w:r w:rsidRPr="0059433B">
        <w:t xml:space="preserve"> via the mixed-effects model for </w:t>
      </w:r>
      <w:r w:rsidRPr="0059433B">
        <w:lastRenderedPageBreak/>
        <w:t xml:space="preserve">repeated measures (MMRM) method for the primary, secondary and exploratory endpoints involving continuous measures, with sensitivity analyses utilising alternative methods of handling missing data also conducted. The Pattern-Mixture model based on multiple imputation with mixed missing data mechanisms </w:t>
      </w:r>
      <w:proofErr w:type="gramStart"/>
      <w:r w:rsidRPr="0059433B">
        <w:t>was performed</w:t>
      </w:r>
      <w:proofErr w:type="gramEnd"/>
      <w:r w:rsidRPr="0059433B">
        <w:t xml:space="preserve"> to assess the robustness of the primary MMRM results to the possible violation of the missing at random missingness assumption.</w:t>
      </w:r>
    </w:p>
    <w:p w14:paraId="5F1C99E7" w14:textId="77777777" w:rsidR="00230CBC" w:rsidRPr="0059433B" w:rsidRDefault="00230CBC" w:rsidP="00230CBC">
      <w:pPr>
        <w:pStyle w:val="COMexecsumnumberedpara"/>
        <w:rPr>
          <w:iCs/>
        </w:rPr>
      </w:pPr>
      <w:r w:rsidRPr="0059433B">
        <w:rPr>
          <w:iCs/>
        </w:rPr>
        <w:t xml:space="preserve">The risk of bias in the Global OLE study </w:t>
      </w:r>
      <w:proofErr w:type="gramStart"/>
      <w:r w:rsidRPr="0059433B">
        <w:rPr>
          <w:iCs/>
        </w:rPr>
        <w:t>was high given</w:t>
      </w:r>
      <w:proofErr w:type="gramEnd"/>
      <w:r w:rsidRPr="0059433B">
        <w:rPr>
          <w:iCs/>
        </w:rPr>
        <w:t xml:space="preserve"> the single-arm, open label nature of the study design.</w:t>
      </w:r>
    </w:p>
    <w:p w14:paraId="67490F61" w14:textId="77777777" w:rsidR="00230CBC" w:rsidRPr="0059433B" w:rsidRDefault="00230CBC" w:rsidP="00230CBC">
      <w:pPr>
        <w:pStyle w:val="COMexecsumnumberedpara"/>
      </w:pPr>
      <w:r w:rsidRPr="0059433B">
        <w:t xml:space="preserve">The APOLLO trial included patients with a confirmed diagnosis of hATTR amyloidosis with polyneuropathy (mNIS+7 of 5-130 and PND score of </w:t>
      </w:r>
      <w:r w:rsidRPr="0059433B">
        <w:rPr>
          <w:rFonts w:cstheme="minorHAnsi"/>
        </w:rPr>
        <w:t>≤</w:t>
      </w:r>
      <w:r w:rsidRPr="0059433B">
        <w:t xml:space="preserve">IIIB, i.e. symptomatic but not confined to a wheelchair or bedridden). </w:t>
      </w:r>
      <w:proofErr w:type="gramStart"/>
      <w:r w:rsidRPr="0059433B">
        <w:t>Some</w:t>
      </w:r>
      <w:proofErr w:type="gramEnd"/>
      <w:r w:rsidRPr="0059433B">
        <w:t xml:space="preserve"> analyses were performed on a pre-specified cardiac subpopulation (56% of all patients) with pre-existing cardiac amyloid involvement, defined as baseline left ventricular (LV) wall thickness </w:t>
      </w:r>
      <w:r w:rsidRPr="0059433B">
        <w:rPr>
          <w:rFonts w:cstheme="minorHAnsi"/>
        </w:rPr>
        <w:t>≥</w:t>
      </w:r>
      <w:r w:rsidRPr="0059433B">
        <w:t xml:space="preserve"> 13 mm, and no history of aortic valve disease or hypertension.</w:t>
      </w:r>
    </w:p>
    <w:p w14:paraId="624F8EF1" w14:textId="77777777" w:rsidR="00F126D4" w:rsidRPr="0059433B" w:rsidRDefault="00230CBC" w:rsidP="00230CBC">
      <w:pPr>
        <w:pStyle w:val="COMexecsumnumberedpara"/>
        <w:rPr>
          <w:iCs/>
        </w:rPr>
      </w:pPr>
      <w:r w:rsidRPr="0059433B">
        <w:t xml:space="preserve">Baseline patient characteristics were </w:t>
      </w:r>
      <w:proofErr w:type="gramStart"/>
      <w:r w:rsidRPr="0059433B">
        <w:t>generally well-balanced</w:t>
      </w:r>
      <w:proofErr w:type="gramEnd"/>
      <w:r w:rsidRPr="0059433B">
        <w:t xml:space="preserve"> between the treatment arms of the APOLLO trial. However, there was a higher proportion of patients in the patisiran arm with a non-V30M genotype (62.2%) compared with the placebo group (48.1%), and a greater proportion of patients in the predefined cardiac subpopulation in the patisiran group (60.8%) compared to the placebo group (48.1%). </w:t>
      </w:r>
      <w:r w:rsidRPr="0059433B">
        <w:rPr>
          <w:iCs/>
        </w:rPr>
        <w:t xml:space="preserve">The APOLLO trial included subgroup analyses of the primary outcome (change from baseline in mNIS+7 scores) by genotype (non-V30M versus V30M) and by cardiac subpopulation/non-cardiac subpopulation. Improvement in mNIS+7 scores </w:t>
      </w:r>
      <w:proofErr w:type="gramStart"/>
      <w:r w:rsidRPr="0059433B">
        <w:rPr>
          <w:iCs/>
        </w:rPr>
        <w:t>appeared to be</w:t>
      </w:r>
      <w:proofErr w:type="gramEnd"/>
      <w:r w:rsidRPr="0059433B">
        <w:rPr>
          <w:iCs/>
        </w:rPr>
        <w:t xml:space="preserve"> greater in the V30M genotype and cardiac subpopulations compared to their complements, however no tests for treatment effect interaction were presented.</w:t>
      </w:r>
    </w:p>
    <w:p w14:paraId="40B11195" w14:textId="2A3B4964" w:rsidR="00230CBC" w:rsidRPr="0059433B" w:rsidRDefault="00230CBC" w:rsidP="00230CBC">
      <w:pPr>
        <w:pStyle w:val="COMexecsumnumberedpara"/>
        <w:rPr>
          <w:color w:val="0066FF"/>
        </w:rPr>
      </w:pPr>
      <w:r w:rsidRPr="0059433B">
        <w:t>The Global OLE study is ongoing and assesses the long-term safety and efficacy of patisiran in patients (N=211) with hATTR amyloidosis with polyneuropathy who participated in the phase 2 open-label extension or the phase 3 APOLLO trial. The estimated duration of trial treatment for each patient in the Global OLE study is 5</w:t>
      </w:r>
      <w:r w:rsidR="00253DD6">
        <w:t> </w:t>
      </w:r>
      <w:r w:rsidRPr="0059433B">
        <w:t xml:space="preserve">years. At the most recent data cut provided in the submission (from January 2021, at the </w:t>
      </w:r>
      <w:r w:rsidR="0066610E" w:rsidRPr="0059433B">
        <w:t>36-month</w:t>
      </w:r>
      <w:r w:rsidRPr="0059433B">
        <w:t xml:space="preserve"> timepoint), there were 148 patients ongoing in the trial, </w:t>
      </w:r>
      <w:proofErr w:type="gramStart"/>
      <w:r w:rsidRPr="0059433B">
        <w:t>4</w:t>
      </w:r>
      <w:proofErr w:type="gramEnd"/>
      <w:r w:rsidRPr="0059433B">
        <w:t xml:space="preserve"> completed, and 59 withdrawn (30 due to patient death).</w:t>
      </w:r>
      <w:r w:rsidR="0014071D" w:rsidRPr="0059433B">
        <w:rPr>
          <w:iCs/>
        </w:rPr>
        <w:t xml:space="preserve"> </w:t>
      </w:r>
      <w:r w:rsidRPr="0059433B">
        <w:rPr>
          <w:iCs/>
        </w:rPr>
        <w:t xml:space="preserve">The ESC considered that updated information from the Global OLE study would be informative in helping to assess the </w:t>
      </w:r>
      <w:r w:rsidR="0066610E" w:rsidRPr="0059433B">
        <w:rPr>
          <w:iCs/>
        </w:rPr>
        <w:t>long-term</w:t>
      </w:r>
      <w:r w:rsidRPr="0059433B">
        <w:rPr>
          <w:iCs/>
        </w:rPr>
        <w:t xml:space="preserve"> benefits of patisiran, whilst recognising that these data would be non-comparative.</w:t>
      </w:r>
    </w:p>
    <w:p w14:paraId="63FC4BD5" w14:textId="77777777" w:rsidR="00230CBC" w:rsidRPr="00C726E2" w:rsidRDefault="00230CBC" w:rsidP="00230CBC">
      <w:pPr>
        <w:pStyle w:val="COMH2-non-numbered"/>
        <w:rPr>
          <w:iCs/>
        </w:rPr>
      </w:pPr>
      <w:bookmarkStart w:id="28" w:name="_Toc22897641"/>
      <w:bookmarkStart w:id="29" w:name="_Toc135226806"/>
      <w:r w:rsidRPr="00C726E2">
        <w:rPr>
          <w:iCs/>
        </w:rPr>
        <w:t>Comparative effectiveness</w:t>
      </w:r>
      <w:bookmarkEnd w:id="28"/>
      <w:bookmarkEnd w:id="29"/>
    </w:p>
    <w:p w14:paraId="60F607E3" w14:textId="26C26F39" w:rsidR="00230CBC" w:rsidRPr="0059433B" w:rsidRDefault="00230CBC" w:rsidP="00230CBC">
      <w:pPr>
        <w:pStyle w:val="COMexecsumnumberedpara"/>
        <w:rPr>
          <w:color w:val="0066FF"/>
        </w:rPr>
      </w:pPr>
      <w:r w:rsidRPr="0059433B">
        <w:t xml:space="preserve">Results for the primary outcome of change from baseline in mNIS+7 and subscales are summarised in </w:t>
      </w:r>
      <w:r w:rsidRPr="0059433B">
        <w:fldChar w:fldCharType="begin" w:fldLock="1"/>
      </w:r>
      <w:r w:rsidRPr="0059433B">
        <w:instrText xml:space="preserve"> REF _Ref132619792 \h </w:instrText>
      </w:r>
      <w:r w:rsidRPr="0059433B">
        <w:fldChar w:fldCharType="separate"/>
      </w:r>
      <w:r w:rsidR="00042B2E" w:rsidRPr="0059433B">
        <w:t>Table 5</w:t>
      </w:r>
      <w:r w:rsidRPr="0059433B">
        <w:fldChar w:fldCharType="end"/>
      </w:r>
      <w:r w:rsidRPr="0059433B">
        <w:t xml:space="preserve">. The mNIS+7 is based on the Neuropathy Impairment Score (originally used to evaluate sensorimotor polyneuropathy in patients with conditions such as diabetic polyneuropathy) and </w:t>
      </w:r>
      <w:proofErr w:type="gramStart"/>
      <w:r w:rsidRPr="0059433B">
        <w:t>was developed</w:t>
      </w:r>
      <w:proofErr w:type="gramEnd"/>
      <w:r w:rsidRPr="0059433B">
        <w:t xml:space="preserve"> as a more tailored measure of polyneuropathy progression in patients with hATTR </w:t>
      </w:r>
      <w:r w:rsidRPr="0059433B">
        <w:lastRenderedPageBreak/>
        <w:t xml:space="preserve">amyloidosis with seven additional nerve tests. The NIS has </w:t>
      </w:r>
      <w:proofErr w:type="gramStart"/>
      <w:r w:rsidRPr="0059433B">
        <w:t>been shown</w:t>
      </w:r>
      <w:proofErr w:type="gramEnd"/>
      <w:r w:rsidRPr="0059433B">
        <w:t xml:space="preserve"> to correlate with both FAP stage and PND scores (Adams 2015). The mNIS+7 </w:t>
      </w:r>
      <w:proofErr w:type="gramStart"/>
      <w:r w:rsidRPr="0059433B">
        <w:t>is scored</w:t>
      </w:r>
      <w:proofErr w:type="gramEnd"/>
      <w:r w:rsidRPr="0059433B">
        <w:t xml:space="preserve"> from 0 to 304, with a higher score indicative of greater neurologic deficit, and negative changes in values suggesting neurologic improvement.</w:t>
      </w:r>
    </w:p>
    <w:p w14:paraId="599983AD" w14:textId="2FBC66E5" w:rsidR="00230CBC" w:rsidRPr="0059433B" w:rsidRDefault="00230CBC" w:rsidP="00230CBC">
      <w:pPr>
        <w:pStyle w:val="COMtablefigcaption"/>
      </w:pPr>
      <w:bookmarkStart w:id="30" w:name="_Ref132619792"/>
      <w:r w:rsidRPr="0059433B">
        <w:t xml:space="preserve">Table </w:t>
      </w:r>
      <w:fldSimple w:instr=" SEQ Table \* ARABIC " w:fldLock="1">
        <w:r w:rsidR="00042B2E" w:rsidRPr="0059433B">
          <w:t>5</w:t>
        </w:r>
      </w:fldSimple>
      <w:bookmarkEnd w:id="30"/>
      <w:r w:rsidRPr="0059433B">
        <w:t>: Mean change from baseline to Month 18 in mNIS+7 and subscales in APOLLO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Mean change from baseline to Month 18 in mNIS+7 and subscales in APOLLO trial"/>
      </w:tblPr>
      <w:tblGrid>
        <w:gridCol w:w="1798"/>
        <w:gridCol w:w="1321"/>
        <w:gridCol w:w="1321"/>
        <w:gridCol w:w="1321"/>
        <w:gridCol w:w="1322"/>
        <w:gridCol w:w="1934"/>
      </w:tblGrid>
      <w:tr w:rsidR="00230CBC" w:rsidRPr="0059433B" w14:paraId="3DDCAB23" w14:textId="77777777" w:rsidTr="00C5774C">
        <w:trPr>
          <w:tblHeader/>
        </w:trPr>
        <w:tc>
          <w:tcPr>
            <w:tcW w:w="1798" w:type="dxa"/>
            <w:vMerge w:val="restart"/>
            <w:vAlign w:val="center"/>
          </w:tcPr>
          <w:p w14:paraId="715D797B" w14:textId="77777777" w:rsidR="00230CBC" w:rsidRPr="0059433B" w:rsidRDefault="00230CBC" w:rsidP="00C5774C">
            <w:pPr>
              <w:pStyle w:val="COMTableheadingrow"/>
              <w:jc w:val="center"/>
              <w:rPr>
                <w:lang w:val="en-AU"/>
              </w:rPr>
            </w:pPr>
            <w:r w:rsidRPr="0059433B">
              <w:rPr>
                <w:lang w:val="en-AU"/>
              </w:rPr>
              <w:t>Outcome</w:t>
            </w:r>
          </w:p>
        </w:tc>
        <w:tc>
          <w:tcPr>
            <w:tcW w:w="2642" w:type="dxa"/>
            <w:gridSpan w:val="2"/>
            <w:vAlign w:val="center"/>
          </w:tcPr>
          <w:p w14:paraId="2A0A6AA2" w14:textId="77777777" w:rsidR="00230CBC" w:rsidRPr="0059433B" w:rsidRDefault="00230CBC" w:rsidP="00C5774C">
            <w:pPr>
              <w:pStyle w:val="COMTableheadingrow"/>
              <w:jc w:val="center"/>
              <w:rPr>
                <w:lang w:val="en-AU"/>
              </w:rPr>
            </w:pPr>
            <w:r w:rsidRPr="0059433B">
              <w:rPr>
                <w:lang w:val="en-AU"/>
              </w:rPr>
              <w:t>Baseline score, mean (SD)</w:t>
            </w:r>
          </w:p>
        </w:tc>
        <w:tc>
          <w:tcPr>
            <w:tcW w:w="4577" w:type="dxa"/>
            <w:gridSpan w:val="3"/>
            <w:vAlign w:val="center"/>
          </w:tcPr>
          <w:p w14:paraId="6CA98192" w14:textId="77777777" w:rsidR="00230CBC" w:rsidRPr="0059433B" w:rsidRDefault="00230CBC" w:rsidP="00C5774C">
            <w:pPr>
              <w:pStyle w:val="COMTableheadingrow"/>
              <w:jc w:val="center"/>
              <w:rPr>
                <w:lang w:val="en-AU"/>
              </w:rPr>
            </w:pPr>
            <w:r w:rsidRPr="0059433B">
              <w:rPr>
                <w:lang w:val="en-AU"/>
              </w:rPr>
              <w:t>Least Squares mean change from baseline (95%CI) (unless specified)</w:t>
            </w:r>
          </w:p>
        </w:tc>
      </w:tr>
      <w:tr w:rsidR="00230CBC" w:rsidRPr="0059433B" w14:paraId="5423AB19" w14:textId="77777777" w:rsidTr="00C5774C">
        <w:trPr>
          <w:tblHeader/>
        </w:trPr>
        <w:tc>
          <w:tcPr>
            <w:tcW w:w="1798" w:type="dxa"/>
            <w:vMerge/>
            <w:vAlign w:val="center"/>
          </w:tcPr>
          <w:p w14:paraId="559E232C" w14:textId="77777777" w:rsidR="00230CBC" w:rsidRPr="0059433B" w:rsidRDefault="00230CBC" w:rsidP="00C5774C">
            <w:pPr>
              <w:pStyle w:val="COMTableheadingrow"/>
              <w:jc w:val="center"/>
              <w:rPr>
                <w:lang w:val="en-AU"/>
              </w:rPr>
            </w:pPr>
          </w:p>
        </w:tc>
        <w:tc>
          <w:tcPr>
            <w:tcW w:w="1321" w:type="dxa"/>
            <w:vAlign w:val="center"/>
          </w:tcPr>
          <w:p w14:paraId="2EB83770" w14:textId="77777777" w:rsidR="00230CBC" w:rsidRPr="0059433B" w:rsidRDefault="00230CBC" w:rsidP="00C5774C">
            <w:pPr>
              <w:pStyle w:val="COMTableheadingrow"/>
              <w:jc w:val="center"/>
              <w:rPr>
                <w:lang w:val="en-AU"/>
              </w:rPr>
            </w:pPr>
            <w:r w:rsidRPr="0059433B">
              <w:rPr>
                <w:lang w:val="en-AU"/>
              </w:rPr>
              <w:t>Patisiran (n=148)</w:t>
            </w:r>
          </w:p>
        </w:tc>
        <w:tc>
          <w:tcPr>
            <w:tcW w:w="1321" w:type="dxa"/>
            <w:vAlign w:val="center"/>
          </w:tcPr>
          <w:p w14:paraId="6C337F1A" w14:textId="77777777" w:rsidR="00230CBC" w:rsidRPr="0059433B" w:rsidRDefault="00230CBC" w:rsidP="00C5774C">
            <w:pPr>
              <w:pStyle w:val="COMTableheadingrow"/>
              <w:jc w:val="center"/>
              <w:rPr>
                <w:lang w:val="en-AU"/>
              </w:rPr>
            </w:pPr>
            <w:r w:rsidRPr="0059433B">
              <w:rPr>
                <w:lang w:val="en-AU"/>
              </w:rPr>
              <w:t>Placebo (n=77)</w:t>
            </w:r>
          </w:p>
        </w:tc>
        <w:tc>
          <w:tcPr>
            <w:tcW w:w="1321" w:type="dxa"/>
            <w:vAlign w:val="center"/>
          </w:tcPr>
          <w:p w14:paraId="0EA00A39" w14:textId="77777777" w:rsidR="00230CBC" w:rsidRPr="0059433B" w:rsidRDefault="00230CBC" w:rsidP="00C5774C">
            <w:pPr>
              <w:pStyle w:val="COMTableheadingrow"/>
              <w:jc w:val="center"/>
              <w:rPr>
                <w:lang w:val="en-AU"/>
              </w:rPr>
            </w:pPr>
            <w:r w:rsidRPr="0059433B">
              <w:rPr>
                <w:lang w:val="en-AU"/>
              </w:rPr>
              <w:t>Patisiran (n=148)</w:t>
            </w:r>
          </w:p>
        </w:tc>
        <w:tc>
          <w:tcPr>
            <w:tcW w:w="1322" w:type="dxa"/>
            <w:vAlign w:val="center"/>
          </w:tcPr>
          <w:p w14:paraId="2CB4F743" w14:textId="77777777" w:rsidR="00230CBC" w:rsidRPr="0059433B" w:rsidRDefault="00230CBC" w:rsidP="00C5774C">
            <w:pPr>
              <w:pStyle w:val="COMTableheadingrow"/>
              <w:jc w:val="center"/>
              <w:rPr>
                <w:lang w:val="en-AU"/>
              </w:rPr>
            </w:pPr>
            <w:r w:rsidRPr="0059433B">
              <w:rPr>
                <w:lang w:val="en-AU"/>
              </w:rPr>
              <w:t>Placebo (n=77)</w:t>
            </w:r>
          </w:p>
        </w:tc>
        <w:tc>
          <w:tcPr>
            <w:tcW w:w="1934" w:type="dxa"/>
            <w:vAlign w:val="center"/>
          </w:tcPr>
          <w:p w14:paraId="357E94EA" w14:textId="77777777" w:rsidR="00230CBC" w:rsidRPr="0059433B" w:rsidRDefault="00230CBC" w:rsidP="00C5774C">
            <w:pPr>
              <w:pStyle w:val="COMTableheadingrow"/>
              <w:jc w:val="center"/>
              <w:rPr>
                <w:lang w:val="en-AU"/>
              </w:rPr>
            </w:pPr>
            <w:r w:rsidRPr="0059433B">
              <w:rPr>
                <w:lang w:val="en-AU"/>
              </w:rPr>
              <w:t>Difference</w:t>
            </w:r>
          </w:p>
        </w:tc>
      </w:tr>
      <w:tr w:rsidR="00230CBC" w:rsidRPr="0059433B" w14:paraId="1C2CE466" w14:textId="77777777" w:rsidTr="00C5774C">
        <w:tc>
          <w:tcPr>
            <w:tcW w:w="1798" w:type="dxa"/>
            <w:vAlign w:val="center"/>
          </w:tcPr>
          <w:p w14:paraId="7767D2F8" w14:textId="77777777" w:rsidR="00230CBC" w:rsidRPr="0059433B" w:rsidRDefault="00230CBC" w:rsidP="00C5774C">
            <w:pPr>
              <w:pStyle w:val="COMTabletext"/>
            </w:pPr>
            <w:r w:rsidRPr="0059433B">
              <w:t>mNIS+7 Total score</w:t>
            </w:r>
          </w:p>
        </w:tc>
        <w:tc>
          <w:tcPr>
            <w:tcW w:w="1321" w:type="dxa"/>
            <w:vAlign w:val="center"/>
          </w:tcPr>
          <w:p w14:paraId="65155BB8" w14:textId="77777777" w:rsidR="00230CBC" w:rsidRPr="0059433B" w:rsidRDefault="00230CBC" w:rsidP="00C5774C">
            <w:pPr>
              <w:pStyle w:val="TableText"/>
              <w:jc w:val="center"/>
            </w:pPr>
            <w:r w:rsidRPr="0059433B">
              <w:t>80.93 (41.51)</w:t>
            </w:r>
          </w:p>
        </w:tc>
        <w:tc>
          <w:tcPr>
            <w:tcW w:w="1321" w:type="dxa"/>
            <w:vAlign w:val="center"/>
          </w:tcPr>
          <w:p w14:paraId="7F6C83C5" w14:textId="77777777" w:rsidR="00230CBC" w:rsidRPr="0059433B" w:rsidRDefault="00230CBC" w:rsidP="00C5774C">
            <w:pPr>
              <w:pStyle w:val="TableText"/>
              <w:jc w:val="center"/>
            </w:pPr>
            <w:r w:rsidRPr="0059433B">
              <w:t>74.61 (37.04)</w:t>
            </w:r>
          </w:p>
        </w:tc>
        <w:tc>
          <w:tcPr>
            <w:tcW w:w="1321" w:type="dxa"/>
            <w:vAlign w:val="center"/>
          </w:tcPr>
          <w:p w14:paraId="01082C48" w14:textId="77777777" w:rsidR="00230CBC" w:rsidRPr="0059433B" w:rsidRDefault="00230CBC" w:rsidP="00C5774C">
            <w:pPr>
              <w:pStyle w:val="TableText"/>
              <w:jc w:val="center"/>
            </w:pPr>
            <w:r w:rsidRPr="0059433B">
              <w:t>-6.03</w:t>
            </w:r>
          </w:p>
          <w:p w14:paraId="3197889E" w14:textId="77777777" w:rsidR="00230CBC" w:rsidRPr="0059433B" w:rsidRDefault="00230CBC" w:rsidP="00C5774C">
            <w:pPr>
              <w:pStyle w:val="TableText"/>
              <w:jc w:val="center"/>
              <w:rPr>
                <w:vertAlign w:val="superscript"/>
              </w:rPr>
            </w:pPr>
            <w:r w:rsidRPr="0059433B">
              <w:t>(-9.46, -2.60)</w:t>
            </w:r>
          </w:p>
        </w:tc>
        <w:tc>
          <w:tcPr>
            <w:tcW w:w="1322" w:type="dxa"/>
            <w:vAlign w:val="center"/>
          </w:tcPr>
          <w:p w14:paraId="1D60F3A9" w14:textId="77777777" w:rsidR="00230CBC" w:rsidRPr="0059433B" w:rsidRDefault="00230CBC" w:rsidP="00C5774C">
            <w:pPr>
              <w:pStyle w:val="TableText"/>
              <w:jc w:val="center"/>
            </w:pPr>
            <w:r w:rsidRPr="0059433B">
              <w:t>27.96</w:t>
            </w:r>
          </w:p>
          <w:p w14:paraId="2B706CB4" w14:textId="77777777" w:rsidR="00230CBC" w:rsidRPr="0059433B" w:rsidRDefault="00230CBC" w:rsidP="00C5774C">
            <w:pPr>
              <w:pStyle w:val="TableText"/>
              <w:jc w:val="center"/>
            </w:pPr>
            <w:r w:rsidRPr="0059433B">
              <w:t>(22.83, 33.09)</w:t>
            </w:r>
          </w:p>
        </w:tc>
        <w:tc>
          <w:tcPr>
            <w:tcW w:w="1934" w:type="dxa"/>
          </w:tcPr>
          <w:p w14:paraId="13071078" w14:textId="77777777" w:rsidR="00230CBC" w:rsidRPr="0059433B" w:rsidRDefault="00230CBC" w:rsidP="00C5774C">
            <w:pPr>
              <w:pStyle w:val="TableText"/>
              <w:jc w:val="center"/>
              <w:rPr>
                <w:b/>
                <w:bCs w:val="0"/>
              </w:rPr>
            </w:pPr>
            <w:r w:rsidRPr="0059433B">
              <w:rPr>
                <w:b/>
                <w:bCs w:val="0"/>
              </w:rPr>
              <w:t>-33.99</w:t>
            </w:r>
          </w:p>
          <w:p w14:paraId="110F89FA" w14:textId="77777777" w:rsidR="00230CBC" w:rsidRPr="0059433B" w:rsidRDefault="00230CBC" w:rsidP="00C5774C">
            <w:pPr>
              <w:pStyle w:val="TableText"/>
              <w:jc w:val="center"/>
              <w:rPr>
                <w:b/>
                <w:bCs w:val="0"/>
              </w:rPr>
            </w:pPr>
            <w:r w:rsidRPr="0059433B">
              <w:rPr>
                <w:b/>
                <w:bCs w:val="0"/>
              </w:rPr>
              <w:t>(-39.86, -28.13)</w:t>
            </w:r>
          </w:p>
        </w:tc>
      </w:tr>
      <w:tr w:rsidR="00230CBC" w:rsidRPr="0059433B" w14:paraId="0098B654" w14:textId="77777777" w:rsidTr="00C5774C">
        <w:tc>
          <w:tcPr>
            <w:tcW w:w="1798" w:type="dxa"/>
            <w:vAlign w:val="center"/>
          </w:tcPr>
          <w:p w14:paraId="0142CB1A" w14:textId="77777777" w:rsidR="00230CBC" w:rsidRPr="0059433B" w:rsidRDefault="00230CBC" w:rsidP="00C5774C">
            <w:pPr>
              <w:pStyle w:val="COMTabletext"/>
            </w:pPr>
            <w:r w:rsidRPr="0059433B">
              <w:t>NIS-Weakness score</w:t>
            </w:r>
          </w:p>
        </w:tc>
        <w:tc>
          <w:tcPr>
            <w:tcW w:w="1321" w:type="dxa"/>
            <w:vAlign w:val="center"/>
          </w:tcPr>
          <w:p w14:paraId="7A765C73" w14:textId="77777777" w:rsidR="00230CBC" w:rsidRPr="0059433B" w:rsidRDefault="00230CBC" w:rsidP="00C5774C">
            <w:pPr>
              <w:pStyle w:val="TableText"/>
              <w:jc w:val="center"/>
            </w:pPr>
            <w:r w:rsidRPr="0059433B">
              <w:t>32.69 (25.23)</w:t>
            </w:r>
          </w:p>
        </w:tc>
        <w:tc>
          <w:tcPr>
            <w:tcW w:w="1321" w:type="dxa"/>
            <w:vAlign w:val="center"/>
          </w:tcPr>
          <w:p w14:paraId="29C5B296" w14:textId="77777777" w:rsidR="00230CBC" w:rsidRPr="0059433B" w:rsidRDefault="00230CBC" w:rsidP="00C5774C">
            <w:pPr>
              <w:pStyle w:val="TableText"/>
              <w:jc w:val="center"/>
            </w:pPr>
            <w:r w:rsidRPr="0059433B">
              <w:t>29.03 (22.95)</w:t>
            </w:r>
          </w:p>
        </w:tc>
        <w:tc>
          <w:tcPr>
            <w:tcW w:w="1321" w:type="dxa"/>
            <w:vAlign w:val="center"/>
          </w:tcPr>
          <w:p w14:paraId="2060E30F" w14:textId="77777777" w:rsidR="00230CBC" w:rsidRPr="0059433B" w:rsidRDefault="00230CBC" w:rsidP="00C5774C">
            <w:pPr>
              <w:pStyle w:val="TableText"/>
              <w:jc w:val="center"/>
            </w:pPr>
            <w:r w:rsidRPr="0059433B">
              <w:t>0.05</w:t>
            </w:r>
          </w:p>
          <w:p w14:paraId="3FF383A0" w14:textId="77777777" w:rsidR="00230CBC" w:rsidRPr="0059433B" w:rsidRDefault="00230CBC" w:rsidP="00C5774C">
            <w:pPr>
              <w:pStyle w:val="TableText"/>
              <w:jc w:val="center"/>
            </w:pPr>
            <w:r w:rsidRPr="0059433B">
              <w:t>(-2.52, 2.63)</w:t>
            </w:r>
          </w:p>
        </w:tc>
        <w:tc>
          <w:tcPr>
            <w:tcW w:w="1322" w:type="dxa"/>
            <w:vAlign w:val="center"/>
          </w:tcPr>
          <w:p w14:paraId="7C0D6E68" w14:textId="77777777" w:rsidR="00230CBC" w:rsidRPr="0059433B" w:rsidRDefault="00230CBC" w:rsidP="00C5774C">
            <w:pPr>
              <w:pStyle w:val="TableText"/>
              <w:jc w:val="center"/>
            </w:pPr>
            <w:r w:rsidRPr="0059433B">
              <w:t>17.93</w:t>
            </w:r>
          </w:p>
          <w:p w14:paraId="2A519174" w14:textId="77777777" w:rsidR="00230CBC" w:rsidRPr="0059433B" w:rsidRDefault="00230CBC" w:rsidP="00C5774C">
            <w:pPr>
              <w:pStyle w:val="TableText"/>
              <w:jc w:val="center"/>
            </w:pPr>
            <w:r w:rsidRPr="0059433B">
              <w:t>(14.07, 21.79)</w:t>
            </w:r>
          </w:p>
        </w:tc>
        <w:tc>
          <w:tcPr>
            <w:tcW w:w="1934" w:type="dxa"/>
          </w:tcPr>
          <w:p w14:paraId="1645EAC8" w14:textId="77777777" w:rsidR="00230CBC" w:rsidRPr="0059433B" w:rsidRDefault="00230CBC" w:rsidP="00C5774C">
            <w:pPr>
              <w:pStyle w:val="TableText"/>
              <w:jc w:val="center"/>
              <w:rPr>
                <w:b/>
                <w:bCs w:val="0"/>
              </w:rPr>
            </w:pPr>
            <w:r w:rsidRPr="0059433B">
              <w:rPr>
                <w:b/>
                <w:bCs w:val="0"/>
              </w:rPr>
              <w:t>-17.87</w:t>
            </w:r>
          </w:p>
          <w:p w14:paraId="134CB3C1" w14:textId="77777777" w:rsidR="00230CBC" w:rsidRPr="0059433B" w:rsidRDefault="00230CBC" w:rsidP="00C5774C">
            <w:pPr>
              <w:pStyle w:val="TableText"/>
              <w:jc w:val="center"/>
              <w:rPr>
                <w:b/>
                <w:bCs w:val="0"/>
              </w:rPr>
            </w:pPr>
            <w:r w:rsidRPr="0059433B">
              <w:rPr>
                <w:b/>
                <w:bCs w:val="0"/>
              </w:rPr>
              <w:t>(-22.32, -13.43)</w:t>
            </w:r>
          </w:p>
        </w:tc>
      </w:tr>
      <w:tr w:rsidR="00230CBC" w:rsidRPr="0059433B" w14:paraId="76A5AA23" w14:textId="77777777" w:rsidTr="003F4735">
        <w:trPr>
          <w:trHeight w:val="577"/>
        </w:trPr>
        <w:tc>
          <w:tcPr>
            <w:tcW w:w="1798" w:type="dxa"/>
            <w:vAlign w:val="center"/>
          </w:tcPr>
          <w:p w14:paraId="7D97655E" w14:textId="77777777" w:rsidR="00230CBC" w:rsidRPr="0059433B" w:rsidRDefault="00230CBC" w:rsidP="00C5774C">
            <w:pPr>
              <w:pStyle w:val="COMTabletext"/>
            </w:pPr>
            <w:r w:rsidRPr="0059433B">
              <w:t>NIS-Reflexes score</w:t>
            </w:r>
          </w:p>
        </w:tc>
        <w:tc>
          <w:tcPr>
            <w:tcW w:w="1321" w:type="dxa"/>
            <w:vAlign w:val="center"/>
          </w:tcPr>
          <w:p w14:paraId="3418B179" w14:textId="77777777" w:rsidR="00230CBC" w:rsidRPr="0059433B" w:rsidRDefault="00230CBC" w:rsidP="00C5774C">
            <w:pPr>
              <w:pStyle w:val="TableText"/>
              <w:jc w:val="center"/>
            </w:pPr>
            <w:r w:rsidRPr="0059433B">
              <w:t>12.81 (6.07)</w:t>
            </w:r>
          </w:p>
        </w:tc>
        <w:tc>
          <w:tcPr>
            <w:tcW w:w="1321" w:type="dxa"/>
            <w:vAlign w:val="center"/>
          </w:tcPr>
          <w:p w14:paraId="325D4ABF" w14:textId="77777777" w:rsidR="00230CBC" w:rsidRPr="0059433B" w:rsidRDefault="00230CBC" w:rsidP="00C5774C">
            <w:pPr>
              <w:pStyle w:val="TableText"/>
              <w:jc w:val="center"/>
            </w:pPr>
            <w:r w:rsidRPr="0059433B">
              <w:t>12.75 (5.90)</w:t>
            </w:r>
          </w:p>
        </w:tc>
        <w:tc>
          <w:tcPr>
            <w:tcW w:w="1321" w:type="dxa"/>
            <w:vAlign w:val="center"/>
          </w:tcPr>
          <w:p w14:paraId="4009486B" w14:textId="77777777" w:rsidR="00230CBC" w:rsidRPr="0059433B" w:rsidRDefault="00230CBC" w:rsidP="00C5774C">
            <w:pPr>
              <w:pStyle w:val="TableText"/>
              <w:jc w:val="center"/>
            </w:pPr>
            <w:r w:rsidRPr="0059433B">
              <w:t>0.22</w:t>
            </w:r>
          </w:p>
          <w:p w14:paraId="3F2C1234" w14:textId="77777777" w:rsidR="00230CBC" w:rsidRPr="0059433B" w:rsidRDefault="00230CBC" w:rsidP="00C5774C">
            <w:pPr>
              <w:pStyle w:val="TableText"/>
              <w:jc w:val="center"/>
            </w:pPr>
            <w:r w:rsidRPr="0059433B">
              <w:t>(-0.31, 0.74)</w:t>
            </w:r>
          </w:p>
        </w:tc>
        <w:tc>
          <w:tcPr>
            <w:tcW w:w="1322" w:type="dxa"/>
            <w:vAlign w:val="center"/>
          </w:tcPr>
          <w:p w14:paraId="18C32CDC" w14:textId="77777777" w:rsidR="00230CBC" w:rsidRPr="0059433B" w:rsidRDefault="00230CBC" w:rsidP="00C5774C">
            <w:pPr>
              <w:pStyle w:val="TableText"/>
              <w:jc w:val="center"/>
            </w:pPr>
            <w:r w:rsidRPr="0059433B">
              <w:t>0.75</w:t>
            </w:r>
          </w:p>
          <w:p w14:paraId="129CB0D7" w14:textId="77777777" w:rsidR="00230CBC" w:rsidRPr="0059433B" w:rsidRDefault="00230CBC" w:rsidP="00C5774C">
            <w:pPr>
              <w:pStyle w:val="TableText"/>
              <w:jc w:val="center"/>
            </w:pPr>
            <w:r w:rsidRPr="0059433B">
              <w:t>(0.01, 1.49)</w:t>
            </w:r>
          </w:p>
        </w:tc>
        <w:tc>
          <w:tcPr>
            <w:tcW w:w="1934" w:type="dxa"/>
          </w:tcPr>
          <w:p w14:paraId="2038F56F" w14:textId="77777777" w:rsidR="00230CBC" w:rsidRPr="0059433B" w:rsidRDefault="00230CBC" w:rsidP="00C5774C">
            <w:pPr>
              <w:pStyle w:val="TableText"/>
              <w:jc w:val="center"/>
            </w:pPr>
            <w:r w:rsidRPr="0059433B">
              <w:t>-0.54</w:t>
            </w:r>
          </w:p>
          <w:p w14:paraId="442C682F" w14:textId="77777777" w:rsidR="00230CBC" w:rsidRPr="0059433B" w:rsidRDefault="00230CBC" w:rsidP="00C5774C">
            <w:pPr>
              <w:pStyle w:val="TableText"/>
              <w:jc w:val="center"/>
            </w:pPr>
            <w:r w:rsidRPr="0059433B">
              <w:t>(-1.39, 0.31)</w:t>
            </w:r>
          </w:p>
        </w:tc>
      </w:tr>
      <w:tr w:rsidR="00230CBC" w:rsidRPr="0059433B" w14:paraId="289A5D63" w14:textId="77777777" w:rsidTr="00C5774C">
        <w:tc>
          <w:tcPr>
            <w:tcW w:w="1798" w:type="dxa"/>
            <w:vAlign w:val="center"/>
          </w:tcPr>
          <w:p w14:paraId="4C7D0377" w14:textId="77777777" w:rsidR="00230CBC" w:rsidRPr="0059433B" w:rsidRDefault="00230CBC" w:rsidP="00C5774C">
            <w:pPr>
              <w:pStyle w:val="COMTabletext"/>
            </w:pPr>
            <w:r w:rsidRPr="0059433B">
              <w:t>QST score</w:t>
            </w:r>
          </w:p>
        </w:tc>
        <w:tc>
          <w:tcPr>
            <w:tcW w:w="1321" w:type="dxa"/>
            <w:vAlign w:val="center"/>
          </w:tcPr>
          <w:p w14:paraId="72FAC4B8" w14:textId="77777777" w:rsidR="00230CBC" w:rsidRPr="0059433B" w:rsidRDefault="00230CBC" w:rsidP="00C5774C">
            <w:pPr>
              <w:pStyle w:val="TableText"/>
              <w:jc w:val="center"/>
            </w:pPr>
            <w:r w:rsidRPr="0059433B">
              <w:t>27.2 (17.73)</w:t>
            </w:r>
          </w:p>
        </w:tc>
        <w:tc>
          <w:tcPr>
            <w:tcW w:w="1321" w:type="dxa"/>
            <w:vAlign w:val="center"/>
          </w:tcPr>
          <w:p w14:paraId="1959B48B" w14:textId="77777777" w:rsidR="00230CBC" w:rsidRPr="0059433B" w:rsidRDefault="00230CBC" w:rsidP="00C5774C">
            <w:pPr>
              <w:pStyle w:val="TableText"/>
              <w:jc w:val="center"/>
            </w:pPr>
            <w:r w:rsidRPr="0059433B">
              <w:t>24.8 (15.34)</w:t>
            </w:r>
          </w:p>
        </w:tc>
        <w:tc>
          <w:tcPr>
            <w:tcW w:w="1321" w:type="dxa"/>
            <w:vAlign w:val="center"/>
          </w:tcPr>
          <w:p w14:paraId="216FE8FA" w14:textId="77777777" w:rsidR="00230CBC" w:rsidRPr="0059433B" w:rsidRDefault="00230CBC" w:rsidP="00C5774C">
            <w:pPr>
              <w:pStyle w:val="TableText"/>
              <w:jc w:val="center"/>
            </w:pPr>
            <w:r w:rsidRPr="0059433B">
              <w:t>-6.0</w:t>
            </w:r>
          </w:p>
          <w:p w14:paraId="5D49864D" w14:textId="77777777" w:rsidR="00230CBC" w:rsidRPr="0059433B" w:rsidRDefault="00230CBC" w:rsidP="00C5774C">
            <w:pPr>
              <w:pStyle w:val="TableText"/>
              <w:jc w:val="center"/>
            </w:pPr>
            <w:r w:rsidRPr="0059433B">
              <w:t>(-8.0, -4.1)</w:t>
            </w:r>
          </w:p>
        </w:tc>
        <w:tc>
          <w:tcPr>
            <w:tcW w:w="1322" w:type="dxa"/>
            <w:vAlign w:val="center"/>
          </w:tcPr>
          <w:p w14:paraId="68B21CC0" w14:textId="77777777" w:rsidR="00230CBC" w:rsidRPr="0059433B" w:rsidRDefault="00230CBC" w:rsidP="00C5774C">
            <w:pPr>
              <w:pStyle w:val="TableText"/>
              <w:jc w:val="center"/>
            </w:pPr>
            <w:r w:rsidRPr="0059433B">
              <w:t>7.0</w:t>
            </w:r>
          </w:p>
          <w:p w14:paraId="1405D75B" w14:textId="77777777" w:rsidR="00230CBC" w:rsidRPr="0059433B" w:rsidRDefault="00230CBC" w:rsidP="00C5774C">
            <w:pPr>
              <w:pStyle w:val="TableText"/>
              <w:jc w:val="center"/>
            </w:pPr>
            <w:r w:rsidRPr="0059433B">
              <w:t>(4.1, 9.9)</w:t>
            </w:r>
          </w:p>
        </w:tc>
        <w:tc>
          <w:tcPr>
            <w:tcW w:w="1934" w:type="dxa"/>
          </w:tcPr>
          <w:p w14:paraId="3F237D39" w14:textId="77777777" w:rsidR="00230CBC" w:rsidRPr="003F4735" w:rsidRDefault="00230CBC" w:rsidP="00C5774C">
            <w:pPr>
              <w:pStyle w:val="TableText"/>
              <w:jc w:val="center"/>
              <w:rPr>
                <w:b/>
                <w:bCs w:val="0"/>
              </w:rPr>
            </w:pPr>
            <w:r w:rsidRPr="003F4735">
              <w:rPr>
                <w:b/>
                <w:bCs w:val="0"/>
              </w:rPr>
              <w:t>-13.05</w:t>
            </w:r>
          </w:p>
          <w:p w14:paraId="4F87D244" w14:textId="77777777" w:rsidR="00230CBC" w:rsidRPr="0059433B" w:rsidRDefault="00230CBC" w:rsidP="00C5774C">
            <w:pPr>
              <w:pStyle w:val="TableText"/>
              <w:jc w:val="center"/>
            </w:pPr>
            <w:r w:rsidRPr="0059433B">
              <w:t>(-16.33, -9.77)</w:t>
            </w:r>
          </w:p>
        </w:tc>
      </w:tr>
      <w:tr w:rsidR="00230CBC" w:rsidRPr="0059433B" w14:paraId="5A0F9C5E" w14:textId="77777777" w:rsidTr="00C5774C">
        <w:tc>
          <w:tcPr>
            <w:tcW w:w="1798" w:type="dxa"/>
            <w:vAlign w:val="center"/>
          </w:tcPr>
          <w:p w14:paraId="44FD5AE8" w14:textId="77777777" w:rsidR="00230CBC" w:rsidRPr="0059433B" w:rsidRDefault="00230CBC" w:rsidP="00C5774C">
            <w:pPr>
              <w:pStyle w:val="COMTabletext"/>
            </w:pPr>
            <w:r w:rsidRPr="0059433B">
              <w:t>Σ5 NCS score</w:t>
            </w:r>
          </w:p>
        </w:tc>
        <w:tc>
          <w:tcPr>
            <w:tcW w:w="1321" w:type="dxa"/>
            <w:vAlign w:val="center"/>
          </w:tcPr>
          <w:p w14:paraId="46955C1C" w14:textId="77777777" w:rsidR="00230CBC" w:rsidRPr="0059433B" w:rsidRDefault="00230CBC" w:rsidP="00C5774C">
            <w:pPr>
              <w:pStyle w:val="TableText"/>
              <w:jc w:val="center"/>
            </w:pPr>
            <w:r w:rsidRPr="0059433B">
              <w:t>7.58 (2.32)</w:t>
            </w:r>
          </w:p>
        </w:tc>
        <w:tc>
          <w:tcPr>
            <w:tcW w:w="1321" w:type="dxa"/>
            <w:vAlign w:val="center"/>
          </w:tcPr>
          <w:p w14:paraId="6AFB723D" w14:textId="77777777" w:rsidR="00230CBC" w:rsidRPr="0059433B" w:rsidRDefault="00230CBC" w:rsidP="00C5774C">
            <w:pPr>
              <w:pStyle w:val="TableText"/>
              <w:jc w:val="center"/>
            </w:pPr>
            <w:r w:rsidRPr="0059433B">
              <w:t>7.43 (2.24)</w:t>
            </w:r>
          </w:p>
        </w:tc>
        <w:tc>
          <w:tcPr>
            <w:tcW w:w="1321" w:type="dxa"/>
            <w:vAlign w:val="center"/>
          </w:tcPr>
          <w:p w14:paraId="4B5A86B8" w14:textId="77777777" w:rsidR="00230CBC" w:rsidRPr="0059433B" w:rsidRDefault="00230CBC" w:rsidP="00C5774C">
            <w:pPr>
              <w:pStyle w:val="TableText"/>
              <w:jc w:val="center"/>
            </w:pPr>
            <w:r w:rsidRPr="0059433B">
              <w:t>-0.03</w:t>
            </w:r>
          </w:p>
          <w:p w14:paraId="6AEF24B9" w14:textId="77777777" w:rsidR="00230CBC" w:rsidRPr="0059433B" w:rsidRDefault="00230CBC" w:rsidP="00C5774C">
            <w:pPr>
              <w:pStyle w:val="TableText"/>
              <w:jc w:val="center"/>
            </w:pPr>
            <w:r w:rsidRPr="0059433B">
              <w:t>(-0.21, 0.15)</w:t>
            </w:r>
          </w:p>
        </w:tc>
        <w:tc>
          <w:tcPr>
            <w:tcW w:w="1322" w:type="dxa"/>
            <w:vAlign w:val="center"/>
          </w:tcPr>
          <w:p w14:paraId="7360ABEA" w14:textId="77777777" w:rsidR="00230CBC" w:rsidRPr="0059433B" w:rsidRDefault="00230CBC" w:rsidP="00C5774C">
            <w:pPr>
              <w:pStyle w:val="TableText"/>
              <w:jc w:val="center"/>
            </w:pPr>
            <w:r w:rsidRPr="0059433B">
              <w:t>1.02</w:t>
            </w:r>
          </w:p>
          <w:p w14:paraId="5EB020A0" w14:textId="77777777" w:rsidR="00230CBC" w:rsidRPr="0059433B" w:rsidRDefault="00230CBC" w:rsidP="00C5774C">
            <w:pPr>
              <w:pStyle w:val="TableText"/>
              <w:jc w:val="center"/>
            </w:pPr>
            <w:r w:rsidRPr="0059433B">
              <w:t>(0.75, 1.29)</w:t>
            </w:r>
          </w:p>
        </w:tc>
        <w:tc>
          <w:tcPr>
            <w:tcW w:w="1934" w:type="dxa"/>
          </w:tcPr>
          <w:p w14:paraId="25E07444" w14:textId="77777777" w:rsidR="00230CBC" w:rsidRPr="0059433B" w:rsidRDefault="00230CBC" w:rsidP="00C5774C">
            <w:pPr>
              <w:pStyle w:val="TableText"/>
              <w:jc w:val="center"/>
            </w:pPr>
            <w:r w:rsidRPr="0059433B">
              <w:t>-1.04</w:t>
            </w:r>
          </w:p>
          <w:p w14:paraId="2ED91BE3" w14:textId="77777777" w:rsidR="00230CBC" w:rsidRPr="0059433B" w:rsidRDefault="00230CBC" w:rsidP="00C5774C">
            <w:pPr>
              <w:pStyle w:val="TableText"/>
              <w:jc w:val="center"/>
            </w:pPr>
            <w:r w:rsidRPr="0059433B">
              <w:t>(-1.35, -0.74)</w:t>
            </w:r>
          </w:p>
        </w:tc>
      </w:tr>
      <w:tr w:rsidR="00230CBC" w:rsidRPr="0059433B" w14:paraId="03F4196D" w14:textId="77777777" w:rsidTr="00C5774C">
        <w:tc>
          <w:tcPr>
            <w:tcW w:w="1798" w:type="dxa"/>
            <w:vAlign w:val="center"/>
          </w:tcPr>
          <w:p w14:paraId="23EEB83D" w14:textId="77777777" w:rsidR="00230CBC" w:rsidRPr="0059433B" w:rsidRDefault="00230CBC" w:rsidP="00C5774C">
            <w:pPr>
              <w:pStyle w:val="COMTabletext"/>
            </w:pPr>
            <w:r w:rsidRPr="0059433B">
              <w:t>Postural BP score</w:t>
            </w:r>
          </w:p>
        </w:tc>
        <w:tc>
          <w:tcPr>
            <w:tcW w:w="1321" w:type="dxa"/>
            <w:vAlign w:val="center"/>
          </w:tcPr>
          <w:p w14:paraId="181EB9D4" w14:textId="77777777" w:rsidR="00230CBC" w:rsidRPr="0059433B" w:rsidRDefault="00230CBC" w:rsidP="00C5774C">
            <w:pPr>
              <w:pStyle w:val="TableText"/>
              <w:jc w:val="center"/>
            </w:pPr>
            <w:r w:rsidRPr="0059433B">
              <w:t>0.7 (0.79)</w:t>
            </w:r>
          </w:p>
        </w:tc>
        <w:tc>
          <w:tcPr>
            <w:tcW w:w="1321" w:type="dxa"/>
            <w:vAlign w:val="center"/>
          </w:tcPr>
          <w:p w14:paraId="6DCBC04C" w14:textId="77777777" w:rsidR="00230CBC" w:rsidRPr="0059433B" w:rsidRDefault="00230CBC" w:rsidP="00C5774C">
            <w:pPr>
              <w:pStyle w:val="TableText"/>
              <w:jc w:val="center"/>
            </w:pPr>
            <w:r w:rsidRPr="0059433B">
              <w:t>0.6 (0.74)</w:t>
            </w:r>
          </w:p>
        </w:tc>
        <w:tc>
          <w:tcPr>
            <w:tcW w:w="1321" w:type="dxa"/>
            <w:vAlign w:val="center"/>
          </w:tcPr>
          <w:p w14:paraId="3C9D0BFC" w14:textId="77777777" w:rsidR="00230CBC" w:rsidRPr="0059433B" w:rsidRDefault="00230CBC" w:rsidP="00C5774C">
            <w:pPr>
              <w:pStyle w:val="TableText"/>
              <w:jc w:val="center"/>
            </w:pPr>
            <w:r w:rsidRPr="0059433B">
              <w:t>-0.2</w:t>
            </w:r>
          </w:p>
          <w:p w14:paraId="6FE19D6F" w14:textId="77777777" w:rsidR="00230CBC" w:rsidRPr="0059433B" w:rsidRDefault="00230CBC" w:rsidP="00C5774C">
            <w:pPr>
              <w:pStyle w:val="TableText"/>
              <w:jc w:val="center"/>
            </w:pPr>
            <w:r w:rsidRPr="0059433B">
              <w:t>(-0.3, -0.1)</w:t>
            </w:r>
          </w:p>
        </w:tc>
        <w:tc>
          <w:tcPr>
            <w:tcW w:w="1322" w:type="dxa"/>
            <w:vAlign w:val="center"/>
          </w:tcPr>
          <w:p w14:paraId="3D6191D4" w14:textId="77777777" w:rsidR="00230CBC" w:rsidRPr="0059433B" w:rsidRDefault="00230CBC" w:rsidP="00C5774C">
            <w:pPr>
              <w:pStyle w:val="TableText"/>
              <w:jc w:val="center"/>
            </w:pPr>
            <w:r w:rsidRPr="0059433B">
              <w:t>0.1</w:t>
            </w:r>
          </w:p>
          <w:p w14:paraId="63243812" w14:textId="77777777" w:rsidR="00230CBC" w:rsidRPr="0059433B" w:rsidRDefault="00230CBC" w:rsidP="00C5774C">
            <w:pPr>
              <w:pStyle w:val="TableText"/>
              <w:jc w:val="center"/>
            </w:pPr>
            <w:r w:rsidRPr="0059433B">
              <w:t>(-0.1, 0.2)</w:t>
            </w:r>
          </w:p>
        </w:tc>
        <w:tc>
          <w:tcPr>
            <w:tcW w:w="1934" w:type="dxa"/>
          </w:tcPr>
          <w:p w14:paraId="7F88045E" w14:textId="77777777" w:rsidR="00230CBC" w:rsidRPr="0059433B" w:rsidRDefault="00230CBC" w:rsidP="00C5774C">
            <w:pPr>
              <w:pStyle w:val="TableText"/>
              <w:jc w:val="center"/>
            </w:pPr>
            <w:r w:rsidRPr="0059433B">
              <w:t>-0.28</w:t>
            </w:r>
          </w:p>
          <w:p w14:paraId="201C97B1" w14:textId="77777777" w:rsidR="00230CBC" w:rsidRPr="0059433B" w:rsidRDefault="00230CBC" w:rsidP="00C5774C">
            <w:pPr>
              <w:pStyle w:val="TableText"/>
              <w:jc w:val="center"/>
            </w:pPr>
            <w:r w:rsidRPr="0059433B">
              <w:t>(-0.47, -0.10)</w:t>
            </w:r>
          </w:p>
        </w:tc>
      </w:tr>
      <w:tr w:rsidR="00230CBC" w:rsidRPr="0059433B" w14:paraId="446253C8" w14:textId="77777777" w:rsidTr="00C5774C">
        <w:tc>
          <w:tcPr>
            <w:tcW w:w="1798" w:type="dxa"/>
            <w:vAlign w:val="center"/>
          </w:tcPr>
          <w:p w14:paraId="46801FF2" w14:textId="77777777" w:rsidR="00230CBC" w:rsidRPr="0059433B" w:rsidRDefault="00230CBC" w:rsidP="00C5774C">
            <w:pPr>
              <w:pStyle w:val="COMTabletext"/>
            </w:pPr>
            <w:r w:rsidRPr="0059433B">
              <w:t>mNIS+7, % patients improved</w:t>
            </w:r>
          </w:p>
        </w:tc>
        <w:tc>
          <w:tcPr>
            <w:tcW w:w="1321" w:type="dxa"/>
            <w:vAlign w:val="center"/>
          </w:tcPr>
          <w:p w14:paraId="3C566D57" w14:textId="77777777" w:rsidR="00230CBC" w:rsidRPr="0059433B" w:rsidRDefault="00230CBC" w:rsidP="00C5774C">
            <w:pPr>
              <w:pStyle w:val="TableText"/>
              <w:jc w:val="center"/>
            </w:pPr>
            <w:r w:rsidRPr="0059433B">
              <w:t>-</w:t>
            </w:r>
          </w:p>
        </w:tc>
        <w:tc>
          <w:tcPr>
            <w:tcW w:w="1321" w:type="dxa"/>
            <w:vAlign w:val="center"/>
          </w:tcPr>
          <w:p w14:paraId="5AAD880F" w14:textId="77777777" w:rsidR="00230CBC" w:rsidRPr="0059433B" w:rsidRDefault="00230CBC" w:rsidP="00C5774C">
            <w:pPr>
              <w:pStyle w:val="TableText"/>
              <w:jc w:val="center"/>
            </w:pPr>
            <w:r w:rsidRPr="0059433B">
              <w:t>-</w:t>
            </w:r>
          </w:p>
        </w:tc>
        <w:tc>
          <w:tcPr>
            <w:tcW w:w="1321" w:type="dxa"/>
            <w:vAlign w:val="center"/>
          </w:tcPr>
          <w:p w14:paraId="4E497F0A" w14:textId="77777777" w:rsidR="00230CBC" w:rsidRPr="0059433B" w:rsidRDefault="00230CBC" w:rsidP="00C5774C">
            <w:pPr>
              <w:pStyle w:val="TableText"/>
              <w:jc w:val="center"/>
            </w:pPr>
            <w:r w:rsidRPr="0059433B">
              <w:t>56.1</w:t>
            </w:r>
          </w:p>
          <w:p w14:paraId="749B896E" w14:textId="77777777" w:rsidR="00230CBC" w:rsidRPr="0059433B" w:rsidRDefault="00230CBC" w:rsidP="00C5774C">
            <w:pPr>
              <w:pStyle w:val="TableText"/>
              <w:jc w:val="center"/>
            </w:pPr>
            <w:r w:rsidRPr="0059433B">
              <w:t>(48.1, 64.1)</w:t>
            </w:r>
          </w:p>
        </w:tc>
        <w:tc>
          <w:tcPr>
            <w:tcW w:w="1322" w:type="dxa"/>
            <w:vAlign w:val="center"/>
          </w:tcPr>
          <w:p w14:paraId="0DF44942" w14:textId="77777777" w:rsidR="00230CBC" w:rsidRPr="0059433B" w:rsidRDefault="00230CBC" w:rsidP="00C5774C">
            <w:pPr>
              <w:pStyle w:val="TableText"/>
              <w:jc w:val="center"/>
            </w:pPr>
            <w:r w:rsidRPr="0059433B">
              <w:t>3.9</w:t>
            </w:r>
          </w:p>
          <w:p w14:paraId="6FAB2C09" w14:textId="77777777" w:rsidR="00230CBC" w:rsidRPr="0059433B" w:rsidRDefault="00230CBC" w:rsidP="00C5774C">
            <w:pPr>
              <w:pStyle w:val="TableText"/>
              <w:jc w:val="center"/>
            </w:pPr>
            <w:r w:rsidRPr="0059433B">
              <w:t>(0.0, 8.2)</w:t>
            </w:r>
          </w:p>
        </w:tc>
        <w:tc>
          <w:tcPr>
            <w:tcW w:w="1934" w:type="dxa"/>
            <w:vAlign w:val="center"/>
          </w:tcPr>
          <w:p w14:paraId="14C544EA" w14:textId="77777777" w:rsidR="00230CBC" w:rsidRPr="0059433B" w:rsidRDefault="00230CBC" w:rsidP="00C5774C">
            <w:pPr>
              <w:pStyle w:val="TableText"/>
              <w:jc w:val="center"/>
              <w:rPr>
                <w:b/>
                <w:bCs w:val="0"/>
              </w:rPr>
            </w:pPr>
            <w:r w:rsidRPr="0059433B">
              <w:rPr>
                <w:b/>
                <w:bCs w:val="0"/>
              </w:rPr>
              <w:t>52.2 (43.1, 61.3)</w:t>
            </w:r>
          </w:p>
          <w:p w14:paraId="6EF1915B" w14:textId="77777777" w:rsidR="00230CBC" w:rsidRPr="0059433B" w:rsidRDefault="00230CBC" w:rsidP="00C5774C">
            <w:pPr>
              <w:pStyle w:val="TableText"/>
              <w:jc w:val="center"/>
              <w:rPr>
                <w:b/>
                <w:bCs w:val="0"/>
              </w:rPr>
            </w:pPr>
            <w:r w:rsidRPr="0059433B">
              <w:rPr>
                <w:b/>
                <w:bCs w:val="0"/>
              </w:rPr>
              <w:t>OR 39.9, 95% CI 11.0, 144.4</w:t>
            </w:r>
          </w:p>
        </w:tc>
      </w:tr>
    </w:tbl>
    <w:p w14:paraId="0B350616" w14:textId="77777777" w:rsidR="00230CBC" w:rsidRPr="0059433B" w:rsidRDefault="00230CBC" w:rsidP="00230CBC">
      <w:pPr>
        <w:pStyle w:val="COMTablefooter"/>
      </w:pPr>
      <w:r w:rsidRPr="0059433B">
        <w:t>Source: Table 2.16, pp65-66 of the submission.</w:t>
      </w:r>
    </w:p>
    <w:p w14:paraId="0C373916" w14:textId="77777777" w:rsidR="00230CBC" w:rsidRPr="0059433B" w:rsidRDefault="00230CBC" w:rsidP="00230CBC">
      <w:pPr>
        <w:pStyle w:val="COMTablefooter"/>
      </w:pPr>
      <w:r w:rsidRPr="0059433B">
        <w:t>Abbreviations: BP, blood pressure; CI, confidence interval; LS, least squares; mNIS+7, modified Neuropathy Impairment Score + 7; OR, odds ratio; QST, quantitative sensory testing; Σ5 NCS, nerve conduction studies;</w:t>
      </w:r>
    </w:p>
    <w:p w14:paraId="228DBC74" w14:textId="77777777" w:rsidR="00F126D4" w:rsidRPr="0059433B" w:rsidRDefault="00230CBC" w:rsidP="00230CBC">
      <w:pPr>
        <w:pStyle w:val="COMTablefooter"/>
      </w:pPr>
      <w:r w:rsidRPr="0059433B">
        <w:t xml:space="preserve">Note: mNIS+7 scores range from 0 to 304; NIS-Weakness from 0-192; NIS-Reflexes from 0-20, QST from 0-80, NCS from 0-10, Postural BP from 0-2. For the proportion of patients with improvement in mNIS+7, any reduction in the score (&lt;0, where a lower score indicates fewer symptoms) </w:t>
      </w:r>
      <w:proofErr w:type="gramStart"/>
      <w:r w:rsidRPr="0059433B">
        <w:t>was classed</w:t>
      </w:r>
      <w:proofErr w:type="gramEnd"/>
      <w:r w:rsidRPr="0059433B">
        <w:t xml:space="preserve"> as an improvement.</w:t>
      </w:r>
    </w:p>
    <w:p w14:paraId="32E2F526" w14:textId="212BA60B" w:rsidR="00230CBC" w:rsidRPr="0059433B" w:rsidRDefault="00230CBC" w:rsidP="00230CBC">
      <w:pPr>
        <w:pStyle w:val="COMTablefooter"/>
      </w:pPr>
      <w:r w:rsidRPr="0059433B">
        <w:t xml:space="preserve">Statistically significant differences </w:t>
      </w:r>
      <w:proofErr w:type="gramStart"/>
      <w:r w:rsidRPr="0059433B">
        <w:t>are highlighted</w:t>
      </w:r>
      <w:proofErr w:type="gramEnd"/>
      <w:r w:rsidRPr="0059433B">
        <w:t xml:space="preserve"> in </w:t>
      </w:r>
      <w:r w:rsidRPr="0059433B">
        <w:rPr>
          <w:b/>
        </w:rPr>
        <w:t>bold</w:t>
      </w:r>
      <w:r w:rsidRPr="0059433B">
        <w:t xml:space="preserve">. Note that significance testing of mNIS+7 subcomponents </w:t>
      </w:r>
      <w:proofErr w:type="gramStart"/>
      <w:r w:rsidRPr="0059433B">
        <w:t>was only conducted</w:t>
      </w:r>
      <w:proofErr w:type="gramEnd"/>
      <w:r w:rsidRPr="0059433B">
        <w:t xml:space="preserve"> for the Weakness subscale, significance testing for other subcomponents were not reported.</w:t>
      </w:r>
    </w:p>
    <w:p w14:paraId="78FC3143" w14:textId="2AE04789" w:rsidR="00F126D4" w:rsidRPr="0059433B" w:rsidRDefault="00230CBC" w:rsidP="00230CBC">
      <w:pPr>
        <w:pStyle w:val="COMexecsumnumberedpara"/>
        <w:rPr>
          <w:snapToGrid/>
        </w:rPr>
      </w:pPr>
      <w:r w:rsidRPr="0059433B">
        <w:rPr>
          <w:snapToGrid/>
        </w:rPr>
        <w:t xml:space="preserve">Change from baseline in mNIS+7 was statistically significantly greater in the patisiran group than in the placebo group. The submission noted that the 34 point difference between treatment arms exceeded the 2 point minimum clinically important difference (MCID) from the International Peripheral Nerve Society for the original NIS score, and the 12.2 point MCID for the mNIS+7 scale estimated from a distribution-based approach in the phase 3 clinical trial for inotersen (NEURO-TTR), and represents a clinically meaningful benefit in terms of neurological impairment for patients with hATTR amyloidosis with polyneuropathy. </w:t>
      </w:r>
      <w:r w:rsidR="00A4449C" w:rsidRPr="0059433B">
        <w:rPr>
          <w:snapToGrid/>
        </w:rPr>
        <w:t xml:space="preserve">Overall, </w:t>
      </w:r>
      <w:r w:rsidRPr="0059433B">
        <w:rPr>
          <w:snapToGrid/>
        </w:rPr>
        <w:t>56.1% of patisiran-treated patients had an improved mNIS+7 score, compared with 3.9% of the placebo-treated patients (OR 39.9, 95% CI 11.0, 1</w:t>
      </w:r>
      <w:r w:rsidR="00944B02">
        <w:rPr>
          <w:snapToGrid/>
        </w:rPr>
        <w:t>4</w:t>
      </w:r>
      <w:r w:rsidRPr="0059433B">
        <w:rPr>
          <w:snapToGrid/>
        </w:rPr>
        <w:t>4.4).</w:t>
      </w:r>
    </w:p>
    <w:p w14:paraId="7B0E1BDC" w14:textId="32B4872A" w:rsidR="00230CBC" w:rsidRPr="0059433B" w:rsidRDefault="00230CBC" w:rsidP="00230CBC">
      <w:pPr>
        <w:pStyle w:val="COMexecsumnumberedpara"/>
        <w:rPr>
          <w:color w:val="0066FF"/>
        </w:rPr>
      </w:pPr>
      <w:r w:rsidRPr="0059433B">
        <w:t xml:space="preserve">The submission stated that additional prespecified analyses involving different statistical models, approaches to data censoring, and methods for handling missing data all resulted in a consistent estimate of treatment effect of patisiran compared to placebo. Differences between treatment groups in mNIS+7 scores </w:t>
      </w:r>
      <w:proofErr w:type="gramStart"/>
      <w:r w:rsidRPr="0059433B">
        <w:t>were also observed</w:t>
      </w:r>
      <w:proofErr w:type="gramEnd"/>
      <w:r w:rsidRPr="0059433B">
        <w:t xml:space="preserve"> at the </w:t>
      </w:r>
      <w:r w:rsidR="0066610E" w:rsidRPr="0059433B">
        <w:t>9-month</w:t>
      </w:r>
      <w:r w:rsidRPr="0059433B">
        <w:t xml:space="preserve"> time point (LS mean -15.98 points; 95% CI -20.70, -11.27).</w:t>
      </w:r>
    </w:p>
    <w:p w14:paraId="17E746CE" w14:textId="77777777" w:rsidR="00F126D4" w:rsidRPr="0059433B" w:rsidRDefault="00230CBC" w:rsidP="00230CBC">
      <w:pPr>
        <w:pStyle w:val="COMexecsumnumberedpara"/>
        <w:rPr>
          <w:snapToGrid/>
          <w:color w:val="0066FF"/>
        </w:rPr>
      </w:pPr>
      <w:r w:rsidRPr="0059433B">
        <w:lastRenderedPageBreak/>
        <w:t>Results of subgroup analyses (dichotomous categories by age, sex, race, region, neuropathic impairment score, genotype (V30M versus other, and early onset V30M versus all other mutations), previous tafamidis or diflunisal use, FAP stage (1 versus 2 or 3) or cardiac subpopulation versus non-cardiac subpopulation) for the primary outcome were consistent with the overall results, with all subgroups demonstrating statistically significantly greater improvements in mNIS+7 scores at Month 18 for patisiran-treated patients compared to placebo-treated patients.</w:t>
      </w:r>
    </w:p>
    <w:p w14:paraId="771050FA" w14:textId="7DFAC1BC" w:rsidR="00230CBC" w:rsidRPr="0059433B" w:rsidRDefault="00230CBC" w:rsidP="00230CBC">
      <w:pPr>
        <w:pStyle w:val="COMexecsumnumberedpara"/>
      </w:pPr>
      <w:r w:rsidRPr="0059433B">
        <w:rPr>
          <w:snapToGrid/>
        </w:rPr>
        <w:t xml:space="preserve">Results of key secondary and exploratory outcomes from the APOLLO trial are summarised in </w:t>
      </w:r>
      <w:r w:rsidRPr="0059433B">
        <w:rPr>
          <w:snapToGrid/>
          <w:highlight w:val="yellow"/>
        </w:rPr>
        <w:fldChar w:fldCharType="begin" w:fldLock="1"/>
      </w:r>
      <w:r w:rsidRPr="0059433B">
        <w:rPr>
          <w:snapToGrid/>
        </w:rPr>
        <w:instrText xml:space="preserve"> REF _Ref132622181 \h </w:instrText>
      </w:r>
      <w:r w:rsidRPr="0059433B">
        <w:rPr>
          <w:snapToGrid/>
          <w:highlight w:val="yellow"/>
        </w:rPr>
      </w:r>
      <w:r w:rsidRPr="0059433B">
        <w:rPr>
          <w:snapToGrid/>
          <w:highlight w:val="yellow"/>
        </w:rPr>
        <w:fldChar w:fldCharType="separate"/>
      </w:r>
      <w:r w:rsidR="00042B2E" w:rsidRPr="0059433B">
        <w:t>Table 6</w:t>
      </w:r>
      <w:r w:rsidRPr="0059433B">
        <w:rPr>
          <w:snapToGrid/>
          <w:highlight w:val="yellow"/>
        </w:rPr>
        <w:fldChar w:fldCharType="end"/>
      </w:r>
      <w:r w:rsidRPr="0059433B">
        <w:rPr>
          <w:snapToGrid/>
        </w:rPr>
        <w:t>.</w:t>
      </w:r>
    </w:p>
    <w:p w14:paraId="47FF8333" w14:textId="6EF40DD6" w:rsidR="00230CBC" w:rsidRPr="0059433B" w:rsidRDefault="00230CBC" w:rsidP="00230CBC">
      <w:pPr>
        <w:pStyle w:val="COMTableheadingrow"/>
        <w:rPr>
          <w:lang w:val="en-AU"/>
        </w:rPr>
      </w:pPr>
      <w:bookmarkStart w:id="31" w:name="_Ref132622181"/>
      <w:r w:rsidRPr="0059433B">
        <w:rPr>
          <w:lang w:val="en-AU"/>
        </w:rPr>
        <w:t xml:space="preserve">Table </w:t>
      </w:r>
      <w:r w:rsidRPr="0059433B">
        <w:rPr>
          <w:lang w:val="en-AU"/>
        </w:rPr>
        <w:fldChar w:fldCharType="begin" w:fldLock="1"/>
      </w:r>
      <w:r w:rsidRPr="0059433B">
        <w:rPr>
          <w:lang w:val="en-AU"/>
        </w:rPr>
        <w:instrText xml:space="preserve"> SEQ Table \* ARABIC </w:instrText>
      </w:r>
      <w:r w:rsidRPr="0059433B">
        <w:rPr>
          <w:lang w:val="en-AU"/>
        </w:rPr>
        <w:fldChar w:fldCharType="separate"/>
      </w:r>
      <w:r w:rsidR="00042B2E" w:rsidRPr="0059433B">
        <w:rPr>
          <w:lang w:val="en-AU"/>
        </w:rPr>
        <w:t>6</w:t>
      </w:r>
      <w:r w:rsidRPr="0059433B">
        <w:rPr>
          <w:lang w:val="en-AU"/>
        </w:rPr>
        <w:fldChar w:fldCharType="end"/>
      </w:r>
      <w:bookmarkEnd w:id="31"/>
      <w:r w:rsidRPr="0059433B">
        <w:rPr>
          <w:lang w:val="en-AU"/>
        </w:rPr>
        <w:t>: Secondary and exploratory outcomes at Month 18 in APOLLO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Secondary and exploratory outcomes at Month 18 in APOLLO trial"/>
      </w:tblPr>
      <w:tblGrid>
        <w:gridCol w:w="1696"/>
        <w:gridCol w:w="1464"/>
        <w:gridCol w:w="1655"/>
        <w:gridCol w:w="1400"/>
        <w:gridCol w:w="1401"/>
        <w:gridCol w:w="1401"/>
      </w:tblGrid>
      <w:tr w:rsidR="00230CBC" w:rsidRPr="0059433B" w14:paraId="2171A7D2" w14:textId="77777777" w:rsidTr="00C5774C">
        <w:trPr>
          <w:tblHeader/>
        </w:trPr>
        <w:tc>
          <w:tcPr>
            <w:tcW w:w="1696" w:type="dxa"/>
            <w:tcMar>
              <w:left w:w="28" w:type="dxa"/>
              <w:right w:w="28" w:type="dxa"/>
            </w:tcMar>
            <w:vAlign w:val="center"/>
          </w:tcPr>
          <w:p w14:paraId="30592973" w14:textId="77777777" w:rsidR="00230CBC" w:rsidRPr="0059433B" w:rsidRDefault="00230CBC" w:rsidP="00C5774C">
            <w:pPr>
              <w:pStyle w:val="COMTableheadingrow"/>
              <w:jc w:val="center"/>
              <w:rPr>
                <w:lang w:val="en-AU"/>
              </w:rPr>
            </w:pPr>
            <w:r w:rsidRPr="0059433B">
              <w:rPr>
                <w:lang w:val="en-AU"/>
              </w:rPr>
              <w:t>Outcome</w:t>
            </w:r>
          </w:p>
        </w:tc>
        <w:tc>
          <w:tcPr>
            <w:tcW w:w="1464" w:type="dxa"/>
            <w:tcMar>
              <w:left w:w="28" w:type="dxa"/>
              <w:right w:w="28" w:type="dxa"/>
            </w:tcMar>
            <w:vAlign w:val="center"/>
          </w:tcPr>
          <w:p w14:paraId="6797E629" w14:textId="77777777" w:rsidR="00230CBC" w:rsidRPr="0059433B" w:rsidRDefault="00230CBC" w:rsidP="00C5774C">
            <w:pPr>
              <w:pStyle w:val="COMTableheadingrow"/>
              <w:jc w:val="center"/>
              <w:rPr>
                <w:lang w:val="en-AU"/>
              </w:rPr>
            </w:pPr>
            <w:r w:rsidRPr="0059433B">
              <w:rPr>
                <w:lang w:val="en-AU"/>
              </w:rPr>
              <w:t>Patisiran (n=148)</w:t>
            </w:r>
          </w:p>
        </w:tc>
        <w:tc>
          <w:tcPr>
            <w:tcW w:w="1655" w:type="dxa"/>
            <w:tcMar>
              <w:left w:w="28" w:type="dxa"/>
              <w:right w:w="28" w:type="dxa"/>
            </w:tcMar>
            <w:vAlign w:val="center"/>
          </w:tcPr>
          <w:p w14:paraId="49659460" w14:textId="77777777" w:rsidR="00230CBC" w:rsidRPr="0059433B" w:rsidRDefault="00230CBC" w:rsidP="00C5774C">
            <w:pPr>
              <w:pStyle w:val="COMTableheadingrow"/>
              <w:jc w:val="center"/>
              <w:rPr>
                <w:lang w:val="en-AU"/>
              </w:rPr>
            </w:pPr>
            <w:r w:rsidRPr="0059433B">
              <w:rPr>
                <w:lang w:val="en-AU"/>
              </w:rPr>
              <w:t>Placebo (n=77)</w:t>
            </w:r>
          </w:p>
        </w:tc>
        <w:tc>
          <w:tcPr>
            <w:tcW w:w="1400" w:type="dxa"/>
            <w:tcMar>
              <w:left w:w="28" w:type="dxa"/>
              <w:right w:w="28" w:type="dxa"/>
            </w:tcMar>
            <w:vAlign w:val="center"/>
          </w:tcPr>
          <w:p w14:paraId="58FA0CC7" w14:textId="77777777" w:rsidR="00230CBC" w:rsidRPr="0059433B" w:rsidRDefault="00230CBC" w:rsidP="00C5774C">
            <w:pPr>
              <w:pStyle w:val="COMTableheadingrow"/>
              <w:jc w:val="center"/>
              <w:rPr>
                <w:lang w:val="en-AU"/>
              </w:rPr>
            </w:pPr>
            <w:r w:rsidRPr="0059433B">
              <w:rPr>
                <w:lang w:val="en-AU"/>
              </w:rPr>
              <w:t>Patisiran (n=148)</w:t>
            </w:r>
          </w:p>
        </w:tc>
        <w:tc>
          <w:tcPr>
            <w:tcW w:w="1401" w:type="dxa"/>
            <w:tcMar>
              <w:left w:w="28" w:type="dxa"/>
              <w:right w:w="28" w:type="dxa"/>
            </w:tcMar>
            <w:vAlign w:val="center"/>
          </w:tcPr>
          <w:p w14:paraId="0BC90956" w14:textId="77777777" w:rsidR="00230CBC" w:rsidRPr="0059433B" w:rsidRDefault="00230CBC" w:rsidP="00C5774C">
            <w:pPr>
              <w:pStyle w:val="COMTableheadingrow"/>
              <w:jc w:val="center"/>
              <w:rPr>
                <w:lang w:val="en-AU"/>
              </w:rPr>
            </w:pPr>
            <w:r w:rsidRPr="0059433B">
              <w:rPr>
                <w:lang w:val="en-AU"/>
              </w:rPr>
              <w:t>Placebo (n=77)</w:t>
            </w:r>
          </w:p>
        </w:tc>
        <w:tc>
          <w:tcPr>
            <w:tcW w:w="1401" w:type="dxa"/>
            <w:tcMar>
              <w:left w:w="28" w:type="dxa"/>
              <w:right w:w="28" w:type="dxa"/>
            </w:tcMar>
          </w:tcPr>
          <w:p w14:paraId="3A77CFF4" w14:textId="77777777" w:rsidR="00230CBC" w:rsidRPr="0059433B" w:rsidRDefault="00230CBC" w:rsidP="00C5774C">
            <w:pPr>
              <w:pStyle w:val="COMTableheadingrow"/>
              <w:jc w:val="center"/>
              <w:rPr>
                <w:lang w:val="en-AU"/>
              </w:rPr>
            </w:pPr>
            <w:r w:rsidRPr="0059433B">
              <w:rPr>
                <w:lang w:val="en-AU"/>
              </w:rPr>
              <w:t>Difference</w:t>
            </w:r>
          </w:p>
        </w:tc>
      </w:tr>
      <w:tr w:rsidR="00230CBC" w:rsidRPr="0059433B" w14:paraId="2C06760A" w14:textId="77777777" w:rsidTr="00C5774C">
        <w:tc>
          <w:tcPr>
            <w:tcW w:w="1696" w:type="dxa"/>
            <w:tcMar>
              <w:left w:w="28" w:type="dxa"/>
              <w:right w:w="28" w:type="dxa"/>
            </w:tcMar>
            <w:vAlign w:val="center"/>
          </w:tcPr>
          <w:p w14:paraId="203FF783" w14:textId="77777777" w:rsidR="00230CBC" w:rsidRPr="0059433B" w:rsidRDefault="00230CBC" w:rsidP="00C5774C">
            <w:pPr>
              <w:pStyle w:val="COMTabletext"/>
            </w:pPr>
          </w:p>
        </w:tc>
        <w:tc>
          <w:tcPr>
            <w:tcW w:w="3119" w:type="dxa"/>
            <w:gridSpan w:val="2"/>
            <w:tcMar>
              <w:left w:w="28" w:type="dxa"/>
              <w:right w:w="28" w:type="dxa"/>
            </w:tcMar>
            <w:vAlign w:val="center"/>
          </w:tcPr>
          <w:p w14:paraId="5107165C" w14:textId="77777777" w:rsidR="00230CBC" w:rsidRPr="0059433B" w:rsidRDefault="00230CBC" w:rsidP="00C5774C">
            <w:pPr>
              <w:pStyle w:val="COMTabletext"/>
              <w:jc w:val="center"/>
              <w:rPr>
                <w:b/>
                <w:bCs w:val="0"/>
              </w:rPr>
            </w:pPr>
            <w:r w:rsidRPr="0059433B">
              <w:rPr>
                <w:b/>
              </w:rPr>
              <w:t>Baseline values, mean (SD)</w:t>
            </w:r>
          </w:p>
        </w:tc>
        <w:tc>
          <w:tcPr>
            <w:tcW w:w="4202" w:type="dxa"/>
            <w:gridSpan w:val="3"/>
            <w:tcMar>
              <w:left w:w="28" w:type="dxa"/>
              <w:right w:w="28" w:type="dxa"/>
            </w:tcMar>
            <w:vAlign w:val="center"/>
          </w:tcPr>
          <w:p w14:paraId="17F1A2FD" w14:textId="77777777" w:rsidR="00230CBC" w:rsidRPr="0059433B" w:rsidRDefault="00230CBC" w:rsidP="00C5774C">
            <w:pPr>
              <w:pStyle w:val="COMTabletext"/>
              <w:jc w:val="center"/>
              <w:rPr>
                <w:b/>
                <w:bCs w:val="0"/>
              </w:rPr>
            </w:pPr>
            <w:r w:rsidRPr="0059433B">
              <w:rPr>
                <w:b/>
              </w:rPr>
              <w:t>LS mean change from baseline (95% CI)</w:t>
            </w:r>
          </w:p>
        </w:tc>
      </w:tr>
      <w:tr w:rsidR="00230CBC" w:rsidRPr="0059433B" w14:paraId="6AF279A3" w14:textId="77777777" w:rsidTr="00C5774C">
        <w:tc>
          <w:tcPr>
            <w:tcW w:w="1696" w:type="dxa"/>
            <w:tcMar>
              <w:left w:w="28" w:type="dxa"/>
              <w:right w:w="28" w:type="dxa"/>
            </w:tcMar>
            <w:vAlign w:val="center"/>
          </w:tcPr>
          <w:p w14:paraId="0EEB24F8" w14:textId="77777777" w:rsidR="00230CBC" w:rsidRPr="0059433B" w:rsidRDefault="00230CBC" w:rsidP="00C5774C">
            <w:pPr>
              <w:pStyle w:val="COMTabletext"/>
            </w:pPr>
            <w:r w:rsidRPr="0059433B">
              <w:t>Norfolk QoL-DN score</w:t>
            </w:r>
          </w:p>
        </w:tc>
        <w:tc>
          <w:tcPr>
            <w:tcW w:w="1464" w:type="dxa"/>
            <w:tcMar>
              <w:left w:w="28" w:type="dxa"/>
              <w:right w:w="28" w:type="dxa"/>
            </w:tcMar>
            <w:vAlign w:val="center"/>
          </w:tcPr>
          <w:p w14:paraId="6DF5EE92" w14:textId="77777777" w:rsidR="00230CBC" w:rsidRPr="0059433B" w:rsidRDefault="00230CBC" w:rsidP="00C5774C">
            <w:pPr>
              <w:pStyle w:val="COMTabletext"/>
              <w:jc w:val="center"/>
            </w:pPr>
            <w:r w:rsidRPr="0059433B">
              <w:t>59.6 (28.18)</w:t>
            </w:r>
          </w:p>
        </w:tc>
        <w:tc>
          <w:tcPr>
            <w:tcW w:w="1655" w:type="dxa"/>
            <w:tcMar>
              <w:left w:w="28" w:type="dxa"/>
              <w:right w:w="28" w:type="dxa"/>
            </w:tcMar>
            <w:vAlign w:val="center"/>
          </w:tcPr>
          <w:p w14:paraId="0ECE44E3" w14:textId="77777777" w:rsidR="00230CBC" w:rsidRPr="0059433B" w:rsidRDefault="00230CBC" w:rsidP="00C5774C">
            <w:pPr>
              <w:pStyle w:val="COMTabletext"/>
              <w:jc w:val="center"/>
            </w:pPr>
            <w:r w:rsidRPr="0059433B">
              <w:t>55.5 (24.34)</w:t>
            </w:r>
          </w:p>
        </w:tc>
        <w:tc>
          <w:tcPr>
            <w:tcW w:w="1400" w:type="dxa"/>
            <w:tcMar>
              <w:left w:w="28" w:type="dxa"/>
              <w:right w:w="28" w:type="dxa"/>
            </w:tcMar>
            <w:vAlign w:val="center"/>
          </w:tcPr>
          <w:p w14:paraId="1A357708" w14:textId="77777777" w:rsidR="00230CBC" w:rsidRPr="0059433B" w:rsidRDefault="00230CBC" w:rsidP="00C5774C">
            <w:pPr>
              <w:pStyle w:val="COMTabletext"/>
              <w:jc w:val="center"/>
            </w:pPr>
            <w:r w:rsidRPr="0059433B">
              <w:t>-6.7</w:t>
            </w:r>
          </w:p>
          <w:p w14:paraId="10243B16" w14:textId="77777777" w:rsidR="00230CBC" w:rsidRPr="0059433B" w:rsidRDefault="00230CBC" w:rsidP="00C5774C">
            <w:pPr>
              <w:pStyle w:val="COMTabletext"/>
              <w:jc w:val="center"/>
            </w:pPr>
            <w:r w:rsidRPr="0059433B">
              <w:t>(-10.2, -3.3)</w:t>
            </w:r>
          </w:p>
        </w:tc>
        <w:tc>
          <w:tcPr>
            <w:tcW w:w="1401" w:type="dxa"/>
            <w:tcMar>
              <w:left w:w="28" w:type="dxa"/>
              <w:right w:w="28" w:type="dxa"/>
            </w:tcMar>
            <w:vAlign w:val="center"/>
          </w:tcPr>
          <w:p w14:paraId="58FB71EA" w14:textId="77777777" w:rsidR="00230CBC" w:rsidRPr="0059433B" w:rsidRDefault="00230CBC" w:rsidP="00C5774C">
            <w:pPr>
              <w:pStyle w:val="COMTabletext"/>
              <w:jc w:val="center"/>
            </w:pPr>
            <w:r w:rsidRPr="0059433B">
              <w:t>14.4</w:t>
            </w:r>
          </w:p>
          <w:p w14:paraId="414DFD51" w14:textId="77777777" w:rsidR="00230CBC" w:rsidRPr="0059433B" w:rsidRDefault="00230CBC" w:rsidP="00C5774C">
            <w:pPr>
              <w:pStyle w:val="COMTabletext"/>
              <w:jc w:val="center"/>
            </w:pPr>
            <w:r w:rsidRPr="0059433B">
              <w:t>(9.0, 19.8)</w:t>
            </w:r>
          </w:p>
        </w:tc>
        <w:tc>
          <w:tcPr>
            <w:tcW w:w="1401" w:type="dxa"/>
            <w:tcMar>
              <w:left w:w="28" w:type="dxa"/>
              <w:right w:w="28" w:type="dxa"/>
            </w:tcMar>
            <w:vAlign w:val="center"/>
          </w:tcPr>
          <w:p w14:paraId="67FBE810" w14:textId="77777777" w:rsidR="00230CBC" w:rsidRPr="0059433B" w:rsidRDefault="00230CBC" w:rsidP="00C5774C">
            <w:pPr>
              <w:pStyle w:val="COMTabletext"/>
              <w:jc w:val="center"/>
              <w:rPr>
                <w:b/>
                <w:bCs w:val="0"/>
              </w:rPr>
            </w:pPr>
            <w:r w:rsidRPr="0059433B">
              <w:rPr>
                <w:b/>
                <w:bCs w:val="0"/>
              </w:rPr>
              <w:t>-21.1</w:t>
            </w:r>
          </w:p>
          <w:p w14:paraId="46028D45" w14:textId="77777777" w:rsidR="00230CBC" w:rsidRPr="0059433B" w:rsidRDefault="00230CBC" w:rsidP="00C5774C">
            <w:pPr>
              <w:pStyle w:val="COMTabletext"/>
              <w:jc w:val="center"/>
              <w:rPr>
                <w:b/>
                <w:bCs w:val="0"/>
              </w:rPr>
            </w:pPr>
            <w:r w:rsidRPr="0059433B">
              <w:rPr>
                <w:b/>
                <w:bCs w:val="0"/>
              </w:rPr>
              <w:t>(-27.2, -15.0)</w:t>
            </w:r>
          </w:p>
        </w:tc>
      </w:tr>
      <w:tr w:rsidR="00230CBC" w:rsidRPr="0059433B" w14:paraId="6FCD0D18" w14:textId="77777777" w:rsidTr="00C5774C">
        <w:tc>
          <w:tcPr>
            <w:tcW w:w="1696" w:type="dxa"/>
            <w:tcMar>
              <w:left w:w="28" w:type="dxa"/>
              <w:right w:w="28" w:type="dxa"/>
            </w:tcMar>
            <w:vAlign w:val="center"/>
          </w:tcPr>
          <w:p w14:paraId="73315FCB" w14:textId="77777777" w:rsidR="00230CBC" w:rsidRPr="0059433B" w:rsidRDefault="00230CBC" w:rsidP="00C5774C">
            <w:pPr>
              <w:pStyle w:val="COMTabletext"/>
            </w:pPr>
            <w:r w:rsidRPr="0059433B">
              <w:t>mBMI, kg/m</w:t>
            </w:r>
            <w:r w:rsidRPr="0059433B">
              <w:rPr>
                <w:vertAlign w:val="superscript"/>
              </w:rPr>
              <w:t>2</w:t>
            </w:r>
            <w:r w:rsidRPr="0059433B">
              <w:t xml:space="preserve"> x albumin g/dL</w:t>
            </w:r>
          </w:p>
        </w:tc>
        <w:tc>
          <w:tcPr>
            <w:tcW w:w="1464" w:type="dxa"/>
            <w:tcMar>
              <w:left w:w="28" w:type="dxa"/>
              <w:right w:w="28" w:type="dxa"/>
            </w:tcMar>
            <w:vAlign w:val="center"/>
          </w:tcPr>
          <w:p w14:paraId="4834D912" w14:textId="77777777" w:rsidR="00230CBC" w:rsidRPr="0059433B" w:rsidRDefault="00230CBC" w:rsidP="00C5774C">
            <w:pPr>
              <w:pStyle w:val="COMTabletext"/>
              <w:jc w:val="center"/>
            </w:pPr>
            <w:r w:rsidRPr="0059433B">
              <w:t>969.7 (210.45)</w:t>
            </w:r>
          </w:p>
        </w:tc>
        <w:tc>
          <w:tcPr>
            <w:tcW w:w="1655" w:type="dxa"/>
            <w:tcMar>
              <w:left w:w="28" w:type="dxa"/>
              <w:right w:w="28" w:type="dxa"/>
            </w:tcMar>
            <w:vAlign w:val="center"/>
          </w:tcPr>
          <w:p w14:paraId="2E7857CA" w14:textId="77777777" w:rsidR="00230CBC" w:rsidRPr="0059433B" w:rsidRDefault="00230CBC" w:rsidP="00C5774C">
            <w:pPr>
              <w:pStyle w:val="COMTabletext"/>
              <w:jc w:val="center"/>
            </w:pPr>
            <w:r w:rsidRPr="0059433B">
              <w:t>989.9 (214.19)</w:t>
            </w:r>
          </w:p>
        </w:tc>
        <w:tc>
          <w:tcPr>
            <w:tcW w:w="1400" w:type="dxa"/>
            <w:tcMar>
              <w:left w:w="28" w:type="dxa"/>
              <w:right w:w="28" w:type="dxa"/>
            </w:tcMar>
            <w:vAlign w:val="center"/>
          </w:tcPr>
          <w:p w14:paraId="59CCA876" w14:textId="77777777" w:rsidR="00230CBC" w:rsidRPr="0059433B" w:rsidRDefault="00230CBC" w:rsidP="00C5774C">
            <w:pPr>
              <w:pStyle w:val="COMTabletext"/>
              <w:jc w:val="center"/>
            </w:pPr>
            <w:r w:rsidRPr="0059433B">
              <w:t>-3.7</w:t>
            </w:r>
          </w:p>
          <w:p w14:paraId="1B67AD08" w14:textId="77777777" w:rsidR="00230CBC" w:rsidRPr="0059433B" w:rsidRDefault="00230CBC" w:rsidP="00C5774C">
            <w:pPr>
              <w:pStyle w:val="COMTabletext"/>
              <w:jc w:val="center"/>
            </w:pPr>
            <w:r w:rsidRPr="0059433B">
              <w:t>(-22.6, 15.1)</w:t>
            </w:r>
          </w:p>
        </w:tc>
        <w:tc>
          <w:tcPr>
            <w:tcW w:w="1401" w:type="dxa"/>
            <w:tcMar>
              <w:left w:w="28" w:type="dxa"/>
              <w:right w:w="28" w:type="dxa"/>
            </w:tcMar>
            <w:vAlign w:val="center"/>
          </w:tcPr>
          <w:p w14:paraId="7365D08A" w14:textId="77777777" w:rsidR="00230CBC" w:rsidRPr="0059433B" w:rsidRDefault="00230CBC" w:rsidP="00C5774C">
            <w:pPr>
              <w:pStyle w:val="COMTabletext"/>
              <w:jc w:val="center"/>
            </w:pPr>
            <w:r w:rsidRPr="0059433B">
              <w:t>-119.4</w:t>
            </w:r>
          </w:p>
          <w:p w14:paraId="23FE26A9" w14:textId="77777777" w:rsidR="00230CBC" w:rsidRPr="0059433B" w:rsidRDefault="00230CBC" w:rsidP="00C5774C">
            <w:pPr>
              <w:pStyle w:val="COMTabletext"/>
              <w:jc w:val="center"/>
            </w:pPr>
            <w:r w:rsidRPr="0059433B">
              <w:t>(-148.0, -90.8)</w:t>
            </w:r>
          </w:p>
        </w:tc>
        <w:tc>
          <w:tcPr>
            <w:tcW w:w="1401" w:type="dxa"/>
            <w:tcMar>
              <w:left w:w="28" w:type="dxa"/>
              <w:right w:w="28" w:type="dxa"/>
            </w:tcMar>
            <w:vAlign w:val="center"/>
          </w:tcPr>
          <w:p w14:paraId="681DE3DB" w14:textId="77777777" w:rsidR="00230CBC" w:rsidRPr="0059433B" w:rsidRDefault="00230CBC" w:rsidP="00C5774C">
            <w:pPr>
              <w:pStyle w:val="COMTabletext"/>
              <w:jc w:val="center"/>
              <w:rPr>
                <w:b/>
                <w:bCs w:val="0"/>
              </w:rPr>
            </w:pPr>
            <w:r w:rsidRPr="0059433B">
              <w:rPr>
                <w:b/>
                <w:bCs w:val="0"/>
              </w:rPr>
              <w:t>115.7</w:t>
            </w:r>
          </w:p>
          <w:p w14:paraId="5DBB26D1" w14:textId="77777777" w:rsidR="00230CBC" w:rsidRPr="0059433B" w:rsidRDefault="00230CBC" w:rsidP="00C5774C">
            <w:pPr>
              <w:pStyle w:val="COMTabletext"/>
              <w:jc w:val="center"/>
              <w:rPr>
                <w:b/>
                <w:bCs w:val="0"/>
              </w:rPr>
            </w:pPr>
            <w:r w:rsidRPr="0059433B">
              <w:rPr>
                <w:b/>
                <w:bCs w:val="0"/>
              </w:rPr>
              <w:t>(82.4, 149.0)</w:t>
            </w:r>
          </w:p>
        </w:tc>
      </w:tr>
      <w:tr w:rsidR="00230CBC" w:rsidRPr="0059433B" w14:paraId="32EA7BD0" w14:textId="77777777" w:rsidTr="00C5774C">
        <w:tc>
          <w:tcPr>
            <w:tcW w:w="1696" w:type="dxa"/>
            <w:tcMar>
              <w:left w:w="28" w:type="dxa"/>
              <w:right w:w="28" w:type="dxa"/>
            </w:tcMar>
            <w:vAlign w:val="center"/>
          </w:tcPr>
          <w:p w14:paraId="287C4483" w14:textId="77777777" w:rsidR="00230CBC" w:rsidRPr="0059433B" w:rsidRDefault="00230CBC" w:rsidP="00C5774C">
            <w:pPr>
              <w:pStyle w:val="COMTabletext"/>
            </w:pPr>
            <w:r w:rsidRPr="0059433B">
              <w:t>COMPASS-31 score</w:t>
            </w:r>
          </w:p>
        </w:tc>
        <w:tc>
          <w:tcPr>
            <w:tcW w:w="1464" w:type="dxa"/>
            <w:tcMar>
              <w:left w:w="28" w:type="dxa"/>
              <w:right w:w="28" w:type="dxa"/>
            </w:tcMar>
            <w:vAlign w:val="center"/>
          </w:tcPr>
          <w:p w14:paraId="425D138E" w14:textId="77777777" w:rsidR="00230CBC" w:rsidRPr="0059433B" w:rsidRDefault="00230CBC" w:rsidP="00C5774C">
            <w:pPr>
              <w:pStyle w:val="COMTabletext"/>
              <w:jc w:val="center"/>
            </w:pPr>
            <w:r w:rsidRPr="0059433B">
              <w:t>30.61 (17.58)</w:t>
            </w:r>
          </w:p>
        </w:tc>
        <w:tc>
          <w:tcPr>
            <w:tcW w:w="1655" w:type="dxa"/>
            <w:tcMar>
              <w:left w:w="28" w:type="dxa"/>
              <w:right w:w="28" w:type="dxa"/>
            </w:tcMar>
            <w:vAlign w:val="center"/>
          </w:tcPr>
          <w:p w14:paraId="07C410BF" w14:textId="77777777" w:rsidR="00230CBC" w:rsidRPr="0059433B" w:rsidRDefault="00230CBC" w:rsidP="00C5774C">
            <w:pPr>
              <w:pStyle w:val="COMTabletext"/>
              <w:jc w:val="center"/>
            </w:pPr>
            <w:r w:rsidRPr="0059433B">
              <w:t>30.31 (16.37)</w:t>
            </w:r>
          </w:p>
        </w:tc>
        <w:tc>
          <w:tcPr>
            <w:tcW w:w="1400" w:type="dxa"/>
            <w:tcMar>
              <w:left w:w="28" w:type="dxa"/>
              <w:right w:w="28" w:type="dxa"/>
            </w:tcMar>
            <w:vAlign w:val="center"/>
          </w:tcPr>
          <w:p w14:paraId="07C320EB" w14:textId="77777777" w:rsidR="00230CBC" w:rsidRPr="0059433B" w:rsidRDefault="00230CBC" w:rsidP="00C5774C">
            <w:pPr>
              <w:pStyle w:val="COMTabletext"/>
              <w:jc w:val="center"/>
            </w:pPr>
            <w:r w:rsidRPr="0059433B">
              <w:t>-5.29</w:t>
            </w:r>
          </w:p>
          <w:p w14:paraId="63D28D51" w14:textId="77777777" w:rsidR="00230CBC" w:rsidRPr="0059433B" w:rsidRDefault="00230CBC" w:rsidP="00C5774C">
            <w:pPr>
              <w:pStyle w:val="COMTabletext"/>
              <w:jc w:val="center"/>
            </w:pPr>
            <w:r w:rsidRPr="0059433B">
              <w:t>(-7.85, -2.72)</w:t>
            </w:r>
          </w:p>
        </w:tc>
        <w:tc>
          <w:tcPr>
            <w:tcW w:w="1401" w:type="dxa"/>
            <w:tcMar>
              <w:left w:w="28" w:type="dxa"/>
              <w:right w:w="28" w:type="dxa"/>
            </w:tcMar>
            <w:vAlign w:val="center"/>
          </w:tcPr>
          <w:p w14:paraId="1F84543D" w14:textId="77777777" w:rsidR="00230CBC" w:rsidRPr="0059433B" w:rsidRDefault="00230CBC" w:rsidP="00C5774C">
            <w:pPr>
              <w:pStyle w:val="COMTabletext"/>
              <w:jc w:val="center"/>
            </w:pPr>
            <w:r w:rsidRPr="0059433B">
              <w:t>2.24</w:t>
            </w:r>
          </w:p>
          <w:p w14:paraId="32A06CA5" w14:textId="77777777" w:rsidR="00230CBC" w:rsidRPr="0059433B" w:rsidRDefault="00230CBC" w:rsidP="00C5774C">
            <w:pPr>
              <w:pStyle w:val="COMTabletext"/>
              <w:jc w:val="center"/>
            </w:pPr>
            <w:r w:rsidRPr="0059433B">
              <w:t>(-1.59, 6.06)</w:t>
            </w:r>
          </w:p>
        </w:tc>
        <w:tc>
          <w:tcPr>
            <w:tcW w:w="1401" w:type="dxa"/>
            <w:tcMar>
              <w:left w:w="28" w:type="dxa"/>
              <w:right w:w="28" w:type="dxa"/>
            </w:tcMar>
            <w:vAlign w:val="center"/>
          </w:tcPr>
          <w:p w14:paraId="4F74D087" w14:textId="77777777" w:rsidR="00230CBC" w:rsidRPr="0059433B" w:rsidRDefault="00230CBC" w:rsidP="00C5774C">
            <w:pPr>
              <w:pStyle w:val="COMTabletext"/>
              <w:jc w:val="center"/>
              <w:rPr>
                <w:b/>
                <w:bCs w:val="0"/>
              </w:rPr>
            </w:pPr>
            <w:r w:rsidRPr="0059433B">
              <w:rPr>
                <w:b/>
                <w:bCs w:val="0"/>
              </w:rPr>
              <w:t>-7.53</w:t>
            </w:r>
          </w:p>
          <w:p w14:paraId="4F70BC09" w14:textId="77777777" w:rsidR="00230CBC" w:rsidRPr="0059433B" w:rsidRDefault="00230CBC" w:rsidP="00C5774C">
            <w:pPr>
              <w:pStyle w:val="COMTabletext"/>
              <w:jc w:val="center"/>
              <w:rPr>
                <w:b/>
                <w:bCs w:val="0"/>
              </w:rPr>
            </w:pPr>
            <w:r w:rsidRPr="0059433B">
              <w:rPr>
                <w:b/>
                <w:bCs w:val="0"/>
              </w:rPr>
              <w:t>(-11.89, -3.16)</w:t>
            </w:r>
          </w:p>
        </w:tc>
      </w:tr>
      <w:tr w:rsidR="00230CBC" w:rsidRPr="0059433B" w14:paraId="228763CA" w14:textId="77777777" w:rsidTr="00C5774C">
        <w:tc>
          <w:tcPr>
            <w:tcW w:w="1696" w:type="dxa"/>
            <w:tcMar>
              <w:left w:w="28" w:type="dxa"/>
              <w:right w:w="28" w:type="dxa"/>
            </w:tcMar>
            <w:vAlign w:val="center"/>
          </w:tcPr>
          <w:p w14:paraId="689CAC88" w14:textId="77777777" w:rsidR="00230CBC" w:rsidRPr="0059433B" w:rsidRDefault="00230CBC" w:rsidP="00C5774C">
            <w:pPr>
              <w:pStyle w:val="COMTabletext"/>
            </w:pPr>
            <w:r w:rsidRPr="0059433B">
              <w:t>10-MWT gait speed, m/s</w:t>
            </w:r>
          </w:p>
        </w:tc>
        <w:tc>
          <w:tcPr>
            <w:tcW w:w="1464" w:type="dxa"/>
            <w:tcMar>
              <w:left w:w="28" w:type="dxa"/>
              <w:right w:w="28" w:type="dxa"/>
            </w:tcMar>
            <w:vAlign w:val="center"/>
          </w:tcPr>
          <w:p w14:paraId="5D93D2AB" w14:textId="77777777" w:rsidR="00230CBC" w:rsidRPr="0059433B" w:rsidRDefault="00230CBC" w:rsidP="00C5774C">
            <w:pPr>
              <w:pStyle w:val="COMTabletext"/>
              <w:jc w:val="center"/>
            </w:pPr>
            <w:r w:rsidRPr="0059433B">
              <w:t>0.795 (0.4009)</w:t>
            </w:r>
          </w:p>
        </w:tc>
        <w:tc>
          <w:tcPr>
            <w:tcW w:w="1655" w:type="dxa"/>
            <w:tcMar>
              <w:left w:w="28" w:type="dxa"/>
              <w:right w:w="28" w:type="dxa"/>
            </w:tcMar>
            <w:vAlign w:val="center"/>
          </w:tcPr>
          <w:p w14:paraId="0B05CE3B" w14:textId="77777777" w:rsidR="00230CBC" w:rsidRPr="0059433B" w:rsidRDefault="00230CBC" w:rsidP="00C5774C">
            <w:pPr>
              <w:pStyle w:val="COMTabletext"/>
              <w:jc w:val="center"/>
            </w:pPr>
            <w:r w:rsidRPr="0059433B">
              <w:t>0.790 (0.3188)</w:t>
            </w:r>
          </w:p>
        </w:tc>
        <w:tc>
          <w:tcPr>
            <w:tcW w:w="1400" w:type="dxa"/>
            <w:tcMar>
              <w:left w:w="28" w:type="dxa"/>
              <w:right w:w="28" w:type="dxa"/>
            </w:tcMar>
            <w:vAlign w:val="center"/>
          </w:tcPr>
          <w:p w14:paraId="78C55451" w14:textId="77777777" w:rsidR="00230CBC" w:rsidRPr="0059433B" w:rsidRDefault="00230CBC" w:rsidP="00C5774C">
            <w:pPr>
              <w:pStyle w:val="COMTabletext"/>
              <w:jc w:val="center"/>
            </w:pPr>
            <w:r w:rsidRPr="0059433B">
              <w:t>0.077</w:t>
            </w:r>
          </w:p>
          <w:p w14:paraId="4540B20B" w14:textId="77777777" w:rsidR="00230CBC" w:rsidRPr="0059433B" w:rsidRDefault="00230CBC" w:rsidP="00C5774C">
            <w:pPr>
              <w:pStyle w:val="COMTabletext"/>
              <w:jc w:val="center"/>
            </w:pPr>
            <w:r w:rsidRPr="0059433B">
              <w:t>(0.03, 0.12)</w:t>
            </w:r>
          </w:p>
        </w:tc>
        <w:tc>
          <w:tcPr>
            <w:tcW w:w="1401" w:type="dxa"/>
            <w:tcMar>
              <w:left w:w="28" w:type="dxa"/>
              <w:right w:w="28" w:type="dxa"/>
            </w:tcMar>
            <w:vAlign w:val="center"/>
          </w:tcPr>
          <w:p w14:paraId="5DFB2B55" w14:textId="77777777" w:rsidR="00230CBC" w:rsidRPr="0059433B" w:rsidRDefault="00230CBC" w:rsidP="00C5774C">
            <w:pPr>
              <w:pStyle w:val="COMTabletext"/>
              <w:jc w:val="center"/>
            </w:pPr>
            <w:r w:rsidRPr="0059433B">
              <w:t>-0.235</w:t>
            </w:r>
          </w:p>
          <w:p w14:paraId="07BA45D5" w14:textId="77777777" w:rsidR="00230CBC" w:rsidRPr="0059433B" w:rsidRDefault="00230CBC" w:rsidP="00C5774C">
            <w:pPr>
              <w:pStyle w:val="COMTabletext"/>
              <w:jc w:val="center"/>
            </w:pPr>
            <w:r w:rsidRPr="0059433B">
              <w:t>(-0.31, -0.16)</w:t>
            </w:r>
          </w:p>
        </w:tc>
        <w:tc>
          <w:tcPr>
            <w:tcW w:w="1401" w:type="dxa"/>
            <w:tcMar>
              <w:left w:w="28" w:type="dxa"/>
              <w:right w:w="28" w:type="dxa"/>
            </w:tcMar>
            <w:vAlign w:val="center"/>
          </w:tcPr>
          <w:p w14:paraId="1015A9B7" w14:textId="77777777" w:rsidR="00230CBC" w:rsidRPr="0059433B" w:rsidRDefault="00230CBC" w:rsidP="00C5774C">
            <w:pPr>
              <w:pStyle w:val="COMTabletext"/>
              <w:jc w:val="center"/>
              <w:rPr>
                <w:b/>
                <w:bCs w:val="0"/>
              </w:rPr>
            </w:pPr>
            <w:r w:rsidRPr="0059433B">
              <w:rPr>
                <w:b/>
                <w:bCs w:val="0"/>
              </w:rPr>
              <w:t>0.311</w:t>
            </w:r>
          </w:p>
          <w:p w14:paraId="2A1C80D6" w14:textId="77777777" w:rsidR="00230CBC" w:rsidRPr="0059433B" w:rsidRDefault="00230CBC" w:rsidP="00C5774C">
            <w:pPr>
              <w:pStyle w:val="COMTabletext"/>
              <w:jc w:val="center"/>
              <w:rPr>
                <w:b/>
                <w:bCs w:val="0"/>
              </w:rPr>
            </w:pPr>
            <w:r w:rsidRPr="0059433B">
              <w:rPr>
                <w:b/>
                <w:bCs w:val="0"/>
              </w:rPr>
              <w:t>(0.230, 0.393)</w:t>
            </w:r>
          </w:p>
        </w:tc>
      </w:tr>
      <w:tr w:rsidR="00230CBC" w:rsidRPr="0059433B" w14:paraId="07E8B177" w14:textId="77777777" w:rsidTr="00C5774C">
        <w:tc>
          <w:tcPr>
            <w:tcW w:w="1696" w:type="dxa"/>
            <w:tcMar>
              <w:left w:w="28" w:type="dxa"/>
              <w:right w:w="28" w:type="dxa"/>
            </w:tcMar>
            <w:vAlign w:val="center"/>
          </w:tcPr>
          <w:p w14:paraId="3F0C1240" w14:textId="77777777" w:rsidR="00230CBC" w:rsidRPr="0059433B" w:rsidRDefault="00230CBC" w:rsidP="00C5774C">
            <w:pPr>
              <w:pStyle w:val="COMTabletext"/>
            </w:pPr>
            <w:r w:rsidRPr="0059433B">
              <w:t>R-ODS score</w:t>
            </w:r>
          </w:p>
        </w:tc>
        <w:tc>
          <w:tcPr>
            <w:tcW w:w="1464" w:type="dxa"/>
            <w:tcMar>
              <w:left w:w="28" w:type="dxa"/>
              <w:right w:w="28" w:type="dxa"/>
            </w:tcMar>
            <w:vAlign w:val="center"/>
          </w:tcPr>
          <w:p w14:paraId="4D25013C" w14:textId="77777777" w:rsidR="00230CBC" w:rsidRPr="0059433B" w:rsidRDefault="00230CBC" w:rsidP="00C5774C">
            <w:pPr>
              <w:pStyle w:val="COMTabletext"/>
              <w:jc w:val="center"/>
            </w:pPr>
            <w:r w:rsidRPr="0059433B">
              <w:t>29.7 (11.51)</w:t>
            </w:r>
          </w:p>
        </w:tc>
        <w:tc>
          <w:tcPr>
            <w:tcW w:w="1655" w:type="dxa"/>
            <w:tcMar>
              <w:left w:w="28" w:type="dxa"/>
              <w:right w:w="28" w:type="dxa"/>
            </w:tcMar>
            <w:vAlign w:val="center"/>
          </w:tcPr>
          <w:p w14:paraId="1FAD286D" w14:textId="77777777" w:rsidR="00230CBC" w:rsidRPr="0059433B" w:rsidRDefault="00230CBC" w:rsidP="00C5774C">
            <w:pPr>
              <w:pStyle w:val="COMTabletext"/>
              <w:jc w:val="center"/>
            </w:pPr>
            <w:r w:rsidRPr="0059433B">
              <w:t>29.8 (10.76)</w:t>
            </w:r>
          </w:p>
        </w:tc>
        <w:tc>
          <w:tcPr>
            <w:tcW w:w="1400" w:type="dxa"/>
            <w:tcMar>
              <w:left w:w="28" w:type="dxa"/>
              <w:right w:w="28" w:type="dxa"/>
            </w:tcMar>
            <w:vAlign w:val="center"/>
          </w:tcPr>
          <w:p w14:paraId="50F497F7" w14:textId="77777777" w:rsidR="00230CBC" w:rsidRPr="0059433B" w:rsidRDefault="00230CBC" w:rsidP="00C5774C">
            <w:pPr>
              <w:pStyle w:val="COMTabletext"/>
              <w:jc w:val="center"/>
            </w:pPr>
            <w:r w:rsidRPr="0059433B">
              <w:t>0.0</w:t>
            </w:r>
          </w:p>
          <w:p w14:paraId="5276CBAD" w14:textId="77777777" w:rsidR="00230CBC" w:rsidRPr="0059433B" w:rsidRDefault="00230CBC" w:rsidP="00C5774C">
            <w:pPr>
              <w:pStyle w:val="COMTabletext"/>
              <w:jc w:val="center"/>
            </w:pPr>
            <w:r w:rsidRPr="0059433B">
              <w:t>(-1.1, 1.2)</w:t>
            </w:r>
          </w:p>
        </w:tc>
        <w:tc>
          <w:tcPr>
            <w:tcW w:w="1401" w:type="dxa"/>
            <w:tcMar>
              <w:left w:w="28" w:type="dxa"/>
              <w:right w:w="28" w:type="dxa"/>
            </w:tcMar>
            <w:vAlign w:val="center"/>
          </w:tcPr>
          <w:p w14:paraId="327089BC" w14:textId="77777777" w:rsidR="00230CBC" w:rsidRPr="0059433B" w:rsidRDefault="00230CBC" w:rsidP="00C5774C">
            <w:pPr>
              <w:pStyle w:val="COMTabletext"/>
              <w:jc w:val="center"/>
            </w:pPr>
            <w:r w:rsidRPr="0059433B">
              <w:t>-8.9</w:t>
            </w:r>
          </w:p>
          <w:p w14:paraId="2260BBA1" w14:textId="77777777" w:rsidR="00230CBC" w:rsidRPr="0059433B" w:rsidRDefault="00230CBC" w:rsidP="00C5774C">
            <w:pPr>
              <w:pStyle w:val="COMTabletext"/>
              <w:jc w:val="center"/>
            </w:pPr>
            <w:r w:rsidRPr="0059433B">
              <w:t>(-10.7, -7.2)</w:t>
            </w:r>
          </w:p>
        </w:tc>
        <w:tc>
          <w:tcPr>
            <w:tcW w:w="1401" w:type="dxa"/>
            <w:tcMar>
              <w:left w:w="28" w:type="dxa"/>
              <w:right w:w="28" w:type="dxa"/>
            </w:tcMar>
            <w:vAlign w:val="center"/>
          </w:tcPr>
          <w:p w14:paraId="740ACA27" w14:textId="77777777" w:rsidR="00230CBC" w:rsidRPr="0059433B" w:rsidRDefault="00230CBC" w:rsidP="00C5774C">
            <w:pPr>
              <w:pStyle w:val="COMTabletext"/>
              <w:jc w:val="center"/>
              <w:rPr>
                <w:b/>
                <w:bCs w:val="0"/>
              </w:rPr>
            </w:pPr>
            <w:r w:rsidRPr="0059433B">
              <w:rPr>
                <w:b/>
                <w:bCs w:val="0"/>
              </w:rPr>
              <w:t>9.0</w:t>
            </w:r>
          </w:p>
          <w:p w14:paraId="5CFA42FC" w14:textId="77777777" w:rsidR="00230CBC" w:rsidRPr="0059433B" w:rsidRDefault="00230CBC" w:rsidP="00C5774C">
            <w:pPr>
              <w:pStyle w:val="COMTabletext"/>
              <w:jc w:val="center"/>
              <w:rPr>
                <w:b/>
                <w:bCs w:val="0"/>
              </w:rPr>
            </w:pPr>
            <w:r w:rsidRPr="0059433B">
              <w:rPr>
                <w:b/>
                <w:bCs w:val="0"/>
              </w:rPr>
              <w:t>(7.0, 10.9)</w:t>
            </w:r>
          </w:p>
        </w:tc>
      </w:tr>
      <w:tr w:rsidR="00230CBC" w:rsidRPr="0059433B" w14:paraId="579DA9C8" w14:textId="77777777" w:rsidTr="00C5774C">
        <w:tc>
          <w:tcPr>
            <w:tcW w:w="1696" w:type="dxa"/>
            <w:tcMar>
              <w:left w:w="28" w:type="dxa"/>
              <w:right w:w="28" w:type="dxa"/>
            </w:tcMar>
            <w:vAlign w:val="center"/>
          </w:tcPr>
          <w:p w14:paraId="04ECD5A3" w14:textId="77777777" w:rsidR="00230CBC" w:rsidRPr="0059433B" w:rsidRDefault="00230CBC" w:rsidP="00C5774C">
            <w:pPr>
              <w:pStyle w:val="COMTabletext"/>
            </w:pPr>
            <w:r w:rsidRPr="0059433B">
              <w:t>Serum TTR KD, mean % decrease</w:t>
            </w:r>
          </w:p>
        </w:tc>
        <w:tc>
          <w:tcPr>
            <w:tcW w:w="1464" w:type="dxa"/>
            <w:tcMar>
              <w:left w:w="28" w:type="dxa"/>
              <w:right w:w="28" w:type="dxa"/>
            </w:tcMar>
            <w:vAlign w:val="center"/>
          </w:tcPr>
          <w:p w14:paraId="0CCC728F" w14:textId="77777777" w:rsidR="00230CBC" w:rsidRPr="0059433B" w:rsidRDefault="00230CBC" w:rsidP="00C5774C">
            <w:pPr>
              <w:pStyle w:val="COMTabletext"/>
              <w:jc w:val="center"/>
            </w:pPr>
            <w:r w:rsidRPr="0059433B">
              <w:t>196.5 mg/L</w:t>
            </w:r>
          </w:p>
          <w:p w14:paraId="1A538F19" w14:textId="77777777" w:rsidR="00230CBC" w:rsidRPr="0059433B" w:rsidRDefault="00230CBC" w:rsidP="00C5774C">
            <w:pPr>
              <w:pStyle w:val="COMTabletext"/>
              <w:jc w:val="center"/>
            </w:pPr>
            <w:r w:rsidRPr="0059433B">
              <w:t>(range 52-411 mg/L)</w:t>
            </w:r>
          </w:p>
        </w:tc>
        <w:tc>
          <w:tcPr>
            <w:tcW w:w="1655" w:type="dxa"/>
            <w:tcMar>
              <w:left w:w="28" w:type="dxa"/>
              <w:right w:w="28" w:type="dxa"/>
            </w:tcMar>
            <w:vAlign w:val="center"/>
          </w:tcPr>
          <w:p w14:paraId="12A57FF0" w14:textId="77777777" w:rsidR="00230CBC" w:rsidRPr="0059433B" w:rsidRDefault="00230CBC" w:rsidP="00C5774C">
            <w:pPr>
              <w:pStyle w:val="COMTabletext"/>
              <w:jc w:val="center"/>
            </w:pPr>
            <w:r w:rsidRPr="0059433B">
              <w:t>198.8 mg/L (range 59 to 320 mg/L)</w:t>
            </w:r>
          </w:p>
        </w:tc>
        <w:tc>
          <w:tcPr>
            <w:tcW w:w="1400" w:type="dxa"/>
            <w:tcMar>
              <w:left w:w="28" w:type="dxa"/>
              <w:right w:w="28" w:type="dxa"/>
            </w:tcMar>
            <w:vAlign w:val="center"/>
          </w:tcPr>
          <w:p w14:paraId="7229C318" w14:textId="77777777" w:rsidR="00230CBC" w:rsidRPr="0059433B" w:rsidRDefault="00230CBC" w:rsidP="00C5774C">
            <w:pPr>
              <w:pStyle w:val="COMTabletext"/>
              <w:jc w:val="center"/>
            </w:pPr>
            <w:r w:rsidRPr="0059433B">
              <w:t>84.3</w:t>
            </w:r>
          </w:p>
          <w:p w14:paraId="472E76AA" w14:textId="77777777" w:rsidR="00230CBC" w:rsidRPr="0059433B" w:rsidRDefault="00230CBC" w:rsidP="00C5774C">
            <w:pPr>
              <w:pStyle w:val="COMTabletext"/>
              <w:jc w:val="center"/>
            </w:pPr>
            <w:r w:rsidRPr="0059433B">
              <w:t>(SEM: 1.48)</w:t>
            </w:r>
          </w:p>
        </w:tc>
        <w:tc>
          <w:tcPr>
            <w:tcW w:w="1401" w:type="dxa"/>
            <w:tcMar>
              <w:left w:w="28" w:type="dxa"/>
              <w:right w:w="28" w:type="dxa"/>
            </w:tcMar>
            <w:vAlign w:val="center"/>
          </w:tcPr>
          <w:p w14:paraId="5C8B36D7" w14:textId="77777777" w:rsidR="00230CBC" w:rsidRPr="0059433B" w:rsidRDefault="00230CBC" w:rsidP="00C5774C">
            <w:pPr>
              <w:pStyle w:val="COMTabletext"/>
              <w:jc w:val="center"/>
            </w:pPr>
            <w:r w:rsidRPr="0059433B">
              <w:t>4.8</w:t>
            </w:r>
          </w:p>
          <w:p w14:paraId="63C3C333" w14:textId="77777777" w:rsidR="00230CBC" w:rsidRPr="0059433B" w:rsidRDefault="00230CBC" w:rsidP="00C5774C">
            <w:pPr>
              <w:pStyle w:val="COMTabletext"/>
              <w:jc w:val="center"/>
            </w:pPr>
            <w:r w:rsidRPr="0059433B">
              <w:t>(SEM: 3.38)</w:t>
            </w:r>
          </w:p>
        </w:tc>
        <w:tc>
          <w:tcPr>
            <w:tcW w:w="1401" w:type="dxa"/>
            <w:tcMar>
              <w:left w:w="28" w:type="dxa"/>
              <w:right w:w="28" w:type="dxa"/>
            </w:tcMar>
            <w:vAlign w:val="center"/>
          </w:tcPr>
          <w:p w14:paraId="68246759" w14:textId="77777777" w:rsidR="00230CBC" w:rsidRPr="0059433B" w:rsidRDefault="00230CBC" w:rsidP="00C5774C">
            <w:pPr>
              <w:pStyle w:val="COMTabletext"/>
              <w:jc w:val="center"/>
              <w:rPr>
                <w:b/>
                <w:bCs w:val="0"/>
              </w:rPr>
            </w:pPr>
            <w:r w:rsidRPr="0059433B">
              <w:t>-79.5 (NR)</w:t>
            </w:r>
          </w:p>
        </w:tc>
      </w:tr>
      <w:tr w:rsidR="00230CBC" w:rsidRPr="0059433B" w14:paraId="3972BE93" w14:textId="77777777" w:rsidTr="00C5774C">
        <w:tc>
          <w:tcPr>
            <w:tcW w:w="1696" w:type="dxa"/>
            <w:tcMar>
              <w:left w:w="28" w:type="dxa"/>
              <w:right w:w="28" w:type="dxa"/>
            </w:tcMar>
            <w:vAlign w:val="center"/>
          </w:tcPr>
          <w:p w14:paraId="56873F70" w14:textId="77777777" w:rsidR="00230CBC" w:rsidRPr="0059433B" w:rsidRDefault="00230CBC" w:rsidP="00C5774C">
            <w:pPr>
              <w:pStyle w:val="COMTabletext"/>
              <w:rPr>
                <w:b/>
                <w:bCs w:val="0"/>
              </w:rPr>
            </w:pPr>
          </w:p>
        </w:tc>
        <w:tc>
          <w:tcPr>
            <w:tcW w:w="3119" w:type="dxa"/>
            <w:gridSpan w:val="2"/>
            <w:vAlign w:val="center"/>
          </w:tcPr>
          <w:p w14:paraId="1D99871A" w14:textId="77777777" w:rsidR="00230CBC" w:rsidRPr="0059433B" w:rsidRDefault="00230CBC" w:rsidP="00C5774C">
            <w:pPr>
              <w:pStyle w:val="COMTabletext"/>
              <w:rPr>
                <w:b/>
                <w:bCs w:val="0"/>
              </w:rPr>
            </w:pPr>
          </w:p>
        </w:tc>
        <w:tc>
          <w:tcPr>
            <w:tcW w:w="4202" w:type="dxa"/>
            <w:gridSpan w:val="3"/>
            <w:vAlign w:val="center"/>
          </w:tcPr>
          <w:p w14:paraId="25E0BB00" w14:textId="77777777" w:rsidR="00230CBC" w:rsidRPr="0059433B" w:rsidRDefault="00230CBC" w:rsidP="00C5774C">
            <w:pPr>
              <w:pStyle w:val="COMTabletext"/>
              <w:rPr>
                <w:b/>
                <w:bCs w:val="0"/>
              </w:rPr>
            </w:pPr>
            <w:r w:rsidRPr="0059433B">
              <w:rPr>
                <w:b/>
                <w:bCs w:val="0"/>
              </w:rPr>
              <w:t xml:space="preserve">Patients with improved or stable scores from baseline, n (%) </w:t>
            </w:r>
          </w:p>
        </w:tc>
      </w:tr>
      <w:tr w:rsidR="00230CBC" w:rsidRPr="0059433B" w14:paraId="30E717D3" w14:textId="77777777" w:rsidTr="00C5774C">
        <w:tc>
          <w:tcPr>
            <w:tcW w:w="1696" w:type="dxa"/>
            <w:tcMar>
              <w:left w:w="28" w:type="dxa"/>
              <w:right w:w="28" w:type="dxa"/>
            </w:tcMar>
            <w:vAlign w:val="center"/>
          </w:tcPr>
          <w:p w14:paraId="0205E380" w14:textId="77777777" w:rsidR="00230CBC" w:rsidRPr="0059433B" w:rsidRDefault="00230CBC" w:rsidP="00C5774C">
            <w:pPr>
              <w:pStyle w:val="COMTabletext"/>
            </w:pPr>
            <w:r w:rsidRPr="0059433B">
              <w:t xml:space="preserve">Norfolk QoL-DN improved </w:t>
            </w:r>
            <w:r w:rsidRPr="0059433B">
              <w:rPr>
                <w:vertAlign w:val="superscript"/>
              </w:rPr>
              <w:t>a</w:t>
            </w:r>
          </w:p>
        </w:tc>
        <w:tc>
          <w:tcPr>
            <w:tcW w:w="1464" w:type="dxa"/>
            <w:tcMar>
              <w:left w:w="28" w:type="dxa"/>
              <w:right w:w="28" w:type="dxa"/>
            </w:tcMar>
            <w:vAlign w:val="center"/>
          </w:tcPr>
          <w:p w14:paraId="36F54DAA" w14:textId="77777777" w:rsidR="00230CBC" w:rsidRPr="0059433B" w:rsidRDefault="00230CBC" w:rsidP="00C5774C">
            <w:pPr>
              <w:pStyle w:val="COMTabletext"/>
              <w:jc w:val="center"/>
            </w:pPr>
            <w:r w:rsidRPr="0059433B">
              <w:t>-</w:t>
            </w:r>
          </w:p>
        </w:tc>
        <w:tc>
          <w:tcPr>
            <w:tcW w:w="1655" w:type="dxa"/>
            <w:tcMar>
              <w:left w:w="28" w:type="dxa"/>
              <w:right w:w="28" w:type="dxa"/>
            </w:tcMar>
            <w:vAlign w:val="center"/>
          </w:tcPr>
          <w:p w14:paraId="7BB13405" w14:textId="77777777" w:rsidR="00230CBC" w:rsidRPr="0059433B" w:rsidRDefault="00230CBC" w:rsidP="00C5774C">
            <w:pPr>
              <w:pStyle w:val="COMTabletext"/>
              <w:jc w:val="center"/>
            </w:pPr>
            <w:r w:rsidRPr="0059433B">
              <w:t>-</w:t>
            </w:r>
          </w:p>
        </w:tc>
        <w:tc>
          <w:tcPr>
            <w:tcW w:w="1400" w:type="dxa"/>
            <w:tcMar>
              <w:left w:w="28" w:type="dxa"/>
              <w:right w:w="28" w:type="dxa"/>
            </w:tcMar>
            <w:vAlign w:val="center"/>
          </w:tcPr>
          <w:p w14:paraId="58259CAD" w14:textId="77777777" w:rsidR="00230CBC" w:rsidRPr="0059433B" w:rsidRDefault="00230CBC" w:rsidP="00C5774C">
            <w:pPr>
              <w:pStyle w:val="COMTabletext"/>
              <w:jc w:val="center"/>
            </w:pPr>
            <w:r w:rsidRPr="0059433B">
              <w:t>NR (51.4)</w:t>
            </w:r>
          </w:p>
        </w:tc>
        <w:tc>
          <w:tcPr>
            <w:tcW w:w="1401" w:type="dxa"/>
            <w:tcMar>
              <w:left w:w="28" w:type="dxa"/>
              <w:right w:w="28" w:type="dxa"/>
            </w:tcMar>
            <w:vAlign w:val="center"/>
          </w:tcPr>
          <w:p w14:paraId="35F8723D" w14:textId="77777777" w:rsidR="00230CBC" w:rsidRPr="0059433B" w:rsidRDefault="00230CBC" w:rsidP="00C5774C">
            <w:pPr>
              <w:pStyle w:val="COMTabletext"/>
              <w:jc w:val="center"/>
            </w:pPr>
            <w:r w:rsidRPr="0059433B">
              <w:t>NR (10.4)</w:t>
            </w:r>
          </w:p>
        </w:tc>
        <w:tc>
          <w:tcPr>
            <w:tcW w:w="1401" w:type="dxa"/>
            <w:tcMar>
              <w:left w:w="28" w:type="dxa"/>
              <w:right w:w="28" w:type="dxa"/>
            </w:tcMar>
            <w:vAlign w:val="center"/>
          </w:tcPr>
          <w:p w14:paraId="17435C63" w14:textId="77777777" w:rsidR="00230CBC" w:rsidRPr="0059433B" w:rsidRDefault="00230CBC" w:rsidP="00C5774C">
            <w:pPr>
              <w:pStyle w:val="COMTabletext"/>
              <w:jc w:val="center"/>
            </w:pPr>
            <w:r w:rsidRPr="0059433B">
              <w:t>NR (41%)</w:t>
            </w:r>
          </w:p>
          <w:p w14:paraId="0E3C0DB9" w14:textId="77777777" w:rsidR="00230CBC" w:rsidRPr="0059433B" w:rsidRDefault="00230CBC" w:rsidP="00C5774C">
            <w:pPr>
              <w:pStyle w:val="COMTabletext"/>
              <w:jc w:val="center"/>
            </w:pPr>
            <w:r w:rsidRPr="0059433B">
              <w:rPr>
                <w:b/>
                <w:bCs w:val="0"/>
              </w:rPr>
              <w:t>OR: 10.0 (95% CI 4.4, 22.5)</w:t>
            </w:r>
          </w:p>
        </w:tc>
      </w:tr>
      <w:tr w:rsidR="00230CBC" w:rsidRPr="0059433B" w14:paraId="51B34EFD" w14:textId="77777777" w:rsidTr="00C5774C">
        <w:tc>
          <w:tcPr>
            <w:tcW w:w="1696" w:type="dxa"/>
            <w:tcMar>
              <w:left w:w="28" w:type="dxa"/>
              <w:right w:w="28" w:type="dxa"/>
            </w:tcMar>
            <w:vAlign w:val="center"/>
          </w:tcPr>
          <w:p w14:paraId="2C89B42C" w14:textId="77777777" w:rsidR="00230CBC" w:rsidRPr="0059433B" w:rsidRDefault="00230CBC" w:rsidP="00C5774C">
            <w:pPr>
              <w:pStyle w:val="COMTabletext"/>
            </w:pPr>
            <w:r w:rsidRPr="0059433B">
              <w:t>Stable PND scores</w:t>
            </w:r>
          </w:p>
        </w:tc>
        <w:tc>
          <w:tcPr>
            <w:tcW w:w="1464" w:type="dxa"/>
            <w:tcMar>
              <w:left w:w="28" w:type="dxa"/>
              <w:right w:w="28" w:type="dxa"/>
            </w:tcMar>
            <w:vAlign w:val="center"/>
          </w:tcPr>
          <w:p w14:paraId="39D1D081" w14:textId="77777777" w:rsidR="00230CBC" w:rsidRPr="0059433B" w:rsidRDefault="00230CBC" w:rsidP="00C5774C">
            <w:pPr>
              <w:pStyle w:val="COMTabletext"/>
              <w:jc w:val="center"/>
            </w:pPr>
            <w:r w:rsidRPr="0059433B">
              <w:t>-</w:t>
            </w:r>
          </w:p>
        </w:tc>
        <w:tc>
          <w:tcPr>
            <w:tcW w:w="1655" w:type="dxa"/>
            <w:tcMar>
              <w:left w:w="28" w:type="dxa"/>
              <w:right w:w="28" w:type="dxa"/>
            </w:tcMar>
            <w:vAlign w:val="center"/>
          </w:tcPr>
          <w:p w14:paraId="4138BA82" w14:textId="77777777" w:rsidR="00230CBC" w:rsidRPr="0059433B" w:rsidRDefault="00230CBC" w:rsidP="00C5774C">
            <w:pPr>
              <w:pStyle w:val="COMTabletext"/>
              <w:jc w:val="center"/>
            </w:pPr>
            <w:r w:rsidRPr="0059433B">
              <w:t>-</w:t>
            </w:r>
          </w:p>
        </w:tc>
        <w:tc>
          <w:tcPr>
            <w:tcW w:w="1400" w:type="dxa"/>
            <w:tcMar>
              <w:left w:w="28" w:type="dxa"/>
              <w:right w:w="28" w:type="dxa"/>
            </w:tcMar>
            <w:vAlign w:val="center"/>
          </w:tcPr>
          <w:p w14:paraId="3857D84E" w14:textId="77777777" w:rsidR="00230CBC" w:rsidRPr="0059433B" w:rsidRDefault="00230CBC" w:rsidP="00C5774C">
            <w:pPr>
              <w:pStyle w:val="COMTabletext"/>
              <w:jc w:val="center"/>
            </w:pPr>
            <w:r w:rsidRPr="0059433B">
              <w:t>96 (65)</w:t>
            </w:r>
          </w:p>
        </w:tc>
        <w:tc>
          <w:tcPr>
            <w:tcW w:w="1401" w:type="dxa"/>
            <w:tcMar>
              <w:left w:w="28" w:type="dxa"/>
              <w:right w:w="28" w:type="dxa"/>
            </w:tcMar>
            <w:vAlign w:val="center"/>
          </w:tcPr>
          <w:p w14:paraId="1D120254" w14:textId="77777777" w:rsidR="00230CBC" w:rsidRPr="0059433B" w:rsidRDefault="00230CBC" w:rsidP="00C5774C">
            <w:pPr>
              <w:pStyle w:val="COMTabletext"/>
              <w:jc w:val="center"/>
            </w:pPr>
            <w:r w:rsidRPr="0059433B">
              <w:t>23 (30)</w:t>
            </w:r>
          </w:p>
        </w:tc>
        <w:tc>
          <w:tcPr>
            <w:tcW w:w="1401" w:type="dxa"/>
            <w:tcMar>
              <w:left w:w="28" w:type="dxa"/>
              <w:right w:w="28" w:type="dxa"/>
            </w:tcMar>
            <w:vAlign w:val="center"/>
          </w:tcPr>
          <w:p w14:paraId="56F009C3" w14:textId="77777777" w:rsidR="00230CBC" w:rsidRPr="0059433B" w:rsidRDefault="00230CBC" w:rsidP="00C5774C">
            <w:pPr>
              <w:pStyle w:val="COMTabletext"/>
              <w:jc w:val="center"/>
            </w:pPr>
            <w:r w:rsidRPr="0059433B">
              <w:t>-</w:t>
            </w:r>
          </w:p>
        </w:tc>
      </w:tr>
      <w:tr w:rsidR="00230CBC" w:rsidRPr="0059433B" w14:paraId="05E11F7E" w14:textId="77777777" w:rsidTr="00C5774C">
        <w:tc>
          <w:tcPr>
            <w:tcW w:w="1696" w:type="dxa"/>
            <w:tcMar>
              <w:left w:w="28" w:type="dxa"/>
              <w:right w:w="28" w:type="dxa"/>
            </w:tcMar>
            <w:vAlign w:val="center"/>
          </w:tcPr>
          <w:p w14:paraId="66EA0EE2" w14:textId="77777777" w:rsidR="00230CBC" w:rsidRPr="0059433B" w:rsidRDefault="00230CBC" w:rsidP="00C5774C">
            <w:pPr>
              <w:pStyle w:val="COMTabletext"/>
            </w:pPr>
            <w:r w:rsidRPr="0059433B">
              <w:t>Improved PND scores</w:t>
            </w:r>
          </w:p>
        </w:tc>
        <w:tc>
          <w:tcPr>
            <w:tcW w:w="1464" w:type="dxa"/>
            <w:tcMar>
              <w:left w:w="28" w:type="dxa"/>
              <w:right w:w="28" w:type="dxa"/>
            </w:tcMar>
            <w:vAlign w:val="center"/>
          </w:tcPr>
          <w:p w14:paraId="3C49DF2D" w14:textId="77777777" w:rsidR="00230CBC" w:rsidRPr="0059433B" w:rsidRDefault="00230CBC" w:rsidP="00C5774C">
            <w:pPr>
              <w:pStyle w:val="COMTabletext"/>
              <w:jc w:val="center"/>
            </w:pPr>
            <w:r w:rsidRPr="0059433B">
              <w:t>-</w:t>
            </w:r>
          </w:p>
        </w:tc>
        <w:tc>
          <w:tcPr>
            <w:tcW w:w="1655" w:type="dxa"/>
            <w:tcMar>
              <w:left w:w="28" w:type="dxa"/>
              <w:right w:w="28" w:type="dxa"/>
            </w:tcMar>
            <w:vAlign w:val="center"/>
          </w:tcPr>
          <w:p w14:paraId="79038A79" w14:textId="77777777" w:rsidR="00230CBC" w:rsidRPr="0059433B" w:rsidRDefault="00230CBC" w:rsidP="00C5774C">
            <w:pPr>
              <w:pStyle w:val="COMTabletext"/>
              <w:jc w:val="center"/>
            </w:pPr>
            <w:r w:rsidRPr="0059433B">
              <w:t>-</w:t>
            </w:r>
          </w:p>
        </w:tc>
        <w:tc>
          <w:tcPr>
            <w:tcW w:w="1400" w:type="dxa"/>
            <w:tcMar>
              <w:left w:w="28" w:type="dxa"/>
              <w:right w:w="28" w:type="dxa"/>
            </w:tcMar>
            <w:vAlign w:val="center"/>
          </w:tcPr>
          <w:p w14:paraId="17E44EF4" w14:textId="77777777" w:rsidR="00230CBC" w:rsidRPr="0059433B" w:rsidRDefault="00230CBC" w:rsidP="00C5774C">
            <w:pPr>
              <w:pStyle w:val="COMTabletext"/>
              <w:jc w:val="center"/>
            </w:pPr>
            <w:r w:rsidRPr="0059433B">
              <w:t>12 (8)</w:t>
            </w:r>
          </w:p>
        </w:tc>
        <w:tc>
          <w:tcPr>
            <w:tcW w:w="1401" w:type="dxa"/>
            <w:tcMar>
              <w:left w:w="28" w:type="dxa"/>
              <w:right w:w="28" w:type="dxa"/>
            </w:tcMar>
            <w:vAlign w:val="center"/>
          </w:tcPr>
          <w:p w14:paraId="2CB59805" w14:textId="77777777" w:rsidR="00230CBC" w:rsidRPr="0059433B" w:rsidRDefault="00230CBC" w:rsidP="00C5774C">
            <w:pPr>
              <w:pStyle w:val="COMTabletext"/>
              <w:jc w:val="center"/>
            </w:pPr>
            <w:r w:rsidRPr="0059433B">
              <w:t>0 (0)</w:t>
            </w:r>
          </w:p>
        </w:tc>
        <w:tc>
          <w:tcPr>
            <w:tcW w:w="1401" w:type="dxa"/>
            <w:tcMar>
              <w:left w:w="28" w:type="dxa"/>
              <w:right w:w="28" w:type="dxa"/>
            </w:tcMar>
            <w:vAlign w:val="center"/>
          </w:tcPr>
          <w:p w14:paraId="4D95C631" w14:textId="77777777" w:rsidR="00230CBC" w:rsidRPr="0059433B" w:rsidRDefault="00230CBC" w:rsidP="00C5774C">
            <w:pPr>
              <w:pStyle w:val="COMTabletext"/>
              <w:jc w:val="center"/>
            </w:pPr>
            <w:r w:rsidRPr="0059433B">
              <w:t>-</w:t>
            </w:r>
          </w:p>
        </w:tc>
      </w:tr>
    </w:tbl>
    <w:p w14:paraId="2881E883" w14:textId="77777777" w:rsidR="00230CBC" w:rsidRPr="0059433B" w:rsidRDefault="00230CBC" w:rsidP="00230CBC">
      <w:pPr>
        <w:pStyle w:val="COMTablefooter"/>
      </w:pPr>
      <w:r w:rsidRPr="0059433B">
        <w:t>Source: Table 2.16, pp65-66 of the submission, APOLLO Clinical Study Report.</w:t>
      </w:r>
    </w:p>
    <w:p w14:paraId="1AC1A4DC" w14:textId="77777777" w:rsidR="00230CBC" w:rsidRPr="0059433B" w:rsidRDefault="00230CBC" w:rsidP="00230CBC">
      <w:pPr>
        <w:pStyle w:val="COMTablefooter"/>
      </w:pPr>
      <w:r w:rsidRPr="0059433B">
        <w:t>Abbreviations: CI, confidence intervals; COMPASS-31, Composite Autonomic Symptom Score 31; KD, knockdown; LS, least squares; mBMI, modified body mass index; Norfolk QoL-DN, Norfolk quality of life – diabetic neuropathy; NR, not reported; OR, odds ratio; PND, polyneuropathy disability; R-ODS, Rasch-build Overall Disability Scale; SEM, standard error of the mean; TTR, transthyretin</w:t>
      </w:r>
    </w:p>
    <w:p w14:paraId="304CBE2F" w14:textId="77777777" w:rsidR="00F126D4" w:rsidRPr="0059433B" w:rsidRDefault="00230CBC" w:rsidP="00230CBC">
      <w:pPr>
        <w:pStyle w:val="COMTablefooter"/>
      </w:pPr>
      <w:r w:rsidRPr="0059433B">
        <w:t xml:space="preserve">Note: Norfolk QoL-DN scores can range from -4 to 136 points, with a lower score indicative of improvement; COMPASS-31 from 0 to 100 with higher scores indicating greater autonomic symptom burden; R-ODS from 0 to 48, with lower scores indicating increased disability. mBMI </w:t>
      </w:r>
      <w:proofErr w:type="gramStart"/>
      <w:r w:rsidRPr="0059433B">
        <w:t>is measured</w:t>
      </w:r>
      <w:proofErr w:type="gramEnd"/>
      <w:r w:rsidRPr="0059433B">
        <w:t xml:space="preserve"> as kg/m</w:t>
      </w:r>
      <w:r w:rsidRPr="0059433B">
        <w:rPr>
          <w:vertAlign w:val="superscript"/>
        </w:rPr>
        <w:t>2</w:t>
      </w:r>
      <w:r w:rsidRPr="0059433B">
        <w:t xml:space="preserve"> x albumin g/dL.</w:t>
      </w:r>
    </w:p>
    <w:p w14:paraId="1A1870DA" w14:textId="1E9409E8" w:rsidR="00230CBC" w:rsidRPr="0059433B" w:rsidRDefault="00230CBC" w:rsidP="00230CBC">
      <w:pPr>
        <w:pStyle w:val="COMTablefooter"/>
      </w:pPr>
      <w:r w:rsidRPr="0059433B">
        <w:rPr>
          <w:vertAlign w:val="superscript"/>
        </w:rPr>
        <w:t xml:space="preserve">a </w:t>
      </w:r>
      <w:r w:rsidRPr="0059433B">
        <w:t xml:space="preserve">For the proportion of patients with improvement in Norfolk QoL-DN scores, any reduction in the score (&lt;0, where a lower score indicates fewer symptoms) </w:t>
      </w:r>
      <w:proofErr w:type="gramStart"/>
      <w:r w:rsidRPr="0059433B">
        <w:t>was classed</w:t>
      </w:r>
      <w:proofErr w:type="gramEnd"/>
      <w:r w:rsidRPr="0059433B">
        <w:t xml:space="preserve"> as an improvement.</w:t>
      </w:r>
    </w:p>
    <w:p w14:paraId="3767D71E" w14:textId="4DDAC196" w:rsidR="00F126D4" w:rsidRPr="0059433B" w:rsidRDefault="00230CBC" w:rsidP="00230CBC">
      <w:pPr>
        <w:pStyle w:val="COMexecsumnumberedpara"/>
        <w:rPr>
          <w:snapToGrid/>
          <w:color w:val="0066FF"/>
        </w:rPr>
      </w:pPr>
      <w:bookmarkStart w:id="32" w:name="_Hlk135167809"/>
      <w:r w:rsidRPr="0059433B">
        <w:t xml:space="preserve">At 18 months, Norfolk QoL-DN scores (a measure of health-related quality of life) improved from baseline in the patisiran group and worsened in the placebo group, with a statistically significant difference between the groups. The submission noted that the </w:t>
      </w:r>
      <w:r w:rsidR="00750C9E" w:rsidRPr="0059433B">
        <w:t>21.9-point</w:t>
      </w:r>
      <w:r w:rsidRPr="0059433B">
        <w:t xml:space="preserve"> difference in scores at 18 months was greater than the MCID of 8.8</w:t>
      </w:r>
      <w:r w:rsidR="00253DD6">
        <w:t> </w:t>
      </w:r>
      <w:r w:rsidRPr="0059433B">
        <w:t>points specified for the Norfolk QoL-DN (based on an anchor-based approach used in the phase 3 clinical trial of inotersen in hATTR amyloidosis with polyneuropathy), and indicative of clinically meaningful change in health-related quality of life.</w:t>
      </w:r>
    </w:p>
    <w:p w14:paraId="528EDEF4" w14:textId="0B28CDB2" w:rsidR="00230CBC" w:rsidRPr="0059433B" w:rsidRDefault="00230CBC" w:rsidP="00230CBC">
      <w:pPr>
        <w:pStyle w:val="COMexecsumnumberedpara"/>
      </w:pPr>
      <w:r w:rsidRPr="0059433B">
        <w:lastRenderedPageBreak/>
        <w:t xml:space="preserve">Results of the subgroup analyses for change from baseline in Norfolk QoL-DN scores were </w:t>
      </w:r>
      <w:proofErr w:type="gramStart"/>
      <w:r w:rsidRPr="0059433B">
        <w:t>generally consistent</w:t>
      </w:r>
      <w:proofErr w:type="gramEnd"/>
      <w:r w:rsidRPr="0059433B">
        <w:t xml:space="preserve"> with the overall results.</w:t>
      </w:r>
    </w:p>
    <w:p w14:paraId="4E0C0803" w14:textId="77777777" w:rsidR="00230CBC" w:rsidRPr="0059433B" w:rsidRDefault="00230CBC" w:rsidP="00230CBC">
      <w:pPr>
        <w:pStyle w:val="COMexecsumnumberedpara"/>
        <w:rPr>
          <w:color w:val="0066FF"/>
        </w:rPr>
      </w:pPr>
      <w:r w:rsidRPr="0059433B">
        <w:t>All other secondary outcomes showed significant between-group differences in favour of patisiran at 18 months, including motor strength (measured on NIS-Weakness scale), daily and social activities such as holding a book, eating, dancing, standing and running (measured with R-ODS scale), nutritional status (measured with mBMI), and autonomic neuropathy symptoms (including diarrhoea, male erectile dysfunction and fainting, measured with COMPASS-31).</w:t>
      </w:r>
    </w:p>
    <w:bookmarkEnd w:id="32"/>
    <w:p w14:paraId="3E9C3EF8" w14:textId="4FAC53FE" w:rsidR="00230CBC" w:rsidRPr="0059433B" w:rsidRDefault="00230CBC" w:rsidP="00230CBC">
      <w:pPr>
        <w:pStyle w:val="COMexecsumnumberedpara"/>
        <w:rPr>
          <w:color w:val="0066FF"/>
        </w:rPr>
      </w:pPr>
      <w:r w:rsidRPr="0059433B">
        <w:t xml:space="preserve">Patients treated with patisiran showed similar gait speed at 18 months compared to baseline, as measured on the 10 metre walk test, compared to a decline in the placebo group, with a similar difference observed at the </w:t>
      </w:r>
      <w:r w:rsidR="003629A5" w:rsidRPr="0059433B">
        <w:t>9-month</w:t>
      </w:r>
      <w:r w:rsidRPr="0059433B">
        <w:t xml:space="preserve"> time point. The submission noted that for older adults, a change of 0.10 m/s has </w:t>
      </w:r>
      <w:proofErr w:type="gramStart"/>
      <w:r w:rsidRPr="0059433B">
        <w:t>been suggested</w:t>
      </w:r>
      <w:proofErr w:type="gramEnd"/>
      <w:r w:rsidRPr="0059433B">
        <w:t xml:space="preserve"> to represent a clinically meaningful change in gait speed based on a publication by Perera et al. (2006)</w:t>
      </w:r>
      <w:r w:rsidRPr="0059433B">
        <w:rPr>
          <w:rStyle w:val="FootnoteReference"/>
        </w:rPr>
        <w:footnoteReference w:id="6"/>
      </w:r>
      <w:r w:rsidRPr="0059433B">
        <w:t>. There was a 0.31 m/s mean improvement in gait speed in patients receiving patisiran relative to those receiving placebo, which the submission argued was a clinically meaningful benefit in ambulation.</w:t>
      </w:r>
    </w:p>
    <w:p w14:paraId="161C7318" w14:textId="4355AF60" w:rsidR="00F126D4" w:rsidRPr="0059433B" w:rsidRDefault="00230CBC" w:rsidP="00230CBC">
      <w:pPr>
        <w:pStyle w:val="COMexecsumnumberedpara"/>
      </w:pPr>
      <w:r w:rsidRPr="0059433B">
        <w:t xml:space="preserve">Change from baseline in serum TTR </w:t>
      </w:r>
      <w:proofErr w:type="gramStart"/>
      <w:r w:rsidRPr="0059433B">
        <w:t>was measured</w:t>
      </w:r>
      <w:proofErr w:type="gramEnd"/>
      <w:r w:rsidRPr="0059433B">
        <w:t xml:space="preserve"> in the APOLLO trial as an exploratory outcome. Mean TTR levels at baseline were similar between treatment arms, with rapid and sustained reduction (knockdown) in serum TTR levels observed over the </w:t>
      </w:r>
      <w:r w:rsidR="003629A5" w:rsidRPr="0059433B">
        <w:t>18-month</w:t>
      </w:r>
      <w:r w:rsidRPr="0059433B">
        <w:t xml:space="preserve"> study period in the patisiran arm.</w:t>
      </w:r>
    </w:p>
    <w:p w14:paraId="2DFB3F17" w14:textId="25B46F3E" w:rsidR="00230CBC" w:rsidRPr="0059433B" w:rsidRDefault="00230CBC" w:rsidP="00230CBC">
      <w:pPr>
        <w:pStyle w:val="COMexecsumnumberedpara"/>
        <w:rPr>
          <w:color w:val="0066FF"/>
        </w:rPr>
      </w:pPr>
      <w:r w:rsidRPr="0059433B">
        <w:t xml:space="preserve">Change from baseline in PND score </w:t>
      </w:r>
      <w:proofErr w:type="gramStart"/>
      <w:r w:rsidRPr="0059433B">
        <w:t>was measured</w:t>
      </w:r>
      <w:proofErr w:type="gramEnd"/>
      <w:r w:rsidRPr="0059433B">
        <w:t xml:space="preserve"> as an exploratory outcome. More patients in the patisiran group (73%) had stable or improved PND scores compared to the placebo group (30%). In the patisiran group, 8% of patients improved their PND score from baseline, most from PND IIIA/IIIB (requiring a walking aid) to PND I (walking unassisted), while no patients in the placebo arm improved. The submission argued that ‘no change’ in PND score reflects a preservation of ambulatory function and therefore a halting of disease impairment, a highly clinically meaningful outcome in hATTR amyloidosis with polyneuropathy, and claimed the benefit observed with patisiran over placebo on the outcome of PND score is inherently clinically meaningful.</w:t>
      </w:r>
    </w:p>
    <w:p w14:paraId="1AB02F6C" w14:textId="5221DA49" w:rsidR="00230CBC" w:rsidRPr="0059433B" w:rsidRDefault="00230CBC" w:rsidP="00230CBC">
      <w:pPr>
        <w:pStyle w:val="COMexecsumnumberedpara"/>
        <w:rPr>
          <w:color w:val="0066FF"/>
        </w:rPr>
      </w:pPr>
      <w:r w:rsidRPr="0059433B">
        <w:t xml:space="preserve">Hospitalisation and all-cause mortality </w:t>
      </w:r>
      <w:proofErr w:type="gramStart"/>
      <w:r w:rsidRPr="0059433B">
        <w:t>were assessed</w:t>
      </w:r>
      <w:proofErr w:type="gramEnd"/>
      <w:r w:rsidRPr="0059433B">
        <w:t xml:space="preserve"> in a </w:t>
      </w:r>
      <w:r w:rsidRPr="0059433B">
        <w:rPr>
          <w:iCs/>
        </w:rPr>
        <w:t>post hoc</w:t>
      </w:r>
      <w:r w:rsidRPr="0059433B">
        <w:t xml:space="preserve"> analysis as a composite outcome (Solomon 2019). There were 7 (4.7%) deaths and 50 (33.8%) all-cause hospitalisations for patients in the patisiran arm and 6 (7.8%) deaths and 30 (39.0%) all-cause hospitalisations in the placebo arm. Occurrence of the composite outcome of patients with any hospitalisation and/or death was lower in the patisiran arm (51 patients (34.5%)) than the placebo arm (31 (40.3%)). Rates of hospitalisation and/or death per </w:t>
      </w:r>
      <w:proofErr w:type="gramStart"/>
      <w:r w:rsidRPr="0059433B">
        <w:t>100</w:t>
      </w:r>
      <w:proofErr w:type="gramEnd"/>
      <w:r w:rsidRPr="0059433B">
        <w:t xml:space="preserve"> patient years were also reported (patisiran: 34.7 per </w:t>
      </w:r>
      <w:r w:rsidRPr="0059433B">
        <w:lastRenderedPageBreak/>
        <w:t>100</w:t>
      </w:r>
      <w:r w:rsidR="00253DD6">
        <w:t> </w:t>
      </w:r>
      <w:r w:rsidRPr="0059433B">
        <w:t>patient-years, placebo: 71.8 per 100 patient-years). The submission noted that this corresponded to a risk reduction of approximately 50% for patisiran.</w:t>
      </w:r>
    </w:p>
    <w:p w14:paraId="74180272" w14:textId="2B7D0694" w:rsidR="00230CBC" w:rsidRPr="0059433B" w:rsidRDefault="00724E12" w:rsidP="00230CBC">
      <w:pPr>
        <w:pStyle w:val="COMexecsumnumberedpara"/>
        <w:rPr>
          <w:color w:val="0066FF"/>
        </w:rPr>
      </w:pPr>
      <w:r>
        <w:t>The c</w:t>
      </w:r>
      <w:r w:rsidR="00230CBC" w:rsidRPr="0059433B">
        <w:t xml:space="preserve">hange from baseline (of the parent trial) to Year 3 of the Global OLE study in mNIS+7 scores is summarised in </w:t>
      </w:r>
      <w:r w:rsidR="00230CBC" w:rsidRPr="0059433B">
        <w:fldChar w:fldCharType="begin" w:fldLock="1"/>
      </w:r>
      <w:r w:rsidR="00230CBC" w:rsidRPr="0059433B">
        <w:instrText xml:space="preserve"> REF _Ref132627343 \h </w:instrText>
      </w:r>
      <w:r w:rsidR="00230CBC" w:rsidRPr="0059433B">
        <w:fldChar w:fldCharType="separate"/>
      </w:r>
      <w:r w:rsidR="00042B2E" w:rsidRPr="0059433B">
        <w:t>Figure 1</w:t>
      </w:r>
      <w:r w:rsidR="00230CBC" w:rsidRPr="0059433B">
        <w:fldChar w:fldCharType="end"/>
      </w:r>
      <w:r w:rsidR="00230CBC" w:rsidRPr="0059433B">
        <w:t>. At this timepoint patients in the Phase 2 extension study (003) had received patisiran for 60 months, while patients in the APOLLO trial (004) had received patisiran for 54 months (if originally randomised to patisiran) or 36</w:t>
      </w:r>
      <w:r w:rsidR="00253DD6">
        <w:t> </w:t>
      </w:r>
      <w:r w:rsidR="00230CBC" w:rsidRPr="0059433B">
        <w:t>months (if originally randomised to placebo).</w:t>
      </w:r>
    </w:p>
    <w:p w14:paraId="5822C2CD" w14:textId="5E1369E0" w:rsidR="00230CBC" w:rsidRPr="0059433B" w:rsidRDefault="00230CBC" w:rsidP="00230CBC">
      <w:pPr>
        <w:pStyle w:val="COMtablefigcaption"/>
      </w:pPr>
      <w:bookmarkStart w:id="33" w:name="_Ref132627343"/>
      <w:r w:rsidRPr="0059433B">
        <w:t xml:space="preserve">Figure </w:t>
      </w:r>
      <w:fldSimple w:instr=" SEQ Figure \* ARABIC " w:fldLock="1">
        <w:r w:rsidR="00042B2E" w:rsidRPr="0059433B">
          <w:t>1</w:t>
        </w:r>
      </w:fldSimple>
      <w:bookmarkEnd w:id="33"/>
      <w:r w:rsidRPr="0059433B">
        <w:t>: Change from baseline (of parent trial) to Year 3 in mNIS+7 scores, Global OLE study</w:t>
      </w:r>
    </w:p>
    <w:p w14:paraId="4898282F" w14:textId="77777777" w:rsidR="00230CBC" w:rsidRPr="0059433B" w:rsidRDefault="00230CBC" w:rsidP="00230CBC">
      <w:pPr>
        <w:jc w:val="left"/>
        <w:rPr>
          <w:color w:val="000000" w:themeColor="text1"/>
        </w:rPr>
      </w:pPr>
      <w:r w:rsidRPr="0059433B">
        <w:rPr>
          <w:noProof/>
        </w:rPr>
        <w:drawing>
          <wp:inline distT="0" distB="0" distL="0" distR="0" wp14:anchorId="686BB8E1" wp14:editId="6330524E">
            <wp:extent cx="4597862" cy="3372307"/>
            <wp:effectExtent l="0" t="0" r="0" b="0"/>
            <wp:docPr id="9" name="Picture 9" descr="Figure 1: Change from baseline (of parent trial) to Year 3 in mNIS+7 scores, Global O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Change from baseline (of parent trial) to Year 3 in mNIS+7 scores, Global OLE study"/>
                    <pic:cNvPicPr/>
                  </pic:nvPicPr>
                  <pic:blipFill>
                    <a:blip r:embed="rId8"/>
                    <a:stretch>
                      <a:fillRect/>
                    </a:stretch>
                  </pic:blipFill>
                  <pic:spPr>
                    <a:xfrm>
                      <a:off x="0" y="0"/>
                      <a:ext cx="4606603" cy="3378718"/>
                    </a:xfrm>
                    <a:prstGeom prst="rect">
                      <a:avLst/>
                    </a:prstGeom>
                  </pic:spPr>
                </pic:pic>
              </a:graphicData>
            </a:graphic>
          </wp:inline>
        </w:drawing>
      </w:r>
    </w:p>
    <w:p w14:paraId="104A7AA1" w14:textId="77777777" w:rsidR="00230CBC" w:rsidRPr="0059433B" w:rsidRDefault="00230CBC" w:rsidP="00230CBC">
      <w:pPr>
        <w:pStyle w:val="COMTablefooter"/>
      </w:pPr>
      <w:r w:rsidRPr="0059433B">
        <w:t>Source: Figure 2.16, p76 of the submission.</w:t>
      </w:r>
    </w:p>
    <w:p w14:paraId="144F2704" w14:textId="77777777" w:rsidR="00230CBC" w:rsidRPr="0059433B" w:rsidRDefault="00230CBC" w:rsidP="00230CBC">
      <w:pPr>
        <w:pStyle w:val="COMTablefooter"/>
      </w:pPr>
      <w:r w:rsidRPr="0059433B">
        <w:t>Abbreviations: SE, standard error</w:t>
      </w:r>
    </w:p>
    <w:p w14:paraId="3B988498" w14:textId="77777777" w:rsidR="00230CBC" w:rsidRPr="0059433B" w:rsidRDefault="00230CBC" w:rsidP="00230CBC">
      <w:pPr>
        <w:pStyle w:val="COMTablefooter"/>
      </w:pPr>
      <w:r w:rsidRPr="0059433B">
        <w:t>Note: Negative years refer to time on parent trial. APOLLO is trial 004 and phase 2 open label extension trial is 003. * denotes start of treatment with patisiran for each group.</w:t>
      </w:r>
    </w:p>
    <w:p w14:paraId="65238146" w14:textId="77777777" w:rsidR="00230CBC" w:rsidRPr="0059433B" w:rsidRDefault="00230CBC" w:rsidP="00230CBC">
      <w:pPr>
        <w:pStyle w:val="COMexecsumnumberedpara"/>
      </w:pPr>
      <w:r w:rsidRPr="0059433B">
        <w:t>Results demonstrated sustained stabilisation of polyneuropathy (measured with mNIS+7) in patients originally treated with patisiran and ceased progression (and stabilisation) of polyneuropathy in patients who switched from placebo to patisiran at the start of the Global OLE study.</w:t>
      </w:r>
    </w:p>
    <w:p w14:paraId="4C647584" w14:textId="28DDB772" w:rsidR="00230CBC" w:rsidRPr="0059433B" w:rsidRDefault="00230CBC" w:rsidP="00274461">
      <w:pPr>
        <w:pStyle w:val="COMexecsumnumberedpara"/>
        <w:rPr>
          <w:color w:val="000000" w:themeColor="text1"/>
        </w:rPr>
      </w:pPr>
      <w:r w:rsidRPr="0059433B">
        <w:t xml:space="preserve">Change from baseline to Year 3 of the Global OLE study in Norfolk QoL-DN scores </w:t>
      </w:r>
      <w:proofErr w:type="gramStart"/>
      <w:r w:rsidRPr="0059433B">
        <w:t>is presented</w:t>
      </w:r>
      <w:proofErr w:type="gramEnd"/>
      <w:r w:rsidRPr="0059433B">
        <w:t xml:space="preserve"> in </w:t>
      </w:r>
      <w:r w:rsidRPr="0059433B">
        <w:fldChar w:fldCharType="begin" w:fldLock="1"/>
      </w:r>
      <w:r w:rsidRPr="0059433B">
        <w:instrText xml:space="preserve"> REF _Ref132627567 \h </w:instrText>
      </w:r>
      <w:r w:rsidRPr="0059433B">
        <w:fldChar w:fldCharType="separate"/>
      </w:r>
      <w:r w:rsidR="00042B2E" w:rsidRPr="0059433B">
        <w:t>Figure 2</w:t>
      </w:r>
      <w:r w:rsidRPr="0059433B">
        <w:fldChar w:fldCharType="end"/>
      </w:r>
      <w:r w:rsidRPr="0059433B">
        <w:t>.</w:t>
      </w:r>
    </w:p>
    <w:p w14:paraId="44FD275D" w14:textId="03870ED1" w:rsidR="00230CBC" w:rsidRPr="0059433B" w:rsidRDefault="00230CBC" w:rsidP="00230CBC">
      <w:pPr>
        <w:pStyle w:val="COMTableheadingrow"/>
        <w:rPr>
          <w:lang w:val="en-AU"/>
        </w:rPr>
      </w:pPr>
      <w:bookmarkStart w:id="34" w:name="_Ref132627567"/>
      <w:bookmarkStart w:id="35" w:name="_Ref132627563"/>
      <w:r w:rsidRPr="0059433B">
        <w:rPr>
          <w:lang w:val="en-AU"/>
        </w:rPr>
        <w:lastRenderedPageBreak/>
        <w:t xml:space="preserve">Figure </w:t>
      </w:r>
      <w:r w:rsidRPr="0059433B">
        <w:rPr>
          <w:lang w:val="en-AU"/>
        </w:rPr>
        <w:fldChar w:fldCharType="begin" w:fldLock="1"/>
      </w:r>
      <w:r w:rsidRPr="0059433B">
        <w:rPr>
          <w:lang w:val="en-AU"/>
        </w:rPr>
        <w:instrText xml:space="preserve"> SEQ Figure \* ARABIC </w:instrText>
      </w:r>
      <w:r w:rsidRPr="0059433B">
        <w:rPr>
          <w:lang w:val="en-AU"/>
        </w:rPr>
        <w:fldChar w:fldCharType="separate"/>
      </w:r>
      <w:r w:rsidR="00042B2E" w:rsidRPr="0059433B">
        <w:rPr>
          <w:lang w:val="en-AU"/>
        </w:rPr>
        <w:t>2</w:t>
      </w:r>
      <w:r w:rsidRPr="0059433B">
        <w:rPr>
          <w:lang w:val="en-AU"/>
        </w:rPr>
        <w:fldChar w:fldCharType="end"/>
      </w:r>
      <w:bookmarkEnd w:id="34"/>
      <w:r w:rsidRPr="0059433B">
        <w:rPr>
          <w:lang w:val="en-AU"/>
        </w:rPr>
        <w:t>: Change from baseline (of parent trial) to Year 3 in Norfolk QoL-DN scores, Global OLE study</w:t>
      </w:r>
      <w:bookmarkEnd w:id="35"/>
    </w:p>
    <w:p w14:paraId="3EDBEF88" w14:textId="77777777" w:rsidR="00230CBC" w:rsidRPr="0059433B" w:rsidRDefault="00230CBC" w:rsidP="00230CBC">
      <w:pPr>
        <w:jc w:val="left"/>
        <w:rPr>
          <w:color w:val="000000" w:themeColor="text1"/>
        </w:rPr>
      </w:pPr>
      <w:r w:rsidRPr="0059433B">
        <w:rPr>
          <w:noProof/>
        </w:rPr>
        <w:drawing>
          <wp:inline distT="0" distB="0" distL="0" distR="0" wp14:anchorId="32076D08" wp14:editId="0C515762">
            <wp:extent cx="4248000" cy="3564388"/>
            <wp:effectExtent l="0" t="0" r="635" b="0"/>
            <wp:docPr id="10" name="Picture 10" descr="Figure 2: Change from baseline (of parent trial) to Year 3 in Norfolk QoL-DN scores, Global O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2: Change from baseline (of parent trial) to Year 3 in Norfolk QoL-DN scores, Global OLE study"/>
                    <pic:cNvPicPr/>
                  </pic:nvPicPr>
                  <pic:blipFill>
                    <a:blip r:embed="rId9">
                      <a:extLst>
                        <a:ext uri="{28A0092B-C50C-407E-A947-70E740481C1C}">
                          <a14:useLocalDpi xmlns:a14="http://schemas.microsoft.com/office/drawing/2010/main" val="0"/>
                        </a:ext>
                      </a:extLst>
                    </a:blip>
                    <a:stretch>
                      <a:fillRect/>
                    </a:stretch>
                  </pic:blipFill>
                  <pic:spPr>
                    <a:xfrm>
                      <a:off x="0" y="0"/>
                      <a:ext cx="4248000" cy="3564388"/>
                    </a:xfrm>
                    <a:prstGeom prst="rect">
                      <a:avLst/>
                    </a:prstGeom>
                  </pic:spPr>
                </pic:pic>
              </a:graphicData>
            </a:graphic>
          </wp:inline>
        </w:drawing>
      </w:r>
    </w:p>
    <w:p w14:paraId="1680F898" w14:textId="77777777" w:rsidR="00230CBC" w:rsidRPr="0059433B" w:rsidRDefault="00230CBC" w:rsidP="00230CBC">
      <w:pPr>
        <w:pStyle w:val="COMTablefooter"/>
      </w:pPr>
      <w:r w:rsidRPr="0059433B">
        <w:t>Source: Figure 2.17, p77 of the submission.</w:t>
      </w:r>
    </w:p>
    <w:p w14:paraId="6CCD9DEE" w14:textId="77777777" w:rsidR="00230CBC" w:rsidRPr="0059433B" w:rsidRDefault="00230CBC" w:rsidP="00230CBC">
      <w:pPr>
        <w:pStyle w:val="COMTablefooter"/>
      </w:pPr>
      <w:r w:rsidRPr="0059433B">
        <w:t>Abbreviations: SE, standard error</w:t>
      </w:r>
    </w:p>
    <w:p w14:paraId="2730B4F0" w14:textId="77777777" w:rsidR="00230CBC" w:rsidRPr="0059433B" w:rsidRDefault="00230CBC" w:rsidP="00230CBC">
      <w:pPr>
        <w:pStyle w:val="COMTablefooter"/>
      </w:pPr>
      <w:r w:rsidRPr="0059433B">
        <w:t>Note: Negative years refer to time on parent trial. Trial 004 is the APOLLO trial. * denotes start of treatment with patisiran for each group.</w:t>
      </w:r>
    </w:p>
    <w:p w14:paraId="129A303C" w14:textId="146A0C45" w:rsidR="00230CBC" w:rsidRPr="0059433B" w:rsidRDefault="00230CBC" w:rsidP="00230CBC">
      <w:pPr>
        <w:pStyle w:val="COMexecsumnumberedpara"/>
      </w:pPr>
      <w:r w:rsidRPr="0059433B">
        <w:t xml:space="preserve">Results demonstrated maintenance of </w:t>
      </w:r>
      <w:r w:rsidR="00CA2ED1" w:rsidRPr="0059433B">
        <w:t xml:space="preserve">health-related quality of life </w:t>
      </w:r>
      <w:r w:rsidR="00CA2ED1">
        <w:t>(</w:t>
      </w:r>
      <w:r w:rsidRPr="0059433B">
        <w:t>HRQoL</w:t>
      </w:r>
      <w:r w:rsidR="00CA2ED1">
        <w:t xml:space="preserve">, </w:t>
      </w:r>
      <w:r w:rsidRPr="0059433B">
        <w:t>measured with Norfolk QoL-DN) in patients originally treated with patisiran and halting of decline in patients who switched from placebo to patisiran at the start of the Global OLE study.</w:t>
      </w:r>
    </w:p>
    <w:p w14:paraId="4039277E" w14:textId="47B2363C" w:rsidR="00230CBC" w:rsidRPr="0059433B" w:rsidRDefault="00230CBC" w:rsidP="00230CBC">
      <w:pPr>
        <w:pStyle w:val="COMexecsumnumberedpara"/>
      </w:pPr>
      <w:r w:rsidRPr="0059433B">
        <w:t xml:space="preserve">The proportion of patients with PND score worsening, staying the same or improving from baseline to Year 3 of the Global OLE study is summarised in </w:t>
      </w:r>
      <w:r w:rsidRPr="0059433B">
        <w:fldChar w:fldCharType="begin" w:fldLock="1"/>
      </w:r>
      <w:r w:rsidRPr="0059433B">
        <w:instrText xml:space="preserve"> REF _Ref132627490 \h </w:instrText>
      </w:r>
      <w:r w:rsidRPr="0059433B">
        <w:fldChar w:fldCharType="separate"/>
      </w:r>
      <w:r w:rsidR="00042B2E" w:rsidRPr="0059433B">
        <w:t>Table 7</w:t>
      </w:r>
      <w:r w:rsidRPr="0059433B">
        <w:fldChar w:fldCharType="end"/>
      </w:r>
      <w:r w:rsidRPr="0059433B">
        <w:t>.</w:t>
      </w:r>
    </w:p>
    <w:p w14:paraId="6BACE15D" w14:textId="4BCF10A6" w:rsidR="00230CBC" w:rsidRPr="0059433B" w:rsidRDefault="00230CBC" w:rsidP="00230CBC">
      <w:pPr>
        <w:pStyle w:val="COMtablefigcaption"/>
      </w:pPr>
      <w:bookmarkStart w:id="36" w:name="_Ref132627490"/>
      <w:r w:rsidRPr="0059433B">
        <w:t xml:space="preserve">Table </w:t>
      </w:r>
      <w:fldSimple w:instr=" SEQ Table \* ARABIC " w:fldLock="1">
        <w:r w:rsidR="00042B2E" w:rsidRPr="0059433B">
          <w:t>7</w:t>
        </w:r>
      </w:fldSimple>
      <w:bookmarkEnd w:id="36"/>
      <w:r w:rsidRPr="0059433B">
        <w:t>: Change in PND status from baseline to Year 3 in Global OLE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Change in PND status from baseline to Year 3 in Global OLE study"/>
      </w:tblPr>
      <w:tblGrid>
        <w:gridCol w:w="2689"/>
        <w:gridCol w:w="1842"/>
        <w:gridCol w:w="2268"/>
        <w:gridCol w:w="2218"/>
      </w:tblGrid>
      <w:tr w:rsidR="00230CBC" w:rsidRPr="0059433B" w14:paraId="0D41767A" w14:textId="77777777" w:rsidTr="00C5774C">
        <w:tc>
          <w:tcPr>
            <w:tcW w:w="2689" w:type="dxa"/>
            <w:vMerge w:val="restart"/>
            <w:vAlign w:val="center"/>
          </w:tcPr>
          <w:p w14:paraId="624EAFC2" w14:textId="77777777" w:rsidR="00230CBC" w:rsidRPr="0059433B" w:rsidRDefault="00230CBC" w:rsidP="00C5774C">
            <w:pPr>
              <w:pStyle w:val="COMTableheadingrow"/>
              <w:rPr>
                <w:lang w:val="en-AU"/>
              </w:rPr>
            </w:pPr>
          </w:p>
        </w:tc>
        <w:tc>
          <w:tcPr>
            <w:tcW w:w="6328" w:type="dxa"/>
            <w:gridSpan w:val="3"/>
            <w:vAlign w:val="center"/>
          </w:tcPr>
          <w:p w14:paraId="7FB992CB" w14:textId="77777777" w:rsidR="00230CBC" w:rsidRPr="0059433B" w:rsidRDefault="00230CBC" w:rsidP="00C5774C">
            <w:pPr>
              <w:pStyle w:val="COMTabletext"/>
              <w:jc w:val="center"/>
              <w:rPr>
                <w:b/>
                <w:bCs w:val="0"/>
              </w:rPr>
            </w:pPr>
            <w:r w:rsidRPr="0059433B">
              <w:rPr>
                <w:b/>
                <w:bCs w:val="0"/>
              </w:rPr>
              <w:t>Parent study group</w:t>
            </w:r>
          </w:p>
        </w:tc>
      </w:tr>
      <w:tr w:rsidR="00230CBC" w:rsidRPr="0059433B" w14:paraId="1BCC1E0E" w14:textId="77777777" w:rsidTr="00C5774C">
        <w:tc>
          <w:tcPr>
            <w:tcW w:w="2689" w:type="dxa"/>
            <w:vMerge/>
            <w:vAlign w:val="center"/>
          </w:tcPr>
          <w:p w14:paraId="236ADC32" w14:textId="77777777" w:rsidR="00230CBC" w:rsidRPr="0059433B" w:rsidRDefault="00230CBC" w:rsidP="00C5774C">
            <w:pPr>
              <w:pStyle w:val="COMTableheadingrow"/>
              <w:rPr>
                <w:lang w:val="en-AU"/>
              </w:rPr>
            </w:pPr>
          </w:p>
        </w:tc>
        <w:tc>
          <w:tcPr>
            <w:tcW w:w="1842" w:type="dxa"/>
            <w:vAlign w:val="center"/>
          </w:tcPr>
          <w:p w14:paraId="558E34A4" w14:textId="77777777" w:rsidR="00230CBC" w:rsidRPr="0059433B" w:rsidRDefault="00230CBC" w:rsidP="00C5774C">
            <w:pPr>
              <w:pStyle w:val="COMTableheadingrow"/>
              <w:jc w:val="center"/>
              <w:rPr>
                <w:lang w:val="en-AU"/>
              </w:rPr>
            </w:pPr>
            <w:r w:rsidRPr="0059433B">
              <w:rPr>
                <w:lang w:val="en-AU"/>
              </w:rPr>
              <w:t>Phase 2 OLE (N=25)</w:t>
            </w:r>
          </w:p>
        </w:tc>
        <w:tc>
          <w:tcPr>
            <w:tcW w:w="2268" w:type="dxa"/>
            <w:vAlign w:val="center"/>
          </w:tcPr>
          <w:p w14:paraId="4B86668C" w14:textId="77777777" w:rsidR="00230CBC" w:rsidRPr="0059433B" w:rsidRDefault="00230CBC" w:rsidP="00C5774C">
            <w:pPr>
              <w:pStyle w:val="COMTableheadingrow"/>
              <w:jc w:val="center"/>
              <w:rPr>
                <w:lang w:val="en-AU"/>
              </w:rPr>
            </w:pPr>
            <w:r w:rsidRPr="0059433B">
              <w:rPr>
                <w:lang w:val="en-AU"/>
              </w:rPr>
              <w:t>APOLLO patisiran group (N=137)</w:t>
            </w:r>
          </w:p>
        </w:tc>
        <w:tc>
          <w:tcPr>
            <w:tcW w:w="2218" w:type="dxa"/>
            <w:vAlign w:val="center"/>
          </w:tcPr>
          <w:p w14:paraId="7E18E312" w14:textId="77777777" w:rsidR="00230CBC" w:rsidRPr="0059433B" w:rsidRDefault="00230CBC" w:rsidP="00C5774C">
            <w:pPr>
              <w:pStyle w:val="COMTabletext"/>
              <w:jc w:val="center"/>
              <w:rPr>
                <w:b/>
                <w:bCs w:val="0"/>
              </w:rPr>
            </w:pPr>
            <w:r w:rsidRPr="0059433B">
              <w:rPr>
                <w:b/>
                <w:bCs w:val="0"/>
              </w:rPr>
              <w:t>APOLLO placebo group (N=49)</w:t>
            </w:r>
          </w:p>
        </w:tc>
      </w:tr>
      <w:tr w:rsidR="00230CBC" w:rsidRPr="0059433B" w14:paraId="0F337005" w14:textId="77777777" w:rsidTr="00C5774C">
        <w:tc>
          <w:tcPr>
            <w:tcW w:w="2689" w:type="dxa"/>
            <w:vAlign w:val="center"/>
          </w:tcPr>
          <w:p w14:paraId="00A9C3F3" w14:textId="77777777" w:rsidR="00230CBC" w:rsidRPr="0059433B" w:rsidRDefault="00230CBC" w:rsidP="00C5774C">
            <w:pPr>
              <w:pStyle w:val="COMTabletext"/>
            </w:pPr>
            <w:r w:rsidRPr="0059433B">
              <w:t>Worsened</w:t>
            </w:r>
          </w:p>
        </w:tc>
        <w:tc>
          <w:tcPr>
            <w:tcW w:w="1842" w:type="dxa"/>
            <w:vAlign w:val="center"/>
          </w:tcPr>
          <w:p w14:paraId="0BCEF1FC" w14:textId="77777777" w:rsidR="00230CBC" w:rsidRPr="0059433B" w:rsidRDefault="00230CBC" w:rsidP="00C5774C">
            <w:pPr>
              <w:pStyle w:val="COMTabletext"/>
              <w:jc w:val="center"/>
            </w:pPr>
            <w:r w:rsidRPr="0059433B">
              <w:t>5 (20.0)</w:t>
            </w:r>
          </w:p>
        </w:tc>
        <w:tc>
          <w:tcPr>
            <w:tcW w:w="2268" w:type="dxa"/>
            <w:vAlign w:val="center"/>
          </w:tcPr>
          <w:p w14:paraId="1D260693" w14:textId="77777777" w:rsidR="00230CBC" w:rsidRPr="0059433B" w:rsidRDefault="00230CBC" w:rsidP="00C5774C">
            <w:pPr>
              <w:pStyle w:val="COMTabletext"/>
              <w:jc w:val="center"/>
            </w:pPr>
            <w:r w:rsidRPr="0059433B">
              <w:t>29 (27.6)</w:t>
            </w:r>
          </w:p>
        </w:tc>
        <w:tc>
          <w:tcPr>
            <w:tcW w:w="2218" w:type="dxa"/>
            <w:vAlign w:val="center"/>
          </w:tcPr>
          <w:p w14:paraId="56D6F2F4" w14:textId="77777777" w:rsidR="00230CBC" w:rsidRPr="0059433B" w:rsidRDefault="00230CBC" w:rsidP="00C5774C">
            <w:pPr>
              <w:pStyle w:val="COMTabletext"/>
              <w:jc w:val="center"/>
            </w:pPr>
            <w:r w:rsidRPr="0059433B">
              <w:t>6 (22.2)</w:t>
            </w:r>
          </w:p>
        </w:tc>
      </w:tr>
      <w:tr w:rsidR="00230CBC" w:rsidRPr="0059433B" w14:paraId="3AA2F6AE" w14:textId="77777777" w:rsidTr="00C5774C">
        <w:tc>
          <w:tcPr>
            <w:tcW w:w="2689" w:type="dxa"/>
            <w:vAlign w:val="center"/>
          </w:tcPr>
          <w:p w14:paraId="435D24DE" w14:textId="77777777" w:rsidR="00230CBC" w:rsidRPr="0059433B" w:rsidRDefault="00230CBC" w:rsidP="00C5774C">
            <w:pPr>
              <w:pStyle w:val="COMTabletext"/>
            </w:pPr>
            <w:r w:rsidRPr="0059433B">
              <w:t>No change</w:t>
            </w:r>
          </w:p>
        </w:tc>
        <w:tc>
          <w:tcPr>
            <w:tcW w:w="1842" w:type="dxa"/>
            <w:vAlign w:val="center"/>
          </w:tcPr>
          <w:p w14:paraId="675C2333" w14:textId="77777777" w:rsidR="00230CBC" w:rsidRPr="0059433B" w:rsidRDefault="00230CBC" w:rsidP="00C5774C">
            <w:pPr>
              <w:pStyle w:val="COMTabletext"/>
              <w:jc w:val="center"/>
            </w:pPr>
            <w:r w:rsidRPr="0059433B">
              <w:t>17 (68.0)</w:t>
            </w:r>
          </w:p>
        </w:tc>
        <w:tc>
          <w:tcPr>
            <w:tcW w:w="2268" w:type="dxa"/>
            <w:vAlign w:val="center"/>
          </w:tcPr>
          <w:p w14:paraId="54BF5177" w14:textId="77777777" w:rsidR="00230CBC" w:rsidRPr="0059433B" w:rsidRDefault="00230CBC" w:rsidP="00C5774C">
            <w:pPr>
              <w:pStyle w:val="COMTabletext"/>
              <w:jc w:val="center"/>
            </w:pPr>
            <w:r w:rsidRPr="0059433B">
              <w:t>67 (63.8)</w:t>
            </w:r>
          </w:p>
        </w:tc>
        <w:tc>
          <w:tcPr>
            <w:tcW w:w="2218" w:type="dxa"/>
            <w:vAlign w:val="center"/>
          </w:tcPr>
          <w:p w14:paraId="4AA51853" w14:textId="77777777" w:rsidR="00230CBC" w:rsidRPr="0059433B" w:rsidRDefault="00230CBC" w:rsidP="00C5774C">
            <w:pPr>
              <w:pStyle w:val="COMTabletext"/>
              <w:jc w:val="center"/>
            </w:pPr>
            <w:r w:rsidRPr="0059433B">
              <w:t>19 (70.4)</w:t>
            </w:r>
          </w:p>
        </w:tc>
      </w:tr>
      <w:tr w:rsidR="00230CBC" w:rsidRPr="0059433B" w14:paraId="000DDE49" w14:textId="77777777" w:rsidTr="00C5774C">
        <w:tc>
          <w:tcPr>
            <w:tcW w:w="2689" w:type="dxa"/>
            <w:vAlign w:val="center"/>
          </w:tcPr>
          <w:p w14:paraId="18DE327A" w14:textId="77777777" w:rsidR="00230CBC" w:rsidRPr="0059433B" w:rsidRDefault="00230CBC" w:rsidP="00C5774C">
            <w:pPr>
              <w:pStyle w:val="COMTabletext"/>
            </w:pPr>
            <w:r w:rsidRPr="0059433B">
              <w:t>Improved</w:t>
            </w:r>
          </w:p>
        </w:tc>
        <w:tc>
          <w:tcPr>
            <w:tcW w:w="1842" w:type="dxa"/>
            <w:vAlign w:val="center"/>
          </w:tcPr>
          <w:p w14:paraId="1F432DD1" w14:textId="77777777" w:rsidR="00230CBC" w:rsidRPr="0059433B" w:rsidRDefault="00230CBC" w:rsidP="00C5774C">
            <w:pPr>
              <w:pStyle w:val="COMTabletext"/>
              <w:jc w:val="center"/>
            </w:pPr>
            <w:r w:rsidRPr="0059433B">
              <w:t>3 (12.0)</w:t>
            </w:r>
          </w:p>
        </w:tc>
        <w:tc>
          <w:tcPr>
            <w:tcW w:w="2268" w:type="dxa"/>
            <w:vAlign w:val="center"/>
          </w:tcPr>
          <w:p w14:paraId="6F4166F1" w14:textId="77777777" w:rsidR="00230CBC" w:rsidRPr="0059433B" w:rsidRDefault="00230CBC" w:rsidP="00C5774C">
            <w:pPr>
              <w:pStyle w:val="COMTabletext"/>
              <w:jc w:val="center"/>
            </w:pPr>
            <w:r w:rsidRPr="0059433B">
              <w:t>9 (8.6)</w:t>
            </w:r>
          </w:p>
        </w:tc>
        <w:tc>
          <w:tcPr>
            <w:tcW w:w="2218" w:type="dxa"/>
            <w:vAlign w:val="center"/>
          </w:tcPr>
          <w:p w14:paraId="3B171859" w14:textId="77777777" w:rsidR="00230CBC" w:rsidRPr="0059433B" w:rsidRDefault="00230CBC" w:rsidP="00C5774C">
            <w:pPr>
              <w:pStyle w:val="COMTabletext"/>
              <w:jc w:val="center"/>
            </w:pPr>
            <w:r w:rsidRPr="0059433B">
              <w:t>2 (7.4)</w:t>
            </w:r>
          </w:p>
        </w:tc>
      </w:tr>
    </w:tbl>
    <w:p w14:paraId="2F1542BB" w14:textId="77777777" w:rsidR="00230CBC" w:rsidRPr="0059433B" w:rsidRDefault="00230CBC" w:rsidP="00230CBC">
      <w:pPr>
        <w:pStyle w:val="COMTablefooter"/>
      </w:pPr>
      <w:r w:rsidRPr="0059433B">
        <w:t>Source: APOLLO Global OLE Clinical Study Report.</w:t>
      </w:r>
    </w:p>
    <w:p w14:paraId="5DADB9DA" w14:textId="77777777" w:rsidR="00230CBC" w:rsidRPr="0059433B" w:rsidRDefault="00230CBC" w:rsidP="00230CBC">
      <w:pPr>
        <w:pStyle w:val="COMexecsumnumberedpara"/>
      </w:pPr>
      <w:r w:rsidRPr="0059433B">
        <w:t xml:space="preserve">Improvement or stability in PND score from baseline to Year 3 in the Global OLE study </w:t>
      </w:r>
      <w:proofErr w:type="gramStart"/>
      <w:r w:rsidRPr="0059433B">
        <w:t>were observed</w:t>
      </w:r>
      <w:proofErr w:type="gramEnd"/>
      <w:r w:rsidRPr="0059433B">
        <w:t xml:space="preserve"> in the majority of patients in all patient groups.</w:t>
      </w:r>
    </w:p>
    <w:p w14:paraId="6CBFD754" w14:textId="5D40BDA9" w:rsidR="00230CBC" w:rsidRPr="0059433B" w:rsidRDefault="00230CBC" w:rsidP="00230CBC">
      <w:pPr>
        <w:pStyle w:val="COMexecsumnumberedpara"/>
      </w:pPr>
      <w:bookmarkStart w:id="37" w:name="_Ref137806061"/>
      <w:r w:rsidRPr="0059433B">
        <w:lastRenderedPageBreak/>
        <w:t>Kaplan-Meier survival estimates for patients in the Global OLE study based on parent trial group (Wixner, 2022</w:t>
      </w:r>
      <w:r w:rsidRPr="0059433B">
        <w:rPr>
          <w:rStyle w:val="FootnoteReference"/>
        </w:rPr>
        <w:footnoteReference w:id="7"/>
      </w:r>
      <w:r w:rsidRPr="0059433B">
        <w:t xml:space="preserve">) </w:t>
      </w:r>
      <w:proofErr w:type="gramStart"/>
      <w:r w:rsidRPr="0059433B">
        <w:t>are presented</w:t>
      </w:r>
      <w:proofErr w:type="gramEnd"/>
      <w:r w:rsidRPr="0059433B">
        <w:t xml:space="preserve"> in </w:t>
      </w:r>
      <w:r w:rsidRPr="0059433B">
        <w:fldChar w:fldCharType="begin" w:fldLock="1"/>
      </w:r>
      <w:r w:rsidRPr="0059433B">
        <w:instrText xml:space="preserve"> REF _Ref132627583 \h </w:instrText>
      </w:r>
      <w:r w:rsidRPr="0059433B">
        <w:fldChar w:fldCharType="separate"/>
      </w:r>
      <w:r w:rsidR="00042B2E" w:rsidRPr="0059433B">
        <w:t>Figure 3</w:t>
      </w:r>
      <w:r w:rsidRPr="0059433B">
        <w:fldChar w:fldCharType="end"/>
      </w:r>
      <w:r w:rsidRPr="0059433B">
        <w:t>.</w:t>
      </w:r>
      <w:r w:rsidR="0014071D" w:rsidRPr="0059433B">
        <w:t xml:space="preserve"> </w:t>
      </w:r>
      <w:r w:rsidRPr="0059433B">
        <w:rPr>
          <w:iCs/>
        </w:rPr>
        <w:t xml:space="preserve">The ESC noted that the Global OLE study provided </w:t>
      </w:r>
      <w:proofErr w:type="gramStart"/>
      <w:r w:rsidRPr="0059433B">
        <w:rPr>
          <w:iCs/>
        </w:rPr>
        <w:t>some</w:t>
      </w:r>
      <w:proofErr w:type="gramEnd"/>
      <w:r w:rsidRPr="0059433B">
        <w:rPr>
          <w:iCs/>
        </w:rPr>
        <w:t xml:space="preserve"> evidence which </w:t>
      </w:r>
      <w:r w:rsidR="00A4449C" w:rsidRPr="0059433B">
        <w:rPr>
          <w:iCs/>
        </w:rPr>
        <w:t xml:space="preserve">suggested that there may be </w:t>
      </w:r>
      <w:r w:rsidRPr="0059433B">
        <w:rPr>
          <w:iCs/>
        </w:rPr>
        <w:t xml:space="preserve">a mortality benefit for patisiran compared to that expected with placebo </w:t>
      </w:r>
      <w:r w:rsidRPr="0059433B">
        <w:t>(</w:t>
      </w:r>
      <w:r w:rsidRPr="0059433B">
        <w:fldChar w:fldCharType="begin" w:fldLock="1"/>
      </w:r>
      <w:r w:rsidRPr="0059433B">
        <w:instrText xml:space="preserve"> REF _Ref132627583 \h  \* MERGEFORMAT </w:instrText>
      </w:r>
      <w:r w:rsidRPr="0059433B">
        <w:fldChar w:fldCharType="separate"/>
      </w:r>
      <w:r w:rsidR="00042B2E" w:rsidRPr="0059433B">
        <w:t>Figure 3</w:t>
      </w:r>
      <w:r w:rsidRPr="0059433B">
        <w:fldChar w:fldCharType="end"/>
      </w:r>
      <w:r w:rsidRPr="0059433B">
        <w:t>).</w:t>
      </w:r>
      <w:bookmarkEnd w:id="37"/>
    </w:p>
    <w:p w14:paraId="2BF8FE44" w14:textId="330621FF" w:rsidR="00230CBC" w:rsidRPr="0059433B" w:rsidRDefault="00230CBC" w:rsidP="00230CBC">
      <w:pPr>
        <w:pStyle w:val="COMtablefigcaption"/>
      </w:pPr>
      <w:bookmarkStart w:id="38" w:name="_Ref132627583"/>
      <w:bookmarkStart w:id="39" w:name="_Hlk149223577"/>
      <w:r w:rsidRPr="0059433B">
        <w:t xml:space="preserve">Figure </w:t>
      </w:r>
      <w:fldSimple w:instr=" SEQ Figure \* ARABIC " w:fldLock="1">
        <w:r w:rsidR="00042B2E" w:rsidRPr="0059433B">
          <w:t>3</w:t>
        </w:r>
      </w:fldSimple>
      <w:bookmarkEnd w:id="38"/>
      <w:r w:rsidRPr="0059433B">
        <w:t>: Kaplan-Meier survival estimates based on parent trial group, Global OLE study</w:t>
      </w:r>
    </w:p>
    <w:p w14:paraId="38442A37" w14:textId="1425CD0B" w:rsidR="00230CBC" w:rsidRPr="0059433B" w:rsidRDefault="007A17D6" w:rsidP="00230CBC">
      <w:pPr>
        <w:rPr>
          <w:color w:val="000000" w:themeColor="text1"/>
        </w:rPr>
      </w:pPr>
      <w:r>
        <w:rPr>
          <w:noProof/>
        </w:rPr>
        <w:drawing>
          <wp:inline distT="0" distB="0" distL="0" distR="0" wp14:anchorId="7194D072" wp14:editId="12E94C8A">
            <wp:extent cx="5732145" cy="3448050"/>
            <wp:effectExtent l="0" t="0" r="1905" b="0"/>
            <wp:docPr id="1" name="Picture 1" descr="Figure 3: Kaplan-Meier survival estimates based on parent trial group, Global O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Kaplan-Meier survival estimates based on parent trial group, Global OLE study"/>
                    <pic:cNvPicPr/>
                  </pic:nvPicPr>
                  <pic:blipFill>
                    <a:blip r:embed="rId10"/>
                    <a:stretch>
                      <a:fillRect/>
                    </a:stretch>
                  </pic:blipFill>
                  <pic:spPr>
                    <a:xfrm>
                      <a:off x="0" y="0"/>
                      <a:ext cx="5732145" cy="3448050"/>
                    </a:xfrm>
                    <a:prstGeom prst="rect">
                      <a:avLst/>
                    </a:prstGeom>
                  </pic:spPr>
                </pic:pic>
              </a:graphicData>
            </a:graphic>
          </wp:inline>
        </w:drawing>
      </w:r>
    </w:p>
    <w:p w14:paraId="2A144BF6" w14:textId="77777777" w:rsidR="00230CBC" w:rsidRPr="0059433B" w:rsidRDefault="00230CBC" w:rsidP="00230CBC">
      <w:pPr>
        <w:pStyle w:val="COMTablefooter"/>
      </w:pPr>
      <w:r w:rsidRPr="0059433B">
        <w:t>Source: Wixner 2022 conference presentation.</w:t>
      </w:r>
    </w:p>
    <w:bookmarkEnd w:id="39"/>
    <w:p w14:paraId="67B2D6E2" w14:textId="77777777" w:rsidR="00230CBC" w:rsidRPr="0059433B" w:rsidRDefault="00230CBC" w:rsidP="00230CBC">
      <w:pPr>
        <w:pStyle w:val="COMTablefooter"/>
      </w:pPr>
      <w:r w:rsidRPr="0059433B">
        <w:t>Abbreviations: OLE, open label extension</w:t>
      </w:r>
    </w:p>
    <w:p w14:paraId="52EA96FC" w14:textId="77777777" w:rsidR="00230CBC" w:rsidRPr="0059433B" w:rsidRDefault="00230CBC" w:rsidP="00230CBC">
      <w:pPr>
        <w:pStyle w:val="COMTablefooter"/>
      </w:pPr>
      <w:r w:rsidRPr="0059433B">
        <w:rPr>
          <w:vertAlign w:val="superscript"/>
        </w:rPr>
        <w:t>a</w:t>
      </w:r>
      <w:r w:rsidRPr="0059433B">
        <w:t xml:space="preserve"> The Phase 2 OLE patisiran group received patisiran in the Phase 2 OLE for 24 months and continued patisiran in the Global OLE. </w:t>
      </w:r>
      <w:r w:rsidRPr="0059433B">
        <w:rPr>
          <w:vertAlign w:val="superscript"/>
        </w:rPr>
        <w:t>b</w:t>
      </w:r>
      <w:r w:rsidRPr="0059433B">
        <w:t xml:space="preserve"> APOLLO-patisiran received patisiran in APOLLO for 18 months and started patisiran in the Global OLE.</w:t>
      </w:r>
    </w:p>
    <w:p w14:paraId="0CAF1732" w14:textId="77777777" w:rsidR="00230CBC" w:rsidRPr="0059433B" w:rsidRDefault="00230CBC" w:rsidP="00230CBC">
      <w:pPr>
        <w:pStyle w:val="COMTablefooter"/>
      </w:pPr>
      <w:r w:rsidRPr="0059433B">
        <w:rPr>
          <w:vertAlign w:val="superscript"/>
        </w:rPr>
        <w:t>c</w:t>
      </w:r>
      <w:r w:rsidRPr="0059433B">
        <w:t xml:space="preserve"> APOLLO-placebo received placebo in APOLLO for 18 months and continued patisiran in the Global OLE.</w:t>
      </w:r>
    </w:p>
    <w:p w14:paraId="34197DE1" w14:textId="77777777" w:rsidR="00230CBC" w:rsidRPr="0059433B" w:rsidRDefault="00230CBC" w:rsidP="00230CBC">
      <w:pPr>
        <w:pStyle w:val="COMTablefooter"/>
      </w:pPr>
      <w:r w:rsidRPr="0059433B">
        <w:rPr>
          <w:vertAlign w:val="superscript"/>
        </w:rPr>
        <w:t>d</w:t>
      </w:r>
      <w:r w:rsidRPr="0059433B">
        <w:t xml:space="preserve"> APOLLO patients </w:t>
      </w:r>
      <w:proofErr w:type="gramStart"/>
      <w:r w:rsidRPr="0059433B">
        <w:t>were diagnosed</w:t>
      </w:r>
      <w:proofErr w:type="gramEnd"/>
      <w:r w:rsidRPr="0059433B">
        <w:t xml:space="preserve"> 16.8 months prior to study baseline. Median survival from diagnosis of 4.7 years from hATTR amyloidosis diagnosis based on a natural history study of 266 patients.</w:t>
      </w:r>
    </w:p>
    <w:p w14:paraId="08035A21" w14:textId="77777777" w:rsidR="00F126D4" w:rsidRPr="0059433B" w:rsidRDefault="00230CBC" w:rsidP="00230CBC">
      <w:pPr>
        <w:pStyle w:val="COMTablefooter"/>
      </w:pPr>
      <w:r w:rsidRPr="0059433B">
        <w:rPr>
          <w:vertAlign w:val="superscript"/>
        </w:rPr>
        <w:t>e</w:t>
      </w:r>
      <w:r w:rsidRPr="0059433B">
        <w:t xml:space="preserve"> Until censored or died. Patients </w:t>
      </w:r>
      <w:proofErr w:type="gramStart"/>
      <w:r w:rsidRPr="0059433B">
        <w:t>were censored</w:t>
      </w:r>
      <w:proofErr w:type="gramEnd"/>
      <w:r w:rsidRPr="0059433B">
        <w:t xml:space="preserve"> at the study withdrawal, 90 days past the last dose of patisiran, or at the last known alive date on or prior to data cut-off (January 27, 2021). Counting deaths within 90 days of last dose of study drug continues an established convention for patisiran mortality rates.</w:t>
      </w:r>
    </w:p>
    <w:p w14:paraId="60E5912D" w14:textId="4185E475" w:rsidR="00230CBC" w:rsidRPr="0059433B" w:rsidRDefault="00230CBC" w:rsidP="00230CBC">
      <w:pPr>
        <w:pStyle w:val="COMexecsumnumberedpara"/>
        <w:rPr>
          <w:color w:val="0066FF"/>
        </w:rPr>
      </w:pPr>
      <w:r w:rsidRPr="0059433B">
        <w:t xml:space="preserve">Patients in the APOLLO trial and Phase 2 OLE study who received patisiran in their parent studies had the lowest disease burden at Global OLE study baseline and the lowest mortality rates. Patients in the APOLLO placebo group had the highest disease burden at baseline and the highest mortality rate, however the mortality rate </w:t>
      </w:r>
      <w:proofErr w:type="gramStart"/>
      <w:r w:rsidRPr="0059433B">
        <w:t>appeared to slow</w:t>
      </w:r>
      <w:proofErr w:type="gramEnd"/>
      <w:r w:rsidRPr="0059433B">
        <w:t xml:space="preserve"> 6 months after commencing patisiran treatment. Wixner (2022) noted results of a multivariate Cox proportional hazards analysis which showed that </w:t>
      </w:r>
      <w:r w:rsidRPr="0059433B">
        <w:lastRenderedPageBreak/>
        <w:t xml:space="preserve">parent study treatment (patisiran versus placebo), </w:t>
      </w:r>
      <w:r w:rsidR="00693B61">
        <w:t xml:space="preserve">N-terminal </w:t>
      </w:r>
      <w:r w:rsidR="00693B61" w:rsidRPr="00693B61">
        <w:t>pro b</w:t>
      </w:r>
      <w:r w:rsidR="00693B61">
        <w:t>rain</w:t>
      </w:r>
      <w:r w:rsidR="00693B61" w:rsidRPr="00693B61">
        <w:t xml:space="preserve">-type natriuretic peptide </w:t>
      </w:r>
      <w:r w:rsidRPr="0059433B">
        <w:t xml:space="preserve">level (&gt;3000 ng/L versus </w:t>
      </w:r>
      <w:r w:rsidRPr="0059433B">
        <w:rPr>
          <w:rFonts w:cs="Calibri"/>
        </w:rPr>
        <w:t>≤</w:t>
      </w:r>
      <w:r w:rsidRPr="0059433B">
        <w:t>3000 ng/L), and NYHA Classification (II/III/IV versus I) were independent factors for mortality in the Global OLE.</w:t>
      </w:r>
    </w:p>
    <w:p w14:paraId="61FF62DB" w14:textId="77777777" w:rsidR="00230CBC" w:rsidRPr="0059433B" w:rsidRDefault="00230CBC" w:rsidP="00230CBC">
      <w:pPr>
        <w:pStyle w:val="COMH2-non-numbered"/>
      </w:pPr>
      <w:bookmarkStart w:id="40" w:name="_Toc22897642"/>
      <w:bookmarkStart w:id="41" w:name="_Toc135226807"/>
      <w:r w:rsidRPr="0059433B">
        <w:t>Comparative harms</w:t>
      </w:r>
      <w:bookmarkEnd w:id="40"/>
      <w:bookmarkEnd w:id="41"/>
    </w:p>
    <w:p w14:paraId="79E83896" w14:textId="77777777" w:rsidR="00F126D4" w:rsidRPr="0059433B" w:rsidRDefault="00230CBC" w:rsidP="00230CBC">
      <w:pPr>
        <w:pStyle w:val="COMexecsumnumberedpara"/>
      </w:pPr>
      <w:bookmarkStart w:id="42" w:name="_Hlk104801403"/>
      <w:r w:rsidRPr="0059433B">
        <w:t xml:space="preserve">Key adverse events occurring in the APOLLO trial are summarised in </w:t>
      </w:r>
      <w:r w:rsidRPr="0059433B">
        <w:fldChar w:fldCharType="begin" w:fldLock="1"/>
      </w:r>
      <w:r w:rsidRPr="0059433B">
        <w:instrText xml:space="preserve"> REF _Ref134629598 \h </w:instrText>
      </w:r>
      <w:r w:rsidRPr="0059433B">
        <w:fldChar w:fldCharType="separate"/>
      </w:r>
      <w:r w:rsidR="00042B2E" w:rsidRPr="0059433B">
        <w:t>Table 8</w:t>
      </w:r>
      <w:r w:rsidRPr="0059433B">
        <w:fldChar w:fldCharType="end"/>
      </w:r>
      <w:r w:rsidRPr="0059433B">
        <w:t xml:space="preserve">. All safety analyses </w:t>
      </w:r>
      <w:proofErr w:type="gramStart"/>
      <w:r w:rsidRPr="0059433B">
        <w:t>were performed</w:t>
      </w:r>
      <w:proofErr w:type="gramEnd"/>
      <w:r w:rsidRPr="0059433B">
        <w:t xml:space="preserve"> with the safety population (patients who received at least one dose of the study drug).</w:t>
      </w:r>
      <w:bookmarkEnd w:id="42"/>
    </w:p>
    <w:p w14:paraId="61121C43" w14:textId="03A55CDD" w:rsidR="00230CBC" w:rsidRPr="0059433B" w:rsidRDefault="00230CBC" w:rsidP="00230CBC">
      <w:pPr>
        <w:pStyle w:val="COMTableheadingrow"/>
        <w:rPr>
          <w:lang w:val="en-AU"/>
        </w:rPr>
      </w:pPr>
      <w:bookmarkStart w:id="43" w:name="_Ref134629598"/>
      <w:r w:rsidRPr="0059433B">
        <w:rPr>
          <w:lang w:val="en-AU"/>
        </w:rPr>
        <w:t xml:space="preserve">Table </w:t>
      </w:r>
      <w:r w:rsidRPr="0059433B">
        <w:rPr>
          <w:lang w:val="en-AU"/>
        </w:rPr>
        <w:fldChar w:fldCharType="begin" w:fldLock="1"/>
      </w:r>
      <w:r w:rsidRPr="0059433B">
        <w:rPr>
          <w:lang w:val="en-AU"/>
        </w:rPr>
        <w:instrText xml:space="preserve"> SEQ Table \* ARABIC </w:instrText>
      </w:r>
      <w:r w:rsidRPr="0059433B">
        <w:rPr>
          <w:lang w:val="en-AU"/>
        </w:rPr>
        <w:fldChar w:fldCharType="separate"/>
      </w:r>
      <w:r w:rsidR="008B2772" w:rsidRPr="0059433B">
        <w:rPr>
          <w:lang w:val="en-AU"/>
        </w:rPr>
        <w:t>8</w:t>
      </w:r>
      <w:r w:rsidRPr="0059433B">
        <w:rPr>
          <w:lang w:val="en-AU"/>
        </w:rPr>
        <w:fldChar w:fldCharType="end"/>
      </w:r>
      <w:bookmarkEnd w:id="43"/>
      <w:r w:rsidRPr="0059433B">
        <w:rPr>
          <w:lang w:val="en-AU"/>
        </w:rPr>
        <w:t>: Summary of key adverse events in the APOLLO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APOLLO trial"/>
      </w:tblPr>
      <w:tblGrid>
        <w:gridCol w:w="3092"/>
        <w:gridCol w:w="2960"/>
        <w:gridCol w:w="2965"/>
      </w:tblGrid>
      <w:tr w:rsidR="00230CBC" w:rsidRPr="0059433B" w14:paraId="7F593F8C" w14:textId="77777777" w:rsidTr="00C5774C">
        <w:trPr>
          <w:tblHeader/>
        </w:trPr>
        <w:tc>
          <w:tcPr>
            <w:tcW w:w="3092" w:type="dxa"/>
            <w:vAlign w:val="center"/>
          </w:tcPr>
          <w:p w14:paraId="0ED325D6" w14:textId="77777777" w:rsidR="00230CBC" w:rsidRPr="0059433B" w:rsidRDefault="00230CBC" w:rsidP="00C5774C">
            <w:pPr>
              <w:pStyle w:val="COMTableheadingrow"/>
              <w:rPr>
                <w:lang w:val="en-AU"/>
              </w:rPr>
            </w:pPr>
            <w:r w:rsidRPr="0059433B">
              <w:rPr>
                <w:lang w:val="en-AU"/>
              </w:rPr>
              <w:t>Adverse event</w:t>
            </w:r>
          </w:p>
        </w:tc>
        <w:tc>
          <w:tcPr>
            <w:tcW w:w="2960" w:type="dxa"/>
            <w:vAlign w:val="center"/>
          </w:tcPr>
          <w:p w14:paraId="555F4102" w14:textId="77777777" w:rsidR="00230CBC" w:rsidRPr="0059433B" w:rsidRDefault="00230CBC" w:rsidP="00C5774C">
            <w:pPr>
              <w:pStyle w:val="COMTableheadingrow"/>
              <w:jc w:val="center"/>
              <w:rPr>
                <w:lang w:val="en-AU"/>
              </w:rPr>
            </w:pPr>
            <w:r w:rsidRPr="0059433B">
              <w:rPr>
                <w:lang w:val="en-AU"/>
              </w:rPr>
              <w:t>Patisiran (N=148)</w:t>
            </w:r>
          </w:p>
          <w:p w14:paraId="424DC165" w14:textId="77777777" w:rsidR="00230CBC" w:rsidRPr="0059433B" w:rsidRDefault="00230CBC" w:rsidP="00C5774C">
            <w:pPr>
              <w:pStyle w:val="COMTableheadingrow"/>
              <w:jc w:val="center"/>
              <w:rPr>
                <w:lang w:val="en-AU"/>
              </w:rPr>
            </w:pPr>
            <w:r w:rsidRPr="0059433B">
              <w:rPr>
                <w:lang w:val="en-AU"/>
              </w:rPr>
              <w:t>Number of patients (%)</w:t>
            </w:r>
          </w:p>
        </w:tc>
        <w:tc>
          <w:tcPr>
            <w:tcW w:w="2965" w:type="dxa"/>
            <w:vAlign w:val="center"/>
          </w:tcPr>
          <w:p w14:paraId="3C010719" w14:textId="77777777" w:rsidR="00230CBC" w:rsidRPr="0059433B" w:rsidRDefault="00230CBC" w:rsidP="00C5774C">
            <w:pPr>
              <w:pStyle w:val="COMTableheadingrow"/>
              <w:jc w:val="center"/>
              <w:rPr>
                <w:lang w:val="en-AU"/>
              </w:rPr>
            </w:pPr>
            <w:r w:rsidRPr="0059433B">
              <w:rPr>
                <w:lang w:val="en-AU"/>
              </w:rPr>
              <w:t>Placebo (N=77)</w:t>
            </w:r>
          </w:p>
          <w:p w14:paraId="0E7A27E5" w14:textId="77777777" w:rsidR="00230CBC" w:rsidRPr="0059433B" w:rsidRDefault="00230CBC" w:rsidP="00C5774C">
            <w:pPr>
              <w:pStyle w:val="COMTableheadingrow"/>
              <w:jc w:val="center"/>
              <w:rPr>
                <w:lang w:val="en-AU"/>
              </w:rPr>
            </w:pPr>
            <w:r w:rsidRPr="0059433B">
              <w:rPr>
                <w:lang w:val="en-AU"/>
              </w:rPr>
              <w:t>Number of patients (%)</w:t>
            </w:r>
          </w:p>
        </w:tc>
      </w:tr>
      <w:tr w:rsidR="00230CBC" w:rsidRPr="0059433B" w14:paraId="26F13450" w14:textId="77777777" w:rsidTr="00C5774C">
        <w:tc>
          <w:tcPr>
            <w:tcW w:w="3092" w:type="dxa"/>
            <w:vAlign w:val="center"/>
          </w:tcPr>
          <w:p w14:paraId="1DE7E961" w14:textId="77777777" w:rsidR="00230CBC" w:rsidRPr="0059433B" w:rsidRDefault="00230CBC" w:rsidP="00C5774C">
            <w:pPr>
              <w:pStyle w:val="COMTabletext"/>
            </w:pPr>
            <w:r w:rsidRPr="0059433B">
              <w:t>Any adverse event</w:t>
            </w:r>
          </w:p>
        </w:tc>
        <w:tc>
          <w:tcPr>
            <w:tcW w:w="2960" w:type="dxa"/>
          </w:tcPr>
          <w:p w14:paraId="64F0EA1B" w14:textId="77777777" w:rsidR="00230CBC" w:rsidRPr="0059433B" w:rsidRDefault="00230CBC" w:rsidP="00C5774C">
            <w:pPr>
              <w:pStyle w:val="COMTabletext"/>
              <w:jc w:val="center"/>
            </w:pPr>
            <w:r w:rsidRPr="0059433B">
              <w:t>143 (96.6)</w:t>
            </w:r>
          </w:p>
        </w:tc>
        <w:tc>
          <w:tcPr>
            <w:tcW w:w="2965" w:type="dxa"/>
          </w:tcPr>
          <w:p w14:paraId="0951ECAC" w14:textId="77777777" w:rsidR="00230CBC" w:rsidRPr="0059433B" w:rsidRDefault="00230CBC" w:rsidP="00C5774C">
            <w:pPr>
              <w:pStyle w:val="COMTabletext"/>
              <w:jc w:val="center"/>
            </w:pPr>
            <w:r w:rsidRPr="0059433B">
              <w:t>75 (97.4)</w:t>
            </w:r>
          </w:p>
        </w:tc>
      </w:tr>
      <w:tr w:rsidR="00230CBC" w:rsidRPr="0059433B" w14:paraId="2FE4D46B" w14:textId="77777777" w:rsidTr="00C5774C">
        <w:tc>
          <w:tcPr>
            <w:tcW w:w="3092" w:type="dxa"/>
            <w:vAlign w:val="center"/>
          </w:tcPr>
          <w:p w14:paraId="0E70B2E3" w14:textId="77777777" w:rsidR="00230CBC" w:rsidRPr="0059433B" w:rsidRDefault="00230CBC" w:rsidP="00C5774C">
            <w:pPr>
              <w:pStyle w:val="COMTabletext"/>
            </w:pPr>
            <w:r w:rsidRPr="0059433B">
              <w:t>Severe adverse event</w:t>
            </w:r>
          </w:p>
        </w:tc>
        <w:tc>
          <w:tcPr>
            <w:tcW w:w="2960" w:type="dxa"/>
          </w:tcPr>
          <w:p w14:paraId="148B6F6E" w14:textId="77777777" w:rsidR="00230CBC" w:rsidRPr="0059433B" w:rsidRDefault="00230CBC" w:rsidP="00C5774C">
            <w:pPr>
              <w:pStyle w:val="COMTabletext"/>
              <w:jc w:val="center"/>
            </w:pPr>
            <w:r w:rsidRPr="0059433B">
              <w:t>42 (28.4)</w:t>
            </w:r>
          </w:p>
        </w:tc>
        <w:tc>
          <w:tcPr>
            <w:tcW w:w="2965" w:type="dxa"/>
          </w:tcPr>
          <w:p w14:paraId="443E94F2" w14:textId="77777777" w:rsidR="00230CBC" w:rsidRPr="0059433B" w:rsidRDefault="00230CBC" w:rsidP="00C5774C">
            <w:pPr>
              <w:pStyle w:val="COMTabletext"/>
              <w:jc w:val="center"/>
            </w:pPr>
            <w:r w:rsidRPr="0059433B">
              <w:t>28 (36.4)</w:t>
            </w:r>
          </w:p>
        </w:tc>
      </w:tr>
      <w:tr w:rsidR="00230CBC" w:rsidRPr="0059433B" w14:paraId="65D26487" w14:textId="77777777" w:rsidTr="00C5774C">
        <w:tc>
          <w:tcPr>
            <w:tcW w:w="3092" w:type="dxa"/>
            <w:vAlign w:val="center"/>
          </w:tcPr>
          <w:p w14:paraId="78B5D1CD" w14:textId="77777777" w:rsidR="00230CBC" w:rsidRPr="0059433B" w:rsidRDefault="00230CBC" w:rsidP="00C5774C">
            <w:pPr>
              <w:pStyle w:val="COMTabletext"/>
            </w:pPr>
            <w:r w:rsidRPr="0059433B">
              <w:t>Serious adverse event</w:t>
            </w:r>
          </w:p>
        </w:tc>
        <w:tc>
          <w:tcPr>
            <w:tcW w:w="2960" w:type="dxa"/>
          </w:tcPr>
          <w:p w14:paraId="723EA9DE" w14:textId="77777777" w:rsidR="00230CBC" w:rsidRPr="0059433B" w:rsidRDefault="00230CBC" w:rsidP="00C5774C">
            <w:pPr>
              <w:pStyle w:val="COMTabletext"/>
              <w:jc w:val="center"/>
            </w:pPr>
            <w:r w:rsidRPr="0059433B">
              <w:t>54 (36.5)</w:t>
            </w:r>
          </w:p>
        </w:tc>
        <w:tc>
          <w:tcPr>
            <w:tcW w:w="2965" w:type="dxa"/>
          </w:tcPr>
          <w:p w14:paraId="6907A85A" w14:textId="77777777" w:rsidR="00230CBC" w:rsidRPr="0059433B" w:rsidRDefault="00230CBC" w:rsidP="00C5774C">
            <w:pPr>
              <w:pStyle w:val="COMTabletext"/>
              <w:jc w:val="center"/>
            </w:pPr>
            <w:r w:rsidRPr="0059433B">
              <w:t>31 (40.3)</w:t>
            </w:r>
          </w:p>
        </w:tc>
      </w:tr>
      <w:tr w:rsidR="00230CBC" w:rsidRPr="0059433B" w14:paraId="64FFE910" w14:textId="77777777" w:rsidTr="00C5774C">
        <w:tc>
          <w:tcPr>
            <w:tcW w:w="3092" w:type="dxa"/>
            <w:vAlign w:val="center"/>
          </w:tcPr>
          <w:p w14:paraId="53677518" w14:textId="77777777" w:rsidR="00230CBC" w:rsidRPr="0059433B" w:rsidRDefault="00230CBC" w:rsidP="00C5774C">
            <w:pPr>
              <w:pStyle w:val="COMTabletext"/>
            </w:pPr>
            <w:r w:rsidRPr="0059433B">
              <w:t>AE leading to discontinuation</w:t>
            </w:r>
          </w:p>
        </w:tc>
        <w:tc>
          <w:tcPr>
            <w:tcW w:w="2960" w:type="dxa"/>
          </w:tcPr>
          <w:p w14:paraId="430402B2" w14:textId="77777777" w:rsidR="00230CBC" w:rsidRPr="0059433B" w:rsidRDefault="00230CBC" w:rsidP="00C5774C">
            <w:pPr>
              <w:pStyle w:val="COMTabletext"/>
              <w:jc w:val="center"/>
            </w:pPr>
            <w:r w:rsidRPr="0059433B">
              <w:t>7 (4.7)</w:t>
            </w:r>
          </w:p>
        </w:tc>
        <w:tc>
          <w:tcPr>
            <w:tcW w:w="2965" w:type="dxa"/>
          </w:tcPr>
          <w:p w14:paraId="0BE82C80" w14:textId="77777777" w:rsidR="00230CBC" w:rsidRPr="0059433B" w:rsidRDefault="00230CBC" w:rsidP="00C5774C">
            <w:pPr>
              <w:pStyle w:val="COMTabletext"/>
              <w:jc w:val="center"/>
            </w:pPr>
            <w:r w:rsidRPr="0059433B">
              <w:t>11 (14.3)</w:t>
            </w:r>
          </w:p>
        </w:tc>
      </w:tr>
      <w:tr w:rsidR="00230CBC" w:rsidRPr="0059433B" w14:paraId="08C4A06A" w14:textId="77777777" w:rsidTr="00C5774C">
        <w:tc>
          <w:tcPr>
            <w:tcW w:w="3092" w:type="dxa"/>
            <w:vAlign w:val="center"/>
          </w:tcPr>
          <w:p w14:paraId="489CFE5A" w14:textId="77777777" w:rsidR="00230CBC" w:rsidRPr="0059433B" w:rsidRDefault="00230CBC" w:rsidP="00C5774C">
            <w:pPr>
              <w:pStyle w:val="COMTabletext"/>
            </w:pPr>
            <w:r w:rsidRPr="0059433B">
              <w:t>AE leading to study withdrawal</w:t>
            </w:r>
          </w:p>
        </w:tc>
        <w:tc>
          <w:tcPr>
            <w:tcW w:w="2960" w:type="dxa"/>
          </w:tcPr>
          <w:p w14:paraId="49D69FFB" w14:textId="77777777" w:rsidR="00230CBC" w:rsidRPr="0059433B" w:rsidRDefault="00230CBC" w:rsidP="00C5774C">
            <w:pPr>
              <w:pStyle w:val="COMTabletext"/>
              <w:jc w:val="center"/>
            </w:pPr>
            <w:r w:rsidRPr="0059433B">
              <w:t>7 (4.7)</w:t>
            </w:r>
          </w:p>
        </w:tc>
        <w:tc>
          <w:tcPr>
            <w:tcW w:w="2965" w:type="dxa"/>
          </w:tcPr>
          <w:p w14:paraId="49C43F7E" w14:textId="77777777" w:rsidR="00230CBC" w:rsidRPr="0059433B" w:rsidRDefault="00230CBC" w:rsidP="00C5774C">
            <w:pPr>
              <w:pStyle w:val="COMTabletext"/>
              <w:jc w:val="center"/>
            </w:pPr>
            <w:r w:rsidRPr="0059433B">
              <w:t>9 (11.7)</w:t>
            </w:r>
          </w:p>
        </w:tc>
      </w:tr>
      <w:tr w:rsidR="00230CBC" w:rsidRPr="0059433B" w14:paraId="5DE20899" w14:textId="77777777" w:rsidTr="00C5774C">
        <w:tc>
          <w:tcPr>
            <w:tcW w:w="3092" w:type="dxa"/>
            <w:vAlign w:val="center"/>
          </w:tcPr>
          <w:p w14:paraId="7A4ABB9A" w14:textId="77777777" w:rsidR="00230CBC" w:rsidRPr="0059433B" w:rsidRDefault="00230CBC" w:rsidP="00C5774C">
            <w:pPr>
              <w:pStyle w:val="COMTabletext"/>
            </w:pPr>
            <w:r w:rsidRPr="0059433B">
              <w:t>AE related to study drug</w:t>
            </w:r>
          </w:p>
        </w:tc>
        <w:tc>
          <w:tcPr>
            <w:tcW w:w="2960" w:type="dxa"/>
          </w:tcPr>
          <w:p w14:paraId="200BEC86" w14:textId="77777777" w:rsidR="00230CBC" w:rsidRPr="0059433B" w:rsidRDefault="00230CBC" w:rsidP="00C5774C">
            <w:pPr>
              <w:pStyle w:val="COMTabletext"/>
              <w:jc w:val="center"/>
            </w:pPr>
            <w:r w:rsidRPr="0059433B">
              <w:t>73 (49.3)</w:t>
            </w:r>
          </w:p>
        </w:tc>
        <w:tc>
          <w:tcPr>
            <w:tcW w:w="2965" w:type="dxa"/>
          </w:tcPr>
          <w:p w14:paraId="047D819D" w14:textId="77777777" w:rsidR="00230CBC" w:rsidRPr="0059433B" w:rsidRDefault="00230CBC" w:rsidP="00C5774C">
            <w:pPr>
              <w:pStyle w:val="COMTabletext"/>
              <w:jc w:val="center"/>
            </w:pPr>
            <w:r w:rsidRPr="0059433B">
              <w:t>30 (39.0)</w:t>
            </w:r>
          </w:p>
        </w:tc>
      </w:tr>
      <w:tr w:rsidR="00230CBC" w:rsidRPr="0059433B" w14:paraId="1037CB38" w14:textId="77777777" w:rsidTr="00C5774C">
        <w:tc>
          <w:tcPr>
            <w:tcW w:w="3092" w:type="dxa"/>
            <w:vAlign w:val="center"/>
          </w:tcPr>
          <w:p w14:paraId="4370C7FF" w14:textId="77777777" w:rsidR="00230CBC" w:rsidRPr="0059433B" w:rsidRDefault="00230CBC" w:rsidP="00C5774C">
            <w:pPr>
              <w:pStyle w:val="COMTabletext"/>
            </w:pPr>
            <w:r w:rsidRPr="0059433B">
              <w:t>Severe study drug-related AE</w:t>
            </w:r>
          </w:p>
        </w:tc>
        <w:tc>
          <w:tcPr>
            <w:tcW w:w="2960" w:type="dxa"/>
          </w:tcPr>
          <w:p w14:paraId="58B5697C" w14:textId="77777777" w:rsidR="00230CBC" w:rsidRPr="0059433B" w:rsidRDefault="00230CBC" w:rsidP="00C5774C">
            <w:pPr>
              <w:pStyle w:val="COMTabletext"/>
              <w:jc w:val="center"/>
            </w:pPr>
            <w:r w:rsidRPr="0059433B">
              <w:t>3 (2.0)</w:t>
            </w:r>
          </w:p>
        </w:tc>
        <w:tc>
          <w:tcPr>
            <w:tcW w:w="2965" w:type="dxa"/>
          </w:tcPr>
          <w:p w14:paraId="429CB0CF" w14:textId="77777777" w:rsidR="00230CBC" w:rsidRPr="0059433B" w:rsidRDefault="00230CBC" w:rsidP="00C5774C">
            <w:pPr>
              <w:pStyle w:val="COMTabletext"/>
              <w:jc w:val="center"/>
            </w:pPr>
            <w:r w:rsidRPr="0059433B">
              <w:t>2 (2.6)</w:t>
            </w:r>
          </w:p>
        </w:tc>
      </w:tr>
      <w:tr w:rsidR="00230CBC" w:rsidRPr="0059433B" w14:paraId="5666741E" w14:textId="77777777" w:rsidTr="00C5774C">
        <w:tc>
          <w:tcPr>
            <w:tcW w:w="3092" w:type="dxa"/>
            <w:vAlign w:val="center"/>
          </w:tcPr>
          <w:p w14:paraId="477BEAE6" w14:textId="77777777" w:rsidR="00230CBC" w:rsidRPr="0059433B" w:rsidRDefault="00230CBC" w:rsidP="00C5774C">
            <w:pPr>
              <w:pStyle w:val="COMTabletext"/>
            </w:pPr>
            <w:r w:rsidRPr="0059433B">
              <w:t>Deaths</w:t>
            </w:r>
          </w:p>
        </w:tc>
        <w:tc>
          <w:tcPr>
            <w:tcW w:w="2960" w:type="dxa"/>
          </w:tcPr>
          <w:p w14:paraId="77EF654C" w14:textId="77777777" w:rsidR="00230CBC" w:rsidRPr="0059433B" w:rsidRDefault="00230CBC" w:rsidP="00C5774C">
            <w:pPr>
              <w:pStyle w:val="COMTabletext"/>
              <w:jc w:val="center"/>
            </w:pPr>
            <w:r w:rsidRPr="0059433B">
              <w:t>7 (4.7)</w:t>
            </w:r>
          </w:p>
        </w:tc>
        <w:tc>
          <w:tcPr>
            <w:tcW w:w="2965" w:type="dxa"/>
          </w:tcPr>
          <w:p w14:paraId="360E1C75" w14:textId="77777777" w:rsidR="00230CBC" w:rsidRPr="0059433B" w:rsidRDefault="00230CBC" w:rsidP="00C5774C">
            <w:pPr>
              <w:pStyle w:val="COMTabletext"/>
              <w:jc w:val="center"/>
            </w:pPr>
            <w:r w:rsidRPr="0059433B">
              <w:t>6 (7.8)</w:t>
            </w:r>
          </w:p>
        </w:tc>
      </w:tr>
    </w:tbl>
    <w:p w14:paraId="338184E8" w14:textId="77777777" w:rsidR="00230CBC" w:rsidRPr="0059433B" w:rsidRDefault="00230CBC" w:rsidP="00230CBC">
      <w:pPr>
        <w:pStyle w:val="COMTablefooter"/>
        <w:rPr>
          <w:sz w:val="20"/>
        </w:rPr>
      </w:pPr>
      <w:r w:rsidRPr="0059433B">
        <w:t>Source: Table 2.18, p82 of the submission; Section 2.5.2, pp79-80 of the submission; APOLLO Clinical Study Report</w:t>
      </w:r>
    </w:p>
    <w:p w14:paraId="0AD4823D" w14:textId="77777777" w:rsidR="00230CBC" w:rsidRPr="0059433B" w:rsidRDefault="00230CBC" w:rsidP="00230CBC">
      <w:pPr>
        <w:pStyle w:val="COMTablefooter"/>
      </w:pPr>
      <w:r w:rsidRPr="0059433B">
        <w:rPr>
          <w:rFonts w:eastAsia="Calibri"/>
        </w:rPr>
        <w:t>Abbreviations: AE, adverse event</w:t>
      </w:r>
    </w:p>
    <w:p w14:paraId="2D48779A" w14:textId="77777777" w:rsidR="00F126D4" w:rsidRPr="0059433B" w:rsidRDefault="00230CBC" w:rsidP="00230CBC">
      <w:pPr>
        <w:pStyle w:val="COMexecsumnumberedpara"/>
      </w:pPr>
      <w:r w:rsidRPr="0059433B">
        <w:t>Similar proportions of patients in each treatment arm experienced an adverse event or serious adverse event. Diarrhoea was the only serious adverse event reported in more patients in the patisiran group (5.4%) than in the placebo group (1.3%).</w:t>
      </w:r>
    </w:p>
    <w:p w14:paraId="1E948D54" w14:textId="77777777" w:rsidR="00F126D4" w:rsidRPr="0059433B" w:rsidRDefault="00230CBC" w:rsidP="00230CBC">
      <w:pPr>
        <w:pStyle w:val="COMexecsumnumberedpara"/>
      </w:pPr>
      <w:r w:rsidRPr="0059433B">
        <w:t xml:space="preserve">A greater proportion of patients in the placebo group experienced an adverse event leading to treatment discontinuation (14.3%) or study withdrawal (11.7%) than the patisiran group (4.7% and 4.7%, respectively). Adverse events leading to treatment discontinuation reported in </w:t>
      </w:r>
      <w:proofErr w:type="gramStart"/>
      <w:r w:rsidRPr="0059433B">
        <w:t>2</w:t>
      </w:r>
      <w:proofErr w:type="gramEnd"/>
      <w:r w:rsidRPr="0059433B">
        <w:t xml:space="preserve"> or more patients included cardiac failure (2 patients, 1.4%) in the patisiran group and acute kidney injury (2 patients, 2.6%) in the placebo group. These events also led to withdrawal from the study. One patient in the patisiran group discontinued treatment due to an infusion related reaction that was moderate in severity.</w:t>
      </w:r>
    </w:p>
    <w:p w14:paraId="1A078D01" w14:textId="77777777" w:rsidR="00F126D4" w:rsidRPr="0059433B" w:rsidRDefault="00230CBC" w:rsidP="00230CBC">
      <w:pPr>
        <w:pStyle w:val="COMexecsumnumberedpara"/>
      </w:pPr>
      <w:r w:rsidRPr="0059433B">
        <w:t>There were more treatment-related adverse events in the patisiran group (49.3%) compared to the placebo group (39.0%). The only treatment-related adverse event reported in 5% or more of the patisiran group was infusion related reactions, with at least one event</w:t>
      </w:r>
      <w:r w:rsidRPr="0059433B" w:rsidDel="00BE33FF">
        <w:t xml:space="preserve"> </w:t>
      </w:r>
      <w:r w:rsidRPr="0059433B">
        <w:t xml:space="preserve">reported for 28 (18.9%) patisiran treated patients, a total of 145 infusion related reaction events over the course of the trial. The submission noted that the majority of infusion related reactions were mild in severity and decreased over time while on treatment with patisiran. There were no severe infusion related reactions and none </w:t>
      </w:r>
      <w:proofErr w:type="gramStart"/>
      <w:r w:rsidRPr="0059433B">
        <w:t>were reported</w:t>
      </w:r>
      <w:proofErr w:type="gramEnd"/>
      <w:r w:rsidRPr="0059433B">
        <w:t xml:space="preserve"> as serious adverse events. Treatment-related events experienced by 5% or more patients in the placebo group included diarrhoea (6.5%), nausea (6.5%), peripheral oedema (6.5%) and fatigue (5.2%).</w:t>
      </w:r>
    </w:p>
    <w:p w14:paraId="3CD7B8C8" w14:textId="43FE9E31" w:rsidR="00230CBC" w:rsidRPr="0059433B" w:rsidRDefault="00230CBC" w:rsidP="00230CBC">
      <w:pPr>
        <w:pStyle w:val="COMexecsumnumberedpara"/>
      </w:pPr>
      <w:r w:rsidRPr="0059433B">
        <w:lastRenderedPageBreak/>
        <w:t xml:space="preserve">As patisiran </w:t>
      </w:r>
      <w:proofErr w:type="gramStart"/>
      <w:r w:rsidRPr="0059433B">
        <w:t>is directed</w:t>
      </w:r>
      <w:proofErr w:type="gramEnd"/>
      <w:r w:rsidRPr="0059433B">
        <w:t xml:space="preserve"> to the liver, and because non-clinical studies revealed changes in serum liver marker and liver histopathology, the frequency of hepatic events was evaluated. There were more hepatic adverse events in the placebo group (9.1%) than in the patisiran group (5.4%). Most events were mild or moderate in severity and considered not or unlikely to be related to the study drug. Two events were considered to be related to patisiran treatment (hepatic enzyme increase, and alkaline phosphatase increase in one patient (0.7%) each), both mild in severity.</w:t>
      </w:r>
    </w:p>
    <w:p w14:paraId="0D0BF42B" w14:textId="77777777" w:rsidR="00F126D4" w:rsidRPr="0059433B" w:rsidRDefault="00230CBC" w:rsidP="00230CBC">
      <w:pPr>
        <w:pStyle w:val="COMexecsumnumberedpara"/>
      </w:pPr>
      <w:r w:rsidRPr="0059433B">
        <w:t>Cardiac adverse events and serious adverse events occurred at similar frequencies in both treatment groups in the overall trial mITT population.</w:t>
      </w:r>
    </w:p>
    <w:p w14:paraId="223A5C88" w14:textId="2EB9129E" w:rsidR="00230CBC" w:rsidRPr="0059433B" w:rsidRDefault="00230CBC" w:rsidP="00230CBC">
      <w:pPr>
        <w:pStyle w:val="COMexecsumnumberedpara"/>
      </w:pPr>
      <w:r w:rsidRPr="0059433B">
        <w:t xml:space="preserve">There were </w:t>
      </w:r>
      <w:proofErr w:type="gramStart"/>
      <w:r w:rsidRPr="0059433B">
        <w:t>7</w:t>
      </w:r>
      <w:proofErr w:type="gramEnd"/>
      <w:r w:rsidRPr="0059433B">
        <w:t xml:space="preserve"> deaths (4.7%) in patisiran-treated patients, and 6 deaths (7.8%) in placebo-treated patients. All deaths </w:t>
      </w:r>
      <w:proofErr w:type="gramStart"/>
      <w:r w:rsidRPr="0059433B">
        <w:t>were considered</w:t>
      </w:r>
      <w:proofErr w:type="gramEnd"/>
      <w:r w:rsidRPr="0059433B">
        <w:t xml:space="preserve"> unlikely or not related to the study drug, with the submission noting that the causes of death were primarily cardiovascular in nature and were consistent with the natural history of hATTR amyloidosis.</w:t>
      </w:r>
    </w:p>
    <w:p w14:paraId="33FC8741" w14:textId="2BABAEB1" w:rsidR="00230CBC" w:rsidRPr="0059433B" w:rsidRDefault="00230CBC" w:rsidP="00230CBC">
      <w:pPr>
        <w:pStyle w:val="COMexecsumnumberedpara"/>
      </w:pPr>
      <w:r w:rsidRPr="0059433B">
        <w:t xml:space="preserve">The safety profile of the cardiac subpopulation was similar to the overall trial safety population. The proportion of patients experiencing cardiac disorders and serious cardiac disorders was similar between treatment arms. In the cardiac subpopulation there were </w:t>
      </w:r>
      <w:proofErr w:type="gramStart"/>
      <w:r w:rsidRPr="0059433B">
        <w:t>5</w:t>
      </w:r>
      <w:proofErr w:type="gramEnd"/>
      <w:r w:rsidRPr="0059433B">
        <w:t xml:space="preserve"> deaths (5.6%) in the patisiran group and 4 (11.1%) in the placebo group;</w:t>
      </w:r>
      <w:r w:rsidR="0014071D" w:rsidRPr="0059433B">
        <w:t xml:space="preserve"> </w:t>
      </w:r>
      <w:r w:rsidRPr="0059433B">
        <w:t>no deaths were considered to be related to the study drug.</w:t>
      </w:r>
    </w:p>
    <w:p w14:paraId="79DD84C7" w14:textId="5CC68826" w:rsidR="00230CBC" w:rsidRPr="0059433B" w:rsidRDefault="00230CBC" w:rsidP="00230CBC">
      <w:pPr>
        <w:pStyle w:val="COMexecsumnumberedpara"/>
      </w:pPr>
      <w:r w:rsidRPr="0059433B">
        <w:t xml:space="preserve">The duration of treatment with patisiran for Global OLE study participants differed depending on their previous trial enrolment: a maximum 36 months for patients previously treated with placebo in the APOLLO trial, 54 months for patients previously treated with patisiran in the APOLLO trial, and 60 months for patients in the Phase 2 OLE study (all previously treated with patisiran). All patients had at least one adverse event during the Global OLE study, with adverse events considered to be related to the study drug reported in 35.1% of patients overall. Specific adverse events were similar to those experienced in the APOLLO trial, with 27.0% of all patients experiencing diarrhoea, 25.1% peripheral oedema, 22.3% urinary tract infection, 21.3% nasopharyngitis, and 20.9% falls. 15.6% of patients experienced an infusion-related reaction. Most adverse events were mild or moderate in severity. Severe adverse events </w:t>
      </w:r>
      <w:proofErr w:type="gramStart"/>
      <w:r w:rsidRPr="0059433B">
        <w:t>were reported</w:t>
      </w:r>
      <w:proofErr w:type="gramEnd"/>
      <w:r w:rsidRPr="0059433B">
        <w:t xml:space="preserve"> for 44.1% of patients, and treatment-related severe adverse events were reported for 2.4% of patients. Serious adverse events </w:t>
      </w:r>
      <w:proofErr w:type="gramStart"/>
      <w:r w:rsidRPr="0059433B">
        <w:t>were reported</w:t>
      </w:r>
      <w:proofErr w:type="gramEnd"/>
      <w:r w:rsidRPr="0059433B">
        <w:t xml:space="preserve"> in 57.3% of patients and most were considered unlikely or not related to patisiran, with study drug related serious adverse events reported in 1.9% of patients. There were 35 (16.6%) deaths during the reporting period, just over half of whom (18</w:t>
      </w:r>
      <w:r w:rsidR="00253DD6">
        <w:t> </w:t>
      </w:r>
      <w:r w:rsidRPr="0059433B">
        <w:t xml:space="preserve">patients) </w:t>
      </w:r>
      <w:proofErr w:type="gramStart"/>
      <w:r w:rsidRPr="0059433B">
        <w:t>were originally treated</w:t>
      </w:r>
      <w:proofErr w:type="gramEnd"/>
      <w:r w:rsidRPr="0059433B">
        <w:t xml:space="preserve"> with placebo in the APOLLO trial. No deaths were considered to be related to the study drug.</w:t>
      </w:r>
    </w:p>
    <w:p w14:paraId="423BC107" w14:textId="77777777" w:rsidR="00230CBC" w:rsidRPr="0059433B" w:rsidRDefault="00230CBC" w:rsidP="00230CBC">
      <w:pPr>
        <w:pStyle w:val="COMH2-non-numbered"/>
      </w:pPr>
      <w:bookmarkStart w:id="44" w:name="_Toc22897643"/>
      <w:bookmarkStart w:id="45" w:name="_Toc135226808"/>
      <w:r w:rsidRPr="0059433B">
        <w:t>Benefits/harms</w:t>
      </w:r>
      <w:bookmarkEnd w:id="44"/>
      <w:bookmarkEnd w:id="45"/>
    </w:p>
    <w:p w14:paraId="0968F167" w14:textId="77777777" w:rsidR="00230CBC" w:rsidRPr="0059433B" w:rsidRDefault="00230CBC" w:rsidP="00331793">
      <w:pPr>
        <w:pStyle w:val="COMexecsumnumberedpara"/>
      </w:pPr>
      <w:r w:rsidRPr="0059433B">
        <w:t xml:space="preserve">On the basis of direct evidence presented in the submission, for every </w:t>
      </w:r>
      <w:proofErr w:type="gramStart"/>
      <w:r w:rsidRPr="0059433B">
        <w:t>100</w:t>
      </w:r>
      <w:proofErr w:type="gramEnd"/>
      <w:r w:rsidRPr="0059433B">
        <w:t xml:space="preserve"> patients treated for 18 months with patisiran in comparison with placebo:</w:t>
      </w:r>
    </w:p>
    <w:p w14:paraId="1A01B750" w14:textId="7593524A" w:rsidR="00230CBC" w:rsidRPr="0059433B" w:rsidRDefault="00230CBC" w:rsidP="00331793">
      <w:pPr>
        <w:pStyle w:val="COMexecsummbulletlist"/>
        <w:ind w:hanging="357"/>
      </w:pPr>
      <w:r w:rsidRPr="0059433B">
        <w:lastRenderedPageBreak/>
        <w:t xml:space="preserve">Approximately </w:t>
      </w:r>
      <w:proofErr w:type="gramStart"/>
      <w:r w:rsidRPr="0059433B">
        <w:t>52</w:t>
      </w:r>
      <w:proofErr w:type="gramEnd"/>
      <w:r w:rsidRPr="0059433B">
        <w:t xml:space="preserve"> additional patients will show improvement in neurological impairment (</w:t>
      </w:r>
      <w:r w:rsidRPr="0059433B">
        <w:fldChar w:fldCharType="begin" w:fldLock="1"/>
      </w:r>
      <w:r w:rsidRPr="0059433B">
        <w:instrText xml:space="preserve"> REF _Ref132619792 \h </w:instrText>
      </w:r>
      <w:r w:rsidRPr="0059433B">
        <w:fldChar w:fldCharType="separate"/>
      </w:r>
      <w:r w:rsidR="00042B2E" w:rsidRPr="0059433B">
        <w:t>Table 5</w:t>
      </w:r>
      <w:r w:rsidRPr="0059433B">
        <w:fldChar w:fldCharType="end"/>
      </w:r>
      <w:r w:rsidRPr="0059433B">
        <w:t>).</w:t>
      </w:r>
    </w:p>
    <w:p w14:paraId="67D2A130" w14:textId="77777777" w:rsidR="00F126D4" w:rsidRPr="0059433B" w:rsidRDefault="00230CBC" w:rsidP="00331793">
      <w:pPr>
        <w:pStyle w:val="COMexecsummbulletlist"/>
        <w:ind w:hanging="357"/>
      </w:pPr>
      <w:r w:rsidRPr="0059433B">
        <w:t xml:space="preserve">Approximately </w:t>
      </w:r>
      <w:proofErr w:type="gramStart"/>
      <w:r w:rsidRPr="0059433B">
        <w:t>30</w:t>
      </w:r>
      <w:proofErr w:type="gramEnd"/>
      <w:r w:rsidRPr="0059433B">
        <w:t xml:space="preserve"> additional patients would have stable PND scores and approximately 8 people would have improved PND scores (</w:t>
      </w:r>
      <w:r w:rsidRPr="0059433B">
        <w:fldChar w:fldCharType="begin" w:fldLock="1"/>
      </w:r>
      <w:r w:rsidRPr="0059433B">
        <w:instrText xml:space="preserve"> REF _Ref132622181 \h </w:instrText>
      </w:r>
      <w:r w:rsidRPr="0059433B">
        <w:fldChar w:fldCharType="separate"/>
      </w:r>
      <w:r w:rsidR="00042B2E" w:rsidRPr="0059433B">
        <w:t>Table 6</w:t>
      </w:r>
      <w:r w:rsidRPr="0059433B">
        <w:fldChar w:fldCharType="end"/>
      </w:r>
      <w:r w:rsidRPr="0059433B">
        <w:t>)</w:t>
      </w:r>
      <w:r w:rsidR="009B466A" w:rsidRPr="0059433B">
        <w:t>.</w:t>
      </w:r>
    </w:p>
    <w:p w14:paraId="5A19ABD9" w14:textId="1EA2D503" w:rsidR="00230CBC" w:rsidRPr="0059433B" w:rsidRDefault="00230CBC" w:rsidP="00331793">
      <w:pPr>
        <w:pStyle w:val="COMexecsummbulletlist"/>
        <w:ind w:hanging="357"/>
      </w:pPr>
      <w:r w:rsidRPr="0059433B">
        <w:t xml:space="preserve">Approximately </w:t>
      </w:r>
      <w:proofErr w:type="gramStart"/>
      <w:r w:rsidRPr="0059433B">
        <w:t>41</w:t>
      </w:r>
      <w:proofErr w:type="gramEnd"/>
      <w:r w:rsidRPr="0059433B">
        <w:t xml:space="preserve"> additional patients will show improvement in health-related quality of life measured by the Norfolk QoL-DN scale (</w:t>
      </w:r>
      <w:r w:rsidRPr="0059433B">
        <w:fldChar w:fldCharType="begin" w:fldLock="1"/>
      </w:r>
      <w:r w:rsidRPr="0059433B">
        <w:instrText xml:space="preserve"> REF _Ref132622181 \h </w:instrText>
      </w:r>
      <w:r w:rsidRPr="0059433B">
        <w:fldChar w:fldCharType="separate"/>
      </w:r>
      <w:r w:rsidR="00042B2E" w:rsidRPr="0059433B">
        <w:t>Table 6</w:t>
      </w:r>
      <w:r w:rsidRPr="0059433B">
        <w:fldChar w:fldCharType="end"/>
      </w:r>
      <w:r w:rsidRPr="0059433B">
        <w:t>).</w:t>
      </w:r>
    </w:p>
    <w:p w14:paraId="25E29726" w14:textId="430D3197" w:rsidR="00230CBC" w:rsidRPr="0059433B" w:rsidRDefault="00230CBC" w:rsidP="00331793">
      <w:pPr>
        <w:pStyle w:val="COMexecsummbulletlist"/>
        <w:ind w:hanging="357"/>
      </w:pPr>
      <w:r w:rsidRPr="0059433B">
        <w:t xml:space="preserve">Approximately </w:t>
      </w:r>
      <w:proofErr w:type="gramStart"/>
      <w:r w:rsidRPr="0059433B">
        <w:t>19</w:t>
      </w:r>
      <w:proofErr w:type="gramEnd"/>
      <w:r w:rsidRPr="0059433B">
        <w:t xml:space="preserve"> patients will experience an infusion related reaction (</w:t>
      </w:r>
      <w:r w:rsidRPr="0059433B">
        <w:fldChar w:fldCharType="begin" w:fldLock="1"/>
      </w:r>
      <w:r w:rsidRPr="0059433B">
        <w:instrText xml:space="preserve"> REF _Ref134629598 \h </w:instrText>
      </w:r>
      <w:r w:rsidRPr="0059433B">
        <w:fldChar w:fldCharType="separate"/>
      </w:r>
      <w:r w:rsidR="00042B2E" w:rsidRPr="0059433B">
        <w:t>Table 8</w:t>
      </w:r>
      <w:r w:rsidRPr="0059433B">
        <w:fldChar w:fldCharType="end"/>
      </w:r>
      <w:r w:rsidRPr="0059433B">
        <w:t>).</w:t>
      </w:r>
    </w:p>
    <w:p w14:paraId="00CD5531" w14:textId="17EF3D34" w:rsidR="00230CBC" w:rsidRPr="0059433B" w:rsidRDefault="00230CBC" w:rsidP="00331793">
      <w:pPr>
        <w:pStyle w:val="COMexecsummbulletlist"/>
        <w:ind w:hanging="357"/>
      </w:pPr>
      <w:r w:rsidRPr="0059433B">
        <w:t xml:space="preserve">Approximately </w:t>
      </w:r>
      <w:proofErr w:type="gramStart"/>
      <w:r w:rsidRPr="0059433B">
        <w:t>8</w:t>
      </w:r>
      <w:proofErr w:type="gramEnd"/>
      <w:r w:rsidRPr="0059433B">
        <w:t xml:space="preserve"> fewer patients will experience a severe adverse event (</w:t>
      </w:r>
      <w:r w:rsidRPr="0059433B">
        <w:fldChar w:fldCharType="begin" w:fldLock="1"/>
      </w:r>
      <w:r w:rsidRPr="0059433B">
        <w:instrText xml:space="preserve"> REF _Ref134629598 \h </w:instrText>
      </w:r>
      <w:r w:rsidRPr="0059433B">
        <w:fldChar w:fldCharType="separate"/>
      </w:r>
      <w:r w:rsidR="00042B2E" w:rsidRPr="0059433B">
        <w:t>Table 8</w:t>
      </w:r>
      <w:r w:rsidRPr="0059433B">
        <w:fldChar w:fldCharType="end"/>
      </w:r>
      <w:r w:rsidRPr="0059433B">
        <w:t>).</w:t>
      </w:r>
    </w:p>
    <w:p w14:paraId="6049D7BF" w14:textId="39EE4CD4" w:rsidR="00230CBC" w:rsidRPr="0059433B" w:rsidRDefault="00230CBC" w:rsidP="00331793">
      <w:pPr>
        <w:pStyle w:val="COMexecsummbulletlist"/>
        <w:ind w:hanging="357"/>
      </w:pPr>
      <w:r w:rsidRPr="0059433B">
        <w:t>There will be no difference in the number of deaths (</w:t>
      </w:r>
      <w:r w:rsidRPr="0059433B">
        <w:fldChar w:fldCharType="begin" w:fldLock="1"/>
      </w:r>
      <w:r w:rsidRPr="0059433B">
        <w:instrText xml:space="preserve"> REF _Ref134629598 \h </w:instrText>
      </w:r>
      <w:r w:rsidRPr="0059433B">
        <w:fldChar w:fldCharType="separate"/>
      </w:r>
      <w:r w:rsidR="00042B2E" w:rsidRPr="0059433B">
        <w:t>Table 8</w:t>
      </w:r>
      <w:r w:rsidRPr="0059433B">
        <w:fldChar w:fldCharType="end"/>
      </w:r>
      <w:r w:rsidRPr="0059433B">
        <w:t>).</w:t>
      </w:r>
    </w:p>
    <w:p w14:paraId="0BE694E8" w14:textId="77777777" w:rsidR="00230CBC" w:rsidRPr="0059433B" w:rsidRDefault="00230CBC" w:rsidP="00230CBC">
      <w:pPr>
        <w:pStyle w:val="COMH2-non-numbered"/>
      </w:pPr>
      <w:bookmarkStart w:id="46" w:name="_Toc22897644"/>
      <w:bookmarkStart w:id="47" w:name="_Toc135226809"/>
      <w:r w:rsidRPr="0059433B">
        <w:t>Clinical claim</w:t>
      </w:r>
      <w:bookmarkEnd w:id="46"/>
      <w:bookmarkEnd w:id="47"/>
    </w:p>
    <w:p w14:paraId="14778155" w14:textId="5B8950A1" w:rsidR="00F126D4" w:rsidRPr="0059433B" w:rsidRDefault="00230CBC" w:rsidP="00230CBC">
      <w:pPr>
        <w:pStyle w:val="COMexecsumnumberedpara"/>
        <w:rPr>
          <w:rFonts w:eastAsia="Calibri"/>
        </w:rPr>
      </w:pPr>
      <w:r w:rsidRPr="0059433B">
        <w:rPr>
          <w:rFonts w:eastAsia="Calibri"/>
        </w:rPr>
        <w:t xml:space="preserve">The submission described patisiran as superior in terms of delaying disease progression, reducing neuropathy symptoms, and improving health-related quality of life compared to placebo. </w:t>
      </w:r>
      <w:r w:rsidRPr="0059433B">
        <w:t>The claim was supported by the primary outcome of change from baseline in mNIS+7, and secondary outcomes including Norfolk QoL-DN scores (a measure of health-related quality of life), motor strength (measured on NIS-Weakness scale), daily and social activities (measured with R-ODS scale), nutritional status (measured with mBMI), and autonomic neuropathy symptoms (measured with COMPASS-31).</w:t>
      </w:r>
      <w:r w:rsidR="00A66278" w:rsidRPr="0059433B">
        <w:t xml:space="preserve"> </w:t>
      </w:r>
      <w:r w:rsidRPr="0059433B">
        <w:rPr>
          <w:iCs/>
        </w:rPr>
        <w:t xml:space="preserve">The </w:t>
      </w:r>
      <w:r w:rsidRPr="0059433B">
        <w:rPr>
          <w:rFonts w:eastAsia="Calibri"/>
          <w:iCs/>
        </w:rPr>
        <w:t xml:space="preserve">claim </w:t>
      </w:r>
      <w:proofErr w:type="gramStart"/>
      <w:r w:rsidRPr="0059433B">
        <w:rPr>
          <w:rFonts w:eastAsia="Calibri"/>
          <w:iCs/>
        </w:rPr>
        <w:t>was</w:t>
      </w:r>
      <w:r w:rsidRPr="0059433B">
        <w:rPr>
          <w:rFonts w:eastAsia="Calibri"/>
        </w:rPr>
        <w:t xml:space="preserve"> adequately supported</w:t>
      </w:r>
      <w:proofErr w:type="gramEnd"/>
      <w:r w:rsidRPr="0059433B">
        <w:rPr>
          <w:rFonts w:eastAsia="Calibri"/>
        </w:rPr>
        <w:t xml:space="preserve"> over the randomised trial period but the magnitude of benefit in the long term is uncertain. </w:t>
      </w:r>
      <w:r w:rsidRPr="0059433B">
        <w:rPr>
          <w:iCs/>
        </w:rPr>
        <w:t xml:space="preserve">The APOLLO trial did not demonstrate a significant difference in mortality. </w:t>
      </w:r>
      <w:r w:rsidRPr="0059433B">
        <w:rPr>
          <w:rFonts w:eastAsia="Calibri"/>
        </w:rPr>
        <w:t xml:space="preserve">There was a lack of comparative efficacy and safety data beyond the </w:t>
      </w:r>
      <w:r w:rsidR="00CA2A20" w:rsidRPr="0059433B">
        <w:rPr>
          <w:rFonts w:eastAsia="Calibri"/>
        </w:rPr>
        <w:t>18-month</w:t>
      </w:r>
      <w:r w:rsidRPr="0059433B">
        <w:rPr>
          <w:rFonts w:eastAsia="Calibri"/>
        </w:rPr>
        <w:t xml:space="preserve"> APOLLO randomised trial. The applicability of the results to the Australian patient population was uncertain. It is unclear whether the distribution of PND scores from the APOLLO trial will be applicable to the proposed Australian population given potential differences in the distribution of patients across PND </w:t>
      </w:r>
      <w:r w:rsidR="00512F3E" w:rsidRPr="0059433B">
        <w:rPr>
          <w:rFonts w:eastAsia="Calibri"/>
        </w:rPr>
        <w:t>scores</w:t>
      </w:r>
      <w:r w:rsidRPr="0059433B">
        <w:rPr>
          <w:rFonts w:eastAsia="Calibri"/>
        </w:rPr>
        <w:t xml:space="preserve"> and proportion of patients with cardiac involvement.</w:t>
      </w:r>
      <w:r w:rsidRPr="0059433B">
        <w:t xml:space="preserve"> </w:t>
      </w:r>
      <w:r w:rsidRPr="0059433B">
        <w:rPr>
          <w:rFonts w:eastAsia="Calibri"/>
        </w:rPr>
        <w:t xml:space="preserve">The availability of MBS-funded genetic testing and the PBS listing of a disease-modifying treatment may lead to an increase in diagnostic </w:t>
      </w:r>
      <w:r w:rsidR="00CA2A20" w:rsidRPr="0059433B">
        <w:rPr>
          <w:rFonts w:eastAsia="Calibri"/>
        </w:rPr>
        <w:t>testing and</w:t>
      </w:r>
      <w:r w:rsidRPr="0059433B">
        <w:rPr>
          <w:rFonts w:eastAsia="Calibri"/>
        </w:rPr>
        <w:t xml:space="preserve"> may identify greater numbers of patients at </w:t>
      </w:r>
      <w:proofErr w:type="gramStart"/>
      <w:r w:rsidRPr="0059433B">
        <w:rPr>
          <w:rFonts w:eastAsia="Calibri"/>
        </w:rPr>
        <w:t>early stages</w:t>
      </w:r>
      <w:proofErr w:type="gramEnd"/>
      <w:r w:rsidRPr="0059433B">
        <w:rPr>
          <w:rFonts w:eastAsia="Calibri"/>
        </w:rPr>
        <w:t xml:space="preserve"> of disease.</w:t>
      </w:r>
    </w:p>
    <w:p w14:paraId="45400B46" w14:textId="64BD678E" w:rsidR="00F126D4" w:rsidRPr="0059433B" w:rsidRDefault="00230CBC" w:rsidP="00230CBC">
      <w:pPr>
        <w:pStyle w:val="COMexecsumnumberedpara"/>
        <w:rPr>
          <w:rFonts w:eastAsia="Calibri"/>
          <w:iCs/>
        </w:rPr>
      </w:pPr>
      <w:r w:rsidRPr="0059433B">
        <w:rPr>
          <w:rFonts w:eastAsia="Calibri"/>
        </w:rPr>
        <w:t xml:space="preserve">The submission described patisiran as comparable in terms of safety compared to placebo. This claim </w:t>
      </w:r>
      <w:proofErr w:type="gramStart"/>
      <w:r w:rsidRPr="0059433B">
        <w:rPr>
          <w:rFonts w:eastAsia="Calibri"/>
        </w:rPr>
        <w:t>was not adequately supported</w:t>
      </w:r>
      <w:proofErr w:type="gramEnd"/>
      <w:r w:rsidRPr="0059433B">
        <w:rPr>
          <w:rFonts w:eastAsia="Calibri"/>
        </w:rPr>
        <w:t>. While overall safety was comparable between treatment arms in the APOLLO trial, patisiran treated patients experienced more infusion-related reactions.</w:t>
      </w:r>
      <w:r w:rsidR="00F45F60" w:rsidRPr="0059433B">
        <w:rPr>
          <w:rFonts w:eastAsia="Calibri"/>
        </w:rPr>
        <w:t xml:space="preserve"> </w:t>
      </w:r>
      <w:r w:rsidRPr="0059433B">
        <w:rPr>
          <w:rFonts w:eastAsia="Calibri"/>
          <w:iCs/>
        </w:rPr>
        <w:t xml:space="preserve">The ESC also noted that mRNA interference therapies are </w:t>
      </w:r>
      <w:proofErr w:type="gramStart"/>
      <w:r w:rsidRPr="0059433B">
        <w:rPr>
          <w:rFonts w:eastAsia="Calibri"/>
          <w:iCs/>
        </w:rPr>
        <w:t>relatively new</w:t>
      </w:r>
      <w:proofErr w:type="gramEnd"/>
      <w:r w:rsidRPr="0059433B">
        <w:rPr>
          <w:rFonts w:eastAsia="Calibri"/>
          <w:iCs/>
        </w:rPr>
        <w:t xml:space="preserve"> and that there is limited long term experience with these types of therapies.</w:t>
      </w:r>
      <w:r w:rsidR="00F45F60" w:rsidRPr="0059433B">
        <w:rPr>
          <w:rFonts w:eastAsia="Calibri"/>
          <w:iCs/>
        </w:rPr>
        <w:t xml:space="preserve"> </w:t>
      </w:r>
      <w:r w:rsidRPr="0059433B">
        <w:rPr>
          <w:rFonts w:eastAsia="Calibri"/>
          <w:iCs/>
        </w:rPr>
        <w:t xml:space="preserve">Whilst the ESC considered that safety, as </w:t>
      </w:r>
      <w:r w:rsidRPr="0059433B">
        <w:rPr>
          <w:rFonts w:eastAsia="Calibri"/>
          <w:iCs/>
        </w:rPr>
        <w:lastRenderedPageBreak/>
        <w:t xml:space="preserve">demonstrated in the APOLLO trial, was similar to placebo, overall there was inadequate </w:t>
      </w:r>
      <w:r w:rsidR="00CA2A20" w:rsidRPr="0059433B">
        <w:rPr>
          <w:rFonts w:eastAsia="Calibri"/>
          <w:iCs/>
        </w:rPr>
        <w:t>longer-term</w:t>
      </w:r>
      <w:r w:rsidRPr="0059433B">
        <w:rPr>
          <w:rFonts w:eastAsia="Calibri"/>
          <w:iCs/>
        </w:rPr>
        <w:t xml:space="preserve"> evidence to support a conclusion of comparable safety.</w:t>
      </w:r>
    </w:p>
    <w:p w14:paraId="1F0D8BD5" w14:textId="4E917E9D" w:rsidR="00230CBC" w:rsidRPr="0059433B" w:rsidRDefault="00230CBC" w:rsidP="00230CBC">
      <w:pPr>
        <w:pStyle w:val="COMexecsumnumberedpara"/>
        <w:rPr>
          <w:rFonts w:eastAsia="Calibri"/>
          <w:iCs/>
        </w:rPr>
      </w:pPr>
      <w:r w:rsidRPr="0059433B">
        <w:rPr>
          <w:rFonts w:eastAsia="Calibri"/>
          <w:iCs/>
        </w:rPr>
        <w:t>The PSCR provided additional discussion in regard to concerns raised in the commentary about the lack of comparative efficacy and safety data beyond the 18-month APOLLO randomised trial.</w:t>
      </w:r>
      <w:r w:rsidR="00F45F60" w:rsidRPr="0059433B">
        <w:rPr>
          <w:rFonts w:eastAsia="Calibri"/>
          <w:iCs/>
        </w:rPr>
        <w:t xml:space="preserve"> </w:t>
      </w:r>
      <w:r w:rsidRPr="0059433B">
        <w:rPr>
          <w:rFonts w:eastAsia="Calibri"/>
          <w:iCs/>
        </w:rPr>
        <w:t xml:space="preserve">The PSCR stated that the APOLLO trial design was based on guidance from the European Medicines Agency (EMA) and the US Food and Drug Administration (FDA) which suggested that the 18-month duration of placebo-controlled follow-up was reasonable, balancing between the need to clearly demonstrate separation between drug and placebo (which would favour longer follow-up) and the need to limit dropout rates (which would favour shorter trial durations). The PSCR noted that the trial duration for APOLLO was consistent with trials of other therapies in this indication. The PSCR also discussed ethical concerns associated with requiring patients to receive placebo treatment in the context of a disease that causes irreversible morbidity. The PSCR also noted that the Global OLE study provided evidence of </w:t>
      </w:r>
      <w:r w:rsidR="00CA2A20" w:rsidRPr="0059433B">
        <w:rPr>
          <w:rFonts w:eastAsia="Calibri"/>
          <w:iCs/>
        </w:rPr>
        <w:t>long-term</w:t>
      </w:r>
      <w:r w:rsidRPr="0059433B">
        <w:rPr>
          <w:rFonts w:eastAsia="Calibri"/>
          <w:iCs/>
        </w:rPr>
        <w:t xml:space="preserve"> stabilisation with patisiran that was unlikely to be attributable to open-label bias in view of the known natural history of hATTR amyloidosis. The PSCR stated there was no biological rationale to anticipate reduced efficacy after repeated patisiran administration, as the silencing of TTR mRNA with patisiran inhibits the main source of TTR (the disease-causing protein) in the body, and antidrug antibodies to patisiran are rare (occurring in 3.4% of patients in APOLLO) and do not appear to impact treatment efficacy.</w:t>
      </w:r>
    </w:p>
    <w:p w14:paraId="4595CA3B" w14:textId="3D0E1078" w:rsidR="00F126D4" w:rsidRPr="0059433B" w:rsidRDefault="00230CBC" w:rsidP="00230CBC">
      <w:pPr>
        <w:pStyle w:val="COMexecsumnumberedpara"/>
        <w:rPr>
          <w:rFonts w:eastAsia="Calibri"/>
          <w:iCs/>
        </w:rPr>
      </w:pPr>
      <w:r w:rsidRPr="0059433B">
        <w:rPr>
          <w:rFonts w:eastAsia="Calibri"/>
          <w:iCs/>
        </w:rPr>
        <w:t>The PBAC considered that the evidence supported a claim of superior efficacy for patisiran compared with BSC, however the magnitude and duration of benefit remained uncertain.</w:t>
      </w:r>
      <w:r w:rsidR="00F45F60" w:rsidRPr="0059433B">
        <w:rPr>
          <w:rFonts w:eastAsia="Calibri"/>
          <w:iCs/>
        </w:rPr>
        <w:t xml:space="preserve"> </w:t>
      </w:r>
      <w:r w:rsidRPr="0059433B">
        <w:rPr>
          <w:rFonts w:eastAsia="Calibri"/>
          <w:iCs/>
        </w:rPr>
        <w:t xml:space="preserve">The PBAC considered that the </w:t>
      </w:r>
      <w:r w:rsidR="00CA2A20" w:rsidRPr="0059433B">
        <w:rPr>
          <w:rFonts w:eastAsia="Calibri"/>
          <w:iCs/>
        </w:rPr>
        <w:t>long-term</w:t>
      </w:r>
      <w:r w:rsidRPr="0059433B">
        <w:rPr>
          <w:rFonts w:eastAsia="Calibri"/>
          <w:iCs/>
        </w:rPr>
        <w:t xml:space="preserve"> safety of patisiran was uncertain due to the limited duration of follow-up to date, which was particularly relevant in the context of the new mechanism of action of patisiran.</w:t>
      </w:r>
      <w:r w:rsidR="00F45F60" w:rsidRPr="0059433B">
        <w:rPr>
          <w:rFonts w:eastAsia="Calibri"/>
          <w:iCs/>
        </w:rPr>
        <w:t xml:space="preserve"> </w:t>
      </w:r>
      <w:r w:rsidRPr="0059433B">
        <w:rPr>
          <w:rFonts w:eastAsia="Calibri"/>
          <w:iCs/>
        </w:rPr>
        <w:t xml:space="preserve">The PBAC considered there was inadequate </w:t>
      </w:r>
      <w:r w:rsidR="00CA2A20" w:rsidRPr="0059433B">
        <w:rPr>
          <w:rFonts w:eastAsia="Calibri"/>
          <w:iCs/>
        </w:rPr>
        <w:t>long-term</w:t>
      </w:r>
      <w:r w:rsidRPr="0059433B">
        <w:rPr>
          <w:rFonts w:eastAsia="Calibri"/>
          <w:iCs/>
        </w:rPr>
        <w:t xml:space="preserve"> evidence to support a conclusion of comparable </w:t>
      </w:r>
      <w:r w:rsidR="00CA2A20" w:rsidRPr="0059433B">
        <w:rPr>
          <w:rFonts w:eastAsia="Calibri"/>
          <w:iCs/>
        </w:rPr>
        <w:t>safety and</w:t>
      </w:r>
      <w:r w:rsidRPr="0059433B">
        <w:rPr>
          <w:rFonts w:eastAsia="Calibri"/>
          <w:iCs/>
        </w:rPr>
        <w:t xml:space="preserve"> considered that patisiran was inferior to BSC in terms of safety, noting that patisiran-treated patients experienced more infusion-related reactions than the comparator group.</w:t>
      </w:r>
    </w:p>
    <w:p w14:paraId="4102D228" w14:textId="44FD543F" w:rsidR="00F126D4" w:rsidRPr="0059433B" w:rsidRDefault="00230CBC" w:rsidP="00230CBC">
      <w:pPr>
        <w:pStyle w:val="COMH2-non-numbered"/>
      </w:pPr>
      <w:bookmarkStart w:id="48" w:name="_Toc22897645"/>
      <w:bookmarkStart w:id="49" w:name="_Toc107927631"/>
      <w:bookmarkStart w:id="50" w:name="_Toc135226810"/>
      <w:r w:rsidRPr="0059433B">
        <w:t>Economic analysis</w:t>
      </w:r>
      <w:bookmarkEnd w:id="48"/>
      <w:bookmarkEnd w:id="49"/>
      <w:bookmarkEnd w:id="50"/>
    </w:p>
    <w:p w14:paraId="3CEB5A51" w14:textId="3B0E4C38" w:rsidR="00230CBC" w:rsidRPr="0059433B" w:rsidRDefault="00230CBC" w:rsidP="00230CBC">
      <w:pPr>
        <w:pStyle w:val="COMexecsumnumberedpara"/>
      </w:pPr>
      <w:r w:rsidRPr="0059433B">
        <w:t xml:space="preserve">The submission presented a modelled economic evaluation comparing patisiran with BSC, for the treatment of patients with hATTR amyloidosis with polyneuropathy. The economic evaluation </w:t>
      </w:r>
      <w:proofErr w:type="gramStart"/>
      <w:r w:rsidRPr="0059433B">
        <w:t>was presented</w:t>
      </w:r>
      <w:proofErr w:type="gramEnd"/>
      <w:r w:rsidRPr="0059433B">
        <w:t xml:space="preserve"> as a cost-utility analysis.</w:t>
      </w:r>
    </w:p>
    <w:p w14:paraId="2BF4B7D8" w14:textId="677AFF7F" w:rsidR="00230CBC" w:rsidRPr="0059433B" w:rsidRDefault="00230CBC" w:rsidP="00230CBC">
      <w:pPr>
        <w:pStyle w:val="COMTableheadingrow"/>
        <w:rPr>
          <w:lang w:val="en-AU"/>
        </w:rPr>
      </w:pPr>
      <w:r w:rsidRPr="0059433B">
        <w:rPr>
          <w:lang w:val="en-AU"/>
        </w:rPr>
        <w:lastRenderedPageBreak/>
        <w:t xml:space="preserve">Table </w:t>
      </w:r>
      <w:r w:rsidRPr="0059433B">
        <w:rPr>
          <w:lang w:val="en-AU"/>
        </w:rPr>
        <w:fldChar w:fldCharType="begin" w:fldLock="1"/>
      </w:r>
      <w:r w:rsidRPr="0059433B">
        <w:rPr>
          <w:lang w:val="en-AU"/>
        </w:rPr>
        <w:instrText xml:space="preserve"> SEQ Table \* ARABIC </w:instrText>
      </w:r>
      <w:r w:rsidRPr="0059433B">
        <w:rPr>
          <w:lang w:val="en-AU"/>
        </w:rPr>
        <w:fldChar w:fldCharType="separate"/>
      </w:r>
      <w:r w:rsidR="00042B2E" w:rsidRPr="0059433B">
        <w:rPr>
          <w:lang w:val="en-AU"/>
        </w:rPr>
        <w:t>9</w:t>
      </w:r>
      <w:r w:rsidRPr="0059433B">
        <w:rPr>
          <w:lang w:val="en-AU"/>
        </w:rPr>
        <w:fldChar w:fldCharType="end"/>
      </w:r>
      <w:r w:rsidRPr="0059433B">
        <w:rPr>
          <w:lang w:val="en-AU"/>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key inputs and rationale"/>
      </w:tblPr>
      <w:tblGrid>
        <w:gridCol w:w="1838"/>
        <w:gridCol w:w="7179"/>
      </w:tblGrid>
      <w:tr w:rsidR="00230CBC" w:rsidRPr="0059433B" w14:paraId="026C7234" w14:textId="77777777" w:rsidTr="00C5774C">
        <w:trPr>
          <w:tblHeader/>
        </w:trPr>
        <w:tc>
          <w:tcPr>
            <w:tcW w:w="1019" w:type="pct"/>
            <w:vAlign w:val="center"/>
          </w:tcPr>
          <w:p w14:paraId="663DB687" w14:textId="77777777" w:rsidR="00230CBC" w:rsidRPr="0059433B" w:rsidRDefault="00230CBC" w:rsidP="00C5774C">
            <w:pPr>
              <w:pStyle w:val="COMTableheadingrow"/>
              <w:rPr>
                <w:lang w:val="en-AU"/>
              </w:rPr>
            </w:pPr>
            <w:r w:rsidRPr="0059433B">
              <w:rPr>
                <w:lang w:val="en-AU"/>
              </w:rPr>
              <w:t>Component</w:t>
            </w:r>
          </w:p>
        </w:tc>
        <w:tc>
          <w:tcPr>
            <w:tcW w:w="3981" w:type="pct"/>
          </w:tcPr>
          <w:p w14:paraId="689049CF" w14:textId="77777777" w:rsidR="00230CBC" w:rsidRPr="0059433B" w:rsidRDefault="00230CBC" w:rsidP="00C5774C">
            <w:pPr>
              <w:pStyle w:val="COMTableheadingrow"/>
              <w:jc w:val="center"/>
              <w:rPr>
                <w:lang w:val="en-AU"/>
              </w:rPr>
            </w:pPr>
            <w:r w:rsidRPr="0059433B">
              <w:rPr>
                <w:lang w:val="en-AU"/>
              </w:rPr>
              <w:t>Description</w:t>
            </w:r>
          </w:p>
        </w:tc>
      </w:tr>
      <w:tr w:rsidR="00230CBC" w:rsidRPr="0059433B" w14:paraId="6C084D1E" w14:textId="77777777" w:rsidTr="00C5774C">
        <w:tc>
          <w:tcPr>
            <w:tcW w:w="1019" w:type="pct"/>
            <w:vAlign w:val="center"/>
          </w:tcPr>
          <w:p w14:paraId="1565ECDD" w14:textId="77777777" w:rsidR="00230CBC" w:rsidRPr="0059433B" w:rsidRDefault="00230CBC" w:rsidP="00C5774C">
            <w:pPr>
              <w:pStyle w:val="COMTabletext"/>
            </w:pPr>
            <w:r w:rsidRPr="0059433B">
              <w:t>Treatments</w:t>
            </w:r>
          </w:p>
        </w:tc>
        <w:tc>
          <w:tcPr>
            <w:tcW w:w="3981" w:type="pct"/>
          </w:tcPr>
          <w:p w14:paraId="023CA811" w14:textId="77777777" w:rsidR="00230CBC" w:rsidRPr="0059433B" w:rsidRDefault="00230CBC" w:rsidP="00C5774C">
            <w:pPr>
              <w:pStyle w:val="COMTabletext"/>
            </w:pPr>
            <w:r w:rsidRPr="0059433B">
              <w:t>Patisiran versus best supportive care (BSC)</w:t>
            </w:r>
          </w:p>
        </w:tc>
      </w:tr>
      <w:tr w:rsidR="00230CBC" w:rsidRPr="0059433B" w14:paraId="412B70F6" w14:textId="77777777" w:rsidTr="00C5774C">
        <w:tc>
          <w:tcPr>
            <w:tcW w:w="1019" w:type="pct"/>
            <w:vAlign w:val="center"/>
          </w:tcPr>
          <w:p w14:paraId="158379E7" w14:textId="77777777" w:rsidR="00230CBC" w:rsidRPr="0059433B" w:rsidRDefault="00230CBC" w:rsidP="00C5774C">
            <w:pPr>
              <w:pStyle w:val="COMTabletext"/>
            </w:pPr>
            <w:r w:rsidRPr="0059433B">
              <w:t>Time horizon</w:t>
            </w:r>
          </w:p>
        </w:tc>
        <w:tc>
          <w:tcPr>
            <w:tcW w:w="3981" w:type="pct"/>
          </w:tcPr>
          <w:p w14:paraId="6FE86304" w14:textId="77777777" w:rsidR="00230CBC" w:rsidRPr="0059433B" w:rsidRDefault="00230CBC" w:rsidP="00C5774C">
            <w:pPr>
              <w:pStyle w:val="COMTabletext"/>
            </w:pPr>
            <w:r w:rsidRPr="0059433B">
              <w:t>40 years versus up to 18 months for the placebo arm in the APOLLO trial and up to 54 months (4.5 years) for the patisiran arm in the APOLLO trial and the Global OLE study.</w:t>
            </w:r>
          </w:p>
        </w:tc>
      </w:tr>
      <w:tr w:rsidR="00230CBC" w:rsidRPr="0059433B" w14:paraId="4C69C91C" w14:textId="77777777" w:rsidTr="00C5774C">
        <w:tc>
          <w:tcPr>
            <w:tcW w:w="1019" w:type="pct"/>
          </w:tcPr>
          <w:p w14:paraId="3A996569" w14:textId="77777777" w:rsidR="00230CBC" w:rsidRPr="0059433B" w:rsidRDefault="00230CBC" w:rsidP="00C5774C">
            <w:pPr>
              <w:pStyle w:val="COMTabletext"/>
            </w:pPr>
            <w:r w:rsidRPr="0059433B">
              <w:t>Outcomes</w:t>
            </w:r>
          </w:p>
        </w:tc>
        <w:tc>
          <w:tcPr>
            <w:tcW w:w="3981" w:type="pct"/>
          </w:tcPr>
          <w:p w14:paraId="29D43108" w14:textId="77777777" w:rsidR="00230CBC" w:rsidRPr="0059433B" w:rsidRDefault="00230CBC" w:rsidP="00C5774C">
            <w:pPr>
              <w:pStyle w:val="COMTabletext"/>
            </w:pPr>
            <w:r w:rsidRPr="0059433B">
              <w:t>Quality-adjusted life years</w:t>
            </w:r>
          </w:p>
        </w:tc>
      </w:tr>
      <w:tr w:rsidR="00230CBC" w:rsidRPr="0059433B" w14:paraId="169B2752" w14:textId="77777777" w:rsidTr="00C5774C">
        <w:tc>
          <w:tcPr>
            <w:tcW w:w="1019" w:type="pct"/>
          </w:tcPr>
          <w:p w14:paraId="115522C6" w14:textId="77777777" w:rsidR="00230CBC" w:rsidRPr="0059433B" w:rsidRDefault="00230CBC" w:rsidP="00C5774C">
            <w:pPr>
              <w:pStyle w:val="COMTabletext"/>
            </w:pPr>
            <w:r w:rsidRPr="0059433B">
              <w:t>Methods used to generate results</w:t>
            </w:r>
          </w:p>
        </w:tc>
        <w:tc>
          <w:tcPr>
            <w:tcW w:w="3981" w:type="pct"/>
          </w:tcPr>
          <w:p w14:paraId="0A23B31D" w14:textId="77777777" w:rsidR="00230CBC" w:rsidRPr="0059433B" w:rsidRDefault="00230CBC" w:rsidP="00C5774C">
            <w:pPr>
              <w:pStyle w:val="COMTabletext"/>
            </w:pPr>
            <w:r w:rsidRPr="0059433B">
              <w:t>Markov model</w:t>
            </w:r>
          </w:p>
        </w:tc>
      </w:tr>
      <w:tr w:rsidR="00230CBC" w:rsidRPr="0059433B" w14:paraId="3B50D99C" w14:textId="77777777" w:rsidTr="00C5774C">
        <w:tc>
          <w:tcPr>
            <w:tcW w:w="1019" w:type="pct"/>
          </w:tcPr>
          <w:p w14:paraId="594028B7" w14:textId="77777777" w:rsidR="00230CBC" w:rsidRPr="0059433B" w:rsidRDefault="00230CBC" w:rsidP="00C5774C">
            <w:pPr>
              <w:pStyle w:val="COMTabletext"/>
            </w:pPr>
            <w:r w:rsidRPr="0059433B">
              <w:t>Health states</w:t>
            </w:r>
          </w:p>
        </w:tc>
        <w:tc>
          <w:tcPr>
            <w:tcW w:w="3981" w:type="pct"/>
          </w:tcPr>
          <w:p w14:paraId="0D66C99A" w14:textId="77777777" w:rsidR="00230CBC" w:rsidRPr="0059433B" w:rsidRDefault="00230CBC" w:rsidP="00C5774C">
            <w:pPr>
              <w:pStyle w:val="COMTabletext"/>
            </w:pPr>
            <w:r w:rsidRPr="0059433B">
              <w:t>Seven health states: PND 0, PND I, PND II, PND IIIA, PND IIIB, PND IV, and death. Patients in the patisiran arm could be on or off treatment with patisiran.</w:t>
            </w:r>
          </w:p>
        </w:tc>
      </w:tr>
      <w:tr w:rsidR="00230CBC" w:rsidRPr="0059433B" w14:paraId="6FF0BD65" w14:textId="77777777" w:rsidTr="00C5774C">
        <w:tc>
          <w:tcPr>
            <w:tcW w:w="1019" w:type="pct"/>
            <w:vAlign w:val="center"/>
          </w:tcPr>
          <w:p w14:paraId="27B90626" w14:textId="77777777" w:rsidR="00230CBC" w:rsidRPr="0059433B" w:rsidRDefault="00230CBC" w:rsidP="00C5774C">
            <w:pPr>
              <w:pStyle w:val="COMTabletext"/>
            </w:pPr>
            <w:r w:rsidRPr="0059433B">
              <w:t>Cycle length</w:t>
            </w:r>
          </w:p>
        </w:tc>
        <w:tc>
          <w:tcPr>
            <w:tcW w:w="3981" w:type="pct"/>
          </w:tcPr>
          <w:p w14:paraId="002D966E" w14:textId="77777777" w:rsidR="00230CBC" w:rsidRPr="0059433B" w:rsidRDefault="00230CBC" w:rsidP="00C5774C">
            <w:pPr>
              <w:pStyle w:val="COMTabletext"/>
            </w:pPr>
            <w:r w:rsidRPr="0059433B">
              <w:t>6 months</w:t>
            </w:r>
          </w:p>
        </w:tc>
      </w:tr>
      <w:tr w:rsidR="00230CBC" w:rsidRPr="0059433B" w14:paraId="4B4B4840" w14:textId="77777777" w:rsidTr="00C5774C">
        <w:tc>
          <w:tcPr>
            <w:tcW w:w="1019" w:type="pct"/>
            <w:vAlign w:val="center"/>
          </w:tcPr>
          <w:p w14:paraId="019EB7D2" w14:textId="77777777" w:rsidR="00230CBC" w:rsidRPr="0059433B" w:rsidRDefault="00230CBC" w:rsidP="00C5774C">
            <w:pPr>
              <w:pStyle w:val="COMTabletext"/>
              <w:keepNext w:val="0"/>
            </w:pPr>
            <w:r w:rsidRPr="0059433B">
              <w:t>Transition probabilities</w:t>
            </w:r>
          </w:p>
        </w:tc>
        <w:tc>
          <w:tcPr>
            <w:tcW w:w="3981" w:type="pct"/>
          </w:tcPr>
          <w:p w14:paraId="40FE92FC" w14:textId="77777777" w:rsidR="00230CBC" w:rsidRPr="0059433B" w:rsidRDefault="00230CBC" w:rsidP="00C5774C">
            <w:pPr>
              <w:pStyle w:val="COMTabletext"/>
              <w:keepNext w:val="0"/>
            </w:pPr>
            <w:r w:rsidRPr="0059433B">
              <w:t>Health state transitions:</w:t>
            </w:r>
          </w:p>
          <w:p w14:paraId="0159A106" w14:textId="77777777" w:rsidR="00230CBC" w:rsidRPr="0059433B" w:rsidRDefault="00230CBC" w:rsidP="00230CBC">
            <w:pPr>
              <w:pStyle w:val="COMTabletext"/>
              <w:keepNext w:val="0"/>
              <w:numPr>
                <w:ilvl w:val="0"/>
                <w:numId w:val="6"/>
              </w:numPr>
              <w:ind w:left="273" w:hanging="76"/>
            </w:pPr>
            <w:r w:rsidRPr="0059433B">
              <w:t>Patisiran arm transitions during initial 18 months derived from APOLLO trial individual patient data for the patisiran arm (baseline to Month 18). Transitions from 18 months to 54 months derived from the Global OLE study individual patient data (Months 18 to 54). Transitions beyond 54 months derived from individual patient data from the Global OLE study (Months 42 to 54).</w:t>
            </w:r>
          </w:p>
          <w:p w14:paraId="66830917" w14:textId="77777777" w:rsidR="00230CBC" w:rsidRPr="0059433B" w:rsidRDefault="00230CBC" w:rsidP="00230CBC">
            <w:pPr>
              <w:pStyle w:val="COMTabletext"/>
              <w:keepNext w:val="0"/>
              <w:numPr>
                <w:ilvl w:val="0"/>
                <w:numId w:val="6"/>
              </w:numPr>
              <w:ind w:left="273" w:hanging="194"/>
            </w:pPr>
            <w:r w:rsidRPr="0059433B">
              <w:t>BSC arm transitions during initial 18 months derived from APOLLO trial individual patient data for the placebo arm (baseline to Month 18). Transitions beyond 18 months derived from APOLLO trial individual patient data for the placebo arm (baseline to 18 months).</w:t>
            </w:r>
          </w:p>
          <w:p w14:paraId="4C00B41D" w14:textId="77777777" w:rsidR="00230CBC" w:rsidRPr="0059433B" w:rsidRDefault="00230CBC" w:rsidP="00C5774C">
            <w:pPr>
              <w:pStyle w:val="COMTabletext"/>
              <w:keepNext w:val="0"/>
            </w:pPr>
          </w:p>
          <w:p w14:paraId="520A8C09" w14:textId="77777777" w:rsidR="00230CBC" w:rsidRPr="0059433B" w:rsidRDefault="00230CBC" w:rsidP="00C5774C">
            <w:pPr>
              <w:pStyle w:val="COMTabletext"/>
            </w:pPr>
            <w:r w:rsidRPr="0059433B">
              <w:t>Treatment persistence:</w:t>
            </w:r>
          </w:p>
          <w:p w14:paraId="79AB0464" w14:textId="77777777" w:rsidR="00230CBC" w:rsidRPr="0059433B" w:rsidRDefault="00230CBC" w:rsidP="00230CBC">
            <w:pPr>
              <w:pStyle w:val="COMTabletext"/>
              <w:keepNext w:val="0"/>
              <w:numPr>
                <w:ilvl w:val="0"/>
                <w:numId w:val="6"/>
              </w:numPr>
              <w:ind w:left="273" w:hanging="218"/>
            </w:pPr>
            <w:r w:rsidRPr="0059433B">
              <w:t xml:space="preserve">Derived from time to treatment discontinuation data for patisiran in the APOLLO trial and the Global OLE stud. The trial data </w:t>
            </w:r>
            <w:proofErr w:type="gramStart"/>
            <w:r w:rsidRPr="0059433B">
              <w:t>was extrapolated</w:t>
            </w:r>
            <w:proofErr w:type="gramEnd"/>
            <w:r w:rsidRPr="0059433B">
              <w:t xml:space="preserve"> to 40 years using an exponential function, selected on the basis of goodness-of-fit statistics and visual inspection.</w:t>
            </w:r>
          </w:p>
          <w:p w14:paraId="30D46957" w14:textId="77777777" w:rsidR="00230CBC" w:rsidRPr="0059433B" w:rsidRDefault="00230CBC" w:rsidP="00230CBC">
            <w:pPr>
              <w:pStyle w:val="COMTabletext"/>
              <w:keepNext w:val="0"/>
              <w:numPr>
                <w:ilvl w:val="0"/>
                <w:numId w:val="6"/>
              </w:numPr>
              <w:ind w:left="273" w:hanging="218"/>
            </w:pPr>
            <w:r w:rsidRPr="0059433B">
              <w:t xml:space="preserve">Patients transitioning to PND IV </w:t>
            </w:r>
            <w:proofErr w:type="gramStart"/>
            <w:r w:rsidRPr="0059433B">
              <w:t>are assumed</w:t>
            </w:r>
            <w:proofErr w:type="gramEnd"/>
            <w:r w:rsidRPr="0059433B">
              <w:t xml:space="preserve"> to discontinue treatment.</w:t>
            </w:r>
          </w:p>
          <w:p w14:paraId="5FD9EF91" w14:textId="77777777" w:rsidR="00230CBC" w:rsidRPr="0059433B" w:rsidRDefault="00230CBC" w:rsidP="00C5774C">
            <w:pPr>
              <w:pStyle w:val="COMTabletext"/>
              <w:keepNext w:val="0"/>
            </w:pPr>
          </w:p>
          <w:p w14:paraId="08BDA549" w14:textId="77777777" w:rsidR="00F126D4" w:rsidRPr="0059433B" w:rsidRDefault="00230CBC" w:rsidP="00C5774C">
            <w:pPr>
              <w:pStyle w:val="COMTabletext"/>
              <w:keepNext w:val="0"/>
            </w:pPr>
            <w:r w:rsidRPr="0059433B">
              <w:t>Health state mortality:</w:t>
            </w:r>
          </w:p>
          <w:p w14:paraId="13FE04AF" w14:textId="24451183" w:rsidR="00230CBC" w:rsidRPr="0059433B" w:rsidRDefault="00230CBC" w:rsidP="00230CBC">
            <w:pPr>
              <w:pStyle w:val="COMTabletext"/>
              <w:keepNext w:val="0"/>
              <w:numPr>
                <w:ilvl w:val="0"/>
                <w:numId w:val="6"/>
              </w:numPr>
              <w:ind w:left="273" w:hanging="197"/>
            </w:pPr>
            <w:r w:rsidRPr="0059433B">
              <w:t>Mortality rate for patients in PND 0, I and II assumed to be the same as for the Australian general population.</w:t>
            </w:r>
          </w:p>
          <w:p w14:paraId="13067283" w14:textId="77777777" w:rsidR="00230CBC" w:rsidRPr="0059433B" w:rsidRDefault="00230CBC" w:rsidP="00230CBC">
            <w:pPr>
              <w:pStyle w:val="COMTabletext"/>
              <w:keepNext w:val="0"/>
              <w:numPr>
                <w:ilvl w:val="0"/>
                <w:numId w:val="6"/>
              </w:numPr>
              <w:ind w:left="273" w:hanging="197"/>
            </w:pPr>
            <w:r w:rsidRPr="0059433B">
              <w:t>Mortality rate for patients in PND IIIA/IIIB (1.90 x general population) and PND IV (9.42 x general population) estimated from a multivariate regression model of data from ALN-TTR02-003, the APOLLO trial and the Global OLE study.</w:t>
            </w:r>
          </w:p>
          <w:p w14:paraId="7963C342" w14:textId="77777777" w:rsidR="00230CBC" w:rsidRPr="0059433B" w:rsidRDefault="00230CBC" w:rsidP="00C5774C">
            <w:pPr>
              <w:pStyle w:val="COMTabletext"/>
              <w:keepNext w:val="0"/>
            </w:pPr>
          </w:p>
          <w:p w14:paraId="0346B99C" w14:textId="77777777" w:rsidR="00230CBC" w:rsidRPr="0059433B" w:rsidRDefault="00230CBC" w:rsidP="00C5774C">
            <w:pPr>
              <w:pStyle w:val="COMTabletext"/>
              <w:keepNext w:val="0"/>
            </w:pPr>
            <w:r w:rsidRPr="0059433B">
              <w:t>General population mortality based on Australian Bureau of Statistics life tables.</w:t>
            </w:r>
          </w:p>
        </w:tc>
      </w:tr>
      <w:tr w:rsidR="00230CBC" w:rsidRPr="0059433B" w14:paraId="71F065EA" w14:textId="77777777" w:rsidTr="00C5774C">
        <w:tc>
          <w:tcPr>
            <w:tcW w:w="1019" w:type="pct"/>
            <w:vAlign w:val="center"/>
          </w:tcPr>
          <w:p w14:paraId="221F8A08" w14:textId="77777777" w:rsidR="00230CBC" w:rsidRPr="0059433B" w:rsidRDefault="00230CBC" w:rsidP="00C5774C">
            <w:pPr>
              <w:pStyle w:val="COMTabletext"/>
            </w:pPr>
            <w:r w:rsidRPr="0059433B">
              <w:lastRenderedPageBreak/>
              <w:t>Utility values</w:t>
            </w:r>
          </w:p>
        </w:tc>
        <w:tc>
          <w:tcPr>
            <w:tcW w:w="3981" w:type="pct"/>
          </w:tcPr>
          <w:p w14:paraId="2EFF2A07" w14:textId="77777777" w:rsidR="00230CBC" w:rsidRPr="0059433B" w:rsidRDefault="00230CBC" w:rsidP="00C5774C">
            <w:pPr>
              <w:pStyle w:val="COMTabletext"/>
            </w:pPr>
            <w:r w:rsidRPr="0059433B">
              <w:t>Average health state utilities based on PND score estimated from an analysis of EQ-5D data from the APOLLO trial (PND 0: 0.6840; PND I: 0.6460; PND II: 0.4780; PND IIIA 0.3531; PND IIIB: 0.1746; PND IV: -0.0038).</w:t>
            </w:r>
          </w:p>
          <w:p w14:paraId="0DFC0F36" w14:textId="77777777" w:rsidR="00230CBC" w:rsidRPr="0059433B" w:rsidRDefault="00230CBC" w:rsidP="00C5774C">
            <w:pPr>
              <w:pStyle w:val="COMTabletext"/>
            </w:pPr>
          </w:p>
          <w:p w14:paraId="19E034BB" w14:textId="77777777" w:rsidR="00230CBC" w:rsidRPr="0059433B" w:rsidRDefault="00230CBC" w:rsidP="00C5774C">
            <w:pPr>
              <w:pStyle w:val="COMTabletext"/>
            </w:pPr>
            <w:r w:rsidRPr="0059433B">
              <w:t>Cumulative monthly utility increment (0.0029) applied to patients on treatment with patisiran and cumulative monthly utility decrement (0.0092) applied to patients not on treatment with patisiran derived from an analysis EQ-5D data from the APOLLO trial.</w:t>
            </w:r>
          </w:p>
          <w:p w14:paraId="4953A08E" w14:textId="77777777" w:rsidR="00230CBC" w:rsidRPr="0059433B" w:rsidRDefault="00230CBC" w:rsidP="00C5774C">
            <w:pPr>
              <w:pStyle w:val="COMTabletext"/>
            </w:pPr>
          </w:p>
          <w:p w14:paraId="28435163" w14:textId="77777777" w:rsidR="00230CBC" w:rsidRPr="0059433B" w:rsidRDefault="00230CBC" w:rsidP="00C5774C">
            <w:pPr>
              <w:pStyle w:val="COMTabletext"/>
            </w:pPr>
            <w:r w:rsidRPr="0059433B">
              <w:t>Additional disutility to reflect autonomic dysfunction applied to patients not receiving patisiran treatment (disutility of 0.0727 applied to patients in PND II and disutility of 0.1243 applied to patients in PND IIIA, PND IIIB, and PND IV).</w:t>
            </w:r>
          </w:p>
          <w:p w14:paraId="399608B9" w14:textId="77777777" w:rsidR="00230CBC" w:rsidRPr="0059433B" w:rsidRDefault="00230CBC" w:rsidP="00C5774C">
            <w:pPr>
              <w:pStyle w:val="COMTabletext"/>
            </w:pPr>
          </w:p>
          <w:p w14:paraId="4BD97F2B" w14:textId="77777777" w:rsidR="00230CBC" w:rsidRPr="0059433B" w:rsidRDefault="00230CBC" w:rsidP="00C5774C">
            <w:pPr>
              <w:pStyle w:val="COMTabletext"/>
            </w:pPr>
            <w:r w:rsidRPr="0059433B">
              <w:t>Overall utilities limited by set minima and maxima for each PND health state.</w:t>
            </w:r>
          </w:p>
        </w:tc>
      </w:tr>
      <w:tr w:rsidR="00230CBC" w:rsidRPr="0059433B" w14:paraId="6930922A" w14:textId="77777777" w:rsidTr="00C5774C">
        <w:tc>
          <w:tcPr>
            <w:tcW w:w="1019" w:type="pct"/>
            <w:vAlign w:val="center"/>
          </w:tcPr>
          <w:p w14:paraId="2E82C549" w14:textId="77777777" w:rsidR="00230CBC" w:rsidRPr="0059433B" w:rsidRDefault="00230CBC" w:rsidP="00C5774C">
            <w:pPr>
              <w:pStyle w:val="COMTabletext"/>
            </w:pPr>
            <w:r w:rsidRPr="0059433B">
              <w:t>Costs</w:t>
            </w:r>
          </w:p>
        </w:tc>
        <w:tc>
          <w:tcPr>
            <w:tcW w:w="3981" w:type="pct"/>
          </w:tcPr>
          <w:p w14:paraId="69D73DFC" w14:textId="77777777" w:rsidR="00230CBC" w:rsidRPr="0059433B" w:rsidRDefault="00230CBC" w:rsidP="00C5774C">
            <w:pPr>
              <w:pStyle w:val="COMTabletext"/>
            </w:pPr>
            <w:r w:rsidRPr="0059433B">
              <w:t>Patisiran drug cost based on the proposed effective price</w:t>
            </w:r>
            <w:r w:rsidRPr="0059433B">
              <w:rPr>
                <w:vertAlign w:val="superscript"/>
              </w:rPr>
              <w:t>a</w:t>
            </w:r>
            <w:r w:rsidRPr="0059433B">
              <w:t>; administration cost based on MBS Item 13950 (for parenteral administration of antineoplastic agents); and premedication costs estimated based on PBS/RPBS items.</w:t>
            </w:r>
          </w:p>
          <w:p w14:paraId="0171DCCB" w14:textId="77777777" w:rsidR="00230CBC" w:rsidRPr="0059433B" w:rsidRDefault="00230CBC" w:rsidP="00C5774C">
            <w:pPr>
              <w:pStyle w:val="COMTabletext"/>
            </w:pPr>
          </w:p>
          <w:p w14:paraId="08300EF9" w14:textId="77777777" w:rsidR="00230CBC" w:rsidRPr="0059433B" w:rsidRDefault="00230CBC" w:rsidP="00C5774C">
            <w:pPr>
              <w:pStyle w:val="COMTabletext"/>
            </w:pPr>
            <w:r w:rsidRPr="0059433B">
              <w:t>Adverse event costs based on serious adverse events occurring in ≥2% of patients in the APOLLO trial.</w:t>
            </w:r>
          </w:p>
          <w:p w14:paraId="36BB14EA" w14:textId="77777777" w:rsidR="00230CBC" w:rsidRPr="0059433B" w:rsidRDefault="00230CBC" w:rsidP="00C5774C">
            <w:pPr>
              <w:pStyle w:val="COMTabletext"/>
            </w:pPr>
          </w:p>
          <w:p w14:paraId="421E2BAA" w14:textId="77777777" w:rsidR="00230CBC" w:rsidRPr="0059433B" w:rsidRDefault="00230CBC" w:rsidP="00C5774C">
            <w:pPr>
              <w:pStyle w:val="COMTabletext"/>
            </w:pPr>
            <w:r w:rsidRPr="0059433B">
              <w:t>Healthcare resource utilisation estimated by a Delphi panel consisting of seven clinical experts in the UK. Resource utilisation adapted to the Australian setting by mapping medicines and procedures to PBS and MBS items.</w:t>
            </w:r>
          </w:p>
          <w:p w14:paraId="1A7DE20A" w14:textId="77777777" w:rsidR="00230CBC" w:rsidRPr="0059433B" w:rsidRDefault="00230CBC" w:rsidP="00C5774C">
            <w:pPr>
              <w:pStyle w:val="COMTabletext"/>
            </w:pPr>
          </w:p>
          <w:p w14:paraId="6A5565D5" w14:textId="77777777" w:rsidR="00230CBC" w:rsidRPr="0059433B" w:rsidRDefault="00230CBC" w:rsidP="00C5774C">
            <w:pPr>
              <w:pStyle w:val="COMTabletext"/>
            </w:pPr>
            <w:r w:rsidRPr="0059433B">
              <w:t>End of life costs based on estimates reported by Reeve et al. (2017).</w:t>
            </w:r>
          </w:p>
        </w:tc>
      </w:tr>
    </w:tbl>
    <w:p w14:paraId="076443C8" w14:textId="77777777" w:rsidR="00230CBC" w:rsidRPr="0059433B" w:rsidRDefault="00230CBC" w:rsidP="00230CBC">
      <w:pPr>
        <w:pStyle w:val="COMTablefooter"/>
      </w:pPr>
      <w:r w:rsidRPr="0059433B">
        <w:t>Source: Table 3.1, p98 of the submission.</w:t>
      </w:r>
    </w:p>
    <w:p w14:paraId="2C890010" w14:textId="77777777" w:rsidR="00230CBC" w:rsidRPr="0059433B" w:rsidRDefault="00230CBC" w:rsidP="00230CBC">
      <w:pPr>
        <w:pStyle w:val="COMTablefooter"/>
      </w:pPr>
      <w:r w:rsidRPr="0059433B">
        <w:t>Abbreviations: BSC, best supportive care; OLE, open label extension; PND, polyneuropathy disability.</w:t>
      </w:r>
    </w:p>
    <w:p w14:paraId="1ED42654" w14:textId="77777777" w:rsidR="00230CBC" w:rsidRPr="0059433B" w:rsidRDefault="00230CBC" w:rsidP="00230CBC">
      <w:pPr>
        <w:pStyle w:val="COMTablefooter"/>
        <w:rPr>
          <w:iCs/>
          <w:sz w:val="20"/>
        </w:rPr>
      </w:pPr>
      <w:r w:rsidRPr="0059433B">
        <w:rPr>
          <w:iCs/>
          <w:vertAlign w:val="superscript"/>
        </w:rPr>
        <w:t xml:space="preserve">a </w:t>
      </w:r>
      <w:r w:rsidRPr="0059433B">
        <w:rPr>
          <w:iCs/>
        </w:rPr>
        <w:t xml:space="preserve">The submission base case included anniversary price reductions for patisiran. These </w:t>
      </w:r>
      <w:proofErr w:type="gramStart"/>
      <w:r w:rsidRPr="0059433B">
        <w:rPr>
          <w:iCs/>
        </w:rPr>
        <w:t>were removed</w:t>
      </w:r>
      <w:proofErr w:type="gramEnd"/>
      <w:r w:rsidRPr="0059433B">
        <w:rPr>
          <w:iCs/>
        </w:rPr>
        <w:t xml:space="preserve"> from the base case presented in the commentary and ESC Advice.</w:t>
      </w:r>
    </w:p>
    <w:p w14:paraId="4BCF270D" w14:textId="64FA7D85" w:rsidR="00230CBC" w:rsidRPr="0059433B" w:rsidRDefault="00230CBC" w:rsidP="00230CBC">
      <w:pPr>
        <w:pStyle w:val="COMexecsumnumberedpara"/>
        <w:rPr>
          <w:iCs/>
        </w:rPr>
      </w:pPr>
      <w:r w:rsidRPr="0059433B">
        <w:t xml:space="preserve">Health states in the model </w:t>
      </w:r>
      <w:proofErr w:type="gramStart"/>
      <w:r w:rsidRPr="0059433B">
        <w:t>were defined</w:t>
      </w:r>
      <w:proofErr w:type="gramEnd"/>
      <w:r w:rsidRPr="0059433B">
        <w:t xml:space="preserve"> based on PND scores. The submission argued that the results of the APOLLO trial suggest that PND scores are strongly associated with neuropathy impairment (as measured by mNIS+7) and health-related quality of life (as measured by the Norfolk QoL-DN).</w:t>
      </w:r>
      <w:r w:rsidRPr="0059433B">
        <w:rPr>
          <w:iCs/>
        </w:rPr>
        <w:t xml:space="preserve"> PND scores are solely based on mobility status and may not adequately capture all aspects of the condition, including sensory issues (e.g., numbness, tingling and pain), autonomic neuropathy symptoms (e.g., dizziness or fainting, impotence, constipation, diarrhoea, faecal/urinary incontinence), or symptoms associated with cardiomyopathy (e.g., shortness of breath, fatigue). The degree of correlation between the PND score, other aspects of the disease, and quality of life is unclear. The PSCR acknowledged that PND score may not capture all aspects of hATTR amyloidosis </w:t>
      </w:r>
      <w:r w:rsidR="003C644E" w:rsidRPr="0059433B">
        <w:rPr>
          <w:iCs/>
        </w:rPr>
        <w:t>disease but</w:t>
      </w:r>
      <w:r w:rsidRPr="0059433B">
        <w:rPr>
          <w:iCs/>
        </w:rPr>
        <w:t xml:space="preserve"> argued that alternative measures such as the Neuropathic Impairment Scale (NIS) and the Norfolk Quality of Life - Diabetic Neuropathy (Norfolk QoL-DN) questionnaire are unsuitable for modelling due to the lack of established cut-off scores with known clinical importance. The PSCR claimed that the NIS and Norfolk QoL-DN questionnaire scores are correlated with the PND score. However, the ESC considered that the degree of correlation between advancing PND score, and other aspects of the disease (e.g., sensory issues, autonomic dysfunction, cardiomyopathy) is unclear. On balance the </w:t>
      </w:r>
      <w:r w:rsidRPr="0059433B">
        <w:rPr>
          <w:iCs/>
        </w:rPr>
        <w:lastRenderedPageBreak/>
        <w:t xml:space="preserve">ESC agreed with the sponsor that PND score would </w:t>
      </w:r>
      <w:proofErr w:type="gramStart"/>
      <w:r w:rsidRPr="0059433B">
        <w:rPr>
          <w:iCs/>
        </w:rPr>
        <w:t>likely produce</w:t>
      </w:r>
      <w:proofErr w:type="gramEnd"/>
      <w:r w:rsidRPr="0059433B">
        <w:rPr>
          <w:iCs/>
        </w:rPr>
        <w:t xml:space="preserve"> the best health states to base the economic model on.</w:t>
      </w:r>
    </w:p>
    <w:p w14:paraId="651A02F3" w14:textId="77777777" w:rsidR="00230CBC" w:rsidRPr="0059433B" w:rsidRDefault="00230CBC" w:rsidP="00230CBC">
      <w:pPr>
        <w:pStyle w:val="COMexecsumnumberedpara"/>
      </w:pPr>
      <w:r w:rsidRPr="0059433B">
        <w:t>In the model, patients begin in either the PND I, PND II, PND IIIA or PND IIIB health states based on the distribution of patients at baseline in the APOLLO trial. Each cycle, patients can remain in the same health state, transition to an improved PND health state, transition to a worse PND health state, or die. All patients in the patisiran arm start on treatment and can discontinue treatment. Patients who discontinue treatment remain off treatment for the duration of the model.</w:t>
      </w:r>
    </w:p>
    <w:p w14:paraId="31F00D54" w14:textId="14C88586" w:rsidR="00230CBC" w:rsidRPr="0059433B" w:rsidRDefault="00230CBC" w:rsidP="00230CBC">
      <w:pPr>
        <w:pStyle w:val="COMexecsumnumberedpara"/>
        <w:rPr>
          <w:color w:val="0066FF"/>
        </w:rPr>
      </w:pPr>
      <w:r w:rsidRPr="0059433B">
        <w:t xml:space="preserve">Transitions between health states </w:t>
      </w:r>
      <w:proofErr w:type="gramStart"/>
      <w:r w:rsidRPr="0059433B">
        <w:t>were derived</w:t>
      </w:r>
      <w:proofErr w:type="gramEnd"/>
      <w:r w:rsidRPr="0059433B">
        <w:t xml:space="preserve"> from individual patient data from the APOLLO trial and the Global OLE study. Transitions beyond 54 months in the patisiran arm </w:t>
      </w:r>
      <w:proofErr w:type="gramStart"/>
      <w:r w:rsidRPr="0059433B">
        <w:t>were assumed</w:t>
      </w:r>
      <w:proofErr w:type="gramEnd"/>
      <w:r w:rsidRPr="0059433B">
        <w:t xml:space="preserve"> to be the same as for Months 42 to 54 in the Global OLE study. Transitions beyond 18 months in the BSC arm of the APOLLO trial </w:t>
      </w:r>
      <w:proofErr w:type="gramStart"/>
      <w:r w:rsidRPr="0059433B">
        <w:t>were assumed</w:t>
      </w:r>
      <w:proofErr w:type="gramEnd"/>
      <w:r w:rsidRPr="0059433B">
        <w:t xml:space="preserve"> to be the same as the transitions over the initial 18 months in the APOLLO trial. </w:t>
      </w:r>
      <w:r w:rsidRPr="0059433B">
        <w:rPr>
          <w:iCs/>
        </w:rPr>
        <w:t xml:space="preserve">Due to the </w:t>
      </w:r>
      <w:proofErr w:type="gramStart"/>
      <w:r w:rsidRPr="0059433B">
        <w:rPr>
          <w:iCs/>
        </w:rPr>
        <w:t>relatively small</w:t>
      </w:r>
      <w:proofErr w:type="gramEnd"/>
      <w:r w:rsidRPr="0059433B">
        <w:rPr>
          <w:iCs/>
        </w:rPr>
        <w:t xml:space="preserve"> number of patients in the APOLLO trial, there was sparse data informing many of the transitions. A substantial amount of extrapolation of the transition probabilities </w:t>
      </w:r>
      <w:proofErr w:type="gramStart"/>
      <w:r w:rsidRPr="0059433B">
        <w:rPr>
          <w:iCs/>
        </w:rPr>
        <w:t>was required</w:t>
      </w:r>
      <w:proofErr w:type="gramEnd"/>
      <w:r w:rsidRPr="0059433B">
        <w:rPr>
          <w:iCs/>
        </w:rPr>
        <w:t xml:space="preserve"> in the model (from 18 months for the placebo arm in the APOLLO/trial and 54 months for the patisiran arm in the APOLLO trial/Global OLE study to 40 years in the model). While treatment with patisiran may provide long-term benefits, current evidence on the duration and magnitude of benefit is lacking. Due to differences in mortality risk associated with the different PND </w:t>
      </w:r>
      <w:r w:rsidR="00512F3E" w:rsidRPr="0059433B">
        <w:rPr>
          <w:iCs/>
        </w:rPr>
        <w:t>scores</w:t>
      </w:r>
      <w:r w:rsidRPr="0059433B">
        <w:rPr>
          <w:iCs/>
        </w:rPr>
        <w:t xml:space="preserve"> in the model, treatment with patisiran </w:t>
      </w:r>
      <w:r w:rsidR="00E93055" w:rsidRPr="0059433B">
        <w:rPr>
          <w:iCs/>
        </w:rPr>
        <w:t xml:space="preserve">in the model </w:t>
      </w:r>
      <w:r w:rsidRPr="0059433B">
        <w:rPr>
          <w:iCs/>
        </w:rPr>
        <w:t>was associated with a survival benefit, as disease progression among patients in the patisiran arm was slower than for patients in the BSC arm.</w:t>
      </w:r>
    </w:p>
    <w:p w14:paraId="613C1C51" w14:textId="4F17E578" w:rsidR="00230CBC" w:rsidRPr="0059433B" w:rsidRDefault="00230CBC" w:rsidP="00230CBC">
      <w:pPr>
        <w:pStyle w:val="COMexecsumnumberedpara"/>
      </w:pPr>
      <w:bookmarkStart w:id="51" w:name="_Ref142311904"/>
      <w:r w:rsidRPr="0059433B">
        <w:t xml:space="preserve">Patients in the patisiran arm transitioning into the PND IV health state </w:t>
      </w:r>
      <w:proofErr w:type="gramStart"/>
      <w:r w:rsidRPr="0059433B">
        <w:t>were assumed</w:t>
      </w:r>
      <w:proofErr w:type="gramEnd"/>
      <w:r w:rsidRPr="0059433B">
        <w:t xml:space="preserve"> to cease treatment.</w:t>
      </w:r>
      <w:r w:rsidRPr="0059433B">
        <w:rPr>
          <w:iCs/>
        </w:rPr>
        <w:t xml:space="preserve"> While this assumption matched the proposed PBS restriction, it differed from the protocols for the APOLLO trial and the Global OLE study, which did not require patients with a PND score of IV to cease treatment. Patients and clinicians may be reluctant to cease treatment with patisiran in PND IV if treatment </w:t>
      </w:r>
      <w:proofErr w:type="gramStart"/>
      <w:r w:rsidRPr="0059433B">
        <w:rPr>
          <w:iCs/>
        </w:rPr>
        <w:t>is still considered</w:t>
      </w:r>
      <w:proofErr w:type="gramEnd"/>
      <w:r w:rsidRPr="0059433B">
        <w:rPr>
          <w:iCs/>
        </w:rPr>
        <w:t xml:space="preserve"> to be providing a benefit, </w:t>
      </w:r>
      <w:r w:rsidR="004D0775" w:rsidRPr="0059433B">
        <w:rPr>
          <w:iCs/>
        </w:rPr>
        <w:t>e.g.</w:t>
      </w:r>
      <w:r w:rsidRPr="0059433B">
        <w:rPr>
          <w:iCs/>
        </w:rPr>
        <w:t xml:space="preserve"> by slowing the rate of disease progression.</w:t>
      </w:r>
      <w:bookmarkEnd w:id="51"/>
    </w:p>
    <w:p w14:paraId="709BA1D5" w14:textId="77777777" w:rsidR="00F126D4" w:rsidRPr="0059433B" w:rsidRDefault="00230CBC" w:rsidP="00230CBC">
      <w:pPr>
        <w:pStyle w:val="COMexecsumnumberedpara"/>
        <w:rPr>
          <w:iCs/>
        </w:rPr>
      </w:pPr>
      <w:r w:rsidRPr="0059433B">
        <w:t xml:space="preserve">A multivariate regression analysis of mortality data from ALN-TTR02-003, the APOLLO trial, and the Global OLE study </w:t>
      </w:r>
      <w:proofErr w:type="gramStart"/>
      <w:r w:rsidRPr="0059433B">
        <w:t>was used</w:t>
      </w:r>
      <w:proofErr w:type="gramEnd"/>
      <w:r w:rsidRPr="0059433B">
        <w:t xml:space="preserve"> to estimate a hazard ratio for mortality by PND health state, using PND I/II as a reference group. The submission assumed that patients with a PND score of 0, I or II would experience the same mortality risk as patients in the general population. </w:t>
      </w:r>
      <w:r w:rsidRPr="0059433B">
        <w:rPr>
          <w:iCs/>
        </w:rPr>
        <w:t xml:space="preserve">This assumption </w:t>
      </w:r>
      <w:proofErr w:type="gramStart"/>
      <w:r w:rsidRPr="0059433B">
        <w:rPr>
          <w:iCs/>
        </w:rPr>
        <w:t>was not adequately justified</w:t>
      </w:r>
      <w:proofErr w:type="gramEnd"/>
      <w:r w:rsidRPr="0059433B">
        <w:rPr>
          <w:iCs/>
        </w:rPr>
        <w:t xml:space="preserve"> and lacked face validity. Additionally, the assumption that mortality risk was related to PND score only may not be reasonable, as other aspects of the condition including the presence of cardiomyopathy would also impact the mortality risk.</w:t>
      </w:r>
      <w:r w:rsidR="00F45F60" w:rsidRPr="0059433B">
        <w:rPr>
          <w:iCs/>
        </w:rPr>
        <w:t xml:space="preserve"> </w:t>
      </w:r>
      <w:r w:rsidRPr="0059433B">
        <w:t xml:space="preserve">The ESC noted that the NICE submission model included additional mortality multipliers for patients with cardiomyopathy, however, these multipliers </w:t>
      </w:r>
      <w:proofErr w:type="gramStart"/>
      <w:r w:rsidRPr="0059433B">
        <w:t>were not included</w:t>
      </w:r>
      <w:proofErr w:type="gramEnd"/>
      <w:r w:rsidRPr="0059433B">
        <w:t xml:space="preserve"> in the submission model.</w:t>
      </w:r>
    </w:p>
    <w:p w14:paraId="46A23B59" w14:textId="6E7A9B10" w:rsidR="00230CBC" w:rsidRPr="0059433B" w:rsidRDefault="00230CBC" w:rsidP="00230CBC">
      <w:pPr>
        <w:pStyle w:val="COMexecsumnumberedpara"/>
        <w:rPr>
          <w:iCs/>
        </w:rPr>
      </w:pPr>
      <w:bookmarkStart w:id="52" w:name="_Ref142314729"/>
      <w:r w:rsidRPr="0059433B">
        <w:lastRenderedPageBreak/>
        <w:t xml:space="preserve">Health state utilities in the model </w:t>
      </w:r>
      <w:proofErr w:type="gramStart"/>
      <w:r w:rsidRPr="0059433B">
        <w:t>were estimated</w:t>
      </w:r>
      <w:proofErr w:type="gramEnd"/>
      <w:r w:rsidRPr="0059433B">
        <w:t xml:space="preserve"> from a mixed model for repeated measures (MMRM) regression analysis of EQ-5D data from the APOLLO trial. </w:t>
      </w:r>
      <w:r w:rsidRPr="0059433B">
        <w:rPr>
          <w:iCs/>
        </w:rPr>
        <w:t xml:space="preserve">The estimated mean utility value for patients in PND IV was negative (-0.0038), indicating quality of life worse than death. No published estimates of utility values based on PND health states </w:t>
      </w:r>
      <w:proofErr w:type="gramStart"/>
      <w:r w:rsidRPr="0059433B">
        <w:rPr>
          <w:iCs/>
        </w:rPr>
        <w:t>were presented</w:t>
      </w:r>
      <w:proofErr w:type="gramEnd"/>
      <w:r w:rsidRPr="0059433B">
        <w:rPr>
          <w:iCs/>
        </w:rPr>
        <w:t xml:space="preserve"> in the submission to validate the derived health state utilities.</w:t>
      </w:r>
      <w:r w:rsidR="00F45F60" w:rsidRPr="0059433B">
        <w:rPr>
          <w:iCs/>
        </w:rPr>
        <w:t xml:space="preserve"> </w:t>
      </w:r>
      <w:r w:rsidRPr="0059433B">
        <w:t>The ESC considered that the estimated utility for PND IV (</w:t>
      </w:r>
      <w:r w:rsidRPr="0059433B">
        <w:noBreakHyphen/>
        <w:t xml:space="preserve">0.0038) may </w:t>
      </w:r>
      <w:proofErr w:type="gramStart"/>
      <w:r w:rsidRPr="0059433B">
        <w:t>be considered</w:t>
      </w:r>
      <w:proofErr w:type="gramEnd"/>
      <w:r w:rsidRPr="0059433B">
        <w:t xml:space="preserve"> appropriate in the context of a disease that has profound effects on QOL, as observed in patients with hATTR amyloidosis with polyneuropathy due to symptoms such as progressive muscle failure, loss of ambulation and inanition.</w:t>
      </w:r>
      <w:bookmarkEnd w:id="52"/>
    </w:p>
    <w:p w14:paraId="2375E85F" w14:textId="40606A60" w:rsidR="00F126D4" w:rsidRPr="0059433B" w:rsidRDefault="00230CBC" w:rsidP="00230CBC">
      <w:pPr>
        <w:pStyle w:val="COMexecsumnumberedpara"/>
      </w:pPr>
      <w:r w:rsidRPr="0059433B">
        <w:t xml:space="preserve">The submission argued that the quality of life of patients with hATTR amyloidosis with polyneuropathy can vary while remaining in the same PND health </w:t>
      </w:r>
      <w:r w:rsidR="003C644E" w:rsidRPr="0059433B">
        <w:t>state and</w:t>
      </w:r>
      <w:r w:rsidRPr="0059433B">
        <w:t xml:space="preserve"> presented a series of </w:t>
      </w:r>
      <w:r w:rsidRPr="0059433B">
        <w:rPr>
          <w:iCs/>
        </w:rPr>
        <w:t>post hoc</w:t>
      </w:r>
      <w:r w:rsidRPr="0059433B">
        <w:t xml:space="preserve"> analyses of the APOLLO trial in which the mean change from baseline in health-related quality of life outcomes for patients who maintained the same PND score </w:t>
      </w:r>
      <w:proofErr w:type="gramStart"/>
      <w:r w:rsidRPr="0059433B">
        <w:t>were compared</w:t>
      </w:r>
      <w:proofErr w:type="gramEnd"/>
      <w:r w:rsidRPr="0059433B">
        <w:t xml:space="preserve"> between patisiran and placebo. The submission noted that the results of the analysis suggest that for patients who did not change PND score during the APOLLO trial, the mean EQ-5D utility increased for those treated with </w:t>
      </w:r>
      <w:r w:rsidR="003C644E" w:rsidRPr="0059433B">
        <w:t>patisiran and</w:t>
      </w:r>
      <w:r w:rsidRPr="0059433B">
        <w:t xml:space="preserve"> decreased for those treated with placebo.</w:t>
      </w:r>
    </w:p>
    <w:p w14:paraId="74559CC5" w14:textId="77777777" w:rsidR="00F126D4" w:rsidRPr="0059433B" w:rsidRDefault="00230CBC" w:rsidP="00230CBC">
      <w:pPr>
        <w:pStyle w:val="COMexecsumnumberedpara"/>
      </w:pPr>
      <w:r w:rsidRPr="0059433B">
        <w:t xml:space="preserve">Interaction coefficients between time and treatments in the MMRM regression analysis </w:t>
      </w:r>
      <w:proofErr w:type="gramStart"/>
      <w:r w:rsidRPr="0059433B">
        <w:t>were used</w:t>
      </w:r>
      <w:proofErr w:type="gramEnd"/>
      <w:r w:rsidRPr="0059433B">
        <w:t xml:space="preserve"> to estimate the trend in utilities over time observed for patisiran and BSC. Based on the results of the regression analysis, the submission applied a utility increment of 0.0029 each month for patients remaining on treatment with patisiran, and a utility decrement of 0.0092 each month for patients not receiving treatment with patisiran. In the model, the impact of the cumulative utility increments and decrements </w:t>
      </w:r>
      <w:proofErr w:type="gramStart"/>
      <w:r w:rsidRPr="0059433B">
        <w:t>was constrained</w:t>
      </w:r>
      <w:proofErr w:type="gramEnd"/>
      <w:r w:rsidRPr="0059433B">
        <w:t xml:space="preserve"> by applying maximum and minimum utility values, respectively, for each PND score.</w:t>
      </w:r>
    </w:p>
    <w:p w14:paraId="11C59888" w14:textId="7D60597A" w:rsidR="00230CBC" w:rsidRPr="0059433B" w:rsidRDefault="00230CBC" w:rsidP="00230CBC">
      <w:pPr>
        <w:pStyle w:val="COMexecsumnumberedpara"/>
        <w:rPr>
          <w:iCs/>
        </w:rPr>
      </w:pPr>
      <w:r w:rsidRPr="0059433B">
        <w:rPr>
          <w:iCs/>
        </w:rPr>
        <w:t xml:space="preserve">Health state utilities did not reset to the average health state utility when a patient transitioned into a new health state. This did not appear to be reasonable, as this assumption </w:t>
      </w:r>
      <w:proofErr w:type="gramStart"/>
      <w:r w:rsidRPr="0059433B">
        <w:rPr>
          <w:iCs/>
        </w:rPr>
        <w:t>appeared to disregard</w:t>
      </w:r>
      <w:proofErr w:type="gramEnd"/>
      <w:r w:rsidRPr="0059433B">
        <w:rPr>
          <w:iCs/>
        </w:rPr>
        <w:t xml:space="preserve"> the results of the regression analysis. Instead, the applied utility for transitioning patients was the starting health state utility plus the treatment-related utility increment/decrement multiplied by the number of months since model initiation.</w:t>
      </w:r>
    </w:p>
    <w:p w14:paraId="64796741" w14:textId="439C9C54" w:rsidR="00230CBC" w:rsidRPr="0059433B" w:rsidRDefault="00230CBC" w:rsidP="00230CBC">
      <w:pPr>
        <w:pStyle w:val="COMexecsumnumberedpara"/>
      </w:pPr>
      <w:r w:rsidRPr="0059433B">
        <w:fldChar w:fldCharType="begin" w:fldLock="1"/>
      </w:r>
      <w:r w:rsidRPr="0059433B">
        <w:instrText xml:space="preserve"> REF _Ref132584021 \h </w:instrText>
      </w:r>
      <w:r w:rsidRPr="0059433B">
        <w:fldChar w:fldCharType="separate"/>
      </w:r>
      <w:r w:rsidR="00042B2E" w:rsidRPr="0059433B">
        <w:t>Table 10</w:t>
      </w:r>
      <w:r w:rsidRPr="0059433B">
        <w:fldChar w:fldCharType="end"/>
      </w:r>
      <w:r w:rsidRPr="0059433B">
        <w:t xml:space="preserve"> presents the maximum </w:t>
      </w:r>
      <w:r w:rsidR="00E93055" w:rsidRPr="0059433B">
        <w:t xml:space="preserve">and </w:t>
      </w:r>
      <w:r w:rsidRPr="0059433B">
        <w:t>minimum utilities by PND score included in the economic model.</w:t>
      </w:r>
    </w:p>
    <w:p w14:paraId="207B1E41" w14:textId="7D53494F" w:rsidR="00230CBC" w:rsidRPr="0059433B" w:rsidRDefault="00230CBC" w:rsidP="00230CBC">
      <w:pPr>
        <w:pStyle w:val="COMtablefigcaption"/>
        <w:jc w:val="both"/>
        <w:rPr>
          <w:b w:val="0"/>
        </w:rPr>
      </w:pPr>
      <w:bookmarkStart w:id="53" w:name="_Ref132584021"/>
      <w:r w:rsidRPr="0059433B">
        <w:t xml:space="preserve">Table </w:t>
      </w:r>
      <w:fldSimple w:instr=" SEQ Table \* ARABIC " w:fldLock="1">
        <w:r w:rsidR="00042B2E" w:rsidRPr="0059433B">
          <w:t>10</w:t>
        </w:r>
      </w:fldSimple>
      <w:bookmarkEnd w:id="53"/>
      <w:r w:rsidRPr="0059433B">
        <w:t>: Maximum and minimum health state utility values included in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Maximum and minimum health state utility values included in the economic model"/>
      </w:tblPr>
      <w:tblGrid>
        <w:gridCol w:w="1628"/>
        <w:gridCol w:w="2463"/>
        <w:gridCol w:w="2463"/>
        <w:gridCol w:w="2463"/>
      </w:tblGrid>
      <w:tr w:rsidR="00230CBC" w:rsidRPr="0059433B" w14:paraId="501560AF" w14:textId="77777777" w:rsidTr="00C5774C">
        <w:trPr>
          <w:trHeight w:val="229"/>
          <w:tblHeader/>
        </w:trPr>
        <w:tc>
          <w:tcPr>
            <w:tcW w:w="902" w:type="pct"/>
            <w:vAlign w:val="center"/>
          </w:tcPr>
          <w:p w14:paraId="2E445DD5" w14:textId="77777777" w:rsidR="00230CBC" w:rsidRPr="0059433B" w:rsidRDefault="00230CBC" w:rsidP="00C5774C">
            <w:pPr>
              <w:pStyle w:val="COMTableheadingrow"/>
              <w:rPr>
                <w:lang w:val="en-AU"/>
              </w:rPr>
            </w:pPr>
            <w:r w:rsidRPr="0059433B">
              <w:rPr>
                <w:lang w:val="en-AU"/>
              </w:rPr>
              <w:t>Health state</w:t>
            </w:r>
          </w:p>
        </w:tc>
        <w:tc>
          <w:tcPr>
            <w:tcW w:w="1366" w:type="pct"/>
          </w:tcPr>
          <w:p w14:paraId="0FD09364" w14:textId="77777777" w:rsidR="00230CBC" w:rsidRPr="0059433B" w:rsidRDefault="00230CBC" w:rsidP="00C5774C">
            <w:pPr>
              <w:pStyle w:val="COMTableheadingrow"/>
              <w:jc w:val="center"/>
              <w:rPr>
                <w:vertAlign w:val="superscript"/>
                <w:lang w:val="en-AU"/>
              </w:rPr>
            </w:pPr>
            <w:r w:rsidRPr="0059433B">
              <w:rPr>
                <w:lang w:val="en-AU"/>
              </w:rPr>
              <w:t>Average utility value</w:t>
            </w:r>
            <w:r w:rsidRPr="0059433B">
              <w:rPr>
                <w:vertAlign w:val="superscript"/>
                <w:lang w:val="en-AU"/>
              </w:rPr>
              <w:t>a</w:t>
            </w:r>
          </w:p>
        </w:tc>
        <w:tc>
          <w:tcPr>
            <w:tcW w:w="1366" w:type="pct"/>
            <w:vAlign w:val="center"/>
          </w:tcPr>
          <w:p w14:paraId="4FB32317" w14:textId="77777777" w:rsidR="00230CBC" w:rsidRPr="0059433B" w:rsidRDefault="00230CBC" w:rsidP="00C5774C">
            <w:pPr>
              <w:pStyle w:val="COMTableheadingrow"/>
              <w:jc w:val="center"/>
              <w:rPr>
                <w:lang w:val="en-AU"/>
              </w:rPr>
            </w:pPr>
            <w:r w:rsidRPr="0059433B">
              <w:rPr>
                <w:lang w:val="en-AU"/>
              </w:rPr>
              <w:t>Minimum utility value</w:t>
            </w:r>
          </w:p>
        </w:tc>
        <w:tc>
          <w:tcPr>
            <w:tcW w:w="1366" w:type="pct"/>
            <w:vAlign w:val="center"/>
          </w:tcPr>
          <w:p w14:paraId="2656194D" w14:textId="77777777" w:rsidR="00230CBC" w:rsidRPr="0059433B" w:rsidRDefault="00230CBC" w:rsidP="00C5774C">
            <w:pPr>
              <w:pStyle w:val="COMTableheadingrow"/>
              <w:jc w:val="center"/>
              <w:rPr>
                <w:vertAlign w:val="superscript"/>
                <w:lang w:val="en-AU"/>
              </w:rPr>
            </w:pPr>
            <w:r w:rsidRPr="0059433B">
              <w:rPr>
                <w:lang w:val="en-AU"/>
              </w:rPr>
              <w:t>Maximum utility value</w:t>
            </w:r>
            <w:r w:rsidRPr="0059433B">
              <w:rPr>
                <w:vertAlign w:val="superscript"/>
                <w:lang w:val="en-AU"/>
              </w:rPr>
              <w:t>b</w:t>
            </w:r>
          </w:p>
        </w:tc>
      </w:tr>
      <w:tr w:rsidR="00230CBC" w:rsidRPr="0059433B" w14:paraId="22B565B2" w14:textId="77777777" w:rsidTr="00C5774C">
        <w:tc>
          <w:tcPr>
            <w:tcW w:w="902" w:type="pct"/>
          </w:tcPr>
          <w:p w14:paraId="5F2AFEE0" w14:textId="77777777" w:rsidR="00230CBC" w:rsidRPr="0059433B" w:rsidRDefault="00230CBC" w:rsidP="00C5774C">
            <w:pPr>
              <w:pStyle w:val="COMTabletext"/>
            </w:pPr>
            <w:r w:rsidRPr="0059433B">
              <w:t>PND 0</w:t>
            </w:r>
          </w:p>
        </w:tc>
        <w:tc>
          <w:tcPr>
            <w:tcW w:w="1366" w:type="pct"/>
          </w:tcPr>
          <w:p w14:paraId="0F80C765" w14:textId="77777777" w:rsidR="00230CBC" w:rsidRPr="0059433B" w:rsidRDefault="00230CBC" w:rsidP="00C5774C">
            <w:pPr>
              <w:pStyle w:val="COMTabletext"/>
              <w:jc w:val="center"/>
            </w:pPr>
            <w:r w:rsidRPr="0059433B">
              <w:t>0.6840</w:t>
            </w:r>
          </w:p>
        </w:tc>
        <w:tc>
          <w:tcPr>
            <w:tcW w:w="1366" w:type="pct"/>
          </w:tcPr>
          <w:p w14:paraId="5A6E365F" w14:textId="77777777" w:rsidR="00230CBC" w:rsidRPr="0059433B" w:rsidRDefault="00230CBC" w:rsidP="00C5774C">
            <w:pPr>
              <w:pStyle w:val="COMTabletext"/>
              <w:jc w:val="center"/>
            </w:pPr>
            <w:r w:rsidRPr="0059433B">
              <w:t>0.625</w:t>
            </w:r>
          </w:p>
        </w:tc>
        <w:tc>
          <w:tcPr>
            <w:tcW w:w="1366" w:type="pct"/>
          </w:tcPr>
          <w:p w14:paraId="5128BBB1" w14:textId="77777777" w:rsidR="00230CBC" w:rsidRPr="0059433B" w:rsidRDefault="00230CBC" w:rsidP="00C5774C">
            <w:pPr>
              <w:pStyle w:val="COMTabletext"/>
              <w:jc w:val="center"/>
            </w:pPr>
            <w:r w:rsidRPr="0059433B">
              <w:t>1.000</w:t>
            </w:r>
          </w:p>
        </w:tc>
      </w:tr>
      <w:tr w:rsidR="00230CBC" w:rsidRPr="0059433B" w14:paraId="3409542C" w14:textId="77777777" w:rsidTr="00C5774C">
        <w:tc>
          <w:tcPr>
            <w:tcW w:w="902" w:type="pct"/>
          </w:tcPr>
          <w:p w14:paraId="240B22D3" w14:textId="77777777" w:rsidR="00230CBC" w:rsidRPr="0059433B" w:rsidRDefault="00230CBC" w:rsidP="00C5774C">
            <w:pPr>
              <w:pStyle w:val="COMTabletext"/>
            </w:pPr>
            <w:r w:rsidRPr="0059433B">
              <w:t>PND I</w:t>
            </w:r>
          </w:p>
        </w:tc>
        <w:tc>
          <w:tcPr>
            <w:tcW w:w="1366" w:type="pct"/>
          </w:tcPr>
          <w:p w14:paraId="5A43C53A" w14:textId="77777777" w:rsidR="00230CBC" w:rsidRPr="0059433B" w:rsidRDefault="00230CBC" w:rsidP="00C5774C">
            <w:pPr>
              <w:pStyle w:val="COMTabletext"/>
              <w:jc w:val="center"/>
            </w:pPr>
            <w:r w:rsidRPr="0059433B">
              <w:t>0.6460</w:t>
            </w:r>
          </w:p>
        </w:tc>
        <w:tc>
          <w:tcPr>
            <w:tcW w:w="1366" w:type="pct"/>
          </w:tcPr>
          <w:p w14:paraId="74F23455" w14:textId="77777777" w:rsidR="00230CBC" w:rsidRPr="0059433B" w:rsidRDefault="00230CBC" w:rsidP="00C5774C">
            <w:pPr>
              <w:pStyle w:val="COMTabletext"/>
              <w:jc w:val="center"/>
            </w:pPr>
            <w:r w:rsidRPr="0059433B">
              <w:t>0.375</w:t>
            </w:r>
          </w:p>
        </w:tc>
        <w:tc>
          <w:tcPr>
            <w:tcW w:w="1366" w:type="pct"/>
          </w:tcPr>
          <w:p w14:paraId="0ACEA129" w14:textId="77777777" w:rsidR="00230CBC" w:rsidRPr="0059433B" w:rsidRDefault="00230CBC" w:rsidP="00C5774C">
            <w:pPr>
              <w:pStyle w:val="COMTabletext"/>
              <w:jc w:val="center"/>
            </w:pPr>
            <w:r w:rsidRPr="0059433B">
              <w:t>0.921</w:t>
            </w:r>
          </w:p>
        </w:tc>
      </w:tr>
      <w:tr w:rsidR="00230CBC" w:rsidRPr="0059433B" w14:paraId="03DF9374" w14:textId="77777777" w:rsidTr="00C5774C">
        <w:tc>
          <w:tcPr>
            <w:tcW w:w="902" w:type="pct"/>
          </w:tcPr>
          <w:p w14:paraId="64EEF140" w14:textId="77777777" w:rsidR="00230CBC" w:rsidRPr="0059433B" w:rsidRDefault="00230CBC" w:rsidP="00C5774C">
            <w:pPr>
              <w:pStyle w:val="COMTabletext"/>
            </w:pPr>
            <w:r w:rsidRPr="0059433B">
              <w:t>PND II</w:t>
            </w:r>
          </w:p>
        </w:tc>
        <w:tc>
          <w:tcPr>
            <w:tcW w:w="1366" w:type="pct"/>
          </w:tcPr>
          <w:p w14:paraId="3DAA1937" w14:textId="77777777" w:rsidR="00230CBC" w:rsidRPr="0059433B" w:rsidRDefault="00230CBC" w:rsidP="00C5774C">
            <w:pPr>
              <w:pStyle w:val="COMTabletext"/>
              <w:jc w:val="center"/>
            </w:pPr>
            <w:r w:rsidRPr="0059433B">
              <w:t>0.4780</w:t>
            </w:r>
          </w:p>
        </w:tc>
        <w:tc>
          <w:tcPr>
            <w:tcW w:w="1366" w:type="pct"/>
          </w:tcPr>
          <w:p w14:paraId="41961B36" w14:textId="77777777" w:rsidR="00230CBC" w:rsidRPr="0059433B" w:rsidRDefault="00230CBC" w:rsidP="00C5774C">
            <w:pPr>
              <w:pStyle w:val="COMTabletext"/>
              <w:jc w:val="center"/>
            </w:pPr>
            <w:r w:rsidRPr="0059433B">
              <w:t>0.126</w:t>
            </w:r>
          </w:p>
        </w:tc>
        <w:tc>
          <w:tcPr>
            <w:tcW w:w="1366" w:type="pct"/>
          </w:tcPr>
          <w:p w14:paraId="369EC45A" w14:textId="77777777" w:rsidR="00230CBC" w:rsidRPr="0059433B" w:rsidRDefault="00230CBC" w:rsidP="00C5774C">
            <w:pPr>
              <w:pStyle w:val="COMTabletext"/>
              <w:jc w:val="center"/>
            </w:pPr>
            <w:r w:rsidRPr="0059433B">
              <w:t>0.733</w:t>
            </w:r>
          </w:p>
        </w:tc>
      </w:tr>
      <w:tr w:rsidR="00230CBC" w:rsidRPr="0059433B" w14:paraId="36B2EBB4" w14:textId="77777777" w:rsidTr="00C5774C">
        <w:tc>
          <w:tcPr>
            <w:tcW w:w="902" w:type="pct"/>
          </w:tcPr>
          <w:p w14:paraId="33288C0D" w14:textId="77777777" w:rsidR="00230CBC" w:rsidRPr="0059433B" w:rsidRDefault="00230CBC" w:rsidP="00C5774C">
            <w:pPr>
              <w:pStyle w:val="COMTabletext"/>
            </w:pPr>
            <w:r w:rsidRPr="0059433B">
              <w:t>PND IIIA</w:t>
            </w:r>
          </w:p>
        </w:tc>
        <w:tc>
          <w:tcPr>
            <w:tcW w:w="1366" w:type="pct"/>
          </w:tcPr>
          <w:p w14:paraId="3591B06E" w14:textId="77777777" w:rsidR="00230CBC" w:rsidRPr="0059433B" w:rsidRDefault="00230CBC" w:rsidP="00C5774C">
            <w:pPr>
              <w:pStyle w:val="COMTabletext"/>
              <w:jc w:val="center"/>
            </w:pPr>
            <w:r w:rsidRPr="0059433B">
              <w:t>0.3531</w:t>
            </w:r>
          </w:p>
        </w:tc>
        <w:tc>
          <w:tcPr>
            <w:tcW w:w="1366" w:type="pct"/>
          </w:tcPr>
          <w:p w14:paraId="312A4068" w14:textId="77777777" w:rsidR="00230CBC" w:rsidRPr="0059433B" w:rsidRDefault="00230CBC" w:rsidP="00C5774C">
            <w:pPr>
              <w:pStyle w:val="COMTabletext"/>
              <w:jc w:val="center"/>
            </w:pPr>
            <w:r w:rsidRPr="0059433B">
              <w:t>-0.075</w:t>
            </w:r>
          </w:p>
        </w:tc>
        <w:tc>
          <w:tcPr>
            <w:tcW w:w="1366" w:type="pct"/>
          </w:tcPr>
          <w:p w14:paraId="3CF5A475" w14:textId="77777777" w:rsidR="00230CBC" w:rsidRPr="0059433B" w:rsidRDefault="00230CBC" w:rsidP="00C5774C">
            <w:pPr>
              <w:pStyle w:val="COMTabletext"/>
              <w:jc w:val="center"/>
            </w:pPr>
            <w:r w:rsidRPr="0059433B">
              <w:t>0.642</w:t>
            </w:r>
          </w:p>
        </w:tc>
      </w:tr>
      <w:tr w:rsidR="00230CBC" w:rsidRPr="0059433B" w14:paraId="0D0987C3" w14:textId="77777777" w:rsidTr="00C5774C">
        <w:tc>
          <w:tcPr>
            <w:tcW w:w="902" w:type="pct"/>
          </w:tcPr>
          <w:p w14:paraId="09093202" w14:textId="77777777" w:rsidR="00230CBC" w:rsidRPr="0059433B" w:rsidRDefault="00230CBC" w:rsidP="00C5774C">
            <w:pPr>
              <w:pStyle w:val="COMTabletext"/>
            </w:pPr>
            <w:r w:rsidRPr="0059433B">
              <w:t>PND IIIB</w:t>
            </w:r>
          </w:p>
        </w:tc>
        <w:tc>
          <w:tcPr>
            <w:tcW w:w="1366" w:type="pct"/>
          </w:tcPr>
          <w:p w14:paraId="40D0337E" w14:textId="77777777" w:rsidR="00230CBC" w:rsidRPr="0059433B" w:rsidRDefault="00230CBC" w:rsidP="00C5774C">
            <w:pPr>
              <w:pStyle w:val="COMTabletext"/>
              <w:jc w:val="center"/>
            </w:pPr>
            <w:r w:rsidRPr="0059433B">
              <w:t>0.1746</w:t>
            </w:r>
          </w:p>
        </w:tc>
        <w:tc>
          <w:tcPr>
            <w:tcW w:w="1366" w:type="pct"/>
          </w:tcPr>
          <w:p w14:paraId="0E544E88" w14:textId="77777777" w:rsidR="00230CBC" w:rsidRPr="0059433B" w:rsidRDefault="00230CBC" w:rsidP="00C5774C">
            <w:pPr>
              <w:pStyle w:val="COMTabletext"/>
              <w:jc w:val="center"/>
            </w:pPr>
            <w:r w:rsidRPr="0059433B">
              <w:t>-0.254</w:t>
            </w:r>
          </w:p>
        </w:tc>
        <w:tc>
          <w:tcPr>
            <w:tcW w:w="1366" w:type="pct"/>
          </w:tcPr>
          <w:p w14:paraId="53555E25" w14:textId="77777777" w:rsidR="00230CBC" w:rsidRPr="0059433B" w:rsidRDefault="00230CBC" w:rsidP="00C5774C">
            <w:pPr>
              <w:pStyle w:val="COMTabletext"/>
              <w:jc w:val="center"/>
            </w:pPr>
            <w:r w:rsidRPr="0059433B">
              <w:t>0.441</w:t>
            </w:r>
          </w:p>
        </w:tc>
      </w:tr>
      <w:tr w:rsidR="00230CBC" w:rsidRPr="0059433B" w14:paraId="19A47E10" w14:textId="77777777" w:rsidTr="00C5774C">
        <w:tc>
          <w:tcPr>
            <w:tcW w:w="902" w:type="pct"/>
          </w:tcPr>
          <w:p w14:paraId="41AA00E8" w14:textId="77777777" w:rsidR="00230CBC" w:rsidRPr="0059433B" w:rsidRDefault="00230CBC" w:rsidP="00C5774C">
            <w:pPr>
              <w:pStyle w:val="COMTabletext"/>
            </w:pPr>
            <w:r w:rsidRPr="0059433B">
              <w:t>PND IV</w:t>
            </w:r>
          </w:p>
        </w:tc>
        <w:tc>
          <w:tcPr>
            <w:tcW w:w="1366" w:type="pct"/>
          </w:tcPr>
          <w:p w14:paraId="31F19F8C" w14:textId="77777777" w:rsidR="00230CBC" w:rsidRPr="0059433B" w:rsidRDefault="00230CBC" w:rsidP="00C5774C">
            <w:pPr>
              <w:pStyle w:val="COMTabletext"/>
              <w:jc w:val="center"/>
            </w:pPr>
            <w:r w:rsidRPr="0059433B">
              <w:t>-0.0038</w:t>
            </w:r>
          </w:p>
        </w:tc>
        <w:tc>
          <w:tcPr>
            <w:tcW w:w="1366" w:type="pct"/>
          </w:tcPr>
          <w:p w14:paraId="1D827A7B" w14:textId="77777777" w:rsidR="00230CBC" w:rsidRPr="0059433B" w:rsidRDefault="00230CBC" w:rsidP="00C5774C">
            <w:pPr>
              <w:pStyle w:val="COMTabletext"/>
              <w:jc w:val="center"/>
            </w:pPr>
            <w:r w:rsidRPr="0059433B">
              <w:t>-0.593</w:t>
            </w:r>
          </w:p>
        </w:tc>
        <w:tc>
          <w:tcPr>
            <w:tcW w:w="1366" w:type="pct"/>
          </w:tcPr>
          <w:p w14:paraId="31A17223" w14:textId="77777777" w:rsidR="00230CBC" w:rsidRPr="0059433B" w:rsidRDefault="00230CBC" w:rsidP="00C5774C">
            <w:pPr>
              <w:pStyle w:val="COMTabletext"/>
              <w:jc w:val="center"/>
            </w:pPr>
            <w:r w:rsidRPr="0059433B">
              <w:t>0.297</w:t>
            </w:r>
          </w:p>
        </w:tc>
      </w:tr>
    </w:tbl>
    <w:p w14:paraId="5684DB04" w14:textId="77777777" w:rsidR="00230CBC" w:rsidRPr="0059433B" w:rsidRDefault="00230CBC" w:rsidP="00230CBC">
      <w:pPr>
        <w:pStyle w:val="COMTablefooter"/>
      </w:pPr>
      <w:r w:rsidRPr="0059433B">
        <w:t>Source: Table 3.18, p115 of the submission.</w:t>
      </w:r>
    </w:p>
    <w:p w14:paraId="41D312ED" w14:textId="77777777" w:rsidR="00230CBC" w:rsidRPr="0059433B" w:rsidRDefault="00230CBC" w:rsidP="00230CBC">
      <w:pPr>
        <w:pStyle w:val="COMTablefooter"/>
      </w:pPr>
      <w:r w:rsidRPr="0059433B">
        <w:lastRenderedPageBreak/>
        <w:t>Abbreviations: PND, polyneuropathy disability.</w:t>
      </w:r>
    </w:p>
    <w:p w14:paraId="5989EC35" w14:textId="77777777" w:rsidR="00230CBC" w:rsidRPr="0059433B" w:rsidRDefault="00230CBC" w:rsidP="00230CBC">
      <w:pPr>
        <w:pStyle w:val="COMTablefooter"/>
      </w:pPr>
      <w:r w:rsidRPr="0059433B">
        <w:rPr>
          <w:vertAlign w:val="superscript"/>
        </w:rPr>
        <w:t>a</w:t>
      </w:r>
      <w:r w:rsidRPr="0059433B">
        <w:t xml:space="preserve"> Average health state utilities derived from the APOLLO trial.</w:t>
      </w:r>
    </w:p>
    <w:p w14:paraId="1B378C7E" w14:textId="77777777" w:rsidR="00230CBC" w:rsidRPr="0059433B" w:rsidRDefault="00230CBC" w:rsidP="00230CBC">
      <w:pPr>
        <w:pStyle w:val="COMTablefooter"/>
      </w:pPr>
      <w:r w:rsidRPr="0059433B">
        <w:rPr>
          <w:vertAlign w:val="superscript"/>
        </w:rPr>
        <w:t>b</w:t>
      </w:r>
      <w:r w:rsidRPr="0059433B">
        <w:t xml:space="preserve"> An additional cap </w:t>
      </w:r>
      <w:proofErr w:type="gramStart"/>
      <w:r w:rsidRPr="0059433B">
        <w:t>was applied</w:t>
      </w:r>
      <w:proofErr w:type="gramEnd"/>
      <w:r w:rsidRPr="0059433B">
        <w:t xml:space="preserve"> to ensure that the utilities did not exceed the Australian general population utility (0.89 for patients aged 55-65 years and 0.87 for patients aged 65-74 years).</w:t>
      </w:r>
    </w:p>
    <w:p w14:paraId="3895E620" w14:textId="77777777" w:rsidR="00F126D4" w:rsidRPr="0059433B" w:rsidRDefault="00230CBC" w:rsidP="00230CBC">
      <w:pPr>
        <w:pStyle w:val="COMexecsumnumberedpara"/>
        <w:rPr>
          <w:iCs/>
        </w:rPr>
      </w:pPr>
      <w:bookmarkStart w:id="54" w:name="_Ref142317727"/>
      <w:r w:rsidRPr="0059433B">
        <w:rPr>
          <w:iCs/>
        </w:rPr>
        <w:t xml:space="preserve">Application of the treatment-related utility increments and decrements resulted in health state utilities for each PND score that differed </w:t>
      </w:r>
      <w:proofErr w:type="gramStart"/>
      <w:r w:rsidRPr="0059433B">
        <w:rPr>
          <w:iCs/>
        </w:rPr>
        <w:t>substantially from</w:t>
      </w:r>
      <w:proofErr w:type="gramEnd"/>
      <w:r w:rsidRPr="0059433B">
        <w:rPr>
          <w:iCs/>
        </w:rPr>
        <w:t xml:space="preserve"> the estimated average health state utilities. While the minimum and maximum utility caps limited the time dependent utility, the range of permitted values was wide, and the adjusted health state utilities were able to exceed the average health state utilities of adjacent PND health states.</w:t>
      </w:r>
      <w:bookmarkEnd w:id="54"/>
    </w:p>
    <w:p w14:paraId="79E01ED8" w14:textId="136C30B9" w:rsidR="00230CBC" w:rsidRPr="0059433B" w:rsidRDefault="00230CBC" w:rsidP="00230CBC">
      <w:pPr>
        <w:pStyle w:val="COMexecsumnumberedpara"/>
        <w:rPr>
          <w:iCs/>
        </w:rPr>
      </w:pPr>
      <w:bookmarkStart w:id="55" w:name="_Ref142317728"/>
      <w:r w:rsidRPr="0059433B">
        <w:rPr>
          <w:iCs/>
        </w:rPr>
        <w:t xml:space="preserve">In the BSC arm, patients in the PND I state reached the minimum utility of 0.375 after 3.0 years, patients in the PND II state reached the minimum utility of 0.126 after 4.0 years, patients in the PND IIIA state reached the minimum utility of -0.075 after 4.5 years, patients in the PND IIIB state reached the minimum utility of -0.254 after 4.5 years, and patients in the PND IV state reached the minimum utility of -0.593 after 6.0 years. </w:t>
      </w:r>
      <w:r w:rsidRPr="0059433B">
        <w:t>The ESC considered that the approach to the modelling produced utilities values that were not plausible.</w:t>
      </w:r>
      <w:bookmarkEnd w:id="55"/>
    </w:p>
    <w:p w14:paraId="260C2DAC" w14:textId="77777777" w:rsidR="00230CBC" w:rsidRPr="0059433B" w:rsidRDefault="00230CBC" w:rsidP="00230CBC">
      <w:pPr>
        <w:pStyle w:val="COMexecsumnumberedpara"/>
        <w:rPr>
          <w:iCs/>
        </w:rPr>
      </w:pPr>
      <w:bookmarkStart w:id="56" w:name="_Ref142314731"/>
      <w:r w:rsidRPr="0059433B">
        <w:rPr>
          <w:iCs/>
        </w:rPr>
        <w:t xml:space="preserve">The minimum utility values for patients in the patisiran arm who discontinued treatment </w:t>
      </w:r>
      <w:proofErr w:type="gramStart"/>
      <w:r w:rsidRPr="0059433B">
        <w:rPr>
          <w:iCs/>
        </w:rPr>
        <w:t>were adjusted</w:t>
      </w:r>
      <w:proofErr w:type="gramEnd"/>
      <w:r w:rsidRPr="0059433B">
        <w:rPr>
          <w:iCs/>
        </w:rPr>
        <w:t xml:space="preserve"> based on the cycle in which treatment discontinuation occurred. This </w:t>
      </w:r>
      <w:proofErr w:type="gramStart"/>
      <w:r w:rsidRPr="0059433B">
        <w:rPr>
          <w:iCs/>
        </w:rPr>
        <w:t>appeared to introduce</w:t>
      </w:r>
      <w:proofErr w:type="gramEnd"/>
      <w:r w:rsidRPr="0059433B">
        <w:rPr>
          <w:iCs/>
        </w:rPr>
        <w:t xml:space="preserve"> a bias in favour of the patisiran arm, as the adjustment resulted in higher minimum utilities for patients discontinuing treatment in the patisiran arm, compared to the minimum utilities that could be achieved in the best supportive care arm.</w:t>
      </w:r>
      <w:bookmarkEnd w:id="56"/>
    </w:p>
    <w:p w14:paraId="1E0C777D" w14:textId="68D2EEBB" w:rsidR="00230CBC" w:rsidRPr="0059433B" w:rsidRDefault="00230CBC" w:rsidP="00230CBC">
      <w:pPr>
        <w:pStyle w:val="COMexecsumnumberedpara"/>
        <w:rPr>
          <w:color w:val="0066FF"/>
        </w:rPr>
      </w:pPr>
      <w:bookmarkStart w:id="57" w:name="_Ref142314501"/>
      <w:r w:rsidRPr="0059433B">
        <w:t xml:space="preserve">An additional disutility to reflect autonomic dysfunction </w:t>
      </w:r>
      <w:proofErr w:type="gramStart"/>
      <w:r w:rsidRPr="0059433B">
        <w:t>was applied</w:t>
      </w:r>
      <w:proofErr w:type="gramEnd"/>
      <w:r w:rsidRPr="0059433B">
        <w:t xml:space="preserve"> each cycle for patients in PND II to PND IV who were not receiving treatment with patisiran (i.e., patients in the BSC arm and patients in the patisiran arm who had ceased treatment). Disutilities </w:t>
      </w:r>
      <w:proofErr w:type="gramStart"/>
      <w:r w:rsidRPr="0059433B">
        <w:t>were sourced</w:t>
      </w:r>
      <w:proofErr w:type="gramEnd"/>
      <w:r w:rsidRPr="0059433B">
        <w:t xml:space="preserve"> from a published catalogue of UK EQ-5D disutilities (Sullivan et al., 2011). For patients not receiving patisiran, a disutility of 0.0727 </w:t>
      </w:r>
      <w:proofErr w:type="gramStart"/>
      <w:r w:rsidRPr="0059433B">
        <w:t>was assumed</w:t>
      </w:r>
      <w:proofErr w:type="gramEnd"/>
      <w:r w:rsidRPr="0059433B">
        <w:t xml:space="preserve"> each cycle for patients in PND II, and a disutility of 0.1243 was assumed each cycle for patients in PND IIIA, PND IIIB or PND IV. </w:t>
      </w:r>
      <w:r w:rsidRPr="0059433B">
        <w:rPr>
          <w:iCs/>
        </w:rPr>
        <w:t xml:space="preserve">The inclusion of a separate disutility to reflect autonomic dysfunction was poorly supported, given that autonomic dysfunction would already </w:t>
      </w:r>
      <w:proofErr w:type="gramStart"/>
      <w:r w:rsidRPr="0059433B">
        <w:rPr>
          <w:iCs/>
        </w:rPr>
        <w:t>be captured</w:t>
      </w:r>
      <w:proofErr w:type="gramEnd"/>
      <w:r w:rsidRPr="0059433B">
        <w:rPr>
          <w:iCs/>
        </w:rPr>
        <w:t xml:space="preserve"> by the average health state utility scores, and by the additional health state increments/decrements applied for being on/off treatment with patisiran.</w:t>
      </w:r>
      <w:r w:rsidR="00F45F60" w:rsidRPr="0059433B">
        <w:rPr>
          <w:iCs/>
        </w:rPr>
        <w:t xml:space="preserve"> </w:t>
      </w:r>
      <w:r w:rsidRPr="0059433B">
        <w:t xml:space="preserve">The PSCR stated that the inclusion of disutility for autonomic dysfunction was consistent with patient input which described the significant personal impacts of the condition, such as loss of dignity associated with gastrointestinal symptoms and inability to attend family gatherings, and stated this approach </w:t>
      </w:r>
      <w:proofErr w:type="gramStart"/>
      <w:r w:rsidRPr="0059433B">
        <w:t>was validated</w:t>
      </w:r>
      <w:proofErr w:type="gramEnd"/>
      <w:r w:rsidRPr="0059433B">
        <w:t xml:space="preserve"> by clinical experts in the UK. It was also noted that APOLLO had demonstrated significant improvements in favour of patisiran over BSC for autonomic neuropathy symptoms (including diarrhoea, male erectile </w:t>
      </w:r>
      <w:proofErr w:type="gramStart"/>
      <w:r w:rsidRPr="0059433B">
        <w:t>dysfunction</w:t>
      </w:r>
      <w:proofErr w:type="gramEnd"/>
      <w:r w:rsidRPr="0059433B">
        <w:t xml:space="preserve"> and fainting, measured with COMPASS-31).</w:t>
      </w:r>
      <w:bookmarkEnd w:id="57"/>
    </w:p>
    <w:p w14:paraId="24E558CD" w14:textId="77777777" w:rsidR="00F126D4" w:rsidRPr="0059433B" w:rsidRDefault="00230CBC" w:rsidP="00230CBC">
      <w:pPr>
        <w:pStyle w:val="COMexecsumnumberedpara"/>
        <w:rPr>
          <w:iCs/>
        </w:rPr>
      </w:pPr>
      <w:r w:rsidRPr="0059433B">
        <w:rPr>
          <w:iCs/>
        </w:rPr>
        <w:lastRenderedPageBreak/>
        <w:t xml:space="preserve">The PSCR stated that additional utilities/disutilities </w:t>
      </w:r>
      <w:proofErr w:type="gramStart"/>
      <w:r w:rsidRPr="0059433B">
        <w:rPr>
          <w:iCs/>
        </w:rPr>
        <w:t>were included</w:t>
      </w:r>
      <w:proofErr w:type="gramEnd"/>
      <w:r w:rsidRPr="0059433B">
        <w:rPr>
          <w:iCs/>
        </w:rPr>
        <w:t xml:space="preserve"> in the model to better capture the effects of treatment with patisiran, and autonomic symptoms experienced by patients.</w:t>
      </w:r>
    </w:p>
    <w:p w14:paraId="38974CD7" w14:textId="2DEE07FA" w:rsidR="00230CBC" w:rsidRPr="0059433B" w:rsidRDefault="00230CBC" w:rsidP="00230CBC">
      <w:pPr>
        <w:pStyle w:val="COMexecsumnumberedpara"/>
      </w:pPr>
      <w:bookmarkStart w:id="58" w:name="_Ref142375947"/>
      <w:r w:rsidRPr="0059433B">
        <w:t xml:space="preserve">The submission base case included anniversary price reductions applied to the patisiran drug costs. </w:t>
      </w:r>
      <w:r w:rsidRPr="0059433B">
        <w:rPr>
          <w:iCs/>
        </w:rPr>
        <w:t xml:space="preserve">Anniversary price reductions </w:t>
      </w:r>
      <w:proofErr w:type="gramStart"/>
      <w:r w:rsidRPr="0059433B">
        <w:rPr>
          <w:iCs/>
        </w:rPr>
        <w:t>were excluded</w:t>
      </w:r>
      <w:proofErr w:type="gramEnd"/>
      <w:r w:rsidRPr="0059433B">
        <w:rPr>
          <w:iCs/>
        </w:rPr>
        <w:t xml:space="preserve"> from the base case presented in these </w:t>
      </w:r>
      <w:r w:rsidR="00935C39">
        <w:rPr>
          <w:iCs/>
        </w:rPr>
        <w:t>PSD</w:t>
      </w:r>
      <w:r w:rsidRPr="0059433B">
        <w:rPr>
          <w:iCs/>
        </w:rPr>
        <w:t>.</w:t>
      </w:r>
      <w:r w:rsidR="00F45F60" w:rsidRPr="0059433B">
        <w:rPr>
          <w:iCs/>
        </w:rPr>
        <w:t xml:space="preserve"> </w:t>
      </w:r>
      <w:r w:rsidRPr="0059433B">
        <w:rPr>
          <w:iCs/>
        </w:rPr>
        <w:t xml:space="preserve">The PBAC agreed with the ESC that anniversary price reductions should not </w:t>
      </w:r>
      <w:proofErr w:type="gramStart"/>
      <w:r w:rsidRPr="0059433B">
        <w:rPr>
          <w:iCs/>
        </w:rPr>
        <w:t>be included</w:t>
      </w:r>
      <w:proofErr w:type="gramEnd"/>
      <w:r w:rsidRPr="0059433B">
        <w:rPr>
          <w:iCs/>
        </w:rPr>
        <w:t xml:space="preserve"> in the model.</w:t>
      </w:r>
      <w:bookmarkEnd w:id="58"/>
    </w:p>
    <w:p w14:paraId="61E2DC90" w14:textId="77777777" w:rsidR="00F126D4" w:rsidRPr="0059433B" w:rsidRDefault="00230CBC" w:rsidP="00230CBC">
      <w:pPr>
        <w:pStyle w:val="COMexecsumnumberedpara"/>
      </w:pPr>
      <w:r w:rsidRPr="0059433B">
        <w:t xml:space="preserve">Key drivers of the economic model are summarised in </w:t>
      </w:r>
      <w:r w:rsidRPr="0059433B">
        <w:fldChar w:fldCharType="begin" w:fldLock="1"/>
      </w:r>
      <w:r w:rsidRPr="0059433B">
        <w:instrText xml:space="preserve"> REF _Ref132582929 \h </w:instrText>
      </w:r>
      <w:r w:rsidRPr="0059433B">
        <w:fldChar w:fldCharType="separate"/>
      </w:r>
      <w:r w:rsidR="00042B2E" w:rsidRPr="0059433B">
        <w:t>Table 11</w:t>
      </w:r>
      <w:r w:rsidRPr="0059433B">
        <w:fldChar w:fldCharType="end"/>
      </w:r>
      <w:r w:rsidRPr="0059433B">
        <w:t>.</w:t>
      </w:r>
    </w:p>
    <w:p w14:paraId="7E4B0D9F" w14:textId="4F754B9E" w:rsidR="00230CBC" w:rsidRPr="0059433B" w:rsidRDefault="00230CBC" w:rsidP="0047290F">
      <w:pPr>
        <w:pStyle w:val="COMtablefigcaption"/>
        <w:keepLines/>
      </w:pPr>
      <w:bookmarkStart w:id="59" w:name="_Ref132582929"/>
      <w:r w:rsidRPr="0059433B">
        <w:t xml:space="preserve">Table </w:t>
      </w:r>
      <w:fldSimple w:instr=" SEQ Table \* ARABIC " w:fldLock="1">
        <w:r w:rsidR="00042B2E" w:rsidRPr="0059433B">
          <w:t>11</w:t>
        </w:r>
      </w:fldSimple>
      <w:bookmarkEnd w:id="59"/>
      <w:r w:rsidRPr="0059433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95"/>
        <w:gridCol w:w="6332"/>
        <w:gridCol w:w="1390"/>
      </w:tblGrid>
      <w:tr w:rsidR="00230CBC" w:rsidRPr="0059433B" w14:paraId="42AD6664" w14:textId="77777777" w:rsidTr="00C5774C">
        <w:trPr>
          <w:tblHeader/>
        </w:trPr>
        <w:tc>
          <w:tcPr>
            <w:tcW w:w="718" w:type="pct"/>
            <w:shd w:val="clear" w:color="auto" w:fill="auto"/>
            <w:vAlign w:val="center"/>
          </w:tcPr>
          <w:p w14:paraId="20568420" w14:textId="77777777" w:rsidR="00230CBC" w:rsidRPr="0059433B" w:rsidRDefault="00230CBC" w:rsidP="0047290F">
            <w:pPr>
              <w:pStyle w:val="COMTableheadingrow"/>
              <w:keepLines/>
              <w:jc w:val="center"/>
              <w:rPr>
                <w:lang w:val="en-AU"/>
              </w:rPr>
            </w:pPr>
            <w:r w:rsidRPr="0059433B">
              <w:rPr>
                <w:lang w:val="en-AU"/>
              </w:rPr>
              <w:t>Description</w:t>
            </w:r>
          </w:p>
        </w:tc>
        <w:tc>
          <w:tcPr>
            <w:tcW w:w="3511" w:type="pct"/>
            <w:shd w:val="clear" w:color="auto" w:fill="auto"/>
            <w:vAlign w:val="center"/>
          </w:tcPr>
          <w:p w14:paraId="321780BD" w14:textId="77777777" w:rsidR="00230CBC" w:rsidRPr="0059433B" w:rsidRDefault="00230CBC" w:rsidP="0047290F">
            <w:pPr>
              <w:pStyle w:val="COMTableheadingrow"/>
              <w:keepLines/>
              <w:jc w:val="center"/>
              <w:rPr>
                <w:lang w:val="en-AU"/>
              </w:rPr>
            </w:pPr>
            <w:r w:rsidRPr="0059433B">
              <w:rPr>
                <w:lang w:val="en-AU"/>
              </w:rPr>
              <w:t>Method/Value</w:t>
            </w:r>
          </w:p>
        </w:tc>
        <w:tc>
          <w:tcPr>
            <w:tcW w:w="771" w:type="pct"/>
            <w:shd w:val="clear" w:color="auto" w:fill="auto"/>
            <w:vAlign w:val="center"/>
          </w:tcPr>
          <w:p w14:paraId="4AB2A694" w14:textId="77777777" w:rsidR="00230CBC" w:rsidRPr="0059433B" w:rsidRDefault="00230CBC" w:rsidP="0047290F">
            <w:pPr>
              <w:pStyle w:val="COMTableheadingrow"/>
              <w:keepLines/>
              <w:jc w:val="center"/>
              <w:rPr>
                <w:lang w:val="en-AU"/>
              </w:rPr>
            </w:pPr>
            <w:r w:rsidRPr="0059433B">
              <w:rPr>
                <w:lang w:val="en-AU"/>
              </w:rPr>
              <w:t>Impact</w:t>
            </w:r>
          </w:p>
        </w:tc>
      </w:tr>
      <w:tr w:rsidR="00230CBC" w:rsidRPr="0059433B" w14:paraId="22E501E6" w14:textId="77777777" w:rsidTr="00C5774C">
        <w:tc>
          <w:tcPr>
            <w:tcW w:w="718" w:type="pct"/>
            <w:shd w:val="clear" w:color="auto" w:fill="auto"/>
            <w:vAlign w:val="center"/>
          </w:tcPr>
          <w:p w14:paraId="113DD004" w14:textId="77777777" w:rsidR="00230CBC" w:rsidRPr="0059433B" w:rsidRDefault="00230CBC" w:rsidP="0047290F">
            <w:pPr>
              <w:pStyle w:val="COMTabletext"/>
              <w:keepLines/>
            </w:pPr>
            <w:r w:rsidRPr="0059433B">
              <w:t>Time horizon</w:t>
            </w:r>
          </w:p>
        </w:tc>
        <w:tc>
          <w:tcPr>
            <w:tcW w:w="3511" w:type="pct"/>
            <w:shd w:val="clear" w:color="auto" w:fill="auto"/>
            <w:vAlign w:val="center"/>
          </w:tcPr>
          <w:p w14:paraId="0B61DA16" w14:textId="5320770F" w:rsidR="00230CBC" w:rsidRPr="0059433B" w:rsidRDefault="00230CBC" w:rsidP="0047290F">
            <w:pPr>
              <w:pStyle w:val="COMTabletext"/>
              <w:keepLines/>
            </w:pPr>
            <w:r w:rsidRPr="0059433B">
              <w:t xml:space="preserve">The submission base case incorporated a 40-year time horizon. </w:t>
            </w:r>
            <w:r w:rsidRPr="0059433B">
              <w:rPr>
                <w:iCs/>
              </w:rPr>
              <w:t xml:space="preserve">There was substantial uncertainty associated with the extrapolation of the transition probabilities. Due to differences in mortality risk associated with the different PND </w:t>
            </w:r>
            <w:r w:rsidR="00512F3E" w:rsidRPr="0059433B">
              <w:rPr>
                <w:iCs/>
              </w:rPr>
              <w:t>scores</w:t>
            </w:r>
            <w:r w:rsidRPr="0059433B">
              <w:rPr>
                <w:iCs/>
              </w:rPr>
              <w:t xml:space="preserve"> in the model, treatment with patisiran in the model was associated with a survival benefit, as disease progression among patients in the patisiran arm (informed by the extrapolated transition probabilities) was slower than for patients in the BSC arm. While treatment with patisiran may provide long-term benefits, current evidence on the duration and magnitude of benefit is lacking. </w:t>
            </w:r>
          </w:p>
        </w:tc>
        <w:tc>
          <w:tcPr>
            <w:tcW w:w="771" w:type="pct"/>
            <w:shd w:val="clear" w:color="auto" w:fill="auto"/>
            <w:vAlign w:val="center"/>
          </w:tcPr>
          <w:p w14:paraId="43F82D0C" w14:textId="77777777" w:rsidR="00230CBC" w:rsidRPr="0059433B" w:rsidRDefault="00230CBC" w:rsidP="0047290F">
            <w:pPr>
              <w:pStyle w:val="COMTabletext"/>
              <w:keepLines/>
              <w:jc w:val="center"/>
            </w:pPr>
            <w:r w:rsidRPr="0059433B">
              <w:t>Moderate, favours patisiran</w:t>
            </w:r>
          </w:p>
        </w:tc>
      </w:tr>
      <w:tr w:rsidR="00230CBC" w:rsidRPr="0059433B" w14:paraId="7674759E" w14:textId="77777777" w:rsidTr="00C5774C">
        <w:tc>
          <w:tcPr>
            <w:tcW w:w="718" w:type="pct"/>
            <w:shd w:val="clear" w:color="auto" w:fill="auto"/>
            <w:vAlign w:val="center"/>
          </w:tcPr>
          <w:p w14:paraId="4686948B" w14:textId="77777777" w:rsidR="00230CBC" w:rsidRPr="0059433B" w:rsidRDefault="00230CBC" w:rsidP="0047290F">
            <w:pPr>
              <w:pStyle w:val="COMTabletext"/>
              <w:keepLines/>
            </w:pPr>
            <w:r w:rsidRPr="0059433B">
              <w:t>Disease-related mortality</w:t>
            </w:r>
          </w:p>
        </w:tc>
        <w:tc>
          <w:tcPr>
            <w:tcW w:w="3511" w:type="pct"/>
            <w:shd w:val="clear" w:color="auto" w:fill="auto"/>
            <w:vAlign w:val="center"/>
          </w:tcPr>
          <w:p w14:paraId="33FD76FB" w14:textId="77777777" w:rsidR="00230CBC" w:rsidRPr="0059433B" w:rsidRDefault="00230CBC" w:rsidP="0047290F">
            <w:pPr>
              <w:pStyle w:val="COMTabletext"/>
              <w:keepLines/>
            </w:pPr>
            <w:r w:rsidRPr="0059433B">
              <w:t xml:space="preserve">The submission assumed that patients with a PND score of 0, I, and II would experience the same mortality risk as patients in the general population. Mortality for patients in PND IIIA/IIIB </w:t>
            </w:r>
            <w:proofErr w:type="gramStart"/>
            <w:r w:rsidRPr="0059433B">
              <w:t>was assumed</w:t>
            </w:r>
            <w:proofErr w:type="gramEnd"/>
            <w:r w:rsidRPr="0059433B">
              <w:t xml:space="preserve"> to 1.90 x the general population mortality and mortality for patients in PND IV was assumed to be 9.42 x the general population mortality. </w:t>
            </w:r>
            <w:r w:rsidRPr="0059433B">
              <w:rPr>
                <w:iCs/>
              </w:rPr>
              <w:t xml:space="preserve">The modelled survival for the BSC arm (12 years) was </w:t>
            </w:r>
            <w:proofErr w:type="gramStart"/>
            <w:r w:rsidRPr="0059433B">
              <w:rPr>
                <w:iCs/>
              </w:rPr>
              <w:t>substantially longer</w:t>
            </w:r>
            <w:proofErr w:type="gramEnd"/>
            <w:r w:rsidRPr="0059433B">
              <w:rPr>
                <w:iCs/>
              </w:rPr>
              <w:t xml:space="preserve"> than the median survival from diagnosis of 4.7 years reported by Swiecicki et al. (2015) for patients with hATTR amyloidosis.</w:t>
            </w:r>
          </w:p>
        </w:tc>
        <w:tc>
          <w:tcPr>
            <w:tcW w:w="771" w:type="pct"/>
            <w:shd w:val="clear" w:color="auto" w:fill="auto"/>
            <w:vAlign w:val="center"/>
          </w:tcPr>
          <w:p w14:paraId="1DCA56E6" w14:textId="77777777" w:rsidR="00230CBC" w:rsidRPr="0059433B" w:rsidRDefault="00230CBC" w:rsidP="0047290F">
            <w:pPr>
              <w:pStyle w:val="COMTabletext"/>
              <w:keepLines/>
              <w:jc w:val="center"/>
            </w:pPr>
            <w:r w:rsidRPr="0059433B">
              <w:rPr>
                <w:iCs/>
              </w:rPr>
              <w:t>High, favours patisiran</w:t>
            </w:r>
          </w:p>
        </w:tc>
      </w:tr>
      <w:tr w:rsidR="00230CBC" w:rsidRPr="0059433B" w14:paraId="67AE03FD" w14:textId="77777777" w:rsidTr="00C5774C">
        <w:tc>
          <w:tcPr>
            <w:tcW w:w="718" w:type="pct"/>
            <w:shd w:val="clear" w:color="auto" w:fill="auto"/>
            <w:vAlign w:val="center"/>
          </w:tcPr>
          <w:p w14:paraId="6CD113D9" w14:textId="77777777" w:rsidR="00230CBC" w:rsidRPr="0059433B" w:rsidRDefault="00230CBC" w:rsidP="0047290F">
            <w:pPr>
              <w:pStyle w:val="COMTabletext"/>
              <w:keepLines/>
            </w:pPr>
            <w:r w:rsidRPr="0059433B">
              <w:t>Treatment-related utility increments/</w:t>
            </w:r>
          </w:p>
          <w:p w14:paraId="2BF369F0" w14:textId="77777777" w:rsidR="00230CBC" w:rsidRPr="0059433B" w:rsidRDefault="00230CBC" w:rsidP="0047290F">
            <w:pPr>
              <w:pStyle w:val="COMTabletext"/>
              <w:keepLines/>
            </w:pPr>
            <w:r w:rsidRPr="0059433B">
              <w:t>decrements</w:t>
            </w:r>
          </w:p>
        </w:tc>
        <w:tc>
          <w:tcPr>
            <w:tcW w:w="3511" w:type="pct"/>
            <w:shd w:val="clear" w:color="auto" w:fill="auto"/>
            <w:vAlign w:val="center"/>
          </w:tcPr>
          <w:p w14:paraId="3433EAA3" w14:textId="77777777" w:rsidR="00230CBC" w:rsidRPr="0059433B" w:rsidRDefault="00230CBC" w:rsidP="0047290F">
            <w:pPr>
              <w:pStyle w:val="COMTabletext"/>
              <w:keepLines/>
              <w:rPr>
                <w:iCs/>
              </w:rPr>
            </w:pPr>
            <w:r w:rsidRPr="0059433B">
              <w:t xml:space="preserve">The submission applied a utility increment of 0.0029 each month for patients remaining on treatment with patisiran, and a utility decrement of 0.0092 each month for patients not receiving treatment with patisiran. </w:t>
            </w:r>
            <w:r w:rsidRPr="0059433B">
              <w:rPr>
                <w:iCs/>
              </w:rPr>
              <w:t xml:space="preserve">Application of the treatment-related utility increments and decrements resulted in health state utilities for each PND score that differed </w:t>
            </w:r>
            <w:proofErr w:type="gramStart"/>
            <w:r w:rsidRPr="0059433B">
              <w:rPr>
                <w:iCs/>
              </w:rPr>
              <w:t>substantially from</w:t>
            </w:r>
            <w:proofErr w:type="gramEnd"/>
            <w:r w:rsidRPr="0059433B">
              <w:rPr>
                <w:iCs/>
              </w:rPr>
              <w:t xml:space="preserve"> the estimated average health state utilities. While the minimum and maximum utility caps limited the time dependent utility, the range of permitted values was wide and the adjusted health state utilities were able to exceed the average health state utilities of adjacent PND health states.</w:t>
            </w:r>
          </w:p>
        </w:tc>
        <w:tc>
          <w:tcPr>
            <w:tcW w:w="771" w:type="pct"/>
            <w:shd w:val="clear" w:color="auto" w:fill="auto"/>
            <w:vAlign w:val="center"/>
          </w:tcPr>
          <w:p w14:paraId="46BD4FDF" w14:textId="77777777" w:rsidR="00230CBC" w:rsidRPr="0059433B" w:rsidRDefault="00230CBC" w:rsidP="0047290F">
            <w:pPr>
              <w:pStyle w:val="COMTabletext"/>
              <w:keepLines/>
              <w:jc w:val="center"/>
            </w:pPr>
            <w:r w:rsidRPr="0059433B">
              <w:t>High, favours patisiran</w:t>
            </w:r>
          </w:p>
        </w:tc>
      </w:tr>
      <w:tr w:rsidR="00230CBC" w:rsidRPr="0059433B" w14:paraId="4E1CA773" w14:textId="77777777" w:rsidTr="00C5774C">
        <w:tc>
          <w:tcPr>
            <w:tcW w:w="718" w:type="pct"/>
            <w:shd w:val="clear" w:color="auto" w:fill="auto"/>
            <w:vAlign w:val="center"/>
          </w:tcPr>
          <w:p w14:paraId="19DBE2EB" w14:textId="77777777" w:rsidR="00230CBC" w:rsidRPr="0059433B" w:rsidRDefault="00230CBC" w:rsidP="0047290F">
            <w:pPr>
              <w:pStyle w:val="COMTabletext"/>
              <w:keepLines/>
            </w:pPr>
            <w:r w:rsidRPr="0059433B">
              <w:t>Autonomic dysfunction disutilities</w:t>
            </w:r>
          </w:p>
        </w:tc>
        <w:tc>
          <w:tcPr>
            <w:tcW w:w="3511" w:type="pct"/>
            <w:shd w:val="clear" w:color="auto" w:fill="auto"/>
            <w:vAlign w:val="center"/>
          </w:tcPr>
          <w:p w14:paraId="239D1B54" w14:textId="77777777" w:rsidR="00230CBC" w:rsidRPr="0059433B" w:rsidRDefault="00230CBC" w:rsidP="0047290F">
            <w:pPr>
              <w:pStyle w:val="COMTabletext"/>
              <w:keepLines/>
            </w:pPr>
            <w:r w:rsidRPr="0059433B">
              <w:t xml:space="preserve">A disutility </w:t>
            </w:r>
            <w:proofErr w:type="gramStart"/>
            <w:r w:rsidRPr="0059433B">
              <w:t>was applied</w:t>
            </w:r>
            <w:proofErr w:type="gramEnd"/>
            <w:r w:rsidRPr="0059433B">
              <w:t xml:space="preserve"> to reflect autonomic dysfunction occurring in patients receiving BSC and in patients who discontinue patisiran. </w:t>
            </w:r>
            <w:r w:rsidRPr="0059433B">
              <w:rPr>
                <w:iCs/>
              </w:rPr>
              <w:t xml:space="preserve">The inclusion of a separate disutility to reflect autonomic dysfunction was poorly supported, given that autonomic dysfunction would already </w:t>
            </w:r>
            <w:proofErr w:type="gramStart"/>
            <w:r w:rsidRPr="0059433B">
              <w:rPr>
                <w:iCs/>
              </w:rPr>
              <w:t>be captured</w:t>
            </w:r>
            <w:proofErr w:type="gramEnd"/>
            <w:r w:rsidRPr="0059433B">
              <w:rPr>
                <w:iCs/>
              </w:rPr>
              <w:t xml:space="preserve"> by the health state utility scores, and by the additional health state increments/decrements applied for being on/off treatment with patisiran.</w:t>
            </w:r>
          </w:p>
        </w:tc>
        <w:tc>
          <w:tcPr>
            <w:tcW w:w="771" w:type="pct"/>
            <w:shd w:val="clear" w:color="auto" w:fill="auto"/>
            <w:vAlign w:val="center"/>
          </w:tcPr>
          <w:p w14:paraId="5D2E23B4" w14:textId="77777777" w:rsidR="00230CBC" w:rsidRPr="0059433B" w:rsidRDefault="00230CBC" w:rsidP="0047290F">
            <w:pPr>
              <w:pStyle w:val="COMTabletext"/>
              <w:keepLines/>
              <w:jc w:val="center"/>
            </w:pPr>
            <w:r w:rsidRPr="0059433B">
              <w:t>Moderate, favours patisiran</w:t>
            </w:r>
          </w:p>
        </w:tc>
      </w:tr>
    </w:tbl>
    <w:p w14:paraId="3C50D8AB" w14:textId="77777777" w:rsidR="00230CBC" w:rsidRPr="0059433B" w:rsidRDefault="00230CBC" w:rsidP="0047290F">
      <w:pPr>
        <w:pStyle w:val="COMTablefooter"/>
        <w:keepNext/>
        <w:keepLines/>
      </w:pPr>
      <w:r w:rsidRPr="0059433B">
        <w:t>Source: Constructed during the evaluation.</w:t>
      </w:r>
    </w:p>
    <w:p w14:paraId="0494F590" w14:textId="77777777" w:rsidR="00230CBC" w:rsidRPr="0059433B" w:rsidRDefault="00230CBC" w:rsidP="00230CBC">
      <w:pPr>
        <w:pStyle w:val="COMTablefooter"/>
      </w:pPr>
      <w:r w:rsidRPr="0059433B">
        <w:t>Abbreviations: BSC, best supportive care; PND, polyneuropathy disability.</w:t>
      </w:r>
    </w:p>
    <w:p w14:paraId="619D35D4" w14:textId="7A73D5EE" w:rsidR="00230CBC" w:rsidRPr="0059433B" w:rsidRDefault="00230CBC" w:rsidP="00230CBC">
      <w:pPr>
        <w:pStyle w:val="COMexecsumnumberedpara"/>
      </w:pPr>
      <w:r w:rsidRPr="0059433B">
        <w:t xml:space="preserve">Model traces for the patisiran and BSC arms </w:t>
      </w:r>
      <w:proofErr w:type="gramStart"/>
      <w:r w:rsidRPr="0059433B">
        <w:t>are presented</w:t>
      </w:r>
      <w:proofErr w:type="gramEnd"/>
      <w:r w:rsidRPr="0059433B">
        <w:t xml:space="preserve"> in </w:t>
      </w:r>
      <w:r w:rsidRPr="0059433B">
        <w:fldChar w:fldCharType="begin" w:fldLock="1"/>
      </w:r>
      <w:r w:rsidRPr="0059433B">
        <w:instrText xml:space="preserve"> REF _Ref132583006 \h </w:instrText>
      </w:r>
      <w:r w:rsidRPr="0059433B">
        <w:fldChar w:fldCharType="separate"/>
      </w:r>
      <w:r w:rsidR="00042B2E" w:rsidRPr="0059433B">
        <w:t>Figure 4</w:t>
      </w:r>
      <w:r w:rsidRPr="0059433B">
        <w:fldChar w:fldCharType="end"/>
      </w:r>
      <w:r w:rsidRPr="0059433B">
        <w:t>.</w:t>
      </w:r>
    </w:p>
    <w:p w14:paraId="6726FFC6" w14:textId="39F7BD41" w:rsidR="00230CBC" w:rsidRPr="0059433B" w:rsidRDefault="00230CBC" w:rsidP="00230CBC">
      <w:pPr>
        <w:pStyle w:val="COMtablefigcaption"/>
      </w:pPr>
      <w:bookmarkStart w:id="60" w:name="_Ref132583006"/>
      <w:r w:rsidRPr="0059433B">
        <w:lastRenderedPageBreak/>
        <w:t xml:space="preserve">Figure </w:t>
      </w:r>
      <w:fldSimple w:instr=" SEQ Figure \* ARABIC " w:fldLock="1">
        <w:r w:rsidR="00042B2E" w:rsidRPr="0059433B">
          <w:t>4</w:t>
        </w:r>
      </w:fldSimple>
      <w:bookmarkEnd w:id="60"/>
      <w:r w:rsidRPr="0059433B">
        <w:t>: Model traces for the patisiran and BSC arms</w:t>
      </w:r>
    </w:p>
    <w:p w14:paraId="5E2F2F23" w14:textId="77777777" w:rsidR="00230CBC" w:rsidRPr="0059433B" w:rsidRDefault="00230CBC" w:rsidP="00230CBC">
      <w:pPr>
        <w:rPr>
          <w:color w:val="3366FF"/>
        </w:rPr>
      </w:pPr>
      <w:r w:rsidRPr="0059433B">
        <w:rPr>
          <w:noProof/>
          <w:color w:val="3366FF"/>
        </w:rPr>
        <w:drawing>
          <wp:inline distT="0" distB="0" distL="0" distR="0" wp14:anchorId="0AC5A581" wp14:editId="6EF2CD9B">
            <wp:extent cx="5681980" cy="4243070"/>
            <wp:effectExtent l="0" t="0" r="0" b="0"/>
            <wp:docPr id="13" name="Picture 13" descr="Figure 4: Model traces for the patisiran and BSC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Model traces for the patisiran and BSC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980" cy="4243070"/>
                    </a:xfrm>
                    <a:prstGeom prst="rect">
                      <a:avLst/>
                    </a:prstGeom>
                    <a:noFill/>
                  </pic:spPr>
                </pic:pic>
              </a:graphicData>
            </a:graphic>
          </wp:inline>
        </w:drawing>
      </w:r>
    </w:p>
    <w:p w14:paraId="5330343F" w14:textId="77777777" w:rsidR="00230CBC" w:rsidRPr="0059433B" w:rsidRDefault="00230CBC" w:rsidP="00230CBC">
      <w:pPr>
        <w:pStyle w:val="COMTablefooter"/>
      </w:pPr>
      <w:r w:rsidRPr="0059433B">
        <w:t>Source: Constructed during the evaluation using the Section 3 economic model Excel workbook.</w:t>
      </w:r>
    </w:p>
    <w:p w14:paraId="7B512941" w14:textId="77777777" w:rsidR="00230CBC" w:rsidRPr="0059433B" w:rsidRDefault="00230CBC" w:rsidP="00230CBC">
      <w:pPr>
        <w:pStyle w:val="COMTablefooter"/>
      </w:pPr>
      <w:r w:rsidRPr="0059433B">
        <w:t>Abbreviations: BSC, best supportive care; PAT, patisiran; PND, polyneuropathy disability.</w:t>
      </w:r>
    </w:p>
    <w:p w14:paraId="73A890AE" w14:textId="1D713FA3" w:rsidR="00230CBC" w:rsidRPr="0059433B" w:rsidRDefault="00230CBC" w:rsidP="00230CBC">
      <w:pPr>
        <w:pStyle w:val="COMexecsumnumberedpara"/>
      </w:pPr>
      <w:r w:rsidRPr="0059433B">
        <w:t>Median survival for patients in the patisiran arm was longer than for patients in the BSC arm (approximately 16 years for the patisiran arm versus approximately 12</w:t>
      </w:r>
      <w:r w:rsidR="0047290F">
        <w:t> </w:t>
      </w:r>
      <w:r w:rsidRPr="0059433B">
        <w:t xml:space="preserve">years for the BSC arm). </w:t>
      </w:r>
      <w:r w:rsidRPr="0059433B">
        <w:rPr>
          <w:iCs/>
        </w:rPr>
        <w:t xml:space="preserve">The modelled survival for the BSC arm was </w:t>
      </w:r>
      <w:proofErr w:type="gramStart"/>
      <w:r w:rsidRPr="0059433B">
        <w:rPr>
          <w:iCs/>
        </w:rPr>
        <w:t>substantially longer</w:t>
      </w:r>
      <w:proofErr w:type="gramEnd"/>
      <w:r w:rsidRPr="0059433B">
        <w:rPr>
          <w:iCs/>
        </w:rPr>
        <w:t xml:space="preserve"> than the median survival from diagnosis of 4.7 years reported by Swiecicki et al. (2015) for patients with hATTR amyloidosis (noting that patients in the APOLLO trial were diagnosed, on average, 2.5 years prior to the commencement of the trial).</w:t>
      </w:r>
    </w:p>
    <w:p w14:paraId="24C35CF9" w14:textId="2FC22A4B" w:rsidR="00230CBC" w:rsidRPr="0059433B" w:rsidRDefault="00230CBC" w:rsidP="00230CBC">
      <w:pPr>
        <w:pStyle w:val="COMexecsumnumberedpara"/>
      </w:pPr>
      <w:r w:rsidRPr="0059433B">
        <w:t xml:space="preserve">The PSCR noted that the estimate of 4.7 years from diagnosis reported by Swiecicki et al., was based on a retrospective assessment of 266 patients with hATTR amyloidosis who presented to the Mayo Clinic in Rochester, USA over a 43-year period. The PSCR suggested that the discrepancy in median survival reported in this study versus modelled median survival in the submission is </w:t>
      </w:r>
      <w:proofErr w:type="gramStart"/>
      <w:r w:rsidRPr="0059433B">
        <w:t>likely due</w:t>
      </w:r>
      <w:proofErr w:type="gramEnd"/>
      <w:r w:rsidRPr="0059433B">
        <w:t xml:space="preserve"> to two reasons. Firstly, an improvement in diagnostics and family screening leading to earlier diagnosis. Secondly, the presence of patients with more advanced heart failure (including patients with NYHA Class III-IV HF) in the Mayo Clinic cohort compared to the model cohort (based on the APOLLO trial, which explicitly excluded patients with NYHA Class III-IV HF). While it </w:t>
      </w:r>
      <w:proofErr w:type="gramStart"/>
      <w:r w:rsidRPr="0059433B">
        <w:t>is acknowledged</w:t>
      </w:r>
      <w:proofErr w:type="gramEnd"/>
      <w:r w:rsidRPr="0059433B">
        <w:t xml:space="preserve"> that survival outcomes would be expected to be </w:t>
      </w:r>
      <w:r w:rsidRPr="0059433B">
        <w:lastRenderedPageBreak/>
        <w:t xml:space="preserve">impacted by NYHA Class, the proposed PBS restriction did not exclude patients with NYHA Class III and IV heart failure (see paragraph </w:t>
      </w:r>
      <w:r w:rsidRPr="0059433B">
        <w:fldChar w:fldCharType="begin" w:fldLock="1"/>
      </w:r>
      <w:r w:rsidRPr="0059433B">
        <w:instrText xml:space="preserve"> REF _Ref142312312 \r \h </w:instrText>
      </w:r>
      <w:r w:rsidRPr="0059433B">
        <w:fldChar w:fldCharType="separate"/>
      </w:r>
      <w:r w:rsidR="00042B2E" w:rsidRPr="0059433B">
        <w:t>3.13</w:t>
      </w:r>
      <w:r w:rsidRPr="0059433B">
        <w:fldChar w:fldCharType="end"/>
      </w:r>
      <w:r w:rsidRPr="0059433B">
        <w:t>).</w:t>
      </w:r>
    </w:p>
    <w:p w14:paraId="75D27660" w14:textId="77777777" w:rsidR="00230CBC" w:rsidRPr="0059433B" w:rsidRDefault="00230CBC" w:rsidP="00230CBC">
      <w:pPr>
        <w:pStyle w:val="COMexecsumnumberedpara"/>
      </w:pPr>
      <w:r w:rsidRPr="0059433B">
        <w:t xml:space="preserve">Patients in the patisiran arm spent a higher proportion of time in less severe PND health states (i.e., PND I-IIIB) compared to the BSC arm, whereas patients in the BSC arm spent a </w:t>
      </w:r>
      <w:proofErr w:type="gramStart"/>
      <w:r w:rsidRPr="0059433B">
        <w:t>substantially higher</w:t>
      </w:r>
      <w:proofErr w:type="gramEnd"/>
      <w:r w:rsidRPr="0059433B">
        <w:t xml:space="preserve"> proportion of time in PND IV. </w:t>
      </w:r>
      <w:r w:rsidRPr="0059433B">
        <w:rPr>
          <w:iCs/>
        </w:rPr>
        <w:t>The time spent in PND IV by patients in the BSC arm (8.1 years) lacked face validity, as survival among patients with a PND score of IV is likely to be poor.</w:t>
      </w:r>
    </w:p>
    <w:p w14:paraId="26142A60" w14:textId="753DBFAE" w:rsidR="00230CBC" w:rsidRPr="0059433B" w:rsidRDefault="00230CBC" w:rsidP="00230CBC">
      <w:pPr>
        <w:pStyle w:val="COMexecsumnumberedpara"/>
      </w:pPr>
      <w:r w:rsidRPr="0059433B">
        <w:fldChar w:fldCharType="begin" w:fldLock="1"/>
      </w:r>
      <w:r w:rsidRPr="0059433B">
        <w:instrText xml:space="preserve"> REF _Ref135042050 \h </w:instrText>
      </w:r>
      <w:r w:rsidRPr="0059433B">
        <w:fldChar w:fldCharType="separate"/>
      </w:r>
      <w:r w:rsidR="00042B2E" w:rsidRPr="0059433B">
        <w:t>Figure 5</w:t>
      </w:r>
      <w:r w:rsidRPr="0059433B">
        <w:fldChar w:fldCharType="end"/>
      </w:r>
      <w:r w:rsidRPr="0059433B">
        <w:t xml:space="preserve"> presents a plot of the QALY accumulation over time by treatment arm.</w:t>
      </w:r>
    </w:p>
    <w:p w14:paraId="6EAA751F" w14:textId="45A63C6C" w:rsidR="00230CBC" w:rsidRPr="0059433B" w:rsidRDefault="00230CBC" w:rsidP="00230CBC">
      <w:pPr>
        <w:pStyle w:val="COMtablefigcaption"/>
      </w:pPr>
      <w:bookmarkStart w:id="61" w:name="_Ref135042050"/>
      <w:r w:rsidRPr="0059433B">
        <w:t xml:space="preserve">Figure </w:t>
      </w:r>
      <w:fldSimple w:instr=" SEQ Figure \* ARABIC " w:fldLock="1">
        <w:r w:rsidR="00042B2E" w:rsidRPr="0059433B">
          <w:t>5</w:t>
        </w:r>
      </w:fldSimple>
      <w:bookmarkEnd w:id="61"/>
      <w:r w:rsidRPr="0059433B">
        <w:t>: QALY accumulation over time for the patisiran and best supportive care arms</w:t>
      </w:r>
    </w:p>
    <w:p w14:paraId="1C5C14B5" w14:textId="77777777" w:rsidR="00230CBC" w:rsidRPr="0059433B" w:rsidRDefault="00230CBC" w:rsidP="00230CBC">
      <w:r w:rsidRPr="0059433B">
        <w:rPr>
          <w:noProof/>
        </w:rPr>
        <w:drawing>
          <wp:inline distT="0" distB="0" distL="0" distR="0" wp14:anchorId="3031A432" wp14:editId="74F8E024">
            <wp:extent cx="5045337" cy="3011805"/>
            <wp:effectExtent l="0" t="0" r="3175" b="0"/>
            <wp:docPr id="23" name="Picture 23" descr="Figure 5: QALY accumulation over time for the patisiran and best supportive car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5: QALY accumulation over time for the patisiran and best supportive care arm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2" t="2673" r="2983" b="3775"/>
                    <a:stretch/>
                  </pic:blipFill>
                  <pic:spPr bwMode="auto">
                    <a:xfrm>
                      <a:off x="0" y="0"/>
                      <a:ext cx="5049974" cy="3014573"/>
                    </a:xfrm>
                    <a:prstGeom prst="rect">
                      <a:avLst/>
                    </a:prstGeom>
                    <a:noFill/>
                    <a:ln>
                      <a:noFill/>
                    </a:ln>
                    <a:extLst>
                      <a:ext uri="{53640926-AAD7-44D8-BBD7-CCE9431645EC}">
                        <a14:shadowObscured xmlns:a14="http://schemas.microsoft.com/office/drawing/2010/main"/>
                      </a:ext>
                    </a:extLst>
                  </pic:spPr>
                </pic:pic>
              </a:graphicData>
            </a:graphic>
          </wp:inline>
        </w:drawing>
      </w:r>
    </w:p>
    <w:p w14:paraId="139333B5" w14:textId="77777777" w:rsidR="00230CBC" w:rsidRPr="0059433B" w:rsidRDefault="00230CBC" w:rsidP="00230CBC">
      <w:pPr>
        <w:pStyle w:val="TableFigureFooter"/>
      </w:pPr>
      <w:r w:rsidRPr="0059433B">
        <w:t>Source: Figure 3.11, p137 of the submission.</w:t>
      </w:r>
    </w:p>
    <w:p w14:paraId="113352F7" w14:textId="77777777" w:rsidR="00230CBC" w:rsidRPr="0059433B" w:rsidRDefault="00230CBC" w:rsidP="00230CBC">
      <w:pPr>
        <w:pStyle w:val="TableFigureFooter"/>
      </w:pPr>
      <w:r w:rsidRPr="0059433B">
        <w:t>Abbreviations: BSC, best supportive care.</w:t>
      </w:r>
    </w:p>
    <w:p w14:paraId="790287A6" w14:textId="2F147E45" w:rsidR="00230CBC" w:rsidRPr="0059433B" w:rsidRDefault="00230CBC" w:rsidP="00230CBC">
      <w:pPr>
        <w:pStyle w:val="COMexecsumnumberedpara"/>
      </w:pPr>
      <w:r w:rsidRPr="0059433B">
        <w:t xml:space="preserve">The results of the modelled economic evaluation, excluding anniversary price reductions for patisiran, are summarised in </w:t>
      </w:r>
      <w:r w:rsidRPr="0059433B">
        <w:fldChar w:fldCharType="begin" w:fldLock="1"/>
      </w:r>
      <w:r w:rsidRPr="0059433B">
        <w:instrText xml:space="preserve"> REF _Ref132583344 \h </w:instrText>
      </w:r>
      <w:r w:rsidRPr="0059433B">
        <w:fldChar w:fldCharType="separate"/>
      </w:r>
      <w:r w:rsidR="00042B2E" w:rsidRPr="0059433B">
        <w:t>Table 12</w:t>
      </w:r>
      <w:r w:rsidRPr="0059433B">
        <w:fldChar w:fldCharType="end"/>
      </w:r>
      <w:r w:rsidRPr="0059433B">
        <w:t>.</w:t>
      </w:r>
    </w:p>
    <w:p w14:paraId="711AD4CD" w14:textId="3D8A9F6C" w:rsidR="00230CBC" w:rsidRPr="0059433B" w:rsidRDefault="00230CBC" w:rsidP="00230CBC">
      <w:pPr>
        <w:pStyle w:val="COMtablefigcaption"/>
        <w:rPr>
          <w:b w:val="0"/>
        </w:rPr>
      </w:pPr>
      <w:bookmarkStart w:id="62" w:name="_Ref132583344"/>
      <w:r w:rsidRPr="0059433B">
        <w:t xml:space="preserve">Table </w:t>
      </w:r>
      <w:fldSimple w:instr=" SEQ Table \* ARABIC " w:fldLock="1">
        <w:r w:rsidR="00042B2E" w:rsidRPr="0059433B">
          <w:t>12</w:t>
        </w:r>
      </w:fldSimple>
      <w:bookmarkEnd w:id="62"/>
      <w:r w:rsidRPr="0059433B">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economic evaluation"/>
      </w:tblPr>
      <w:tblGrid>
        <w:gridCol w:w="2757"/>
        <w:gridCol w:w="2451"/>
        <w:gridCol w:w="2298"/>
        <w:gridCol w:w="1511"/>
      </w:tblGrid>
      <w:tr w:rsidR="00230CBC" w:rsidRPr="0059433B" w14:paraId="3EDA93E8" w14:textId="77777777" w:rsidTr="00C5774C">
        <w:trPr>
          <w:tblHeader/>
        </w:trPr>
        <w:tc>
          <w:tcPr>
            <w:tcW w:w="1529" w:type="pct"/>
            <w:vAlign w:val="center"/>
          </w:tcPr>
          <w:p w14:paraId="2D62B316" w14:textId="77777777" w:rsidR="00230CBC" w:rsidRPr="0059433B" w:rsidRDefault="00230CBC" w:rsidP="00C5774C">
            <w:pPr>
              <w:pStyle w:val="COMTableheadingrow"/>
              <w:rPr>
                <w:lang w:val="en-AU"/>
              </w:rPr>
            </w:pPr>
            <w:r w:rsidRPr="0059433B">
              <w:rPr>
                <w:lang w:val="en-AU"/>
              </w:rPr>
              <w:t>Component</w:t>
            </w:r>
          </w:p>
        </w:tc>
        <w:tc>
          <w:tcPr>
            <w:tcW w:w="1359" w:type="pct"/>
            <w:vAlign w:val="center"/>
          </w:tcPr>
          <w:p w14:paraId="3E7D1B26" w14:textId="77777777" w:rsidR="00230CBC" w:rsidRPr="0059433B" w:rsidRDefault="00230CBC" w:rsidP="00C5774C">
            <w:pPr>
              <w:pStyle w:val="COMTableheadingrow"/>
              <w:jc w:val="center"/>
              <w:rPr>
                <w:lang w:val="en-AU"/>
              </w:rPr>
            </w:pPr>
            <w:r w:rsidRPr="0059433B">
              <w:rPr>
                <w:lang w:val="en-AU"/>
              </w:rPr>
              <w:t>Patisiran</w:t>
            </w:r>
          </w:p>
        </w:tc>
        <w:tc>
          <w:tcPr>
            <w:tcW w:w="1274" w:type="pct"/>
            <w:vAlign w:val="center"/>
          </w:tcPr>
          <w:p w14:paraId="60875792" w14:textId="77777777" w:rsidR="00230CBC" w:rsidRPr="0059433B" w:rsidRDefault="00230CBC" w:rsidP="00C5774C">
            <w:pPr>
              <w:pStyle w:val="COMTableheadingrow"/>
              <w:jc w:val="center"/>
              <w:rPr>
                <w:lang w:val="en-AU"/>
              </w:rPr>
            </w:pPr>
            <w:r w:rsidRPr="0059433B">
              <w:rPr>
                <w:lang w:val="en-AU"/>
              </w:rPr>
              <w:t>BSC</w:t>
            </w:r>
          </w:p>
        </w:tc>
        <w:tc>
          <w:tcPr>
            <w:tcW w:w="838" w:type="pct"/>
            <w:vAlign w:val="center"/>
          </w:tcPr>
          <w:p w14:paraId="433762EA" w14:textId="77777777" w:rsidR="00230CBC" w:rsidRPr="0059433B" w:rsidRDefault="00230CBC" w:rsidP="00C5774C">
            <w:pPr>
              <w:pStyle w:val="COMTableheadingrow"/>
              <w:jc w:val="center"/>
              <w:rPr>
                <w:lang w:val="en-AU"/>
              </w:rPr>
            </w:pPr>
            <w:r w:rsidRPr="0059433B">
              <w:rPr>
                <w:lang w:val="en-AU"/>
              </w:rPr>
              <w:t>Increment</w:t>
            </w:r>
          </w:p>
        </w:tc>
      </w:tr>
      <w:tr w:rsidR="00230CBC" w:rsidRPr="0059433B" w14:paraId="4403B5F7" w14:textId="77777777" w:rsidTr="00C5774C">
        <w:tc>
          <w:tcPr>
            <w:tcW w:w="1529" w:type="pct"/>
            <w:vAlign w:val="center"/>
          </w:tcPr>
          <w:p w14:paraId="62691082" w14:textId="77777777" w:rsidR="00230CBC" w:rsidRPr="0059433B" w:rsidRDefault="00230CBC" w:rsidP="00C5774C">
            <w:pPr>
              <w:pStyle w:val="COMTabletext"/>
              <w:rPr>
                <w:vertAlign w:val="superscript"/>
              </w:rPr>
            </w:pPr>
            <w:r w:rsidRPr="0059433B">
              <w:t>Costs</w:t>
            </w:r>
          </w:p>
        </w:tc>
        <w:tc>
          <w:tcPr>
            <w:tcW w:w="1359" w:type="pct"/>
            <w:vAlign w:val="center"/>
          </w:tcPr>
          <w:p w14:paraId="73AB3446" w14:textId="63A942A2" w:rsidR="00230CBC" w:rsidRPr="0059433B" w:rsidRDefault="00230CBC" w:rsidP="00C5774C">
            <w:pPr>
              <w:pStyle w:val="COMTabletext"/>
              <w:jc w:val="center"/>
              <w:rPr>
                <w:iCs/>
              </w:rPr>
            </w:pPr>
            <w:r w:rsidRPr="0059433B">
              <w:rPr>
                <w:iCs/>
              </w:rPr>
              <w:t>$</w:t>
            </w:r>
            <w:r w:rsidR="00B94620" w:rsidRPr="00B94620">
              <w:rPr>
                <w:iCs/>
                <w:color w:val="000000"/>
                <w:shd w:val="solid" w:color="000000" w:fill="000000"/>
                <w14:textFill>
                  <w14:solidFill>
                    <w14:srgbClr w14:val="000000">
                      <w14:alpha w14:val="100000"/>
                    </w14:srgbClr>
                  </w14:solidFill>
                </w14:textFill>
              </w:rPr>
              <w:t>|</w:t>
            </w:r>
          </w:p>
        </w:tc>
        <w:tc>
          <w:tcPr>
            <w:tcW w:w="1274" w:type="pct"/>
            <w:vAlign w:val="center"/>
          </w:tcPr>
          <w:p w14:paraId="0A015499" w14:textId="77777777" w:rsidR="00230CBC" w:rsidRPr="0059433B" w:rsidRDefault="00230CBC" w:rsidP="00C5774C">
            <w:pPr>
              <w:pStyle w:val="COMTabletext"/>
              <w:jc w:val="center"/>
              <w:rPr>
                <w:iCs/>
              </w:rPr>
            </w:pPr>
            <w:r w:rsidRPr="0059433B">
              <w:rPr>
                <w:iCs/>
              </w:rPr>
              <w:t>$415,534</w:t>
            </w:r>
          </w:p>
        </w:tc>
        <w:tc>
          <w:tcPr>
            <w:tcW w:w="838" w:type="pct"/>
            <w:vAlign w:val="center"/>
          </w:tcPr>
          <w:p w14:paraId="70172C19" w14:textId="3AABBAA7" w:rsidR="00230CBC" w:rsidRPr="0059433B" w:rsidRDefault="00230CBC" w:rsidP="00C5774C">
            <w:pPr>
              <w:pStyle w:val="COMTabletext"/>
              <w:jc w:val="center"/>
              <w:rPr>
                <w:iCs/>
              </w:rPr>
            </w:pPr>
            <w:r w:rsidRPr="0059433B">
              <w:rPr>
                <w:iCs/>
              </w:rPr>
              <w:t>$</w:t>
            </w:r>
            <w:r w:rsidR="00B94620" w:rsidRPr="00B94620">
              <w:rPr>
                <w:iCs/>
                <w:color w:val="000000"/>
                <w:shd w:val="solid" w:color="000000" w:fill="000000"/>
                <w14:textFill>
                  <w14:solidFill>
                    <w14:srgbClr w14:val="000000">
                      <w14:alpha w14:val="100000"/>
                    </w14:srgbClr>
                  </w14:solidFill>
                </w14:textFill>
              </w:rPr>
              <w:t>|</w:t>
            </w:r>
          </w:p>
        </w:tc>
      </w:tr>
      <w:tr w:rsidR="00230CBC" w:rsidRPr="0059433B" w14:paraId="529B653B" w14:textId="77777777" w:rsidTr="00C5774C">
        <w:tc>
          <w:tcPr>
            <w:tcW w:w="1529" w:type="pct"/>
            <w:vAlign w:val="center"/>
          </w:tcPr>
          <w:p w14:paraId="5D689A5F" w14:textId="77777777" w:rsidR="00230CBC" w:rsidRPr="0059433B" w:rsidRDefault="00230CBC" w:rsidP="00C5774C">
            <w:pPr>
              <w:pStyle w:val="COMTabletext"/>
            </w:pPr>
            <w:r w:rsidRPr="0059433B">
              <w:t>LYs</w:t>
            </w:r>
          </w:p>
        </w:tc>
        <w:tc>
          <w:tcPr>
            <w:tcW w:w="1359" w:type="pct"/>
            <w:vAlign w:val="center"/>
          </w:tcPr>
          <w:p w14:paraId="10F71FF5" w14:textId="77777777" w:rsidR="00230CBC" w:rsidRPr="0059433B" w:rsidRDefault="00230CBC" w:rsidP="00C5774C">
            <w:pPr>
              <w:pStyle w:val="COMTabletext"/>
              <w:jc w:val="center"/>
            </w:pPr>
            <w:r w:rsidRPr="0059433B">
              <w:t>10.863</w:t>
            </w:r>
          </w:p>
        </w:tc>
        <w:tc>
          <w:tcPr>
            <w:tcW w:w="1274" w:type="pct"/>
            <w:vAlign w:val="center"/>
          </w:tcPr>
          <w:p w14:paraId="7391ADA0" w14:textId="77777777" w:rsidR="00230CBC" w:rsidRPr="0059433B" w:rsidRDefault="00230CBC" w:rsidP="00C5774C">
            <w:pPr>
              <w:pStyle w:val="COMTabletext"/>
              <w:jc w:val="center"/>
            </w:pPr>
            <w:r w:rsidRPr="0059433B">
              <w:t>9.033</w:t>
            </w:r>
          </w:p>
        </w:tc>
        <w:tc>
          <w:tcPr>
            <w:tcW w:w="838" w:type="pct"/>
            <w:vAlign w:val="center"/>
          </w:tcPr>
          <w:p w14:paraId="36BED919" w14:textId="77777777" w:rsidR="00230CBC" w:rsidRPr="0059433B" w:rsidRDefault="00230CBC" w:rsidP="00C5774C">
            <w:pPr>
              <w:pStyle w:val="COMTabletext"/>
              <w:jc w:val="center"/>
            </w:pPr>
            <w:r w:rsidRPr="0059433B">
              <w:t>1.830</w:t>
            </w:r>
          </w:p>
        </w:tc>
      </w:tr>
      <w:tr w:rsidR="00230CBC" w:rsidRPr="0059433B" w14:paraId="500BB757" w14:textId="77777777" w:rsidTr="00C5774C">
        <w:tc>
          <w:tcPr>
            <w:tcW w:w="1529" w:type="pct"/>
            <w:vAlign w:val="center"/>
          </w:tcPr>
          <w:p w14:paraId="2E875769" w14:textId="77777777" w:rsidR="00230CBC" w:rsidRPr="0059433B" w:rsidRDefault="00230CBC" w:rsidP="00C5774C">
            <w:pPr>
              <w:pStyle w:val="COMTabletext"/>
            </w:pPr>
            <w:r w:rsidRPr="0059433B">
              <w:t>QALYs</w:t>
            </w:r>
          </w:p>
        </w:tc>
        <w:tc>
          <w:tcPr>
            <w:tcW w:w="1359" w:type="pct"/>
            <w:vAlign w:val="center"/>
          </w:tcPr>
          <w:p w14:paraId="19311BDB" w14:textId="77777777" w:rsidR="00230CBC" w:rsidRPr="0059433B" w:rsidRDefault="00230CBC" w:rsidP="00C5774C">
            <w:pPr>
              <w:pStyle w:val="COMTabletext"/>
              <w:jc w:val="center"/>
            </w:pPr>
            <w:r w:rsidRPr="0059433B">
              <w:t>2.786</w:t>
            </w:r>
          </w:p>
        </w:tc>
        <w:tc>
          <w:tcPr>
            <w:tcW w:w="1274" w:type="pct"/>
            <w:vAlign w:val="center"/>
          </w:tcPr>
          <w:p w14:paraId="0C0669B1" w14:textId="77777777" w:rsidR="00230CBC" w:rsidRPr="0059433B" w:rsidRDefault="00230CBC" w:rsidP="00C5774C">
            <w:pPr>
              <w:pStyle w:val="COMTabletext"/>
              <w:jc w:val="center"/>
            </w:pPr>
            <w:r w:rsidRPr="0059433B">
              <w:t>-3.310</w:t>
            </w:r>
          </w:p>
        </w:tc>
        <w:tc>
          <w:tcPr>
            <w:tcW w:w="838" w:type="pct"/>
            <w:vAlign w:val="center"/>
          </w:tcPr>
          <w:p w14:paraId="6D116990" w14:textId="77777777" w:rsidR="00230CBC" w:rsidRPr="0059433B" w:rsidRDefault="00230CBC" w:rsidP="00C5774C">
            <w:pPr>
              <w:pStyle w:val="COMTabletext"/>
              <w:jc w:val="center"/>
            </w:pPr>
            <w:r w:rsidRPr="0059433B">
              <w:t>6.095</w:t>
            </w:r>
          </w:p>
        </w:tc>
      </w:tr>
      <w:tr w:rsidR="00230CBC" w:rsidRPr="0059433B" w14:paraId="240AB93B" w14:textId="77777777" w:rsidTr="00C5774C">
        <w:tc>
          <w:tcPr>
            <w:tcW w:w="4162" w:type="pct"/>
            <w:gridSpan w:val="3"/>
            <w:vAlign w:val="center"/>
          </w:tcPr>
          <w:p w14:paraId="6C857286" w14:textId="77777777" w:rsidR="00230CBC" w:rsidRPr="0059433B" w:rsidRDefault="00230CBC" w:rsidP="00C5774C">
            <w:pPr>
              <w:pStyle w:val="COMTabletext"/>
              <w:rPr>
                <w:b/>
              </w:rPr>
            </w:pPr>
            <w:r w:rsidRPr="0059433B">
              <w:rPr>
                <w:b/>
              </w:rPr>
              <w:t>Incremental cost QALY gained</w:t>
            </w:r>
          </w:p>
        </w:tc>
        <w:tc>
          <w:tcPr>
            <w:tcW w:w="838" w:type="pct"/>
            <w:vAlign w:val="center"/>
          </w:tcPr>
          <w:p w14:paraId="56876A6D" w14:textId="522057C5" w:rsidR="00230CBC" w:rsidRPr="003F0BF2" w:rsidRDefault="00230CBC" w:rsidP="00C5774C">
            <w:pPr>
              <w:pStyle w:val="COMTabletext"/>
              <w:jc w:val="center"/>
              <w:rPr>
                <w:bCs w:val="0"/>
                <w:iCs/>
                <w:vertAlign w:val="superscript"/>
              </w:rPr>
            </w:pPr>
            <w:r w:rsidRPr="0059433B">
              <w:rPr>
                <w:b/>
                <w:iCs/>
              </w:rPr>
              <w:t>$</w:t>
            </w:r>
            <w:r w:rsidR="00B94620" w:rsidRPr="00B94620">
              <w:rPr>
                <w:b/>
                <w:iCs/>
                <w:color w:val="000000"/>
                <w:shd w:val="solid" w:color="000000" w:fill="000000"/>
                <w14:textFill>
                  <w14:solidFill>
                    <w14:srgbClr w14:val="000000">
                      <w14:alpha w14:val="100000"/>
                    </w14:srgbClr>
                  </w14:solidFill>
                </w14:textFill>
              </w:rPr>
              <w:t>|</w:t>
            </w:r>
            <w:r w:rsidR="00304E4A">
              <w:rPr>
                <w:bCs w:val="0"/>
                <w:iCs/>
                <w:vertAlign w:val="superscript"/>
              </w:rPr>
              <w:t>1</w:t>
            </w:r>
          </w:p>
        </w:tc>
      </w:tr>
    </w:tbl>
    <w:p w14:paraId="4A70D9E9" w14:textId="77777777" w:rsidR="00230CBC" w:rsidRPr="0059433B" w:rsidRDefault="00230CBC" w:rsidP="00230CBC">
      <w:pPr>
        <w:pStyle w:val="COMTablefooter"/>
      </w:pPr>
      <w:r w:rsidRPr="0059433B">
        <w:t>Source: Section 3 economic evaluation Excel workbook.</w:t>
      </w:r>
    </w:p>
    <w:p w14:paraId="66649270" w14:textId="0B0B1084" w:rsidR="00230CBC" w:rsidRDefault="00230CBC" w:rsidP="00331793">
      <w:pPr>
        <w:pStyle w:val="COMTablefooter"/>
        <w:spacing w:after="0"/>
      </w:pPr>
      <w:r w:rsidRPr="0059433B">
        <w:t xml:space="preserve">Note: The submission’s base case included anniversary price reductions at 5 years (5%), 10 years (5%) and 15 years (30%). These reductions </w:t>
      </w:r>
      <w:proofErr w:type="gramStart"/>
      <w:r w:rsidRPr="0059433B">
        <w:t>were removed</w:t>
      </w:r>
      <w:proofErr w:type="gramEnd"/>
      <w:r w:rsidRPr="0059433B">
        <w:t xml:space="preserve"> during the evaluation. Results inclusive of anniversary price reductions </w:t>
      </w:r>
      <w:proofErr w:type="gramStart"/>
      <w:r w:rsidRPr="0059433B">
        <w:t>are presented</w:t>
      </w:r>
      <w:proofErr w:type="gramEnd"/>
      <w:r w:rsidRPr="0059433B">
        <w:t xml:space="preserve"> as a sensitivity analysis.</w:t>
      </w:r>
    </w:p>
    <w:p w14:paraId="42854463" w14:textId="07219D37" w:rsidR="00304E4A" w:rsidRPr="003F0BF2" w:rsidRDefault="00304E4A" w:rsidP="0003193A">
      <w:pPr>
        <w:rPr>
          <w:rFonts w:ascii="Arial Narrow" w:hAnsi="Arial Narrow"/>
          <w:i/>
          <w:iCs/>
          <w:sz w:val="18"/>
          <w:szCs w:val="18"/>
        </w:rPr>
      </w:pPr>
      <w:r w:rsidRPr="003F0BF2">
        <w:rPr>
          <w:rFonts w:ascii="Arial Narrow" w:hAnsi="Arial Narrow"/>
          <w:i/>
          <w:iCs/>
          <w:sz w:val="18"/>
          <w:szCs w:val="18"/>
        </w:rPr>
        <w:t>The redacted values correspond to the following ranges:</w:t>
      </w:r>
    </w:p>
    <w:p w14:paraId="2F990B64" w14:textId="6C7D6245" w:rsidR="00304E4A" w:rsidRDefault="0097243F" w:rsidP="00331793">
      <w:pPr>
        <w:spacing w:after="120"/>
        <w:rPr>
          <w:rFonts w:ascii="Arial Narrow" w:hAnsi="Arial Narrow"/>
          <w:i/>
          <w:iCs/>
          <w:sz w:val="18"/>
          <w:szCs w:val="18"/>
        </w:rPr>
      </w:pPr>
      <w:r w:rsidRPr="003F0BF2">
        <w:rPr>
          <w:rFonts w:ascii="Arial Narrow" w:hAnsi="Arial Narrow"/>
          <w:i/>
          <w:iCs/>
          <w:sz w:val="18"/>
          <w:szCs w:val="18"/>
          <w:vertAlign w:val="superscript"/>
        </w:rPr>
        <w:t>1</w:t>
      </w:r>
      <w:r w:rsidRPr="003F0BF2">
        <w:rPr>
          <w:rFonts w:ascii="Arial Narrow" w:hAnsi="Arial Narrow"/>
          <w:i/>
          <w:iCs/>
          <w:sz w:val="18"/>
          <w:szCs w:val="18"/>
        </w:rPr>
        <w:t>$255,000 to &lt; $355,000</w:t>
      </w:r>
    </w:p>
    <w:p w14:paraId="3B52C7E0" w14:textId="18D6B4F4" w:rsidR="00230CBC" w:rsidRPr="0059433B" w:rsidRDefault="00230CBC" w:rsidP="00230CBC">
      <w:pPr>
        <w:pStyle w:val="COMexecsumnumberedpara"/>
      </w:pPr>
      <w:r w:rsidRPr="0059433B">
        <w:t xml:space="preserve">Based on the economic model, treatment with patisiran was associated with an incremental cost per QALY gained of </w:t>
      </w:r>
      <w:r w:rsidR="0097243F" w:rsidRPr="0097243F">
        <w:t>$255,000</w:t>
      </w:r>
      <w:r w:rsidR="003F0BF2">
        <w:t> </w:t>
      </w:r>
      <w:r w:rsidR="0097243F" w:rsidRPr="0097243F">
        <w:t>to</w:t>
      </w:r>
      <w:r w:rsidR="003F0BF2">
        <w:t> </w:t>
      </w:r>
      <w:r w:rsidR="0097243F" w:rsidRPr="0097243F">
        <w:t>&lt;</w:t>
      </w:r>
      <w:r w:rsidR="003F0BF2">
        <w:t> </w:t>
      </w:r>
      <w:r w:rsidR="0097243F" w:rsidRPr="0097243F">
        <w:t>$355,000</w:t>
      </w:r>
      <w:r w:rsidR="0097243F">
        <w:t xml:space="preserve"> </w:t>
      </w:r>
      <w:r w:rsidRPr="0059433B">
        <w:t xml:space="preserve">compared to BSC. The </w:t>
      </w:r>
      <w:r w:rsidRPr="0059433B">
        <w:lastRenderedPageBreak/>
        <w:t xml:space="preserve">submission estimated an incremental cost per QALY gained of </w:t>
      </w:r>
      <w:r w:rsidR="0097243F" w:rsidRPr="0097243F">
        <w:t>$255,000</w:t>
      </w:r>
      <w:r w:rsidR="003F0BF2">
        <w:t> </w:t>
      </w:r>
      <w:r w:rsidR="0097243F" w:rsidRPr="0097243F">
        <w:t>to</w:t>
      </w:r>
      <w:r w:rsidR="003F0BF2">
        <w:t> </w:t>
      </w:r>
      <w:r w:rsidR="0097243F" w:rsidRPr="0097243F">
        <w:t>&lt;</w:t>
      </w:r>
      <w:r w:rsidR="003F0BF2">
        <w:t> </w:t>
      </w:r>
      <w:r w:rsidR="0097243F" w:rsidRPr="0097243F">
        <w:t>$355,000</w:t>
      </w:r>
      <w:r w:rsidR="0097243F">
        <w:t xml:space="preserve"> </w:t>
      </w:r>
      <w:r w:rsidRPr="0059433B">
        <w:t xml:space="preserve">compared to BSC (inclusive of anniversary price reductions for patisiran). </w:t>
      </w:r>
      <w:r w:rsidRPr="0059433B">
        <w:rPr>
          <w:iCs/>
        </w:rPr>
        <w:t>Due to the accrual of negative QALYs in the best supportive care arm (total QALYs of -3.310), the incremental difference in QALYs (6.095 QALYs) was larger than the incremental difference in life years (1.830 life years).</w:t>
      </w:r>
    </w:p>
    <w:p w14:paraId="71CAB982" w14:textId="77777777" w:rsidR="00230CBC" w:rsidRPr="0059433B" w:rsidRDefault="00230CBC" w:rsidP="00230CBC">
      <w:pPr>
        <w:pStyle w:val="COMexecsumnumberedpara"/>
        <w:rPr>
          <w:iCs/>
        </w:rPr>
      </w:pPr>
      <w:r w:rsidRPr="0059433B">
        <w:rPr>
          <w:iCs/>
        </w:rPr>
        <w:t xml:space="preserve">The difference in total cost between treatment arms </w:t>
      </w:r>
      <w:proofErr w:type="gramStart"/>
      <w:r w:rsidRPr="0059433B">
        <w:rPr>
          <w:iCs/>
        </w:rPr>
        <w:t>was primarily driven</w:t>
      </w:r>
      <w:proofErr w:type="gramEnd"/>
      <w:r w:rsidRPr="0059433B">
        <w:rPr>
          <w:iCs/>
        </w:rPr>
        <w:t xml:space="preserve"> by the patisiran drug costs. The difference in health outcomes </w:t>
      </w:r>
      <w:proofErr w:type="gramStart"/>
      <w:r w:rsidRPr="0059433B">
        <w:rPr>
          <w:iCs/>
        </w:rPr>
        <w:t>was primarily driven</w:t>
      </w:r>
      <w:proofErr w:type="gramEnd"/>
      <w:r w:rsidRPr="0059433B">
        <w:rPr>
          <w:iCs/>
        </w:rPr>
        <w:t xml:space="preserve"> by the time spent in the PND IV versus other PND health states (patients in the BSC arm spent a higher proportion of time in the PND IV state, resulting in accrual of a large number of negative QALYs).</w:t>
      </w:r>
    </w:p>
    <w:p w14:paraId="093BA7F7" w14:textId="77777777" w:rsidR="00230CBC" w:rsidRPr="0059433B" w:rsidRDefault="00230CBC" w:rsidP="00230CBC">
      <w:pPr>
        <w:pStyle w:val="COMexecsumnumberedpara"/>
      </w:pPr>
      <w:bookmarkStart w:id="63" w:name="_Hlk132610585"/>
      <w:bookmarkStart w:id="64" w:name="_Hlk132610631"/>
      <w:r w:rsidRPr="0059433B">
        <w:t>In the model, 70% of incremental QALYs, 50% of patisiran drug costs (drug costs, administration costs, premedication costs), and 42% of incremental disease management costs (health care resource use, adverse event costs, end of life care costs) were accrued in the extrapolated period beyond 4.5 years (corresponding to the duration of follow-up for the patisiran arm in the APOLLO trial and Global OLE).</w:t>
      </w:r>
    </w:p>
    <w:p w14:paraId="50A76C65" w14:textId="77777777" w:rsidR="00230CBC" w:rsidRPr="0059433B" w:rsidRDefault="00230CBC" w:rsidP="00331793">
      <w:pPr>
        <w:pStyle w:val="COMexecsumnumberedpara"/>
      </w:pPr>
      <w:r w:rsidRPr="0059433B">
        <w:t xml:space="preserve">For every </w:t>
      </w:r>
      <w:proofErr w:type="gramStart"/>
      <w:r w:rsidRPr="0059433B">
        <w:t>10</w:t>
      </w:r>
      <w:proofErr w:type="gramEnd"/>
      <w:r w:rsidRPr="0059433B">
        <w:t xml:space="preserve"> patients treated with patisiran versus BSC and followed up for 40 years, the economic evaluation (without discounting) estimated </w:t>
      </w:r>
      <w:bookmarkEnd w:id="63"/>
      <w:r w:rsidRPr="0059433B">
        <w:t>that there would be:</w:t>
      </w:r>
    </w:p>
    <w:p w14:paraId="41F64B56" w14:textId="042ACD4C" w:rsidR="00230CBC" w:rsidRPr="0059433B" w:rsidRDefault="00230CBC" w:rsidP="00C67767">
      <w:pPr>
        <w:pStyle w:val="COMexecsummbulletlist"/>
      </w:pPr>
      <w:r w:rsidRPr="0059433B">
        <w:t>Additional patisiran drug costs of</w:t>
      </w:r>
      <w:r w:rsidR="003F0BF2">
        <w:t xml:space="preserve"> </w:t>
      </w:r>
      <w:r w:rsidR="00C67767" w:rsidRPr="00C67767">
        <w:t>$20 million</w:t>
      </w:r>
      <w:r w:rsidR="003F0BF2">
        <w:t> </w:t>
      </w:r>
      <w:r w:rsidR="00C67767" w:rsidRPr="00C67767">
        <w:t>to</w:t>
      </w:r>
      <w:r w:rsidR="003F0BF2">
        <w:t> </w:t>
      </w:r>
      <w:r w:rsidR="00C67767" w:rsidRPr="00C67767">
        <w:t>&lt;</w:t>
      </w:r>
      <w:r w:rsidR="003F0BF2">
        <w:t> </w:t>
      </w:r>
      <w:r w:rsidR="00C67767" w:rsidRPr="00C67767">
        <w:t>$30 million</w:t>
      </w:r>
      <w:r w:rsidR="00C67767" w:rsidRPr="00C67767" w:rsidDel="00C67767">
        <w:t xml:space="preserve"> </w:t>
      </w:r>
      <w:r w:rsidRPr="0059433B">
        <w:t xml:space="preserve">(drug costs, administration costs, premedication costs) and a reduction in disease management costs of </w:t>
      </w:r>
      <w:r w:rsidR="00C67767" w:rsidRPr="00C67767">
        <w:t>$0</w:t>
      </w:r>
      <w:r w:rsidR="003F0BF2">
        <w:t> </w:t>
      </w:r>
      <w:r w:rsidR="00C67767" w:rsidRPr="00C67767">
        <w:t>to</w:t>
      </w:r>
      <w:r w:rsidR="003F0BF2">
        <w:t> </w:t>
      </w:r>
      <w:r w:rsidR="00C67767" w:rsidRPr="00C67767">
        <w:t>&lt;</w:t>
      </w:r>
      <w:r w:rsidR="003F0BF2">
        <w:t> </w:t>
      </w:r>
      <w:r w:rsidR="00C67767" w:rsidRPr="00C67767">
        <w:t>$10 million</w:t>
      </w:r>
      <w:r w:rsidR="00C67767" w:rsidRPr="00C67767" w:rsidDel="00C67767">
        <w:t xml:space="preserve"> </w:t>
      </w:r>
      <w:r w:rsidRPr="0059433B">
        <w:t>(health care resource use, adverse event costs, end of life care costs).</w:t>
      </w:r>
    </w:p>
    <w:p w14:paraId="20B50A9F" w14:textId="77777777" w:rsidR="00230CBC" w:rsidRPr="0059433B" w:rsidRDefault="00230CBC" w:rsidP="00331793">
      <w:pPr>
        <w:pStyle w:val="COMexecsummbulletlist"/>
      </w:pPr>
      <w:r w:rsidRPr="0059433B">
        <w:t>An additional 38.4 years of life lived and an additional 89.9 quality-adjusted life years lived.</w:t>
      </w:r>
    </w:p>
    <w:p w14:paraId="5BE2ADBB" w14:textId="77777777" w:rsidR="00F126D4" w:rsidRPr="0059433B" w:rsidRDefault="00230CBC" w:rsidP="00230CBC">
      <w:pPr>
        <w:pStyle w:val="COMexecsummbulletlist"/>
      </w:pPr>
      <w:r w:rsidRPr="0059433B">
        <w:t xml:space="preserve">An additional </w:t>
      </w:r>
      <w:proofErr w:type="gramStart"/>
      <w:r w:rsidRPr="0059433B">
        <w:t>3</w:t>
      </w:r>
      <w:proofErr w:type="gramEnd"/>
      <w:r w:rsidRPr="0059433B">
        <w:t xml:space="preserve"> serious occurrences of diarrhoea, 2 fewer serious occurrences of acute kidney injury, and 2 fewer serious occurrences of urinary tract infection.</w:t>
      </w:r>
    </w:p>
    <w:bookmarkEnd w:id="64"/>
    <w:p w14:paraId="34E9E8D9" w14:textId="0CE04D37" w:rsidR="003F0BF2" w:rsidRPr="0047290F" w:rsidRDefault="00230CBC" w:rsidP="0047290F">
      <w:pPr>
        <w:pStyle w:val="COMexecsumnumberedpara"/>
      </w:pPr>
      <w:r w:rsidRPr="0059433B">
        <w:t xml:space="preserve">The results of key sensitivity analyses presented in the submission </w:t>
      </w:r>
      <w:r w:rsidRPr="0059433B">
        <w:rPr>
          <w:iCs/>
        </w:rPr>
        <w:t>and conducted during the evaluation</w:t>
      </w:r>
      <w:r w:rsidRPr="0059433B">
        <w:t xml:space="preserve"> are summarised in </w:t>
      </w:r>
      <w:r w:rsidRPr="0059433B">
        <w:rPr>
          <w:highlight w:val="yellow"/>
        </w:rPr>
        <w:fldChar w:fldCharType="begin" w:fldLock="1"/>
      </w:r>
      <w:r w:rsidRPr="0059433B">
        <w:instrText xml:space="preserve"> REF _Ref132583366 \h </w:instrText>
      </w:r>
      <w:r w:rsidRPr="0059433B">
        <w:rPr>
          <w:highlight w:val="yellow"/>
        </w:rPr>
      </w:r>
      <w:r w:rsidRPr="0059433B">
        <w:rPr>
          <w:highlight w:val="yellow"/>
        </w:rPr>
        <w:fldChar w:fldCharType="separate"/>
      </w:r>
      <w:r w:rsidR="00042B2E" w:rsidRPr="0059433B">
        <w:t>Table 13</w:t>
      </w:r>
      <w:r w:rsidRPr="0059433B">
        <w:rPr>
          <w:highlight w:val="yellow"/>
        </w:rPr>
        <w:fldChar w:fldCharType="end"/>
      </w:r>
      <w:r w:rsidRPr="0059433B">
        <w:t>.</w:t>
      </w:r>
      <w:bookmarkStart w:id="65" w:name="_Ref132583366"/>
    </w:p>
    <w:p w14:paraId="1FCA5759" w14:textId="6AA772BF" w:rsidR="00230CBC" w:rsidRPr="0059433B" w:rsidRDefault="00230CBC" w:rsidP="0047290F">
      <w:pPr>
        <w:pStyle w:val="COMtablefigcaption"/>
        <w:pageBreakBefore/>
        <w:rPr>
          <w:b w:val="0"/>
        </w:rPr>
      </w:pPr>
      <w:r w:rsidRPr="0059433B">
        <w:lastRenderedPageBreak/>
        <w:t xml:space="preserve">Table </w:t>
      </w:r>
      <w:fldSimple w:instr=" SEQ Table \* ARABIC " w:fldLock="1">
        <w:r w:rsidR="00042B2E" w:rsidRPr="0059433B">
          <w:t>13</w:t>
        </w:r>
      </w:fldSimple>
      <w:bookmarkEnd w:id="65"/>
      <w:r w:rsidRPr="0059433B">
        <w:t>: Results of sensitivity analyses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Results of sensitivity analyses"/>
      </w:tblPr>
      <w:tblGrid>
        <w:gridCol w:w="4102"/>
        <w:gridCol w:w="1368"/>
        <w:gridCol w:w="1370"/>
        <w:gridCol w:w="1372"/>
        <w:gridCol w:w="800"/>
      </w:tblGrid>
      <w:tr w:rsidR="00230CBC" w:rsidRPr="0059433B" w14:paraId="5A61D728" w14:textId="77777777" w:rsidTr="00C5774C">
        <w:trPr>
          <w:tblHeader/>
        </w:trPr>
        <w:tc>
          <w:tcPr>
            <w:tcW w:w="2276" w:type="pct"/>
            <w:vAlign w:val="center"/>
          </w:tcPr>
          <w:p w14:paraId="3085C46E" w14:textId="77777777" w:rsidR="00230CBC" w:rsidRPr="0059433B" w:rsidRDefault="00230CBC" w:rsidP="00C5774C">
            <w:pPr>
              <w:pStyle w:val="COMTableheadingrow"/>
              <w:keepNext w:val="0"/>
              <w:rPr>
                <w:lang w:val="en-AU"/>
              </w:rPr>
            </w:pPr>
            <w:r w:rsidRPr="0059433B">
              <w:rPr>
                <w:lang w:val="en-AU"/>
              </w:rPr>
              <w:t>Analyses</w:t>
            </w:r>
          </w:p>
        </w:tc>
        <w:tc>
          <w:tcPr>
            <w:tcW w:w="759" w:type="pct"/>
            <w:vAlign w:val="center"/>
          </w:tcPr>
          <w:p w14:paraId="16CD744C" w14:textId="77777777" w:rsidR="00230CBC" w:rsidRPr="0059433B" w:rsidRDefault="00230CBC" w:rsidP="00C5774C">
            <w:pPr>
              <w:pStyle w:val="COMTableheadingrow"/>
              <w:keepNext w:val="0"/>
              <w:jc w:val="center"/>
              <w:rPr>
                <w:lang w:val="en-AU"/>
              </w:rPr>
            </w:pPr>
            <w:r w:rsidRPr="0059433B">
              <w:rPr>
                <w:lang w:val="en-AU"/>
              </w:rPr>
              <w:t>Incremental cost</w:t>
            </w:r>
          </w:p>
        </w:tc>
        <w:tc>
          <w:tcPr>
            <w:tcW w:w="760" w:type="pct"/>
            <w:vAlign w:val="center"/>
          </w:tcPr>
          <w:p w14:paraId="62F35442" w14:textId="77777777" w:rsidR="00230CBC" w:rsidRPr="0059433B" w:rsidRDefault="00230CBC" w:rsidP="00C5774C">
            <w:pPr>
              <w:pStyle w:val="COMTableheadingrow"/>
              <w:keepNext w:val="0"/>
              <w:jc w:val="center"/>
              <w:rPr>
                <w:lang w:val="en-AU"/>
              </w:rPr>
            </w:pPr>
            <w:r w:rsidRPr="0059433B">
              <w:rPr>
                <w:lang w:val="en-AU"/>
              </w:rPr>
              <w:t>Incremental QALY</w:t>
            </w:r>
          </w:p>
        </w:tc>
        <w:tc>
          <w:tcPr>
            <w:tcW w:w="761" w:type="pct"/>
            <w:vAlign w:val="center"/>
          </w:tcPr>
          <w:p w14:paraId="2BF46136" w14:textId="77777777" w:rsidR="00230CBC" w:rsidRPr="0059433B" w:rsidRDefault="00230CBC" w:rsidP="00C5774C">
            <w:pPr>
              <w:pStyle w:val="COMTableheadingrow"/>
              <w:keepNext w:val="0"/>
              <w:jc w:val="center"/>
              <w:rPr>
                <w:lang w:val="en-AU"/>
              </w:rPr>
            </w:pPr>
            <w:r w:rsidRPr="0059433B">
              <w:rPr>
                <w:lang w:val="en-AU"/>
              </w:rPr>
              <w:t>ICER</w:t>
            </w:r>
          </w:p>
        </w:tc>
        <w:tc>
          <w:tcPr>
            <w:tcW w:w="444" w:type="pct"/>
            <w:vAlign w:val="center"/>
          </w:tcPr>
          <w:p w14:paraId="59422A69" w14:textId="77777777" w:rsidR="00230CBC" w:rsidRPr="0059433B" w:rsidRDefault="00230CBC" w:rsidP="00C5774C">
            <w:pPr>
              <w:pStyle w:val="COMTableheadingrow"/>
              <w:keepNext w:val="0"/>
              <w:jc w:val="center"/>
              <w:rPr>
                <w:lang w:val="en-AU"/>
              </w:rPr>
            </w:pPr>
            <w:r w:rsidRPr="0059433B">
              <w:rPr>
                <w:lang w:val="en-AU"/>
              </w:rPr>
              <w:t>% change</w:t>
            </w:r>
          </w:p>
        </w:tc>
      </w:tr>
      <w:tr w:rsidR="00230CBC" w:rsidRPr="0059433B" w14:paraId="417E3E90" w14:textId="77777777" w:rsidTr="00C5774C">
        <w:tc>
          <w:tcPr>
            <w:tcW w:w="2276" w:type="pct"/>
          </w:tcPr>
          <w:p w14:paraId="768811A3" w14:textId="77777777" w:rsidR="00230CBC" w:rsidRPr="0059433B" w:rsidRDefault="00230CBC" w:rsidP="00C5774C">
            <w:pPr>
              <w:pStyle w:val="COMTabletext"/>
              <w:keepNext w:val="0"/>
              <w:rPr>
                <w:b/>
                <w:vertAlign w:val="superscript"/>
              </w:rPr>
            </w:pPr>
            <w:r w:rsidRPr="0059433B">
              <w:rPr>
                <w:b/>
              </w:rPr>
              <w:t>Base case</w:t>
            </w:r>
            <w:r w:rsidRPr="0059433B">
              <w:rPr>
                <w:b/>
                <w:vertAlign w:val="superscript"/>
              </w:rPr>
              <w:t>a</w:t>
            </w:r>
          </w:p>
        </w:tc>
        <w:tc>
          <w:tcPr>
            <w:tcW w:w="759" w:type="pct"/>
            <w:vAlign w:val="center"/>
          </w:tcPr>
          <w:p w14:paraId="5D19A0EF" w14:textId="0C8FD268" w:rsidR="00230CBC" w:rsidRPr="0059433B" w:rsidRDefault="00230CBC" w:rsidP="00C5774C">
            <w:pPr>
              <w:pStyle w:val="COMTabletext"/>
              <w:keepNext w:val="0"/>
              <w:jc w:val="center"/>
              <w:rPr>
                <w:b/>
                <w:bCs w:val="0"/>
              </w:rPr>
            </w:pPr>
            <w:r w:rsidRPr="0059433B">
              <w:rPr>
                <w:b/>
                <w:bCs w:val="0"/>
              </w:rPr>
              <w:t>$</w:t>
            </w:r>
            <w:r w:rsidR="00B94620" w:rsidRPr="00B94620">
              <w:rPr>
                <w:rFonts w:ascii="MS Mincho" w:eastAsia="MS Mincho" w:hAnsi="MS Mincho" w:cs="MS Mincho" w:hint="eastAsia"/>
                <w:b/>
                <w:bCs w:val="0"/>
                <w:color w:val="000000"/>
                <w:w w:val="15"/>
                <w:shd w:val="solid" w:color="000000" w:fill="000000"/>
                <w:fitText w:val="64" w:id="-1171529472"/>
                <w14:textFill>
                  <w14:solidFill>
                    <w14:srgbClr w14:val="000000">
                      <w14:alpha w14:val="100000"/>
                    </w14:srgbClr>
                  </w14:solidFill>
                </w14:textFill>
              </w:rPr>
              <w:t xml:space="preserve">　</w:t>
            </w:r>
            <w:r w:rsidR="00B94620" w:rsidRPr="00B94620">
              <w:rPr>
                <w:b/>
                <w:bCs w:val="0"/>
                <w:color w:val="000000"/>
                <w:w w:val="15"/>
                <w:shd w:val="solid" w:color="000000" w:fill="000000"/>
                <w:fitText w:val="64" w:id="-1171529472"/>
                <w14:textFill>
                  <w14:solidFill>
                    <w14:srgbClr w14:val="000000">
                      <w14:alpha w14:val="100000"/>
                    </w14:srgbClr>
                  </w14:solidFill>
                </w14:textFill>
              </w:rPr>
              <w:t>|</w:t>
            </w:r>
            <w:r w:rsidR="00B94620" w:rsidRPr="00B94620">
              <w:rPr>
                <w:rFonts w:ascii="MS Mincho" w:eastAsia="MS Mincho" w:hAnsi="MS Mincho" w:cs="MS Mincho" w:hint="eastAsia"/>
                <w:b/>
                <w:bCs w:val="0"/>
                <w:color w:val="000000"/>
                <w:spacing w:val="-2"/>
                <w:w w:val="15"/>
                <w:shd w:val="solid" w:color="000000" w:fill="000000"/>
                <w:fitText w:val="64" w:id="-1171529472"/>
                <w14:textFill>
                  <w14:solidFill>
                    <w14:srgbClr w14:val="000000">
                      <w14:alpha w14:val="100000"/>
                    </w14:srgbClr>
                  </w14:solidFill>
                </w14:textFill>
              </w:rPr>
              <w:t xml:space="preserve">　</w:t>
            </w:r>
          </w:p>
        </w:tc>
        <w:tc>
          <w:tcPr>
            <w:tcW w:w="760" w:type="pct"/>
            <w:vAlign w:val="center"/>
          </w:tcPr>
          <w:p w14:paraId="3B3FE171" w14:textId="77777777" w:rsidR="00230CBC" w:rsidRPr="0059433B" w:rsidRDefault="00230CBC" w:rsidP="00C5774C">
            <w:pPr>
              <w:pStyle w:val="COMTabletext"/>
              <w:keepNext w:val="0"/>
              <w:jc w:val="center"/>
              <w:rPr>
                <w:b/>
                <w:bCs w:val="0"/>
              </w:rPr>
            </w:pPr>
            <w:r w:rsidRPr="0059433B">
              <w:rPr>
                <w:b/>
                <w:bCs w:val="0"/>
              </w:rPr>
              <w:t>6.095</w:t>
            </w:r>
          </w:p>
        </w:tc>
        <w:tc>
          <w:tcPr>
            <w:tcW w:w="761" w:type="pct"/>
            <w:vAlign w:val="center"/>
          </w:tcPr>
          <w:p w14:paraId="1CB8861E" w14:textId="38DF44C0" w:rsidR="00230CBC" w:rsidRPr="003F0BF2" w:rsidRDefault="00230CBC" w:rsidP="00C5774C">
            <w:pPr>
              <w:pStyle w:val="COMTabletext"/>
              <w:keepNext w:val="0"/>
              <w:jc w:val="center"/>
              <w:rPr>
                <w:vertAlign w:val="superscript"/>
              </w:rPr>
            </w:pPr>
            <w:r w:rsidRPr="0059433B">
              <w:rPr>
                <w:b/>
                <w:bCs w:val="0"/>
              </w:rPr>
              <w:t>$</w:t>
            </w:r>
            <w:r w:rsidR="00B94620" w:rsidRPr="00B94620">
              <w:rPr>
                <w:rFonts w:ascii="MS Mincho" w:eastAsia="MS Mincho" w:hAnsi="MS Mincho" w:cs="MS Mincho" w:hint="eastAsia"/>
                <w:b/>
                <w:bCs w:val="0"/>
                <w:color w:val="000000"/>
                <w:w w:val="20"/>
                <w:shd w:val="solid" w:color="000000" w:fill="000000"/>
                <w:fitText w:val="92" w:id="-1171529471"/>
                <w14:textFill>
                  <w14:solidFill>
                    <w14:srgbClr w14:val="000000">
                      <w14:alpha w14:val="100000"/>
                    </w14:srgbClr>
                  </w14:solidFill>
                </w14:textFill>
              </w:rPr>
              <w:t xml:space="preserve">　</w:t>
            </w:r>
            <w:r w:rsidR="00B94620" w:rsidRPr="00B94620">
              <w:rPr>
                <w:b/>
                <w:bCs w:val="0"/>
                <w:color w:val="000000"/>
                <w:w w:val="20"/>
                <w:shd w:val="solid" w:color="000000" w:fill="000000"/>
                <w:fitText w:val="92" w:id="-1171529471"/>
                <w14:textFill>
                  <w14:solidFill>
                    <w14:srgbClr w14:val="000000">
                      <w14:alpha w14:val="100000"/>
                    </w14:srgbClr>
                  </w14:solidFill>
                </w14:textFill>
              </w:rPr>
              <w:t>|</w:t>
            </w:r>
            <w:r w:rsidR="00B94620" w:rsidRPr="00B94620">
              <w:rPr>
                <w:rFonts w:ascii="MS Mincho" w:eastAsia="MS Mincho" w:hAnsi="MS Mincho" w:cs="MS Mincho" w:hint="eastAsia"/>
                <w:b/>
                <w:bCs w:val="0"/>
                <w:color w:val="000000"/>
                <w:spacing w:val="4"/>
                <w:w w:val="20"/>
                <w:shd w:val="solid" w:color="000000" w:fill="000000"/>
                <w:fitText w:val="92" w:id="-1171529471"/>
                <w14:textFill>
                  <w14:solidFill>
                    <w14:srgbClr w14:val="000000">
                      <w14:alpha w14:val="100000"/>
                    </w14:srgbClr>
                  </w14:solidFill>
                </w14:textFill>
              </w:rPr>
              <w:t xml:space="preserve">　</w:t>
            </w:r>
            <w:r w:rsidR="001C11F0">
              <w:rPr>
                <w:vertAlign w:val="superscript"/>
              </w:rPr>
              <w:t>1</w:t>
            </w:r>
          </w:p>
        </w:tc>
        <w:tc>
          <w:tcPr>
            <w:tcW w:w="444" w:type="pct"/>
            <w:vAlign w:val="center"/>
          </w:tcPr>
          <w:p w14:paraId="6DFDED1C" w14:textId="77777777" w:rsidR="00230CBC" w:rsidRPr="0059433B" w:rsidRDefault="00230CBC" w:rsidP="00C5774C">
            <w:pPr>
              <w:pStyle w:val="COMTabletext"/>
              <w:keepNext w:val="0"/>
              <w:jc w:val="center"/>
              <w:rPr>
                <w:b/>
                <w:bCs w:val="0"/>
              </w:rPr>
            </w:pPr>
            <w:r w:rsidRPr="0059433B">
              <w:rPr>
                <w:b/>
                <w:bCs w:val="0"/>
              </w:rPr>
              <w:t>-</w:t>
            </w:r>
          </w:p>
        </w:tc>
      </w:tr>
      <w:tr w:rsidR="00230CBC" w:rsidRPr="0059433B" w14:paraId="733ADFF1" w14:textId="77777777" w:rsidTr="00C5774C">
        <w:tc>
          <w:tcPr>
            <w:tcW w:w="5000" w:type="pct"/>
            <w:gridSpan w:val="5"/>
            <w:vAlign w:val="center"/>
          </w:tcPr>
          <w:p w14:paraId="2332E9AA" w14:textId="77777777" w:rsidR="00230CBC" w:rsidRPr="0059433B" w:rsidRDefault="00230CBC" w:rsidP="00C5774C">
            <w:pPr>
              <w:pStyle w:val="COMTabletext"/>
              <w:keepNext w:val="0"/>
              <w:rPr>
                <w:b/>
                <w:bCs w:val="0"/>
              </w:rPr>
            </w:pPr>
            <w:r w:rsidRPr="0059433B">
              <w:rPr>
                <w:b/>
                <w:bCs w:val="0"/>
              </w:rPr>
              <w:t>Discount rate (base case: 5% costs and outcomes)</w:t>
            </w:r>
          </w:p>
        </w:tc>
      </w:tr>
      <w:tr w:rsidR="00230CBC" w:rsidRPr="0059433B" w14:paraId="4307639C" w14:textId="77777777" w:rsidTr="00C5774C">
        <w:trPr>
          <w:trHeight w:val="62"/>
        </w:trPr>
        <w:tc>
          <w:tcPr>
            <w:tcW w:w="2276" w:type="pct"/>
          </w:tcPr>
          <w:p w14:paraId="34AE21CE" w14:textId="77777777" w:rsidR="00230CBC" w:rsidRPr="0059433B" w:rsidRDefault="00230CBC" w:rsidP="00C5774C">
            <w:pPr>
              <w:pStyle w:val="COMTabletext"/>
              <w:keepNext w:val="0"/>
            </w:pPr>
            <w:proofErr w:type="gramStart"/>
            <w:r w:rsidRPr="0059433B">
              <w:t>0%</w:t>
            </w:r>
            <w:proofErr w:type="gramEnd"/>
            <w:r w:rsidRPr="0059433B">
              <w:t xml:space="preserve"> costs and outcomes</w:t>
            </w:r>
          </w:p>
        </w:tc>
        <w:tc>
          <w:tcPr>
            <w:tcW w:w="759" w:type="pct"/>
          </w:tcPr>
          <w:p w14:paraId="17539C0D" w14:textId="33FDFCF3"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70"/>
                <w14:textFill>
                  <w14:solidFill>
                    <w14:srgbClr w14:val="000000">
                      <w14:alpha w14:val="100000"/>
                    </w14:srgbClr>
                  </w14:solidFill>
                </w14:textFill>
              </w:rPr>
              <w:t xml:space="preserve">　</w:t>
            </w:r>
            <w:r w:rsidR="00B94620" w:rsidRPr="00867C25">
              <w:rPr>
                <w:color w:val="000000"/>
                <w:w w:val="15"/>
                <w:shd w:val="solid" w:color="000000" w:fill="000000"/>
                <w:fitText w:val="18" w:id="-1171529470"/>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70"/>
                <w14:textFill>
                  <w14:solidFill>
                    <w14:srgbClr w14:val="000000">
                      <w14:alpha w14:val="100000"/>
                    </w14:srgbClr>
                  </w14:solidFill>
                </w14:textFill>
              </w:rPr>
              <w:t xml:space="preserve">　</w:t>
            </w:r>
          </w:p>
        </w:tc>
        <w:tc>
          <w:tcPr>
            <w:tcW w:w="760" w:type="pct"/>
          </w:tcPr>
          <w:p w14:paraId="7D966BBF" w14:textId="77777777" w:rsidR="00230CBC" w:rsidRPr="0059433B" w:rsidRDefault="00230CBC" w:rsidP="00C5774C">
            <w:pPr>
              <w:pStyle w:val="COMTabletext"/>
              <w:keepNext w:val="0"/>
              <w:jc w:val="center"/>
            </w:pPr>
            <w:r w:rsidRPr="0059433B">
              <w:t>8.988</w:t>
            </w:r>
          </w:p>
        </w:tc>
        <w:tc>
          <w:tcPr>
            <w:tcW w:w="761" w:type="pct"/>
          </w:tcPr>
          <w:p w14:paraId="0EB0741A" w14:textId="06395881"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9"/>
                <w14:textFill>
                  <w14:solidFill>
                    <w14:srgbClr w14:val="000000">
                      <w14:alpha w14:val="100000"/>
                    </w14:srgbClr>
                  </w14:solidFill>
                </w14:textFill>
              </w:rPr>
              <w:t xml:space="preserve">　</w:t>
            </w:r>
            <w:r w:rsidR="00B94620" w:rsidRPr="00B626A0">
              <w:rPr>
                <w:color w:val="000000"/>
                <w:w w:val="15"/>
                <w:shd w:val="solid" w:color="000000" w:fill="000000"/>
                <w:fitText w:val="46" w:id="-1171529469"/>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9"/>
                <w14:textFill>
                  <w14:solidFill>
                    <w14:srgbClr w14:val="000000">
                      <w14:alpha w14:val="100000"/>
                    </w14:srgbClr>
                  </w14:solidFill>
                </w14:textFill>
              </w:rPr>
              <w:t xml:space="preserve">　</w:t>
            </w:r>
            <w:r w:rsidR="001C11F0">
              <w:rPr>
                <w:vertAlign w:val="superscript"/>
              </w:rPr>
              <w:t>1</w:t>
            </w:r>
          </w:p>
        </w:tc>
        <w:tc>
          <w:tcPr>
            <w:tcW w:w="444" w:type="pct"/>
          </w:tcPr>
          <w:p w14:paraId="2262CAB6" w14:textId="77777777" w:rsidR="00230CBC" w:rsidRPr="0059433B" w:rsidRDefault="00230CBC" w:rsidP="00C5774C">
            <w:pPr>
              <w:pStyle w:val="COMTabletext"/>
              <w:keepNext w:val="0"/>
              <w:jc w:val="center"/>
            </w:pPr>
            <w:r w:rsidRPr="0059433B">
              <w:t>-5%</w:t>
            </w:r>
          </w:p>
        </w:tc>
      </w:tr>
      <w:tr w:rsidR="00230CBC" w:rsidRPr="0059433B" w14:paraId="599ACA9D" w14:textId="77777777" w:rsidTr="00C5774C">
        <w:trPr>
          <w:trHeight w:val="62"/>
        </w:trPr>
        <w:tc>
          <w:tcPr>
            <w:tcW w:w="2276" w:type="pct"/>
          </w:tcPr>
          <w:p w14:paraId="0D853A0E" w14:textId="77777777" w:rsidR="00230CBC" w:rsidRPr="0059433B" w:rsidRDefault="00230CBC" w:rsidP="00C5774C">
            <w:pPr>
              <w:pStyle w:val="COMTabletext"/>
              <w:keepNext w:val="0"/>
            </w:pPr>
            <w:r w:rsidRPr="0059433B">
              <w:t>3.5% costs and outcomes</w:t>
            </w:r>
          </w:p>
        </w:tc>
        <w:tc>
          <w:tcPr>
            <w:tcW w:w="759" w:type="pct"/>
            <w:vAlign w:val="center"/>
          </w:tcPr>
          <w:p w14:paraId="4B10F185" w14:textId="15C273BF"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8"/>
                <w14:textFill>
                  <w14:solidFill>
                    <w14:srgbClr w14:val="000000">
                      <w14:alpha w14:val="100000"/>
                    </w14:srgbClr>
                  </w14:solidFill>
                </w14:textFill>
              </w:rPr>
              <w:t xml:space="preserve">　</w:t>
            </w:r>
            <w:r w:rsidR="00B94620" w:rsidRPr="00867C25">
              <w:rPr>
                <w:color w:val="000000"/>
                <w:w w:val="15"/>
                <w:shd w:val="solid" w:color="000000" w:fill="000000"/>
                <w:fitText w:val="18" w:id="-1171529468"/>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8"/>
                <w14:textFill>
                  <w14:solidFill>
                    <w14:srgbClr w14:val="000000">
                      <w14:alpha w14:val="100000"/>
                    </w14:srgbClr>
                  </w14:solidFill>
                </w14:textFill>
              </w:rPr>
              <w:t xml:space="preserve">　</w:t>
            </w:r>
          </w:p>
        </w:tc>
        <w:tc>
          <w:tcPr>
            <w:tcW w:w="760" w:type="pct"/>
            <w:vAlign w:val="center"/>
          </w:tcPr>
          <w:p w14:paraId="640E4B43" w14:textId="77777777" w:rsidR="00230CBC" w:rsidRPr="0059433B" w:rsidRDefault="00230CBC" w:rsidP="00C5774C">
            <w:pPr>
              <w:pStyle w:val="COMTabletext"/>
              <w:keepNext w:val="0"/>
              <w:jc w:val="center"/>
            </w:pPr>
            <w:r w:rsidRPr="0059433B">
              <w:t>6.785</w:t>
            </w:r>
          </w:p>
        </w:tc>
        <w:tc>
          <w:tcPr>
            <w:tcW w:w="761" w:type="pct"/>
            <w:vAlign w:val="center"/>
          </w:tcPr>
          <w:p w14:paraId="136A4247" w14:textId="660C43D8"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7"/>
                <w14:textFill>
                  <w14:solidFill>
                    <w14:srgbClr w14:val="000000">
                      <w14:alpha w14:val="100000"/>
                    </w14:srgbClr>
                  </w14:solidFill>
                </w14:textFill>
              </w:rPr>
              <w:t xml:space="preserve">　</w:t>
            </w:r>
            <w:r w:rsidR="00B94620" w:rsidRPr="00B626A0">
              <w:rPr>
                <w:color w:val="000000"/>
                <w:w w:val="15"/>
                <w:shd w:val="solid" w:color="000000" w:fill="000000"/>
                <w:fitText w:val="46" w:id="-1171529467"/>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7"/>
                <w14:textFill>
                  <w14:solidFill>
                    <w14:srgbClr w14:val="000000">
                      <w14:alpha w14:val="100000"/>
                    </w14:srgbClr>
                  </w14:solidFill>
                </w14:textFill>
              </w:rPr>
              <w:t xml:space="preserve">　</w:t>
            </w:r>
            <w:r w:rsidR="001C11F0">
              <w:rPr>
                <w:vertAlign w:val="superscript"/>
              </w:rPr>
              <w:t>1</w:t>
            </w:r>
          </w:p>
        </w:tc>
        <w:tc>
          <w:tcPr>
            <w:tcW w:w="444" w:type="pct"/>
            <w:vAlign w:val="center"/>
          </w:tcPr>
          <w:p w14:paraId="6E7D57B6" w14:textId="77777777" w:rsidR="00230CBC" w:rsidRPr="0059433B" w:rsidRDefault="00230CBC" w:rsidP="00C5774C">
            <w:pPr>
              <w:pStyle w:val="COMTabletext"/>
              <w:keepNext w:val="0"/>
              <w:jc w:val="center"/>
            </w:pPr>
            <w:r w:rsidRPr="0059433B">
              <w:t>-2%</w:t>
            </w:r>
          </w:p>
        </w:tc>
      </w:tr>
      <w:tr w:rsidR="00230CBC" w:rsidRPr="0059433B" w14:paraId="399FAB63" w14:textId="77777777" w:rsidTr="00C5774C">
        <w:tc>
          <w:tcPr>
            <w:tcW w:w="5000" w:type="pct"/>
            <w:gridSpan w:val="5"/>
            <w:vAlign w:val="center"/>
          </w:tcPr>
          <w:p w14:paraId="225BDFA6" w14:textId="77777777" w:rsidR="00230CBC" w:rsidRPr="0059433B" w:rsidRDefault="00230CBC" w:rsidP="00C5774C">
            <w:pPr>
              <w:pStyle w:val="COMTabletext"/>
              <w:keepNext w:val="0"/>
              <w:rPr>
                <w:b/>
                <w:bCs w:val="0"/>
              </w:rPr>
            </w:pPr>
            <w:r w:rsidRPr="0059433B">
              <w:rPr>
                <w:b/>
                <w:bCs w:val="0"/>
              </w:rPr>
              <w:t>Time horizon (base case: 40 years)</w:t>
            </w:r>
          </w:p>
        </w:tc>
      </w:tr>
      <w:tr w:rsidR="00230CBC" w:rsidRPr="0059433B" w14:paraId="641DAC53" w14:textId="77777777" w:rsidTr="00C5774C">
        <w:tc>
          <w:tcPr>
            <w:tcW w:w="2276" w:type="pct"/>
          </w:tcPr>
          <w:p w14:paraId="3D7EC4C4" w14:textId="77777777" w:rsidR="00230CBC" w:rsidRPr="0059433B" w:rsidRDefault="00230CBC" w:rsidP="00C5774C">
            <w:pPr>
              <w:pStyle w:val="COMTabletext"/>
              <w:keepNext w:val="0"/>
            </w:pPr>
            <w:r w:rsidRPr="0059433B">
              <w:t>10 years</w:t>
            </w:r>
          </w:p>
        </w:tc>
        <w:tc>
          <w:tcPr>
            <w:tcW w:w="759" w:type="pct"/>
            <w:vAlign w:val="center"/>
          </w:tcPr>
          <w:p w14:paraId="434F57D6" w14:textId="2DF15C07"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6"/>
                <w14:textFill>
                  <w14:solidFill>
                    <w14:srgbClr w14:val="000000">
                      <w14:alpha w14:val="100000"/>
                    </w14:srgbClr>
                  </w14:solidFill>
                </w14:textFill>
              </w:rPr>
              <w:t xml:space="preserve">　</w:t>
            </w:r>
            <w:r w:rsidR="00B94620" w:rsidRPr="00867C25">
              <w:rPr>
                <w:color w:val="000000"/>
                <w:w w:val="15"/>
                <w:shd w:val="solid" w:color="000000" w:fill="000000"/>
                <w:fitText w:val="18" w:id="-1171529466"/>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6"/>
                <w14:textFill>
                  <w14:solidFill>
                    <w14:srgbClr w14:val="000000">
                      <w14:alpha w14:val="100000"/>
                    </w14:srgbClr>
                  </w14:solidFill>
                </w14:textFill>
              </w:rPr>
              <w:t xml:space="preserve">　</w:t>
            </w:r>
          </w:p>
        </w:tc>
        <w:tc>
          <w:tcPr>
            <w:tcW w:w="760" w:type="pct"/>
            <w:vAlign w:val="center"/>
          </w:tcPr>
          <w:p w14:paraId="55E99544" w14:textId="77777777" w:rsidR="00230CBC" w:rsidRPr="0059433B" w:rsidRDefault="00230CBC" w:rsidP="00C5774C">
            <w:pPr>
              <w:pStyle w:val="COMTabletext"/>
              <w:keepNext w:val="0"/>
              <w:jc w:val="center"/>
            </w:pPr>
            <w:r w:rsidRPr="0059433B">
              <w:t>4.427</w:t>
            </w:r>
          </w:p>
        </w:tc>
        <w:tc>
          <w:tcPr>
            <w:tcW w:w="761" w:type="pct"/>
            <w:vAlign w:val="center"/>
          </w:tcPr>
          <w:p w14:paraId="7D103A73" w14:textId="6FF25C41"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5"/>
                <w14:textFill>
                  <w14:solidFill>
                    <w14:srgbClr w14:val="000000">
                      <w14:alpha w14:val="100000"/>
                    </w14:srgbClr>
                  </w14:solidFill>
                </w14:textFill>
              </w:rPr>
              <w:t xml:space="preserve">　</w:t>
            </w:r>
            <w:r w:rsidR="00B94620" w:rsidRPr="00B626A0">
              <w:rPr>
                <w:color w:val="000000"/>
                <w:w w:val="15"/>
                <w:shd w:val="solid" w:color="000000" w:fill="000000"/>
                <w:fitText w:val="46" w:id="-1171529465"/>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5"/>
                <w14:textFill>
                  <w14:solidFill>
                    <w14:srgbClr w14:val="000000">
                      <w14:alpha w14:val="100000"/>
                    </w14:srgbClr>
                  </w14:solidFill>
                </w14:textFill>
              </w:rPr>
              <w:t xml:space="preserve">　</w:t>
            </w:r>
            <w:r w:rsidR="001C11F0">
              <w:rPr>
                <w:vertAlign w:val="superscript"/>
              </w:rPr>
              <w:t>1</w:t>
            </w:r>
          </w:p>
        </w:tc>
        <w:tc>
          <w:tcPr>
            <w:tcW w:w="444" w:type="pct"/>
            <w:vAlign w:val="center"/>
          </w:tcPr>
          <w:p w14:paraId="729F4B6E" w14:textId="77777777" w:rsidR="00230CBC" w:rsidRPr="0059433B" w:rsidRDefault="00230CBC" w:rsidP="00C5774C">
            <w:pPr>
              <w:pStyle w:val="COMTabletext"/>
              <w:keepNext w:val="0"/>
              <w:jc w:val="center"/>
            </w:pPr>
            <w:r w:rsidRPr="0059433B">
              <w:t>7%</w:t>
            </w:r>
          </w:p>
        </w:tc>
      </w:tr>
      <w:tr w:rsidR="00230CBC" w:rsidRPr="0059433B" w14:paraId="65F813AB" w14:textId="77777777" w:rsidTr="00C5774C">
        <w:tc>
          <w:tcPr>
            <w:tcW w:w="2276" w:type="pct"/>
          </w:tcPr>
          <w:p w14:paraId="6168E59C" w14:textId="77777777" w:rsidR="00230CBC" w:rsidRPr="0059433B" w:rsidRDefault="00230CBC" w:rsidP="00C5774C">
            <w:pPr>
              <w:pStyle w:val="COMTabletext"/>
              <w:keepNext w:val="0"/>
            </w:pPr>
            <w:r w:rsidRPr="0059433B">
              <w:t>20 years</w:t>
            </w:r>
          </w:p>
        </w:tc>
        <w:tc>
          <w:tcPr>
            <w:tcW w:w="759" w:type="pct"/>
            <w:vAlign w:val="center"/>
          </w:tcPr>
          <w:p w14:paraId="103D7C5F" w14:textId="21E26C65"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4"/>
                <w14:textFill>
                  <w14:solidFill>
                    <w14:srgbClr w14:val="000000">
                      <w14:alpha w14:val="100000"/>
                    </w14:srgbClr>
                  </w14:solidFill>
                </w14:textFill>
              </w:rPr>
              <w:t xml:space="preserve">　</w:t>
            </w:r>
            <w:r w:rsidR="00B94620" w:rsidRPr="00867C25">
              <w:rPr>
                <w:color w:val="000000"/>
                <w:w w:val="15"/>
                <w:shd w:val="solid" w:color="000000" w:fill="000000"/>
                <w:fitText w:val="18" w:id="-1171529464"/>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4"/>
                <w14:textFill>
                  <w14:solidFill>
                    <w14:srgbClr w14:val="000000">
                      <w14:alpha w14:val="100000"/>
                    </w14:srgbClr>
                  </w14:solidFill>
                </w14:textFill>
              </w:rPr>
              <w:t xml:space="preserve">　</w:t>
            </w:r>
          </w:p>
        </w:tc>
        <w:tc>
          <w:tcPr>
            <w:tcW w:w="760" w:type="pct"/>
            <w:vAlign w:val="center"/>
          </w:tcPr>
          <w:p w14:paraId="21D9152A" w14:textId="77777777" w:rsidR="00230CBC" w:rsidRPr="0059433B" w:rsidRDefault="00230CBC" w:rsidP="00C5774C">
            <w:pPr>
              <w:pStyle w:val="COMTabletext"/>
              <w:keepNext w:val="0"/>
              <w:jc w:val="center"/>
            </w:pPr>
            <w:r w:rsidRPr="0059433B">
              <w:t>5.935</w:t>
            </w:r>
          </w:p>
        </w:tc>
        <w:tc>
          <w:tcPr>
            <w:tcW w:w="761" w:type="pct"/>
            <w:vAlign w:val="center"/>
          </w:tcPr>
          <w:p w14:paraId="200DBF21" w14:textId="746E92FC"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3"/>
                <w14:textFill>
                  <w14:solidFill>
                    <w14:srgbClr w14:val="000000">
                      <w14:alpha w14:val="100000"/>
                    </w14:srgbClr>
                  </w14:solidFill>
                </w14:textFill>
              </w:rPr>
              <w:t xml:space="preserve">　</w:t>
            </w:r>
            <w:r w:rsidR="00B94620" w:rsidRPr="00B626A0">
              <w:rPr>
                <w:color w:val="000000"/>
                <w:w w:val="15"/>
                <w:shd w:val="solid" w:color="000000" w:fill="000000"/>
                <w:fitText w:val="46" w:id="-1171529463"/>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3"/>
                <w14:textFill>
                  <w14:solidFill>
                    <w14:srgbClr w14:val="000000">
                      <w14:alpha w14:val="100000"/>
                    </w14:srgbClr>
                  </w14:solidFill>
                </w14:textFill>
              </w:rPr>
              <w:t xml:space="preserve">　</w:t>
            </w:r>
            <w:r w:rsidR="001C11F0">
              <w:rPr>
                <w:vertAlign w:val="superscript"/>
              </w:rPr>
              <w:t>1</w:t>
            </w:r>
          </w:p>
        </w:tc>
        <w:tc>
          <w:tcPr>
            <w:tcW w:w="444" w:type="pct"/>
            <w:vAlign w:val="center"/>
          </w:tcPr>
          <w:p w14:paraId="4A6A2AC8" w14:textId="77777777" w:rsidR="00230CBC" w:rsidRPr="0059433B" w:rsidRDefault="00230CBC" w:rsidP="00C5774C">
            <w:pPr>
              <w:pStyle w:val="COMTabletext"/>
              <w:keepNext w:val="0"/>
              <w:jc w:val="center"/>
            </w:pPr>
            <w:r w:rsidRPr="0059433B">
              <w:t>-1%</w:t>
            </w:r>
          </w:p>
        </w:tc>
      </w:tr>
      <w:tr w:rsidR="00230CBC" w:rsidRPr="0059433B" w14:paraId="4863975B" w14:textId="77777777" w:rsidTr="00C5774C">
        <w:tc>
          <w:tcPr>
            <w:tcW w:w="2276" w:type="pct"/>
          </w:tcPr>
          <w:p w14:paraId="79177F3A" w14:textId="77777777" w:rsidR="00230CBC" w:rsidRPr="0059433B" w:rsidRDefault="00230CBC" w:rsidP="00C5774C">
            <w:pPr>
              <w:pStyle w:val="COMTabletext"/>
              <w:keepNext w:val="0"/>
            </w:pPr>
            <w:r w:rsidRPr="0059433B">
              <w:t>30 years</w:t>
            </w:r>
          </w:p>
        </w:tc>
        <w:tc>
          <w:tcPr>
            <w:tcW w:w="759" w:type="pct"/>
            <w:vAlign w:val="center"/>
          </w:tcPr>
          <w:p w14:paraId="1578DACB" w14:textId="0FDDC430"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2"/>
                <w14:textFill>
                  <w14:solidFill>
                    <w14:srgbClr w14:val="000000">
                      <w14:alpha w14:val="100000"/>
                    </w14:srgbClr>
                  </w14:solidFill>
                </w14:textFill>
              </w:rPr>
              <w:t xml:space="preserve">　</w:t>
            </w:r>
            <w:r w:rsidR="00B94620" w:rsidRPr="00867C25">
              <w:rPr>
                <w:color w:val="000000"/>
                <w:w w:val="15"/>
                <w:shd w:val="solid" w:color="000000" w:fill="000000"/>
                <w:fitText w:val="18" w:id="-1171529462"/>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2"/>
                <w14:textFill>
                  <w14:solidFill>
                    <w14:srgbClr w14:val="000000">
                      <w14:alpha w14:val="100000"/>
                    </w14:srgbClr>
                  </w14:solidFill>
                </w14:textFill>
              </w:rPr>
              <w:t xml:space="preserve">　</w:t>
            </w:r>
          </w:p>
        </w:tc>
        <w:tc>
          <w:tcPr>
            <w:tcW w:w="760" w:type="pct"/>
            <w:vAlign w:val="center"/>
          </w:tcPr>
          <w:p w14:paraId="586E6800" w14:textId="77777777" w:rsidR="00230CBC" w:rsidRPr="0059433B" w:rsidRDefault="00230CBC" w:rsidP="00C5774C">
            <w:pPr>
              <w:pStyle w:val="COMTabletext"/>
              <w:keepNext w:val="0"/>
              <w:jc w:val="center"/>
            </w:pPr>
            <w:r w:rsidRPr="0059433B">
              <w:t>6.084</w:t>
            </w:r>
          </w:p>
        </w:tc>
        <w:tc>
          <w:tcPr>
            <w:tcW w:w="761" w:type="pct"/>
            <w:vAlign w:val="center"/>
          </w:tcPr>
          <w:p w14:paraId="1E98A211" w14:textId="2B5784C1"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1"/>
                <w14:textFill>
                  <w14:solidFill>
                    <w14:srgbClr w14:val="000000">
                      <w14:alpha w14:val="100000"/>
                    </w14:srgbClr>
                  </w14:solidFill>
                </w14:textFill>
              </w:rPr>
              <w:t xml:space="preserve">　</w:t>
            </w:r>
            <w:r w:rsidR="00B94620" w:rsidRPr="00B626A0">
              <w:rPr>
                <w:color w:val="000000"/>
                <w:w w:val="15"/>
                <w:shd w:val="solid" w:color="000000" w:fill="000000"/>
                <w:fitText w:val="46" w:id="-1171529461"/>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1"/>
                <w14:textFill>
                  <w14:solidFill>
                    <w14:srgbClr w14:val="000000">
                      <w14:alpha w14:val="100000"/>
                    </w14:srgbClr>
                  </w14:solidFill>
                </w14:textFill>
              </w:rPr>
              <w:t xml:space="preserve">　</w:t>
            </w:r>
            <w:r w:rsidR="001C11F0">
              <w:rPr>
                <w:vertAlign w:val="superscript"/>
              </w:rPr>
              <w:t>1</w:t>
            </w:r>
          </w:p>
        </w:tc>
        <w:tc>
          <w:tcPr>
            <w:tcW w:w="444" w:type="pct"/>
            <w:vAlign w:val="center"/>
          </w:tcPr>
          <w:p w14:paraId="608E2663" w14:textId="77777777" w:rsidR="00230CBC" w:rsidRPr="0059433B" w:rsidRDefault="00230CBC" w:rsidP="00C5774C">
            <w:pPr>
              <w:pStyle w:val="COMTabletext"/>
              <w:keepNext w:val="0"/>
              <w:jc w:val="center"/>
            </w:pPr>
            <w:r w:rsidRPr="0059433B">
              <w:t>0%</w:t>
            </w:r>
          </w:p>
        </w:tc>
      </w:tr>
      <w:tr w:rsidR="00230CBC" w:rsidRPr="0059433B" w14:paraId="66507655" w14:textId="77777777" w:rsidTr="00C5774C">
        <w:tc>
          <w:tcPr>
            <w:tcW w:w="5000" w:type="pct"/>
            <w:gridSpan w:val="5"/>
            <w:vAlign w:val="center"/>
          </w:tcPr>
          <w:p w14:paraId="2FB24D69" w14:textId="77777777" w:rsidR="00230CBC" w:rsidRPr="0059433B" w:rsidRDefault="00230CBC" w:rsidP="00C5774C">
            <w:pPr>
              <w:pStyle w:val="COMTabletext"/>
              <w:keepNext w:val="0"/>
              <w:rPr>
                <w:b/>
                <w:bCs w:val="0"/>
              </w:rPr>
            </w:pPr>
            <w:r w:rsidRPr="0059433B">
              <w:rPr>
                <w:b/>
                <w:bCs w:val="0"/>
              </w:rPr>
              <w:t>Patisiran anniversary price reductions (base case: excluded</w:t>
            </w:r>
            <w:r w:rsidRPr="0059433B">
              <w:rPr>
                <w:b/>
                <w:bCs w:val="0"/>
                <w:vertAlign w:val="superscript"/>
              </w:rPr>
              <w:t>1</w:t>
            </w:r>
            <w:r w:rsidRPr="0059433B">
              <w:rPr>
                <w:b/>
                <w:bCs w:val="0"/>
              </w:rPr>
              <w:t>)</w:t>
            </w:r>
          </w:p>
        </w:tc>
      </w:tr>
      <w:tr w:rsidR="00230CBC" w:rsidRPr="0059433B" w14:paraId="091ECC0B" w14:textId="77777777" w:rsidTr="00C5774C">
        <w:tc>
          <w:tcPr>
            <w:tcW w:w="2276" w:type="pct"/>
          </w:tcPr>
          <w:p w14:paraId="37D875C5" w14:textId="77777777" w:rsidR="00230CBC" w:rsidRPr="0059433B" w:rsidRDefault="00230CBC" w:rsidP="00C5774C">
            <w:pPr>
              <w:pStyle w:val="COMTabletext"/>
              <w:keepNext w:val="0"/>
            </w:pPr>
            <w:r w:rsidRPr="0059433B">
              <w:t>Included (5% at 5 years, 5% at 10 years, 30% at 15 years)</w:t>
            </w:r>
          </w:p>
        </w:tc>
        <w:tc>
          <w:tcPr>
            <w:tcW w:w="759" w:type="pct"/>
            <w:vAlign w:val="center"/>
          </w:tcPr>
          <w:p w14:paraId="062AC6B5" w14:textId="6A9532C7"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0"/>
                <w14:textFill>
                  <w14:solidFill>
                    <w14:srgbClr w14:val="000000">
                      <w14:alpha w14:val="100000"/>
                    </w14:srgbClr>
                  </w14:solidFill>
                </w14:textFill>
              </w:rPr>
              <w:t xml:space="preserve">　</w:t>
            </w:r>
            <w:r w:rsidR="00B94620" w:rsidRPr="00867C25">
              <w:rPr>
                <w:color w:val="000000"/>
                <w:w w:val="15"/>
                <w:shd w:val="solid" w:color="000000" w:fill="000000"/>
                <w:fitText w:val="18" w:id="-1171529460"/>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0"/>
                <w14:textFill>
                  <w14:solidFill>
                    <w14:srgbClr w14:val="000000">
                      <w14:alpha w14:val="100000"/>
                    </w14:srgbClr>
                  </w14:solidFill>
                </w14:textFill>
              </w:rPr>
              <w:t xml:space="preserve">　</w:t>
            </w:r>
          </w:p>
        </w:tc>
        <w:tc>
          <w:tcPr>
            <w:tcW w:w="760" w:type="pct"/>
            <w:vAlign w:val="center"/>
          </w:tcPr>
          <w:p w14:paraId="3215D3D0" w14:textId="77777777" w:rsidR="00230CBC" w:rsidRPr="0059433B" w:rsidRDefault="00230CBC" w:rsidP="00C5774C">
            <w:pPr>
              <w:pStyle w:val="COMTabletext"/>
              <w:keepNext w:val="0"/>
              <w:jc w:val="center"/>
            </w:pPr>
            <w:r w:rsidRPr="0059433B">
              <w:t>6.095</w:t>
            </w:r>
          </w:p>
        </w:tc>
        <w:tc>
          <w:tcPr>
            <w:tcW w:w="761" w:type="pct"/>
            <w:vAlign w:val="center"/>
          </w:tcPr>
          <w:p w14:paraId="0A6BA609" w14:textId="6A8B5D9E"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59"/>
                <w14:textFill>
                  <w14:solidFill>
                    <w14:srgbClr w14:val="000000">
                      <w14:alpha w14:val="100000"/>
                    </w14:srgbClr>
                  </w14:solidFill>
                </w14:textFill>
              </w:rPr>
              <w:t xml:space="preserve">　</w:t>
            </w:r>
            <w:r w:rsidR="00B94620" w:rsidRPr="00B626A0">
              <w:rPr>
                <w:color w:val="000000"/>
                <w:w w:val="15"/>
                <w:shd w:val="solid" w:color="000000" w:fill="000000"/>
                <w:fitText w:val="46" w:id="-1171529459"/>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59"/>
                <w14:textFill>
                  <w14:solidFill>
                    <w14:srgbClr w14:val="000000">
                      <w14:alpha w14:val="100000"/>
                    </w14:srgbClr>
                  </w14:solidFill>
                </w14:textFill>
              </w:rPr>
              <w:t xml:space="preserve">　</w:t>
            </w:r>
            <w:r w:rsidR="001C11F0">
              <w:rPr>
                <w:vertAlign w:val="superscript"/>
              </w:rPr>
              <w:t>1</w:t>
            </w:r>
          </w:p>
        </w:tc>
        <w:tc>
          <w:tcPr>
            <w:tcW w:w="444" w:type="pct"/>
            <w:vAlign w:val="center"/>
          </w:tcPr>
          <w:p w14:paraId="5ECD6815" w14:textId="77777777" w:rsidR="00230CBC" w:rsidRPr="0059433B" w:rsidRDefault="00230CBC" w:rsidP="00C5774C">
            <w:pPr>
              <w:pStyle w:val="COMTabletext"/>
              <w:keepNext w:val="0"/>
              <w:jc w:val="center"/>
            </w:pPr>
            <w:r w:rsidRPr="0059433B">
              <w:t>-6%</w:t>
            </w:r>
          </w:p>
        </w:tc>
      </w:tr>
      <w:tr w:rsidR="00230CBC" w:rsidRPr="0059433B" w14:paraId="2991FD6D" w14:textId="77777777" w:rsidTr="00C5774C">
        <w:tc>
          <w:tcPr>
            <w:tcW w:w="5000" w:type="pct"/>
            <w:gridSpan w:val="5"/>
            <w:vAlign w:val="center"/>
          </w:tcPr>
          <w:p w14:paraId="7D867060" w14:textId="77777777" w:rsidR="00230CBC" w:rsidRPr="0059433B" w:rsidRDefault="00230CBC" w:rsidP="00C5774C">
            <w:pPr>
              <w:pStyle w:val="COMTabletext"/>
              <w:keepNext w:val="0"/>
              <w:rPr>
                <w:b/>
                <w:bCs w:val="0"/>
              </w:rPr>
            </w:pPr>
            <w:r w:rsidRPr="0059433B">
              <w:rPr>
                <w:b/>
                <w:bCs w:val="0"/>
              </w:rPr>
              <w:t>Baseline PND score distribution (base case: PND 0: 0%, PND I: 25.0%, PND II: 29.5%, PND IIIA: 28.1%, PND IIIB: 17.4%, PND IV: 0%).</w:t>
            </w:r>
          </w:p>
        </w:tc>
      </w:tr>
      <w:tr w:rsidR="00230CBC" w:rsidRPr="0059433B" w14:paraId="50A12843" w14:textId="77777777" w:rsidTr="00C5774C">
        <w:tc>
          <w:tcPr>
            <w:tcW w:w="2276" w:type="pct"/>
          </w:tcPr>
          <w:p w14:paraId="60B3FD76" w14:textId="77777777" w:rsidR="00230CBC" w:rsidRPr="0059433B" w:rsidRDefault="00230CBC" w:rsidP="00C5774C">
            <w:pPr>
              <w:pStyle w:val="COMTabletext"/>
              <w:keepNext w:val="0"/>
            </w:pPr>
            <w:r w:rsidRPr="0059433B">
              <w:t>AAN distribution population (PND 0: 0%, PND I: 54.7%, PND II: 24.5%, PND IIIA: 7.5%, PND IIIB: 13.2%, PND IV: 0%).</w:t>
            </w:r>
          </w:p>
        </w:tc>
        <w:tc>
          <w:tcPr>
            <w:tcW w:w="759" w:type="pct"/>
            <w:vAlign w:val="center"/>
          </w:tcPr>
          <w:p w14:paraId="740F80EA" w14:textId="13695DB2"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58"/>
                <w14:textFill>
                  <w14:solidFill>
                    <w14:srgbClr w14:val="000000">
                      <w14:alpha w14:val="100000"/>
                    </w14:srgbClr>
                  </w14:solidFill>
                </w14:textFill>
              </w:rPr>
              <w:t xml:space="preserve">　</w:t>
            </w:r>
            <w:r w:rsidR="00B94620" w:rsidRPr="00867C25">
              <w:rPr>
                <w:color w:val="000000"/>
                <w:w w:val="15"/>
                <w:shd w:val="solid" w:color="000000" w:fill="000000"/>
                <w:fitText w:val="18" w:id="-1171529458"/>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58"/>
                <w14:textFill>
                  <w14:solidFill>
                    <w14:srgbClr w14:val="000000">
                      <w14:alpha w14:val="100000"/>
                    </w14:srgbClr>
                  </w14:solidFill>
                </w14:textFill>
              </w:rPr>
              <w:t xml:space="preserve">　</w:t>
            </w:r>
          </w:p>
        </w:tc>
        <w:tc>
          <w:tcPr>
            <w:tcW w:w="760" w:type="pct"/>
            <w:vAlign w:val="center"/>
          </w:tcPr>
          <w:p w14:paraId="11D1842D" w14:textId="77777777" w:rsidR="00230CBC" w:rsidRPr="0059433B" w:rsidRDefault="00230CBC" w:rsidP="00C5774C">
            <w:pPr>
              <w:pStyle w:val="COMTabletext"/>
              <w:keepNext w:val="0"/>
              <w:jc w:val="center"/>
            </w:pPr>
            <w:r w:rsidRPr="0059433B">
              <w:t>6.505</w:t>
            </w:r>
          </w:p>
        </w:tc>
        <w:tc>
          <w:tcPr>
            <w:tcW w:w="761" w:type="pct"/>
            <w:vAlign w:val="center"/>
          </w:tcPr>
          <w:p w14:paraId="2DC86CDE" w14:textId="7DF7D205"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57"/>
                <w14:textFill>
                  <w14:solidFill>
                    <w14:srgbClr w14:val="000000">
                      <w14:alpha w14:val="100000"/>
                    </w14:srgbClr>
                  </w14:solidFill>
                </w14:textFill>
              </w:rPr>
              <w:t xml:space="preserve">　</w:t>
            </w:r>
            <w:r w:rsidR="00B94620" w:rsidRPr="00B626A0">
              <w:rPr>
                <w:color w:val="000000"/>
                <w:w w:val="15"/>
                <w:shd w:val="solid" w:color="000000" w:fill="000000"/>
                <w:fitText w:val="46" w:id="-1171529457"/>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57"/>
                <w14:textFill>
                  <w14:solidFill>
                    <w14:srgbClr w14:val="000000">
                      <w14:alpha w14:val="100000"/>
                    </w14:srgbClr>
                  </w14:solidFill>
                </w14:textFill>
              </w:rPr>
              <w:t xml:space="preserve">　</w:t>
            </w:r>
            <w:r w:rsidR="001C11F0">
              <w:rPr>
                <w:vertAlign w:val="superscript"/>
              </w:rPr>
              <w:t>1</w:t>
            </w:r>
          </w:p>
        </w:tc>
        <w:tc>
          <w:tcPr>
            <w:tcW w:w="444" w:type="pct"/>
            <w:vAlign w:val="center"/>
          </w:tcPr>
          <w:p w14:paraId="7D05552A" w14:textId="77777777" w:rsidR="00230CBC" w:rsidRPr="0059433B" w:rsidRDefault="00230CBC" w:rsidP="00C5774C">
            <w:pPr>
              <w:pStyle w:val="COMTabletext"/>
              <w:keepNext w:val="0"/>
              <w:jc w:val="center"/>
            </w:pPr>
            <w:r w:rsidRPr="0059433B">
              <w:t>0%</w:t>
            </w:r>
          </w:p>
        </w:tc>
      </w:tr>
      <w:tr w:rsidR="00230CBC" w:rsidRPr="0059433B" w14:paraId="7CD94983" w14:textId="77777777" w:rsidTr="00C5774C">
        <w:tc>
          <w:tcPr>
            <w:tcW w:w="5000" w:type="pct"/>
            <w:gridSpan w:val="5"/>
            <w:vAlign w:val="center"/>
          </w:tcPr>
          <w:p w14:paraId="519283DB" w14:textId="77777777" w:rsidR="00230CBC" w:rsidRPr="0059433B" w:rsidRDefault="00230CBC" w:rsidP="00C5774C">
            <w:pPr>
              <w:pStyle w:val="COMTabletext"/>
              <w:keepNext w:val="0"/>
              <w:rPr>
                <w:b/>
                <w:bCs w:val="0"/>
              </w:rPr>
            </w:pPr>
            <w:r w:rsidRPr="0059433B">
              <w:rPr>
                <w:b/>
                <w:bCs w:val="0"/>
              </w:rPr>
              <w:t>Patisiran treatment duration (base case: exponential extrapolation; treatment ceased in PND IV)</w:t>
            </w:r>
          </w:p>
        </w:tc>
      </w:tr>
      <w:tr w:rsidR="00230CBC" w:rsidRPr="0059433B" w14:paraId="5D4F8A66" w14:textId="77777777" w:rsidTr="00C5774C">
        <w:tc>
          <w:tcPr>
            <w:tcW w:w="2276" w:type="pct"/>
          </w:tcPr>
          <w:p w14:paraId="36E62871" w14:textId="77777777" w:rsidR="00230CBC" w:rsidRPr="0059433B" w:rsidRDefault="00230CBC" w:rsidP="00C5774C">
            <w:pPr>
              <w:pStyle w:val="COMTabletext"/>
              <w:keepNext w:val="0"/>
              <w:rPr>
                <w:iCs/>
              </w:rPr>
            </w:pPr>
            <w:r w:rsidRPr="0059433B">
              <w:rPr>
                <w:iCs/>
              </w:rPr>
              <w:t>Log-normal</w:t>
            </w:r>
          </w:p>
        </w:tc>
        <w:tc>
          <w:tcPr>
            <w:tcW w:w="759" w:type="pct"/>
            <w:vAlign w:val="center"/>
          </w:tcPr>
          <w:p w14:paraId="36AA48A6" w14:textId="43686BF2"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56"/>
                <w14:textFill>
                  <w14:solidFill>
                    <w14:srgbClr w14:val="000000">
                      <w14:alpha w14:val="100000"/>
                    </w14:srgbClr>
                  </w14:solidFill>
                </w14:textFill>
              </w:rPr>
              <w:t xml:space="preserve">　</w:t>
            </w:r>
            <w:r w:rsidR="00B94620" w:rsidRPr="00867C25">
              <w:rPr>
                <w:iCs/>
                <w:color w:val="000000"/>
                <w:w w:val="15"/>
                <w:shd w:val="solid" w:color="000000" w:fill="000000"/>
                <w:fitText w:val="18" w:id="-1171529456"/>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56"/>
                <w14:textFill>
                  <w14:solidFill>
                    <w14:srgbClr w14:val="000000">
                      <w14:alpha w14:val="100000"/>
                    </w14:srgbClr>
                  </w14:solidFill>
                </w14:textFill>
              </w:rPr>
              <w:t xml:space="preserve">　</w:t>
            </w:r>
          </w:p>
        </w:tc>
        <w:tc>
          <w:tcPr>
            <w:tcW w:w="760" w:type="pct"/>
            <w:vAlign w:val="center"/>
          </w:tcPr>
          <w:p w14:paraId="3DB1DABA" w14:textId="77777777" w:rsidR="00230CBC" w:rsidRPr="0059433B" w:rsidRDefault="00230CBC" w:rsidP="00C5774C">
            <w:pPr>
              <w:pStyle w:val="COMTabletext"/>
              <w:keepNext w:val="0"/>
              <w:jc w:val="center"/>
              <w:rPr>
                <w:iCs/>
              </w:rPr>
            </w:pPr>
            <w:r w:rsidRPr="0059433B">
              <w:rPr>
                <w:iCs/>
              </w:rPr>
              <w:t>6.723</w:t>
            </w:r>
          </w:p>
        </w:tc>
        <w:tc>
          <w:tcPr>
            <w:tcW w:w="761" w:type="pct"/>
            <w:vAlign w:val="center"/>
          </w:tcPr>
          <w:p w14:paraId="6B20E3EA" w14:textId="601C10DA"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72"/>
                <w14:textFill>
                  <w14:solidFill>
                    <w14:srgbClr w14:val="000000">
                      <w14:alpha w14:val="100000"/>
                    </w14:srgbClr>
                  </w14:solidFill>
                </w14:textFill>
              </w:rPr>
              <w:t xml:space="preserve">　</w:t>
            </w:r>
            <w:r w:rsidR="00B94620" w:rsidRPr="00B626A0">
              <w:rPr>
                <w:iCs/>
                <w:color w:val="000000"/>
                <w:w w:val="15"/>
                <w:shd w:val="solid" w:color="000000" w:fill="000000"/>
                <w:fitText w:val="46" w:id="-1171529472"/>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72"/>
                <w14:textFill>
                  <w14:solidFill>
                    <w14:srgbClr w14:val="000000">
                      <w14:alpha w14:val="100000"/>
                    </w14:srgbClr>
                  </w14:solidFill>
                </w14:textFill>
              </w:rPr>
              <w:t xml:space="preserve">　</w:t>
            </w:r>
            <w:r w:rsidR="001C11F0">
              <w:rPr>
                <w:iCs/>
                <w:vertAlign w:val="superscript"/>
              </w:rPr>
              <w:t>1</w:t>
            </w:r>
          </w:p>
        </w:tc>
        <w:tc>
          <w:tcPr>
            <w:tcW w:w="444" w:type="pct"/>
            <w:vAlign w:val="center"/>
          </w:tcPr>
          <w:p w14:paraId="67D479BF" w14:textId="77777777" w:rsidR="00230CBC" w:rsidRPr="0059433B" w:rsidRDefault="00230CBC" w:rsidP="00C5774C">
            <w:pPr>
              <w:pStyle w:val="COMTabletext"/>
              <w:keepNext w:val="0"/>
              <w:jc w:val="center"/>
              <w:rPr>
                <w:iCs/>
              </w:rPr>
            </w:pPr>
            <w:r w:rsidRPr="0059433B">
              <w:rPr>
                <w:iCs/>
              </w:rPr>
              <w:t>3%</w:t>
            </w:r>
          </w:p>
        </w:tc>
      </w:tr>
      <w:tr w:rsidR="00230CBC" w:rsidRPr="0059433B" w14:paraId="1444714E" w14:textId="77777777" w:rsidTr="00C5774C">
        <w:tc>
          <w:tcPr>
            <w:tcW w:w="5000" w:type="pct"/>
            <w:gridSpan w:val="5"/>
            <w:vAlign w:val="center"/>
          </w:tcPr>
          <w:p w14:paraId="4F7D481D" w14:textId="77777777" w:rsidR="00230CBC" w:rsidRPr="0059433B" w:rsidRDefault="00230CBC" w:rsidP="00C5774C">
            <w:pPr>
              <w:pStyle w:val="COMTabletext"/>
              <w:keepNext w:val="0"/>
              <w:rPr>
                <w:b/>
                <w:bCs w:val="0"/>
              </w:rPr>
            </w:pPr>
            <w:r w:rsidRPr="0059433B">
              <w:rPr>
                <w:b/>
                <w:bCs w:val="0"/>
              </w:rPr>
              <w:t>Mortality (base case: PND 0/I/II: same as general population; PND IIIA/IIIB: 1.90 x PND 0/I/II; PND IV: 9.42 x PND 0/I/II)</w:t>
            </w:r>
          </w:p>
        </w:tc>
      </w:tr>
      <w:tr w:rsidR="00230CBC" w:rsidRPr="0059433B" w14:paraId="429B8AE2" w14:textId="77777777" w:rsidTr="00C5774C">
        <w:tc>
          <w:tcPr>
            <w:tcW w:w="2276" w:type="pct"/>
            <w:vAlign w:val="center"/>
          </w:tcPr>
          <w:p w14:paraId="20BB7EFA" w14:textId="77777777" w:rsidR="00230CBC" w:rsidRPr="0059433B" w:rsidRDefault="00230CBC" w:rsidP="00C5774C">
            <w:pPr>
              <w:pStyle w:val="COMTabletext"/>
              <w:keepNext w:val="0"/>
              <w:rPr>
                <w:iCs/>
              </w:rPr>
            </w:pPr>
            <w:r w:rsidRPr="0059433B">
              <w:rPr>
                <w:iCs/>
              </w:rPr>
              <w:t>PND 0/I/II: 2.00 x general population; PND IIIA/IIIB: 1.90 x PND 0/I/II; PND IV: 9.42 x PND 0/I/II</w:t>
            </w:r>
          </w:p>
        </w:tc>
        <w:tc>
          <w:tcPr>
            <w:tcW w:w="759" w:type="pct"/>
            <w:vAlign w:val="center"/>
          </w:tcPr>
          <w:p w14:paraId="5402F4CA" w14:textId="11219F75"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71"/>
                <w14:textFill>
                  <w14:solidFill>
                    <w14:srgbClr w14:val="000000">
                      <w14:alpha w14:val="100000"/>
                    </w14:srgbClr>
                  </w14:solidFill>
                </w14:textFill>
              </w:rPr>
              <w:t xml:space="preserve">　</w:t>
            </w:r>
            <w:r w:rsidR="00B94620" w:rsidRPr="00867C25">
              <w:rPr>
                <w:iCs/>
                <w:color w:val="000000"/>
                <w:w w:val="15"/>
                <w:shd w:val="solid" w:color="000000" w:fill="000000"/>
                <w:fitText w:val="18" w:id="-1171529471"/>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71"/>
                <w14:textFill>
                  <w14:solidFill>
                    <w14:srgbClr w14:val="000000">
                      <w14:alpha w14:val="100000"/>
                    </w14:srgbClr>
                  </w14:solidFill>
                </w14:textFill>
              </w:rPr>
              <w:t xml:space="preserve">　</w:t>
            </w:r>
          </w:p>
        </w:tc>
        <w:tc>
          <w:tcPr>
            <w:tcW w:w="760" w:type="pct"/>
            <w:vAlign w:val="center"/>
          </w:tcPr>
          <w:p w14:paraId="1075DD86" w14:textId="77777777" w:rsidR="00230CBC" w:rsidRPr="0059433B" w:rsidRDefault="00230CBC" w:rsidP="00C5774C">
            <w:pPr>
              <w:pStyle w:val="COMTabletext"/>
              <w:keepNext w:val="0"/>
              <w:jc w:val="center"/>
              <w:rPr>
                <w:iCs/>
              </w:rPr>
            </w:pPr>
            <w:r w:rsidRPr="0059433B">
              <w:rPr>
                <w:iCs/>
              </w:rPr>
              <w:t>5.047</w:t>
            </w:r>
          </w:p>
        </w:tc>
        <w:tc>
          <w:tcPr>
            <w:tcW w:w="761" w:type="pct"/>
            <w:vAlign w:val="center"/>
          </w:tcPr>
          <w:p w14:paraId="14C025FD" w14:textId="73CFE94E"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70"/>
                <w14:textFill>
                  <w14:solidFill>
                    <w14:srgbClr w14:val="000000">
                      <w14:alpha w14:val="100000"/>
                    </w14:srgbClr>
                  </w14:solidFill>
                </w14:textFill>
              </w:rPr>
              <w:t xml:space="preserve">　</w:t>
            </w:r>
            <w:r w:rsidR="00B94620" w:rsidRPr="00B626A0">
              <w:rPr>
                <w:iCs/>
                <w:color w:val="000000"/>
                <w:w w:val="15"/>
                <w:shd w:val="solid" w:color="000000" w:fill="000000"/>
                <w:fitText w:val="46" w:id="-1171529470"/>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70"/>
                <w14:textFill>
                  <w14:solidFill>
                    <w14:srgbClr w14:val="000000">
                      <w14:alpha w14:val="100000"/>
                    </w14:srgbClr>
                  </w14:solidFill>
                </w14:textFill>
              </w:rPr>
              <w:t xml:space="preserve">　</w:t>
            </w:r>
            <w:r w:rsidR="001C11F0">
              <w:rPr>
                <w:iCs/>
                <w:vertAlign w:val="superscript"/>
              </w:rPr>
              <w:t>1</w:t>
            </w:r>
          </w:p>
        </w:tc>
        <w:tc>
          <w:tcPr>
            <w:tcW w:w="444" w:type="pct"/>
            <w:vAlign w:val="center"/>
          </w:tcPr>
          <w:p w14:paraId="2A7E1941" w14:textId="77777777" w:rsidR="00230CBC" w:rsidRPr="0059433B" w:rsidRDefault="00230CBC" w:rsidP="00C5774C">
            <w:pPr>
              <w:pStyle w:val="COMTabletext"/>
              <w:keepNext w:val="0"/>
              <w:jc w:val="center"/>
              <w:rPr>
                <w:iCs/>
              </w:rPr>
            </w:pPr>
            <w:r w:rsidRPr="0059433B">
              <w:rPr>
                <w:iCs/>
              </w:rPr>
              <w:t>14%</w:t>
            </w:r>
          </w:p>
        </w:tc>
      </w:tr>
      <w:tr w:rsidR="00230CBC" w:rsidRPr="0059433B" w14:paraId="4D18DA60" w14:textId="77777777" w:rsidTr="00C5774C">
        <w:tc>
          <w:tcPr>
            <w:tcW w:w="2276" w:type="pct"/>
            <w:vAlign w:val="center"/>
          </w:tcPr>
          <w:p w14:paraId="642BE9C0" w14:textId="77777777" w:rsidR="00230CBC" w:rsidRPr="0059433B" w:rsidRDefault="00230CBC" w:rsidP="00C5774C">
            <w:pPr>
              <w:pStyle w:val="COMTabletext"/>
              <w:keepNext w:val="0"/>
              <w:rPr>
                <w:iCs/>
              </w:rPr>
            </w:pPr>
            <w:r w:rsidRPr="0059433B">
              <w:rPr>
                <w:iCs/>
              </w:rPr>
              <w:t>PND 0/I/II: 3.00 x general population; PND IIIA/IIIB: 1.90 x PND 0/I/II; PND IV: 9.42 x PND 0/I/II</w:t>
            </w:r>
          </w:p>
        </w:tc>
        <w:tc>
          <w:tcPr>
            <w:tcW w:w="759" w:type="pct"/>
            <w:vAlign w:val="center"/>
          </w:tcPr>
          <w:p w14:paraId="03B348F0" w14:textId="25BB2F45"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9"/>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9"/>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9"/>
                <w14:textFill>
                  <w14:solidFill>
                    <w14:srgbClr w14:val="000000">
                      <w14:alpha w14:val="100000"/>
                    </w14:srgbClr>
                  </w14:solidFill>
                </w14:textFill>
              </w:rPr>
              <w:t xml:space="preserve">　</w:t>
            </w:r>
          </w:p>
        </w:tc>
        <w:tc>
          <w:tcPr>
            <w:tcW w:w="760" w:type="pct"/>
            <w:vAlign w:val="center"/>
          </w:tcPr>
          <w:p w14:paraId="1001DF08" w14:textId="77777777" w:rsidR="00230CBC" w:rsidRPr="0059433B" w:rsidRDefault="00230CBC" w:rsidP="00C5774C">
            <w:pPr>
              <w:pStyle w:val="COMTabletext"/>
              <w:keepNext w:val="0"/>
              <w:jc w:val="center"/>
              <w:rPr>
                <w:iCs/>
              </w:rPr>
            </w:pPr>
            <w:r w:rsidRPr="0059433B">
              <w:rPr>
                <w:iCs/>
              </w:rPr>
              <w:t>4.422</w:t>
            </w:r>
          </w:p>
        </w:tc>
        <w:tc>
          <w:tcPr>
            <w:tcW w:w="761" w:type="pct"/>
            <w:vAlign w:val="center"/>
          </w:tcPr>
          <w:p w14:paraId="32D5E018" w14:textId="5C596E33"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8"/>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8"/>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8"/>
                <w14:textFill>
                  <w14:solidFill>
                    <w14:srgbClr w14:val="000000">
                      <w14:alpha w14:val="100000"/>
                    </w14:srgbClr>
                  </w14:solidFill>
                </w14:textFill>
              </w:rPr>
              <w:t xml:space="preserve">　</w:t>
            </w:r>
            <w:r w:rsidR="004B1A74">
              <w:rPr>
                <w:iCs/>
                <w:vertAlign w:val="superscript"/>
              </w:rPr>
              <w:t>2</w:t>
            </w:r>
          </w:p>
        </w:tc>
        <w:tc>
          <w:tcPr>
            <w:tcW w:w="444" w:type="pct"/>
            <w:vAlign w:val="center"/>
          </w:tcPr>
          <w:p w14:paraId="5202B64F" w14:textId="77777777" w:rsidR="00230CBC" w:rsidRPr="0059433B" w:rsidRDefault="00230CBC" w:rsidP="00C5774C">
            <w:pPr>
              <w:pStyle w:val="COMTabletext"/>
              <w:keepNext w:val="0"/>
              <w:jc w:val="center"/>
              <w:rPr>
                <w:iCs/>
              </w:rPr>
            </w:pPr>
            <w:r w:rsidRPr="0059433B">
              <w:rPr>
                <w:iCs/>
              </w:rPr>
              <w:t>24%</w:t>
            </w:r>
          </w:p>
        </w:tc>
      </w:tr>
      <w:tr w:rsidR="00230CBC" w:rsidRPr="0059433B" w14:paraId="1792CC00" w14:textId="77777777" w:rsidTr="00C5774C">
        <w:tc>
          <w:tcPr>
            <w:tcW w:w="2276" w:type="pct"/>
            <w:vAlign w:val="center"/>
          </w:tcPr>
          <w:p w14:paraId="4D7E815F" w14:textId="77777777" w:rsidR="00230CBC" w:rsidRPr="0059433B" w:rsidRDefault="00230CBC" w:rsidP="00C5774C">
            <w:pPr>
              <w:pStyle w:val="COMTabletext"/>
              <w:keepNext w:val="0"/>
              <w:rPr>
                <w:iCs/>
              </w:rPr>
            </w:pPr>
            <w:r w:rsidRPr="0059433B">
              <w:rPr>
                <w:iCs/>
              </w:rPr>
              <w:t>PND 0/I/II: 4.00 x general population; PND IIIA/IIIB: 1.90 x PND 0/I/II; PND IV: 9.42 x PND 0/I/II</w:t>
            </w:r>
          </w:p>
        </w:tc>
        <w:tc>
          <w:tcPr>
            <w:tcW w:w="759" w:type="pct"/>
            <w:vAlign w:val="center"/>
          </w:tcPr>
          <w:p w14:paraId="0935F3F4" w14:textId="4BFDB756"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7"/>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7"/>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7"/>
                <w14:textFill>
                  <w14:solidFill>
                    <w14:srgbClr w14:val="000000">
                      <w14:alpha w14:val="100000"/>
                    </w14:srgbClr>
                  </w14:solidFill>
                </w14:textFill>
              </w:rPr>
              <w:t xml:space="preserve">　</w:t>
            </w:r>
          </w:p>
        </w:tc>
        <w:tc>
          <w:tcPr>
            <w:tcW w:w="760" w:type="pct"/>
            <w:vAlign w:val="center"/>
          </w:tcPr>
          <w:p w14:paraId="75DC9454" w14:textId="77777777" w:rsidR="00230CBC" w:rsidRPr="0059433B" w:rsidRDefault="00230CBC" w:rsidP="00C5774C">
            <w:pPr>
              <w:pStyle w:val="COMTabletext"/>
              <w:keepNext w:val="0"/>
              <w:jc w:val="center"/>
              <w:rPr>
                <w:iCs/>
              </w:rPr>
            </w:pPr>
            <w:r w:rsidRPr="0059433B">
              <w:rPr>
                <w:iCs/>
              </w:rPr>
              <w:t>3.980</w:t>
            </w:r>
          </w:p>
        </w:tc>
        <w:tc>
          <w:tcPr>
            <w:tcW w:w="761" w:type="pct"/>
            <w:vAlign w:val="center"/>
          </w:tcPr>
          <w:p w14:paraId="2A335FAA" w14:textId="052ADE08"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6"/>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6"/>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6"/>
                <w14:textFill>
                  <w14:solidFill>
                    <w14:srgbClr w14:val="000000">
                      <w14:alpha w14:val="100000"/>
                    </w14:srgbClr>
                  </w14:solidFill>
                </w14:textFill>
              </w:rPr>
              <w:t xml:space="preserve">　</w:t>
            </w:r>
            <w:r w:rsidR="004B1A74">
              <w:rPr>
                <w:iCs/>
                <w:vertAlign w:val="superscript"/>
              </w:rPr>
              <w:t>2</w:t>
            </w:r>
          </w:p>
        </w:tc>
        <w:tc>
          <w:tcPr>
            <w:tcW w:w="444" w:type="pct"/>
            <w:vAlign w:val="center"/>
          </w:tcPr>
          <w:p w14:paraId="0FE9CE0F" w14:textId="77777777" w:rsidR="00230CBC" w:rsidRPr="0059433B" w:rsidRDefault="00230CBC" w:rsidP="00C5774C">
            <w:pPr>
              <w:pStyle w:val="COMTabletext"/>
              <w:keepNext w:val="0"/>
              <w:jc w:val="center"/>
              <w:rPr>
                <w:iCs/>
              </w:rPr>
            </w:pPr>
            <w:r w:rsidRPr="0059433B">
              <w:rPr>
                <w:iCs/>
              </w:rPr>
              <w:t>31%</w:t>
            </w:r>
          </w:p>
        </w:tc>
      </w:tr>
      <w:tr w:rsidR="00230CBC" w:rsidRPr="0059433B" w14:paraId="38759E21" w14:textId="77777777" w:rsidTr="00C5774C">
        <w:tc>
          <w:tcPr>
            <w:tcW w:w="2276" w:type="pct"/>
            <w:vAlign w:val="center"/>
          </w:tcPr>
          <w:p w14:paraId="75A8D877" w14:textId="77777777" w:rsidR="00230CBC" w:rsidRPr="0059433B" w:rsidRDefault="00230CBC" w:rsidP="00C5774C">
            <w:pPr>
              <w:pStyle w:val="COMTabletext"/>
              <w:keepNext w:val="0"/>
              <w:rPr>
                <w:iCs/>
              </w:rPr>
            </w:pPr>
            <w:r w:rsidRPr="0059433B">
              <w:rPr>
                <w:iCs/>
              </w:rPr>
              <w:t>PND 0/I/II: 5.00 x general population; PND IIIA/IIIB: 1.90 x PND 0/I/II; PND IV: 9.42 x PND 0/I/II</w:t>
            </w:r>
          </w:p>
        </w:tc>
        <w:tc>
          <w:tcPr>
            <w:tcW w:w="759" w:type="pct"/>
            <w:vAlign w:val="center"/>
          </w:tcPr>
          <w:p w14:paraId="69853D79" w14:textId="5D33CA43"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5"/>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5"/>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5"/>
                <w14:textFill>
                  <w14:solidFill>
                    <w14:srgbClr w14:val="000000">
                      <w14:alpha w14:val="100000"/>
                    </w14:srgbClr>
                  </w14:solidFill>
                </w14:textFill>
              </w:rPr>
              <w:t xml:space="preserve">　</w:t>
            </w:r>
          </w:p>
        </w:tc>
        <w:tc>
          <w:tcPr>
            <w:tcW w:w="760" w:type="pct"/>
            <w:vAlign w:val="center"/>
          </w:tcPr>
          <w:p w14:paraId="379428B1" w14:textId="77777777" w:rsidR="00230CBC" w:rsidRPr="0059433B" w:rsidRDefault="00230CBC" w:rsidP="00C5774C">
            <w:pPr>
              <w:pStyle w:val="COMTabletext"/>
              <w:keepNext w:val="0"/>
              <w:jc w:val="center"/>
              <w:rPr>
                <w:iCs/>
              </w:rPr>
            </w:pPr>
            <w:r w:rsidRPr="0059433B">
              <w:rPr>
                <w:iCs/>
              </w:rPr>
              <w:t>3.641</w:t>
            </w:r>
          </w:p>
        </w:tc>
        <w:tc>
          <w:tcPr>
            <w:tcW w:w="761" w:type="pct"/>
            <w:vAlign w:val="center"/>
          </w:tcPr>
          <w:p w14:paraId="49E9F10E" w14:textId="1C4564CF"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4"/>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4"/>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4"/>
                <w14:textFill>
                  <w14:solidFill>
                    <w14:srgbClr w14:val="000000">
                      <w14:alpha w14:val="100000"/>
                    </w14:srgbClr>
                  </w14:solidFill>
                </w14:textFill>
              </w:rPr>
              <w:t xml:space="preserve">　</w:t>
            </w:r>
            <w:r w:rsidR="004B1A74">
              <w:rPr>
                <w:iCs/>
                <w:vertAlign w:val="superscript"/>
              </w:rPr>
              <w:t>2</w:t>
            </w:r>
          </w:p>
        </w:tc>
        <w:tc>
          <w:tcPr>
            <w:tcW w:w="444" w:type="pct"/>
            <w:vAlign w:val="center"/>
          </w:tcPr>
          <w:p w14:paraId="2ED18F5D" w14:textId="77777777" w:rsidR="00230CBC" w:rsidRPr="0059433B" w:rsidRDefault="00230CBC" w:rsidP="00C5774C">
            <w:pPr>
              <w:pStyle w:val="COMTabletext"/>
              <w:keepNext w:val="0"/>
              <w:jc w:val="center"/>
              <w:rPr>
                <w:iCs/>
              </w:rPr>
            </w:pPr>
            <w:r w:rsidRPr="0059433B">
              <w:rPr>
                <w:iCs/>
              </w:rPr>
              <w:t>36%</w:t>
            </w:r>
          </w:p>
        </w:tc>
      </w:tr>
      <w:tr w:rsidR="00230CBC" w:rsidRPr="0059433B" w14:paraId="1FF56D00" w14:textId="77777777" w:rsidTr="00C5774C">
        <w:tc>
          <w:tcPr>
            <w:tcW w:w="5000" w:type="pct"/>
            <w:gridSpan w:val="5"/>
            <w:vAlign w:val="center"/>
          </w:tcPr>
          <w:p w14:paraId="13402C6F" w14:textId="77777777" w:rsidR="00230CBC" w:rsidRPr="0059433B" w:rsidRDefault="00230CBC" w:rsidP="00C5774C">
            <w:pPr>
              <w:pStyle w:val="COMTabletext"/>
              <w:keepNext w:val="0"/>
              <w:rPr>
                <w:b/>
                <w:bCs w:val="0"/>
              </w:rPr>
            </w:pPr>
            <w:r w:rsidRPr="0059433B">
              <w:rPr>
                <w:b/>
                <w:bCs w:val="0"/>
              </w:rPr>
              <w:t>Starting health state utilities (base case: PND 0: 0.684; PND I: 0.646; PND II: 0.478; PND IIIA: 0.353; PND IIIB: 0.175; PND IV: -0.004)</w:t>
            </w:r>
          </w:p>
        </w:tc>
      </w:tr>
      <w:tr w:rsidR="00230CBC" w:rsidRPr="0059433B" w14:paraId="6D727739" w14:textId="77777777" w:rsidTr="00C5774C">
        <w:tc>
          <w:tcPr>
            <w:tcW w:w="2276" w:type="pct"/>
          </w:tcPr>
          <w:p w14:paraId="25636833" w14:textId="77777777" w:rsidR="00230CBC" w:rsidRPr="0059433B" w:rsidRDefault="00230CBC" w:rsidP="00C5774C">
            <w:pPr>
              <w:pStyle w:val="COMTabletext"/>
              <w:keepNext w:val="0"/>
              <w:rPr>
                <w:iCs/>
              </w:rPr>
            </w:pPr>
            <w:r w:rsidRPr="0059433B">
              <w:rPr>
                <w:iCs/>
              </w:rPr>
              <w:t>All states increased by 0.1</w:t>
            </w:r>
          </w:p>
        </w:tc>
        <w:tc>
          <w:tcPr>
            <w:tcW w:w="759" w:type="pct"/>
            <w:vAlign w:val="center"/>
          </w:tcPr>
          <w:p w14:paraId="71A14624" w14:textId="602E203C"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3"/>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3"/>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3"/>
                <w14:textFill>
                  <w14:solidFill>
                    <w14:srgbClr w14:val="000000">
                      <w14:alpha w14:val="100000"/>
                    </w14:srgbClr>
                  </w14:solidFill>
                </w14:textFill>
              </w:rPr>
              <w:t xml:space="preserve">　</w:t>
            </w:r>
          </w:p>
        </w:tc>
        <w:tc>
          <w:tcPr>
            <w:tcW w:w="760" w:type="pct"/>
            <w:vAlign w:val="center"/>
          </w:tcPr>
          <w:p w14:paraId="530CB635" w14:textId="77777777" w:rsidR="00230CBC" w:rsidRPr="0059433B" w:rsidRDefault="00230CBC" w:rsidP="00C5774C">
            <w:pPr>
              <w:pStyle w:val="COMTabletext"/>
              <w:keepNext w:val="0"/>
              <w:jc w:val="center"/>
              <w:rPr>
                <w:iCs/>
              </w:rPr>
            </w:pPr>
            <w:r w:rsidRPr="0059433B">
              <w:rPr>
                <w:iCs/>
              </w:rPr>
              <w:t>6.097</w:t>
            </w:r>
          </w:p>
        </w:tc>
        <w:tc>
          <w:tcPr>
            <w:tcW w:w="761" w:type="pct"/>
            <w:vAlign w:val="center"/>
          </w:tcPr>
          <w:p w14:paraId="29B6F515" w14:textId="611C5AC8"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2"/>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2"/>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2"/>
                <w14:textFill>
                  <w14:solidFill>
                    <w14:srgbClr w14:val="000000">
                      <w14:alpha w14:val="100000"/>
                    </w14:srgbClr>
                  </w14:solidFill>
                </w14:textFill>
              </w:rPr>
              <w:t xml:space="preserve">　</w:t>
            </w:r>
            <w:r w:rsidR="004B1A74">
              <w:rPr>
                <w:iCs/>
                <w:vertAlign w:val="superscript"/>
              </w:rPr>
              <w:t>1</w:t>
            </w:r>
          </w:p>
        </w:tc>
        <w:tc>
          <w:tcPr>
            <w:tcW w:w="444" w:type="pct"/>
            <w:vAlign w:val="center"/>
          </w:tcPr>
          <w:p w14:paraId="6AE4FAB2" w14:textId="77777777" w:rsidR="00230CBC" w:rsidRPr="0059433B" w:rsidRDefault="00230CBC" w:rsidP="00C5774C">
            <w:pPr>
              <w:pStyle w:val="COMTabletext"/>
              <w:keepNext w:val="0"/>
              <w:jc w:val="center"/>
            </w:pPr>
            <w:r w:rsidRPr="0059433B">
              <w:t>0%</w:t>
            </w:r>
          </w:p>
        </w:tc>
      </w:tr>
      <w:tr w:rsidR="00230CBC" w:rsidRPr="0059433B" w14:paraId="792E5698" w14:textId="77777777" w:rsidTr="00C5774C">
        <w:tc>
          <w:tcPr>
            <w:tcW w:w="2276" w:type="pct"/>
          </w:tcPr>
          <w:p w14:paraId="5B54A996" w14:textId="77777777" w:rsidR="00230CBC" w:rsidRPr="0059433B" w:rsidRDefault="00230CBC" w:rsidP="00C5774C">
            <w:pPr>
              <w:pStyle w:val="COMTabletext"/>
              <w:keepNext w:val="0"/>
            </w:pPr>
            <w:r w:rsidRPr="0059433B">
              <w:rPr>
                <w:iCs/>
              </w:rPr>
              <w:t>All states decreased by 0.1</w:t>
            </w:r>
          </w:p>
        </w:tc>
        <w:tc>
          <w:tcPr>
            <w:tcW w:w="759" w:type="pct"/>
            <w:vAlign w:val="center"/>
          </w:tcPr>
          <w:p w14:paraId="59FABE46" w14:textId="1F7EB44B"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1"/>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1"/>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1"/>
                <w14:textFill>
                  <w14:solidFill>
                    <w14:srgbClr w14:val="000000">
                      <w14:alpha w14:val="100000"/>
                    </w14:srgbClr>
                  </w14:solidFill>
                </w14:textFill>
              </w:rPr>
              <w:t xml:space="preserve">　</w:t>
            </w:r>
          </w:p>
        </w:tc>
        <w:tc>
          <w:tcPr>
            <w:tcW w:w="760" w:type="pct"/>
            <w:vAlign w:val="center"/>
          </w:tcPr>
          <w:p w14:paraId="03627B05" w14:textId="77777777" w:rsidR="00230CBC" w:rsidRPr="0059433B" w:rsidRDefault="00230CBC" w:rsidP="00C5774C">
            <w:pPr>
              <w:pStyle w:val="COMTabletext"/>
              <w:keepNext w:val="0"/>
              <w:jc w:val="center"/>
              <w:rPr>
                <w:iCs/>
              </w:rPr>
            </w:pPr>
            <w:r w:rsidRPr="0059433B">
              <w:rPr>
                <w:iCs/>
              </w:rPr>
              <w:t>5.925</w:t>
            </w:r>
          </w:p>
        </w:tc>
        <w:tc>
          <w:tcPr>
            <w:tcW w:w="761" w:type="pct"/>
            <w:vAlign w:val="center"/>
          </w:tcPr>
          <w:p w14:paraId="74161E65" w14:textId="322895DB"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0"/>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0"/>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0"/>
                <w14:textFill>
                  <w14:solidFill>
                    <w14:srgbClr w14:val="000000">
                      <w14:alpha w14:val="100000"/>
                    </w14:srgbClr>
                  </w14:solidFill>
                </w14:textFill>
              </w:rPr>
              <w:t xml:space="preserve">　</w:t>
            </w:r>
            <w:r w:rsidR="004B1A74">
              <w:rPr>
                <w:iCs/>
                <w:vertAlign w:val="superscript"/>
              </w:rPr>
              <w:t>1</w:t>
            </w:r>
          </w:p>
        </w:tc>
        <w:tc>
          <w:tcPr>
            <w:tcW w:w="444" w:type="pct"/>
            <w:vAlign w:val="center"/>
          </w:tcPr>
          <w:p w14:paraId="0F98EFA5" w14:textId="77777777" w:rsidR="00230CBC" w:rsidRPr="0059433B" w:rsidRDefault="00230CBC" w:rsidP="00C5774C">
            <w:pPr>
              <w:pStyle w:val="COMTabletext"/>
              <w:keepNext w:val="0"/>
              <w:jc w:val="center"/>
            </w:pPr>
            <w:r w:rsidRPr="0059433B">
              <w:t>3%</w:t>
            </w:r>
          </w:p>
        </w:tc>
      </w:tr>
      <w:tr w:rsidR="00230CBC" w:rsidRPr="0059433B" w14:paraId="48F38FAC" w14:textId="77777777" w:rsidTr="00C5774C">
        <w:tc>
          <w:tcPr>
            <w:tcW w:w="5000" w:type="pct"/>
            <w:gridSpan w:val="5"/>
            <w:vAlign w:val="center"/>
          </w:tcPr>
          <w:p w14:paraId="01BCF444" w14:textId="77777777" w:rsidR="00230CBC" w:rsidRPr="0059433B" w:rsidRDefault="00230CBC" w:rsidP="00C5774C">
            <w:pPr>
              <w:pStyle w:val="COMTabletext"/>
              <w:keepNext w:val="0"/>
              <w:rPr>
                <w:b/>
                <w:bCs w:val="0"/>
              </w:rPr>
            </w:pPr>
            <w:r w:rsidRPr="0059433B">
              <w:rPr>
                <w:b/>
                <w:bCs w:val="0"/>
              </w:rPr>
              <w:t>Treatment-related utility increment/decrement (base case: on treatment: 0.003; BSC/off treatment: -0.009)</w:t>
            </w:r>
          </w:p>
        </w:tc>
      </w:tr>
      <w:tr w:rsidR="00230CBC" w:rsidRPr="0059433B" w14:paraId="076A7482" w14:textId="77777777" w:rsidTr="00C5774C">
        <w:tc>
          <w:tcPr>
            <w:tcW w:w="2276" w:type="pct"/>
          </w:tcPr>
          <w:p w14:paraId="42DB9174" w14:textId="77777777" w:rsidR="00230CBC" w:rsidRPr="0059433B" w:rsidRDefault="00230CBC" w:rsidP="00C5774C">
            <w:pPr>
              <w:pStyle w:val="COMTabletext"/>
              <w:keepNext w:val="0"/>
              <w:rPr>
                <w:iCs/>
              </w:rPr>
            </w:pPr>
            <w:bookmarkStart w:id="66" w:name="_Hlk137803484"/>
            <w:r w:rsidRPr="0059433B">
              <w:rPr>
                <w:iCs/>
              </w:rPr>
              <w:t xml:space="preserve">Treatment-related utility increment/decrement </w:t>
            </w:r>
            <w:bookmarkEnd w:id="66"/>
            <w:r w:rsidRPr="0059433B">
              <w:rPr>
                <w:iCs/>
              </w:rPr>
              <w:t>removed</w:t>
            </w:r>
          </w:p>
        </w:tc>
        <w:tc>
          <w:tcPr>
            <w:tcW w:w="759" w:type="pct"/>
            <w:vAlign w:val="center"/>
          </w:tcPr>
          <w:p w14:paraId="7C67E30F" w14:textId="17A7AF78"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59"/>
                <w14:textFill>
                  <w14:solidFill>
                    <w14:srgbClr w14:val="000000">
                      <w14:alpha w14:val="100000"/>
                    </w14:srgbClr>
                  </w14:solidFill>
                </w14:textFill>
              </w:rPr>
              <w:t xml:space="preserve">　</w:t>
            </w:r>
            <w:r w:rsidR="00B94620" w:rsidRPr="00867C25">
              <w:rPr>
                <w:iCs/>
                <w:color w:val="000000"/>
                <w:w w:val="15"/>
                <w:shd w:val="solid" w:color="000000" w:fill="000000"/>
                <w:fitText w:val="18" w:id="-1171529459"/>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59"/>
                <w14:textFill>
                  <w14:solidFill>
                    <w14:srgbClr w14:val="000000">
                      <w14:alpha w14:val="100000"/>
                    </w14:srgbClr>
                  </w14:solidFill>
                </w14:textFill>
              </w:rPr>
              <w:t xml:space="preserve">　</w:t>
            </w:r>
          </w:p>
        </w:tc>
        <w:tc>
          <w:tcPr>
            <w:tcW w:w="760" w:type="pct"/>
            <w:vAlign w:val="center"/>
          </w:tcPr>
          <w:p w14:paraId="387EA113" w14:textId="77777777" w:rsidR="00230CBC" w:rsidRPr="0059433B" w:rsidRDefault="00230CBC" w:rsidP="00C5774C">
            <w:pPr>
              <w:pStyle w:val="COMTabletext"/>
              <w:keepNext w:val="0"/>
              <w:jc w:val="center"/>
              <w:rPr>
                <w:iCs/>
              </w:rPr>
            </w:pPr>
            <w:r w:rsidRPr="0059433B">
              <w:rPr>
                <w:iCs/>
              </w:rPr>
              <w:t>2.339</w:t>
            </w:r>
          </w:p>
        </w:tc>
        <w:tc>
          <w:tcPr>
            <w:tcW w:w="761" w:type="pct"/>
            <w:vAlign w:val="center"/>
          </w:tcPr>
          <w:p w14:paraId="6CF61BA8" w14:textId="5FAF7B27"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58"/>
                <w14:textFill>
                  <w14:solidFill>
                    <w14:srgbClr w14:val="000000">
                      <w14:alpha w14:val="100000"/>
                    </w14:srgbClr>
                  </w14:solidFill>
                </w14:textFill>
              </w:rPr>
              <w:t xml:space="preserve">　</w:t>
            </w:r>
            <w:r w:rsidR="00B94620" w:rsidRPr="00B626A0">
              <w:rPr>
                <w:iCs/>
                <w:color w:val="000000"/>
                <w:w w:val="15"/>
                <w:shd w:val="solid" w:color="000000" w:fill="000000"/>
                <w:fitText w:val="46" w:id="-1171529458"/>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58"/>
                <w14:textFill>
                  <w14:solidFill>
                    <w14:srgbClr w14:val="000000">
                      <w14:alpha w14:val="100000"/>
                    </w14:srgbClr>
                  </w14:solidFill>
                </w14:textFill>
              </w:rPr>
              <w:t xml:space="preserve">　</w:t>
            </w:r>
            <w:r w:rsidR="004B1A74">
              <w:rPr>
                <w:iCs/>
                <w:vertAlign w:val="superscript"/>
              </w:rPr>
              <w:t>3</w:t>
            </w:r>
          </w:p>
        </w:tc>
        <w:tc>
          <w:tcPr>
            <w:tcW w:w="444" w:type="pct"/>
            <w:vAlign w:val="center"/>
          </w:tcPr>
          <w:p w14:paraId="3890005B" w14:textId="77777777" w:rsidR="00230CBC" w:rsidRPr="0059433B" w:rsidRDefault="00230CBC" w:rsidP="00C5774C">
            <w:pPr>
              <w:pStyle w:val="COMTabletext"/>
              <w:keepNext w:val="0"/>
              <w:jc w:val="center"/>
              <w:rPr>
                <w:iCs/>
              </w:rPr>
            </w:pPr>
            <w:r w:rsidRPr="0059433B">
              <w:rPr>
                <w:iCs/>
              </w:rPr>
              <w:t>161%</w:t>
            </w:r>
          </w:p>
        </w:tc>
      </w:tr>
      <w:tr w:rsidR="00230CBC" w:rsidRPr="0059433B" w14:paraId="3D20E947" w14:textId="77777777" w:rsidTr="00C5774C">
        <w:tc>
          <w:tcPr>
            <w:tcW w:w="2276" w:type="pct"/>
          </w:tcPr>
          <w:p w14:paraId="1A0463B7" w14:textId="77777777" w:rsidR="00230CBC" w:rsidRPr="0059433B" w:rsidRDefault="00230CBC" w:rsidP="00C5774C">
            <w:pPr>
              <w:pStyle w:val="COMTabletext"/>
              <w:keepNext w:val="0"/>
              <w:rPr>
                <w:iCs/>
              </w:rPr>
            </w:pPr>
            <w:r w:rsidRPr="0059433B">
              <w:rPr>
                <w:iCs/>
              </w:rPr>
              <w:t>Treatment-related utility increment/decrement halved</w:t>
            </w:r>
          </w:p>
        </w:tc>
        <w:tc>
          <w:tcPr>
            <w:tcW w:w="759" w:type="pct"/>
            <w:vAlign w:val="center"/>
          </w:tcPr>
          <w:p w14:paraId="357217B5" w14:textId="48819093" w:rsidR="00230CBC" w:rsidRPr="0059433B" w:rsidRDefault="00230CBC" w:rsidP="00C5774C">
            <w:pPr>
              <w:pStyle w:val="COMTabletext"/>
              <w:keepNext w:val="0"/>
              <w:jc w:val="center"/>
              <w:rPr>
                <w:iCs/>
                <w:highlight w:val="yellow"/>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57"/>
                <w14:textFill>
                  <w14:solidFill>
                    <w14:srgbClr w14:val="000000">
                      <w14:alpha w14:val="100000"/>
                    </w14:srgbClr>
                  </w14:solidFill>
                </w14:textFill>
              </w:rPr>
              <w:t xml:space="preserve">　</w:t>
            </w:r>
            <w:r w:rsidR="00B94620" w:rsidRPr="00867C25">
              <w:rPr>
                <w:iCs/>
                <w:color w:val="000000"/>
                <w:w w:val="15"/>
                <w:shd w:val="solid" w:color="000000" w:fill="000000"/>
                <w:fitText w:val="18" w:id="-1171529457"/>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57"/>
                <w14:textFill>
                  <w14:solidFill>
                    <w14:srgbClr w14:val="000000">
                      <w14:alpha w14:val="100000"/>
                    </w14:srgbClr>
                  </w14:solidFill>
                </w14:textFill>
              </w:rPr>
              <w:t xml:space="preserve">　</w:t>
            </w:r>
          </w:p>
        </w:tc>
        <w:tc>
          <w:tcPr>
            <w:tcW w:w="760" w:type="pct"/>
            <w:vAlign w:val="center"/>
          </w:tcPr>
          <w:p w14:paraId="75044561" w14:textId="77777777" w:rsidR="00230CBC" w:rsidRPr="0059433B" w:rsidRDefault="00230CBC" w:rsidP="00C5774C">
            <w:pPr>
              <w:pStyle w:val="COMTabletext"/>
              <w:keepNext w:val="0"/>
              <w:jc w:val="center"/>
              <w:rPr>
                <w:iCs/>
                <w:highlight w:val="yellow"/>
              </w:rPr>
            </w:pPr>
            <w:r w:rsidRPr="0059433B">
              <w:rPr>
                <w:iCs/>
              </w:rPr>
              <w:t>4.906</w:t>
            </w:r>
          </w:p>
        </w:tc>
        <w:tc>
          <w:tcPr>
            <w:tcW w:w="761" w:type="pct"/>
            <w:vAlign w:val="center"/>
          </w:tcPr>
          <w:p w14:paraId="3FE69725" w14:textId="3459EE54" w:rsidR="00230CBC" w:rsidRPr="003F0BF2" w:rsidRDefault="00230CBC" w:rsidP="00C5774C">
            <w:pPr>
              <w:pStyle w:val="COMTabletext"/>
              <w:keepNext w:val="0"/>
              <w:jc w:val="center"/>
              <w:rPr>
                <w:iCs/>
                <w:highlight w:val="yellow"/>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56"/>
                <w14:textFill>
                  <w14:solidFill>
                    <w14:srgbClr w14:val="000000">
                      <w14:alpha w14:val="100000"/>
                    </w14:srgbClr>
                  </w14:solidFill>
                </w14:textFill>
              </w:rPr>
              <w:t xml:space="preserve">　</w:t>
            </w:r>
            <w:r w:rsidR="00B94620" w:rsidRPr="00B626A0">
              <w:rPr>
                <w:iCs/>
                <w:color w:val="000000"/>
                <w:w w:val="15"/>
                <w:shd w:val="solid" w:color="000000" w:fill="000000"/>
                <w:fitText w:val="46" w:id="-1171529456"/>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56"/>
                <w14:textFill>
                  <w14:solidFill>
                    <w14:srgbClr w14:val="000000">
                      <w14:alpha w14:val="100000"/>
                    </w14:srgbClr>
                  </w14:solidFill>
                </w14:textFill>
              </w:rPr>
              <w:t xml:space="preserve">　</w:t>
            </w:r>
            <w:r w:rsidR="007A69FB" w:rsidRPr="003F0BF2">
              <w:rPr>
                <w:iCs/>
                <w:vertAlign w:val="superscript"/>
              </w:rPr>
              <w:t>2</w:t>
            </w:r>
          </w:p>
        </w:tc>
        <w:tc>
          <w:tcPr>
            <w:tcW w:w="444" w:type="pct"/>
            <w:vAlign w:val="center"/>
          </w:tcPr>
          <w:p w14:paraId="0C41387E" w14:textId="77777777" w:rsidR="00230CBC" w:rsidRPr="0059433B" w:rsidRDefault="00230CBC" w:rsidP="00C5774C">
            <w:pPr>
              <w:pStyle w:val="COMTabletext"/>
              <w:keepNext w:val="0"/>
              <w:jc w:val="center"/>
              <w:rPr>
                <w:iCs/>
                <w:highlight w:val="yellow"/>
              </w:rPr>
            </w:pPr>
            <w:r w:rsidRPr="0059433B">
              <w:rPr>
                <w:iCs/>
              </w:rPr>
              <w:t>24%</w:t>
            </w:r>
          </w:p>
        </w:tc>
      </w:tr>
      <w:tr w:rsidR="00230CBC" w:rsidRPr="0059433B" w14:paraId="120327EC" w14:textId="77777777" w:rsidTr="00C5774C">
        <w:tc>
          <w:tcPr>
            <w:tcW w:w="5000" w:type="pct"/>
            <w:gridSpan w:val="5"/>
            <w:vAlign w:val="center"/>
          </w:tcPr>
          <w:p w14:paraId="32A228C7" w14:textId="77777777" w:rsidR="00230CBC" w:rsidRPr="0059433B" w:rsidRDefault="00230CBC" w:rsidP="00C5774C">
            <w:pPr>
              <w:pStyle w:val="COMTabletext"/>
              <w:keepNext w:val="0"/>
              <w:rPr>
                <w:b/>
                <w:bCs w:val="0"/>
              </w:rPr>
            </w:pPr>
            <w:r w:rsidRPr="0059433B">
              <w:rPr>
                <w:b/>
                <w:bCs w:val="0"/>
              </w:rPr>
              <w:t>Minimum/maximum utilities (base case: PND 0: 0.625/1.000; PND I: 0.375/0.921; PND II: 0.126/0.733; PND IIIA: -0.075/0.642; PND IIIB: -0.254/0.441; PND IV: -0.593/0.297)</w:t>
            </w:r>
          </w:p>
        </w:tc>
      </w:tr>
      <w:tr w:rsidR="00230CBC" w:rsidRPr="0059433B" w14:paraId="57F26663" w14:textId="77777777" w:rsidTr="00C5774C">
        <w:tc>
          <w:tcPr>
            <w:tcW w:w="2276" w:type="pct"/>
          </w:tcPr>
          <w:p w14:paraId="1E1F431B" w14:textId="77777777" w:rsidR="00230CBC" w:rsidRPr="0059433B" w:rsidRDefault="00230CBC" w:rsidP="00C5774C">
            <w:pPr>
              <w:pStyle w:val="COMTabletext"/>
              <w:keepNext w:val="0"/>
              <w:rPr>
                <w:iCs/>
              </w:rPr>
            </w:pPr>
            <w:r w:rsidRPr="0059433B">
              <w:rPr>
                <w:iCs/>
              </w:rPr>
              <w:t>Minimum and maximum based on average health state utility +/- 0.15</w:t>
            </w:r>
          </w:p>
        </w:tc>
        <w:tc>
          <w:tcPr>
            <w:tcW w:w="759" w:type="pct"/>
            <w:vAlign w:val="center"/>
          </w:tcPr>
          <w:p w14:paraId="305E2964" w14:textId="5F9199FC"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72"/>
                <w14:textFill>
                  <w14:solidFill>
                    <w14:srgbClr w14:val="000000">
                      <w14:alpha w14:val="100000"/>
                    </w14:srgbClr>
                  </w14:solidFill>
                </w14:textFill>
              </w:rPr>
              <w:t xml:space="preserve">　</w:t>
            </w:r>
            <w:r w:rsidR="00B94620" w:rsidRPr="00867C25">
              <w:rPr>
                <w:iCs/>
                <w:color w:val="000000"/>
                <w:w w:val="15"/>
                <w:shd w:val="solid" w:color="000000" w:fill="000000"/>
                <w:fitText w:val="18" w:id="-1171529472"/>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72"/>
                <w14:textFill>
                  <w14:solidFill>
                    <w14:srgbClr w14:val="000000">
                      <w14:alpha w14:val="100000"/>
                    </w14:srgbClr>
                  </w14:solidFill>
                </w14:textFill>
              </w:rPr>
              <w:t xml:space="preserve">　</w:t>
            </w:r>
          </w:p>
        </w:tc>
        <w:tc>
          <w:tcPr>
            <w:tcW w:w="760" w:type="pct"/>
            <w:vAlign w:val="center"/>
          </w:tcPr>
          <w:p w14:paraId="2766BF37" w14:textId="77777777" w:rsidR="00230CBC" w:rsidRPr="0059433B" w:rsidRDefault="00230CBC" w:rsidP="00C5774C">
            <w:pPr>
              <w:pStyle w:val="COMTabletext"/>
              <w:keepNext w:val="0"/>
              <w:jc w:val="center"/>
              <w:rPr>
                <w:iCs/>
              </w:rPr>
            </w:pPr>
            <w:r w:rsidRPr="0059433B">
              <w:rPr>
                <w:iCs/>
              </w:rPr>
              <w:t>4.650</w:t>
            </w:r>
          </w:p>
        </w:tc>
        <w:tc>
          <w:tcPr>
            <w:tcW w:w="761" w:type="pct"/>
            <w:vAlign w:val="center"/>
          </w:tcPr>
          <w:p w14:paraId="2BC26B50" w14:textId="4647FDD0"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71"/>
                <w14:textFill>
                  <w14:solidFill>
                    <w14:srgbClr w14:val="000000">
                      <w14:alpha w14:val="100000"/>
                    </w14:srgbClr>
                  </w14:solidFill>
                </w14:textFill>
              </w:rPr>
              <w:t xml:space="preserve">　</w:t>
            </w:r>
            <w:r w:rsidR="00B94620" w:rsidRPr="00B626A0">
              <w:rPr>
                <w:iCs/>
                <w:color w:val="000000"/>
                <w:w w:val="15"/>
                <w:shd w:val="solid" w:color="000000" w:fill="000000"/>
                <w:fitText w:val="46" w:id="-1171529471"/>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71"/>
                <w14:textFill>
                  <w14:solidFill>
                    <w14:srgbClr w14:val="000000">
                      <w14:alpha w14:val="100000"/>
                    </w14:srgbClr>
                  </w14:solidFill>
                </w14:textFill>
              </w:rPr>
              <w:t xml:space="preserve">　</w:t>
            </w:r>
            <w:r w:rsidR="007A69FB">
              <w:rPr>
                <w:iCs/>
                <w:vertAlign w:val="superscript"/>
              </w:rPr>
              <w:t>2</w:t>
            </w:r>
          </w:p>
        </w:tc>
        <w:tc>
          <w:tcPr>
            <w:tcW w:w="444" w:type="pct"/>
            <w:vAlign w:val="center"/>
          </w:tcPr>
          <w:p w14:paraId="5C9B96BB" w14:textId="77777777" w:rsidR="00230CBC" w:rsidRPr="0059433B" w:rsidRDefault="00230CBC" w:rsidP="00C5774C">
            <w:pPr>
              <w:pStyle w:val="COMTabletext"/>
              <w:keepNext w:val="0"/>
              <w:jc w:val="center"/>
              <w:rPr>
                <w:iCs/>
              </w:rPr>
            </w:pPr>
            <w:r w:rsidRPr="0059433B">
              <w:rPr>
                <w:iCs/>
              </w:rPr>
              <w:t>31%</w:t>
            </w:r>
          </w:p>
        </w:tc>
      </w:tr>
      <w:tr w:rsidR="00230CBC" w:rsidRPr="0059433B" w14:paraId="78E52215" w14:textId="77777777" w:rsidTr="00C5774C">
        <w:tc>
          <w:tcPr>
            <w:tcW w:w="2276" w:type="pct"/>
          </w:tcPr>
          <w:p w14:paraId="094ED7BC" w14:textId="77777777" w:rsidR="00230CBC" w:rsidRPr="0059433B" w:rsidRDefault="00230CBC" w:rsidP="00C5774C">
            <w:pPr>
              <w:pStyle w:val="COMTabletext"/>
              <w:keepNext w:val="0"/>
              <w:rPr>
                <w:iCs/>
              </w:rPr>
            </w:pPr>
            <w:r w:rsidRPr="0059433B">
              <w:rPr>
                <w:iCs/>
              </w:rPr>
              <w:t>Minimum and maximum based on average health state utility +/- 0.10</w:t>
            </w:r>
          </w:p>
        </w:tc>
        <w:tc>
          <w:tcPr>
            <w:tcW w:w="759" w:type="pct"/>
            <w:vAlign w:val="center"/>
          </w:tcPr>
          <w:p w14:paraId="30B6ECC3" w14:textId="69693B90"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70"/>
                <w14:textFill>
                  <w14:solidFill>
                    <w14:srgbClr w14:val="000000">
                      <w14:alpha w14:val="100000"/>
                    </w14:srgbClr>
                  </w14:solidFill>
                </w14:textFill>
              </w:rPr>
              <w:t xml:space="preserve">　</w:t>
            </w:r>
            <w:r w:rsidR="00B94620" w:rsidRPr="00867C25">
              <w:rPr>
                <w:iCs/>
                <w:color w:val="000000"/>
                <w:w w:val="15"/>
                <w:shd w:val="solid" w:color="000000" w:fill="000000"/>
                <w:fitText w:val="18" w:id="-1171529470"/>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70"/>
                <w14:textFill>
                  <w14:solidFill>
                    <w14:srgbClr w14:val="000000">
                      <w14:alpha w14:val="100000"/>
                    </w14:srgbClr>
                  </w14:solidFill>
                </w14:textFill>
              </w:rPr>
              <w:t xml:space="preserve">　</w:t>
            </w:r>
          </w:p>
        </w:tc>
        <w:tc>
          <w:tcPr>
            <w:tcW w:w="760" w:type="pct"/>
            <w:vAlign w:val="center"/>
          </w:tcPr>
          <w:p w14:paraId="74A5C7C8" w14:textId="77777777" w:rsidR="00230CBC" w:rsidRPr="0059433B" w:rsidRDefault="00230CBC" w:rsidP="00C5774C">
            <w:pPr>
              <w:pStyle w:val="COMTabletext"/>
              <w:keepNext w:val="0"/>
              <w:jc w:val="center"/>
              <w:rPr>
                <w:iCs/>
              </w:rPr>
            </w:pPr>
            <w:r w:rsidRPr="0059433B">
              <w:rPr>
                <w:iCs/>
              </w:rPr>
              <w:t>4.205</w:t>
            </w:r>
          </w:p>
        </w:tc>
        <w:tc>
          <w:tcPr>
            <w:tcW w:w="761" w:type="pct"/>
            <w:vAlign w:val="center"/>
          </w:tcPr>
          <w:p w14:paraId="16EE46C9" w14:textId="1308D213"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9"/>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9"/>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9"/>
                <w14:textFill>
                  <w14:solidFill>
                    <w14:srgbClr w14:val="000000">
                      <w14:alpha w14:val="100000"/>
                    </w14:srgbClr>
                  </w14:solidFill>
                </w14:textFill>
              </w:rPr>
              <w:t xml:space="preserve">　</w:t>
            </w:r>
            <w:r w:rsidR="007A69FB">
              <w:rPr>
                <w:iCs/>
                <w:vertAlign w:val="superscript"/>
              </w:rPr>
              <w:t>2</w:t>
            </w:r>
          </w:p>
        </w:tc>
        <w:tc>
          <w:tcPr>
            <w:tcW w:w="444" w:type="pct"/>
            <w:vAlign w:val="center"/>
          </w:tcPr>
          <w:p w14:paraId="4E1E3BB3" w14:textId="77777777" w:rsidR="00230CBC" w:rsidRPr="0059433B" w:rsidRDefault="00230CBC" w:rsidP="00C5774C">
            <w:pPr>
              <w:pStyle w:val="COMTabletext"/>
              <w:keepNext w:val="0"/>
              <w:jc w:val="center"/>
              <w:rPr>
                <w:iCs/>
              </w:rPr>
            </w:pPr>
            <w:r w:rsidRPr="0059433B">
              <w:rPr>
                <w:iCs/>
              </w:rPr>
              <w:t>45%</w:t>
            </w:r>
          </w:p>
        </w:tc>
      </w:tr>
      <w:tr w:rsidR="00230CBC" w:rsidRPr="0059433B" w14:paraId="7188451D" w14:textId="77777777" w:rsidTr="00C5774C">
        <w:tc>
          <w:tcPr>
            <w:tcW w:w="2276" w:type="pct"/>
          </w:tcPr>
          <w:p w14:paraId="09597A97" w14:textId="77777777" w:rsidR="00230CBC" w:rsidRPr="0059433B" w:rsidRDefault="00230CBC" w:rsidP="00C5774C">
            <w:pPr>
              <w:pStyle w:val="COMTabletext"/>
              <w:keepNext w:val="0"/>
              <w:rPr>
                <w:iCs/>
              </w:rPr>
            </w:pPr>
            <w:r w:rsidRPr="0059433B">
              <w:rPr>
                <w:iCs/>
              </w:rPr>
              <w:t>Minimum and maximum based on average health state utility +/- 0.05</w:t>
            </w:r>
          </w:p>
        </w:tc>
        <w:tc>
          <w:tcPr>
            <w:tcW w:w="759" w:type="pct"/>
            <w:vAlign w:val="center"/>
          </w:tcPr>
          <w:p w14:paraId="48C0A92E" w14:textId="061876AD"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8"/>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8"/>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8"/>
                <w14:textFill>
                  <w14:solidFill>
                    <w14:srgbClr w14:val="000000">
                      <w14:alpha w14:val="100000"/>
                    </w14:srgbClr>
                  </w14:solidFill>
                </w14:textFill>
              </w:rPr>
              <w:t xml:space="preserve">　</w:t>
            </w:r>
          </w:p>
        </w:tc>
        <w:tc>
          <w:tcPr>
            <w:tcW w:w="760" w:type="pct"/>
            <w:vAlign w:val="center"/>
          </w:tcPr>
          <w:p w14:paraId="222717A3" w14:textId="77777777" w:rsidR="00230CBC" w:rsidRPr="0059433B" w:rsidRDefault="00230CBC" w:rsidP="00C5774C">
            <w:pPr>
              <w:pStyle w:val="COMTabletext"/>
              <w:keepNext w:val="0"/>
              <w:jc w:val="center"/>
              <w:rPr>
                <w:iCs/>
              </w:rPr>
            </w:pPr>
            <w:r w:rsidRPr="0059433B">
              <w:rPr>
                <w:iCs/>
              </w:rPr>
              <w:t>3.665</w:t>
            </w:r>
          </w:p>
        </w:tc>
        <w:tc>
          <w:tcPr>
            <w:tcW w:w="761" w:type="pct"/>
            <w:vAlign w:val="center"/>
          </w:tcPr>
          <w:p w14:paraId="50C29E75" w14:textId="7834335A"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7"/>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7"/>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7"/>
                <w14:textFill>
                  <w14:solidFill>
                    <w14:srgbClr w14:val="000000">
                      <w14:alpha w14:val="100000"/>
                    </w14:srgbClr>
                  </w14:solidFill>
                </w14:textFill>
              </w:rPr>
              <w:t xml:space="preserve">　</w:t>
            </w:r>
            <w:r w:rsidR="009E7191">
              <w:rPr>
                <w:iCs/>
                <w:vertAlign w:val="superscript"/>
              </w:rPr>
              <w:t>4</w:t>
            </w:r>
          </w:p>
        </w:tc>
        <w:tc>
          <w:tcPr>
            <w:tcW w:w="444" w:type="pct"/>
            <w:vAlign w:val="center"/>
          </w:tcPr>
          <w:p w14:paraId="5545CAF7" w14:textId="77777777" w:rsidR="00230CBC" w:rsidRPr="0059433B" w:rsidRDefault="00230CBC" w:rsidP="00C5774C">
            <w:pPr>
              <w:pStyle w:val="COMTabletext"/>
              <w:keepNext w:val="0"/>
              <w:jc w:val="center"/>
              <w:rPr>
                <w:iCs/>
              </w:rPr>
            </w:pPr>
            <w:r w:rsidRPr="0059433B">
              <w:rPr>
                <w:iCs/>
              </w:rPr>
              <w:t>66%</w:t>
            </w:r>
          </w:p>
        </w:tc>
      </w:tr>
      <w:tr w:rsidR="00230CBC" w:rsidRPr="0059433B" w14:paraId="68A168EE" w14:textId="77777777" w:rsidTr="00C5774C">
        <w:tc>
          <w:tcPr>
            <w:tcW w:w="2276" w:type="pct"/>
          </w:tcPr>
          <w:p w14:paraId="13D04C25" w14:textId="77777777" w:rsidR="00230CBC" w:rsidRPr="0059433B" w:rsidRDefault="00230CBC" w:rsidP="00C5774C">
            <w:pPr>
              <w:pStyle w:val="COMTabletext"/>
              <w:keepNext w:val="0"/>
              <w:rPr>
                <w:iCs/>
              </w:rPr>
            </w:pPr>
            <w:bookmarkStart w:id="67" w:name="_Hlk135165829"/>
            <w:r w:rsidRPr="0059433B">
              <w:rPr>
                <w:iCs/>
              </w:rPr>
              <w:t xml:space="preserve">Limit utilities to </w:t>
            </w:r>
            <w:proofErr w:type="gramStart"/>
            <w:r w:rsidRPr="0059433B">
              <w:rPr>
                <w:iCs/>
              </w:rPr>
              <w:t>0</w:t>
            </w:r>
            <w:proofErr w:type="gramEnd"/>
            <w:r w:rsidRPr="0059433B">
              <w:rPr>
                <w:iCs/>
              </w:rPr>
              <w:t xml:space="preserve"> for each PND health state (i.e., no negative utilities for PND health states)</w:t>
            </w:r>
          </w:p>
        </w:tc>
        <w:tc>
          <w:tcPr>
            <w:tcW w:w="759" w:type="pct"/>
            <w:vAlign w:val="center"/>
          </w:tcPr>
          <w:p w14:paraId="3905DC6B" w14:textId="21F94E8E"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6"/>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6"/>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6"/>
                <w14:textFill>
                  <w14:solidFill>
                    <w14:srgbClr w14:val="000000">
                      <w14:alpha w14:val="100000"/>
                    </w14:srgbClr>
                  </w14:solidFill>
                </w14:textFill>
              </w:rPr>
              <w:t xml:space="preserve">　</w:t>
            </w:r>
          </w:p>
        </w:tc>
        <w:tc>
          <w:tcPr>
            <w:tcW w:w="760" w:type="pct"/>
            <w:vAlign w:val="center"/>
          </w:tcPr>
          <w:p w14:paraId="30E5B875" w14:textId="77777777" w:rsidR="00230CBC" w:rsidRPr="0059433B" w:rsidRDefault="00230CBC" w:rsidP="00C5774C">
            <w:pPr>
              <w:pStyle w:val="COMTabletext"/>
              <w:keepNext w:val="0"/>
              <w:jc w:val="center"/>
              <w:rPr>
                <w:iCs/>
              </w:rPr>
            </w:pPr>
            <w:r w:rsidRPr="0059433B">
              <w:rPr>
                <w:iCs/>
              </w:rPr>
              <w:t>4.712</w:t>
            </w:r>
          </w:p>
        </w:tc>
        <w:tc>
          <w:tcPr>
            <w:tcW w:w="761" w:type="pct"/>
            <w:vAlign w:val="center"/>
          </w:tcPr>
          <w:p w14:paraId="77E23432" w14:textId="6C16C849"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5"/>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5"/>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5"/>
                <w14:textFill>
                  <w14:solidFill>
                    <w14:srgbClr w14:val="000000">
                      <w14:alpha w14:val="100000"/>
                    </w14:srgbClr>
                  </w14:solidFill>
                </w14:textFill>
              </w:rPr>
              <w:t xml:space="preserve">　</w:t>
            </w:r>
            <w:r w:rsidR="009E7191">
              <w:rPr>
                <w:iCs/>
                <w:vertAlign w:val="superscript"/>
              </w:rPr>
              <w:t>2</w:t>
            </w:r>
          </w:p>
        </w:tc>
        <w:tc>
          <w:tcPr>
            <w:tcW w:w="444" w:type="pct"/>
            <w:vAlign w:val="center"/>
          </w:tcPr>
          <w:p w14:paraId="3BF95E3F" w14:textId="77777777" w:rsidR="00230CBC" w:rsidRPr="0059433B" w:rsidRDefault="00230CBC" w:rsidP="00C5774C">
            <w:pPr>
              <w:pStyle w:val="COMTabletext"/>
              <w:keepNext w:val="0"/>
              <w:jc w:val="center"/>
              <w:rPr>
                <w:iCs/>
              </w:rPr>
            </w:pPr>
            <w:r w:rsidRPr="0059433B">
              <w:rPr>
                <w:iCs/>
              </w:rPr>
              <w:t>29%</w:t>
            </w:r>
          </w:p>
        </w:tc>
      </w:tr>
      <w:tr w:rsidR="00230CBC" w:rsidRPr="0059433B" w14:paraId="57621A58" w14:textId="77777777" w:rsidTr="00C5774C">
        <w:tc>
          <w:tcPr>
            <w:tcW w:w="2276" w:type="pct"/>
          </w:tcPr>
          <w:p w14:paraId="13436EB2" w14:textId="77777777" w:rsidR="00230CBC" w:rsidRPr="0059433B" w:rsidRDefault="00230CBC" w:rsidP="00C5774C">
            <w:pPr>
              <w:pStyle w:val="COMTabletext"/>
              <w:keepNext w:val="0"/>
              <w:rPr>
                <w:iCs/>
              </w:rPr>
            </w:pPr>
            <w:r w:rsidRPr="0059433B">
              <w:rPr>
                <w:iCs/>
              </w:rPr>
              <w:t>Limit utilities to 0 (i.e., no negative utilities after disutilities applied)</w:t>
            </w:r>
          </w:p>
        </w:tc>
        <w:tc>
          <w:tcPr>
            <w:tcW w:w="759" w:type="pct"/>
            <w:vAlign w:val="center"/>
          </w:tcPr>
          <w:p w14:paraId="1CFA5C49" w14:textId="1AE07417"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4"/>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4"/>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4"/>
                <w14:textFill>
                  <w14:solidFill>
                    <w14:srgbClr w14:val="000000">
                      <w14:alpha w14:val="100000"/>
                    </w14:srgbClr>
                  </w14:solidFill>
                </w14:textFill>
              </w:rPr>
              <w:t xml:space="preserve">　</w:t>
            </w:r>
          </w:p>
        </w:tc>
        <w:tc>
          <w:tcPr>
            <w:tcW w:w="760" w:type="pct"/>
            <w:vAlign w:val="center"/>
          </w:tcPr>
          <w:p w14:paraId="4BB32A25" w14:textId="77777777" w:rsidR="00230CBC" w:rsidRPr="0059433B" w:rsidRDefault="00230CBC" w:rsidP="00C5774C">
            <w:pPr>
              <w:pStyle w:val="COMTabletext"/>
              <w:keepNext w:val="0"/>
              <w:jc w:val="center"/>
              <w:rPr>
                <w:iCs/>
              </w:rPr>
            </w:pPr>
            <w:r w:rsidRPr="0059433B">
              <w:rPr>
                <w:iCs/>
              </w:rPr>
              <w:t>3.857</w:t>
            </w:r>
          </w:p>
        </w:tc>
        <w:tc>
          <w:tcPr>
            <w:tcW w:w="761" w:type="pct"/>
            <w:vAlign w:val="center"/>
          </w:tcPr>
          <w:p w14:paraId="3364AE2D" w14:textId="079E4BD1"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63"/>
                <w14:textFill>
                  <w14:solidFill>
                    <w14:srgbClr w14:val="000000">
                      <w14:alpha w14:val="100000"/>
                    </w14:srgbClr>
                  </w14:solidFill>
                </w14:textFill>
              </w:rPr>
              <w:t xml:space="preserve">　</w:t>
            </w:r>
            <w:r w:rsidR="00B94620" w:rsidRPr="00B626A0">
              <w:rPr>
                <w:iCs/>
                <w:color w:val="000000"/>
                <w:w w:val="15"/>
                <w:shd w:val="solid" w:color="000000" w:fill="000000"/>
                <w:fitText w:val="46" w:id="-1171529463"/>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63"/>
                <w14:textFill>
                  <w14:solidFill>
                    <w14:srgbClr w14:val="000000">
                      <w14:alpha w14:val="100000"/>
                    </w14:srgbClr>
                  </w14:solidFill>
                </w14:textFill>
              </w:rPr>
              <w:t xml:space="preserve">　</w:t>
            </w:r>
            <w:r w:rsidR="009E7191">
              <w:rPr>
                <w:iCs/>
                <w:vertAlign w:val="superscript"/>
              </w:rPr>
              <w:t>4</w:t>
            </w:r>
          </w:p>
        </w:tc>
        <w:tc>
          <w:tcPr>
            <w:tcW w:w="444" w:type="pct"/>
            <w:vAlign w:val="center"/>
          </w:tcPr>
          <w:p w14:paraId="387ABAEE" w14:textId="77777777" w:rsidR="00230CBC" w:rsidRPr="0059433B" w:rsidRDefault="00230CBC" w:rsidP="00C5774C">
            <w:pPr>
              <w:pStyle w:val="COMTabletext"/>
              <w:keepNext w:val="0"/>
              <w:jc w:val="center"/>
              <w:rPr>
                <w:iCs/>
              </w:rPr>
            </w:pPr>
            <w:r w:rsidRPr="0059433B">
              <w:rPr>
                <w:iCs/>
              </w:rPr>
              <w:t>58%</w:t>
            </w:r>
          </w:p>
        </w:tc>
      </w:tr>
      <w:bookmarkEnd w:id="67"/>
      <w:tr w:rsidR="00230CBC" w:rsidRPr="0059433B" w14:paraId="5C13BE0D" w14:textId="77777777" w:rsidTr="00C5774C">
        <w:tc>
          <w:tcPr>
            <w:tcW w:w="4556" w:type="pct"/>
            <w:gridSpan w:val="4"/>
            <w:vAlign w:val="center"/>
          </w:tcPr>
          <w:p w14:paraId="699992A9" w14:textId="77777777" w:rsidR="00230CBC" w:rsidRPr="0059433B" w:rsidRDefault="00230CBC" w:rsidP="00C5774C">
            <w:pPr>
              <w:pStyle w:val="COMTabletext"/>
              <w:keepNext w:val="0"/>
            </w:pPr>
            <w:r w:rsidRPr="0059433B">
              <w:rPr>
                <w:b/>
                <w:bCs w:val="0"/>
              </w:rPr>
              <w:t>Carer disutilities (base case: not included)</w:t>
            </w:r>
          </w:p>
        </w:tc>
        <w:tc>
          <w:tcPr>
            <w:tcW w:w="444" w:type="pct"/>
            <w:vAlign w:val="center"/>
          </w:tcPr>
          <w:p w14:paraId="439C3E6D" w14:textId="77777777" w:rsidR="00230CBC" w:rsidRPr="0059433B" w:rsidRDefault="00230CBC" w:rsidP="00C5774C">
            <w:pPr>
              <w:pStyle w:val="COMTabletext"/>
              <w:keepNext w:val="0"/>
              <w:jc w:val="center"/>
              <w:rPr>
                <w:b/>
                <w:bCs w:val="0"/>
              </w:rPr>
            </w:pPr>
          </w:p>
        </w:tc>
      </w:tr>
      <w:tr w:rsidR="00230CBC" w:rsidRPr="0059433B" w14:paraId="7AAD11F1" w14:textId="77777777" w:rsidTr="00C5774C">
        <w:tc>
          <w:tcPr>
            <w:tcW w:w="2276" w:type="pct"/>
          </w:tcPr>
          <w:p w14:paraId="7C6EEC7C" w14:textId="77777777" w:rsidR="00230CBC" w:rsidRPr="0059433B" w:rsidRDefault="00230CBC" w:rsidP="00C5774C">
            <w:pPr>
              <w:pStyle w:val="COMTabletext"/>
              <w:keepNext w:val="0"/>
            </w:pPr>
            <w:r w:rsidRPr="0059433B">
              <w:lastRenderedPageBreak/>
              <w:t>Included (PND I: -0.003; PND II, IIIA, IIIB: -0.028; PND IV: -0.250)</w:t>
            </w:r>
          </w:p>
        </w:tc>
        <w:tc>
          <w:tcPr>
            <w:tcW w:w="759" w:type="pct"/>
            <w:vAlign w:val="center"/>
          </w:tcPr>
          <w:p w14:paraId="4673433D" w14:textId="57D5768B" w:rsidR="00230CBC" w:rsidRPr="0059433B" w:rsidRDefault="00230CBC" w:rsidP="00C5774C">
            <w:pPr>
              <w:pStyle w:val="COMTabletext"/>
              <w:keepNext w:val="0"/>
              <w:jc w:val="center"/>
            </w:pPr>
            <w:r w:rsidRPr="0059433B">
              <w:t>$</w:t>
            </w:r>
            <w:r w:rsidR="00B94620" w:rsidRPr="00867C25">
              <w:rPr>
                <w:rFonts w:ascii="MS Mincho" w:eastAsia="MS Mincho" w:hAnsi="MS Mincho" w:cs="MS Mincho" w:hint="eastAsia"/>
                <w:color w:val="000000"/>
                <w:w w:val="15"/>
                <w:shd w:val="solid" w:color="000000" w:fill="000000"/>
                <w:fitText w:val="18" w:id="-1171529462"/>
                <w14:textFill>
                  <w14:solidFill>
                    <w14:srgbClr w14:val="000000">
                      <w14:alpha w14:val="100000"/>
                    </w14:srgbClr>
                  </w14:solidFill>
                </w14:textFill>
              </w:rPr>
              <w:t xml:space="preserve">　</w:t>
            </w:r>
            <w:r w:rsidR="00B94620" w:rsidRPr="00867C25">
              <w:rPr>
                <w:color w:val="000000"/>
                <w:w w:val="15"/>
                <w:shd w:val="solid" w:color="000000" w:fill="000000"/>
                <w:fitText w:val="18" w:id="-1171529462"/>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62"/>
                <w14:textFill>
                  <w14:solidFill>
                    <w14:srgbClr w14:val="000000">
                      <w14:alpha w14:val="100000"/>
                    </w14:srgbClr>
                  </w14:solidFill>
                </w14:textFill>
              </w:rPr>
              <w:t xml:space="preserve">　</w:t>
            </w:r>
          </w:p>
        </w:tc>
        <w:tc>
          <w:tcPr>
            <w:tcW w:w="760" w:type="pct"/>
            <w:vAlign w:val="center"/>
          </w:tcPr>
          <w:p w14:paraId="4EE74E1B" w14:textId="77777777" w:rsidR="00230CBC" w:rsidRPr="0059433B" w:rsidRDefault="00230CBC" w:rsidP="00C5774C">
            <w:pPr>
              <w:pStyle w:val="COMTabletext"/>
              <w:keepNext w:val="0"/>
              <w:jc w:val="center"/>
            </w:pPr>
            <w:r w:rsidRPr="0059433B">
              <w:t>6.639</w:t>
            </w:r>
          </w:p>
        </w:tc>
        <w:tc>
          <w:tcPr>
            <w:tcW w:w="761" w:type="pct"/>
            <w:vAlign w:val="center"/>
          </w:tcPr>
          <w:p w14:paraId="1AAC3E93" w14:textId="455B1241" w:rsidR="00230CBC" w:rsidRPr="003F0BF2" w:rsidRDefault="00230CBC" w:rsidP="00C5774C">
            <w:pPr>
              <w:pStyle w:val="COMTabletext"/>
              <w:keepNext w:val="0"/>
              <w:jc w:val="center"/>
              <w:rPr>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61"/>
                <w14:textFill>
                  <w14:solidFill>
                    <w14:srgbClr w14:val="000000">
                      <w14:alpha w14:val="100000"/>
                    </w14:srgbClr>
                  </w14:solidFill>
                </w14:textFill>
              </w:rPr>
              <w:t xml:space="preserve">　</w:t>
            </w:r>
            <w:r w:rsidR="00B94620" w:rsidRPr="00B626A0">
              <w:rPr>
                <w:color w:val="000000"/>
                <w:w w:val="15"/>
                <w:shd w:val="solid" w:color="000000" w:fill="000000"/>
                <w:fitText w:val="46" w:id="-1171529461"/>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61"/>
                <w14:textFill>
                  <w14:solidFill>
                    <w14:srgbClr w14:val="000000">
                      <w14:alpha w14:val="100000"/>
                    </w14:srgbClr>
                  </w14:solidFill>
                </w14:textFill>
              </w:rPr>
              <w:t xml:space="preserve">　</w:t>
            </w:r>
            <w:r w:rsidR="009E7191">
              <w:rPr>
                <w:vertAlign w:val="superscript"/>
              </w:rPr>
              <w:t>1</w:t>
            </w:r>
          </w:p>
        </w:tc>
        <w:tc>
          <w:tcPr>
            <w:tcW w:w="444" w:type="pct"/>
            <w:vAlign w:val="center"/>
          </w:tcPr>
          <w:p w14:paraId="5CE93BEE" w14:textId="77777777" w:rsidR="00230CBC" w:rsidRPr="0059433B" w:rsidRDefault="00230CBC" w:rsidP="00C5774C">
            <w:pPr>
              <w:pStyle w:val="COMTabletext"/>
              <w:keepNext w:val="0"/>
              <w:jc w:val="center"/>
            </w:pPr>
            <w:r w:rsidRPr="0059433B">
              <w:t>-8%</w:t>
            </w:r>
          </w:p>
        </w:tc>
      </w:tr>
      <w:tr w:rsidR="00230CBC" w:rsidRPr="0059433B" w14:paraId="0D319AB1" w14:textId="77777777" w:rsidTr="00C5774C">
        <w:tc>
          <w:tcPr>
            <w:tcW w:w="5000" w:type="pct"/>
            <w:gridSpan w:val="5"/>
            <w:vAlign w:val="center"/>
          </w:tcPr>
          <w:p w14:paraId="5C964DC0" w14:textId="77777777" w:rsidR="00230CBC" w:rsidRPr="0059433B" w:rsidRDefault="00230CBC" w:rsidP="00C5774C">
            <w:pPr>
              <w:pStyle w:val="COMTabletext"/>
              <w:keepNext w:val="0"/>
              <w:rPr>
                <w:b/>
                <w:bCs w:val="0"/>
              </w:rPr>
            </w:pPr>
            <w:r w:rsidRPr="0059433B">
              <w:rPr>
                <w:b/>
                <w:bCs w:val="0"/>
              </w:rPr>
              <w:t>Autonomic dysfunction disutility (base case: PND II: -0.0727; PND IIIA, IIIB, IV:</w:t>
            </w:r>
            <w:r w:rsidRPr="0059433B">
              <w:t xml:space="preserve"> </w:t>
            </w:r>
            <w:r w:rsidRPr="0059433B">
              <w:rPr>
                <w:b/>
                <w:bCs w:val="0"/>
              </w:rPr>
              <w:t>-0.1243)</w:t>
            </w:r>
          </w:p>
        </w:tc>
      </w:tr>
      <w:tr w:rsidR="00230CBC" w:rsidRPr="0059433B" w14:paraId="525DA351" w14:textId="77777777" w:rsidTr="00C5774C">
        <w:tc>
          <w:tcPr>
            <w:tcW w:w="2276" w:type="pct"/>
          </w:tcPr>
          <w:p w14:paraId="430826E8" w14:textId="77777777" w:rsidR="00230CBC" w:rsidRPr="0059433B" w:rsidRDefault="00230CBC" w:rsidP="00C5774C">
            <w:pPr>
              <w:pStyle w:val="COMTabletext"/>
              <w:keepNext w:val="0"/>
              <w:rPr>
                <w:iCs/>
              </w:rPr>
            </w:pPr>
            <w:r w:rsidRPr="0059433B">
              <w:rPr>
                <w:iCs/>
              </w:rPr>
              <w:t>Removed</w:t>
            </w:r>
          </w:p>
        </w:tc>
        <w:tc>
          <w:tcPr>
            <w:tcW w:w="759" w:type="pct"/>
            <w:vAlign w:val="center"/>
          </w:tcPr>
          <w:p w14:paraId="2AC96B5F" w14:textId="56CDAF4A" w:rsidR="00230CBC" w:rsidRPr="0059433B" w:rsidRDefault="00230CBC" w:rsidP="00C5774C">
            <w:pPr>
              <w:pStyle w:val="COMTabletext"/>
              <w:keepNext w:val="0"/>
              <w:jc w:val="center"/>
              <w:rPr>
                <w:iCs/>
              </w:rPr>
            </w:pPr>
            <w:r w:rsidRPr="0059433B">
              <w:rPr>
                <w:iCs/>
              </w:rPr>
              <w:t>$</w:t>
            </w:r>
            <w:r w:rsidR="00B94620" w:rsidRPr="00867C25">
              <w:rPr>
                <w:rFonts w:ascii="MS Mincho" w:eastAsia="MS Mincho" w:hAnsi="MS Mincho" w:cs="MS Mincho" w:hint="eastAsia"/>
                <w:iCs/>
                <w:color w:val="000000"/>
                <w:w w:val="15"/>
                <w:shd w:val="solid" w:color="000000" w:fill="000000"/>
                <w:fitText w:val="18" w:id="-1171529460"/>
                <w14:textFill>
                  <w14:solidFill>
                    <w14:srgbClr w14:val="000000">
                      <w14:alpha w14:val="100000"/>
                    </w14:srgbClr>
                  </w14:solidFill>
                </w14:textFill>
              </w:rPr>
              <w:t xml:space="preserve">　</w:t>
            </w:r>
            <w:r w:rsidR="00B94620" w:rsidRPr="00867C25">
              <w:rPr>
                <w:iCs/>
                <w:color w:val="000000"/>
                <w:w w:val="15"/>
                <w:shd w:val="solid" w:color="000000" w:fill="000000"/>
                <w:fitText w:val="18" w:id="-1171529460"/>
                <w14:textFill>
                  <w14:solidFill>
                    <w14:srgbClr w14:val="000000">
                      <w14:alpha w14:val="100000"/>
                    </w14:srgbClr>
                  </w14:solidFill>
                </w14:textFill>
              </w:rPr>
              <w:t>|</w:t>
            </w:r>
            <w:r w:rsidR="00B94620" w:rsidRPr="00867C25">
              <w:rPr>
                <w:rFonts w:ascii="MS Mincho" w:eastAsia="MS Mincho" w:hAnsi="MS Mincho" w:cs="MS Mincho" w:hint="eastAsia"/>
                <w:iCs/>
                <w:color w:val="000000"/>
                <w:spacing w:val="-48"/>
                <w:w w:val="15"/>
                <w:shd w:val="solid" w:color="000000" w:fill="000000"/>
                <w:fitText w:val="18" w:id="-1171529460"/>
                <w14:textFill>
                  <w14:solidFill>
                    <w14:srgbClr w14:val="000000">
                      <w14:alpha w14:val="100000"/>
                    </w14:srgbClr>
                  </w14:solidFill>
                </w14:textFill>
              </w:rPr>
              <w:t xml:space="preserve">　</w:t>
            </w:r>
          </w:p>
        </w:tc>
        <w:tc>
          <w:tcPr>
            <w:tcW w:w="760" w:type="pct"/>
            <w:vAlign w:val="center"/>
          </w:tcPr>
          <w:p w14:paraId="0C28F43B" w14:textId="77777777" w:rsidR="00230CBC" w:rsidRPr="0059433B" w:rsidRDefault="00230CBC" w:rsidP="00C5774C">
            <w:pPr>
              <w:pStyle w:val="COMTabletext"/>
              <w:keepNext w:val="0"/>
              <w:jc w:val="center"/>
              <w:rPr>
                <w:iCs/>
              </w:rPr>
            </w:pPr>
            <w:r w:rsidRPr="0059433B">
              <w:rPr>
                <w:iCs/>
              </w:rPr>
              <w:t>5.163</w:t>
            </w:r>
          </w:p>
        </w:tc>
        <w:tc>
          <w:tcPr>
            <w:tcW w:w="761" w:type="pct"/>
            <w:vAlign w:val="center"/>
          </w:tcPr>
          <w:p w14:paraId="1A2E314F" w14:textId="46CDEBD2" w:rsidR="00230CBC" w:rsidRPr="003F0BF2" w:rsidRDefault="00230CBC" w:rsidP="00C5774C">
            <w:pPr>
              <w:pStyle w:val="COMTabletext"/>
              <w:keepNext w:val="0"/>
              <w:jc w:val="center"/>
              <w:rPr>
                <w:iCs/>
                <w:vertAlign w:val="superscript"/>
              </w:rPr>
            </w:pPr>
            <w:r w:rsidRPr="0059433B">
              <w:rPr>
                <w:iCs/>
              </w:rPr>
              <w:t>$</w:t>
            </w:r>
            <w:r w:rsidR="00B94620" w:rsidRPr="00B626A0">
              <w:rPr>
                <w:rFonts w:ascii="MS Mincho" w:eastAsia="MS Mincho" w:hAnsi="MS Mincho" w:cs="MS Mincho" w:hint="eastAsia"/>
                <w:iCs/>
                <w:color w:val="000000"/>
                <w:w w:val="15"/>
                <w:shd w:val="solid" w:color="000000" w:fill="000000"/>
                <w:fitText w:val="46" w:id="-1171529459"/>
                <w14:textFill>
                  <w14:solidFill>
                    <w14:srgbClr w14:val="000000">
                      <w14:alpha w14:val="100000"/>
                    </w14:srgbClr>
                  </w14:solidFill>
                </w14:textFill>
              </w:rPr>
              <w:t xml:space="preserve">　</w:t>
            </w:r>
            <w:r w:rsidR="00B94620" w:rsidRPr="00B626A0">
              <w:rPr>
                <w:iCs/>
                <w:color w:val="000000"/>
                <w:w w:val="15"/>
                <w:shd w:val="solid" w:color="000000" w:fill="000000"/>
                <w:fitText w:val="46" w:id="-1171529459"/>
                <w14:textFill>
                  <w14:solidFill>
                    <w14:srgbClr w14:val="000000">
                      <w14:alpha w14:val="100000"/>
                    </w14:srgbClr>
                  </w14:solidFill>
                </w14:textFill>
              </w:rPr>
              <w:t>|</w:t>
            </w:r>
            <w:r w:rsidR="00B94620" w:rsidRPr="00B626A0">
              <w:rPr>
                <w:rFonts w:ascii="MS Mincho" w:eastAsia="MS Mincho" w:hAnsi="MS Mincho" w:cs="MS Mincho" w:hint="eastAsia"/>
                <w:iCs/>
                <w:color w:val="000000"/>
                <w:spacing w:val="-19"/>
                <w:w w:val="15"/>
                <w:shd w:val="solid" w:color="000000" w:fill="000000"/>
                <w:fitText w:val="46" w:id="-1171529459"/>
                <w14:textFill>
                  <w14:solidFill>
                    <w14:srgbClr w14:val="000000">
                      <w14:alpha w14:val="100000"/>
                    </w14:srgbClr>
                  </w14:solidFill>
                </w14:textFill>
              </w:rPr>
              <w:t xml:space="preserve">　</w:t>
            </w:r>
            <w:r w:rsidR="009E7191">
              <w:rPr>
                <w:iCs/>
                <w:vertAlign w:val="superscript"/>
              </w:rPr>
              <w:t>1</w:t>
            </w:r>
          </w:p>
        </w:tc>
        <w:tc>
          <w:tcPr>
            <w:tcW w:w="444" w:type="pct"/>
            <w:vAlign w:val="center"/>
          </w:tcPr>
          <w:p w14:paraId="79266E2D" w14:textId="77777777" w:rsidR="00230CBC" w:rsidRPr="0059433B" w:rsidRDefault="00230CBC" w:rsidP="00C5774C">
            <w:pPr>
              <w:pStyle w:val="COMTabletext"/>
              <w:keepNext w:val="0"/>
              <w:jc w:val="center"/>
              <w:rPr>
                <w:iCs/>
              </w:rPr>
            </w:pPr>
            <w:r w:rsidRPr="0059433B">
              <w:rPr>
                <w:iCs/>
              </w:rPr>
              <w:t>18%</w:t>
            </w:r>
          </w:p>
        </w:tc>
      </w:tr>
      <w:tr w:rsidR="00230CBC" w:rsidRPr="0059433B" w14:paraId="12A6259A" w14:textId="77777777" w:rsidTr="00C5774C">
        <w:tc>
          <w:tcPr>
            <w:tcW w:w="5000" w:type="pct"/>
            <w:gridSpan w:val="5"/>
            <w:vAlign w:val="center"/>
          </w:tcPr>
          <w:p w14:paraId="6D4F34B6" w14:textId="77777777" w:rsidR="00230CBC" w:rsidRPr="0059433B" w:rsidRDefault="00230CBC" w:rsidP="00C5774C">
            <w:pPr>
              <w:pStyle w:val="COMTabletext"/>
              <w:keepNext w:val="0"/>
              <w:rPr>
                <w:b/>
                <w:bCs w:val="0"/>
              </w:rPr>
            </w:pPr>
            <w:r w:rsidRPr="0059433B">
              <w:rPr>
                <w:b/>
                <w:bCs w:val="0"/>
              </w:rPr>
              <w:t>Patisiran treatment in PND IV (base case: treatment discontinued in PND IV)</w:t>
            </w:r>
          </w:p>
        </w:tc>
      </w:tr>
      <w:tr w:rsidR="00230CBC" w:rsidRPr="0059433B" w14:paraId="0AEE8087" w14:textId="77777777" w:rsidTr="00C5774C">
        <w:tc>
          <w:tcPr>
            <w:tcW w:w="2276" w:type="pct"/>
          </w:tcPr>
          <w:p w14:paraId="0AFD459D" w14:textId="77777777" w:rsidR="00230CBC" w:rsidRPr="0059433B" w:rsidRDefault="00230CBC" w:rsidP="00C5774C">
            <w:pPr>
              <w:pStyle w:val="COMTabletext"/>
              <w:keepNext w:val="0"/>
            </w:pPr>
            <w:r w:rsidRPr="0059433B">
              <w:t>Treatment continued in PND IV</w:t>
            </w:r>
          </w:p>
        </w:tc>
        <w:tc>
          <w:tcPr>
            <w:tcW w:w="759" w:type="pct"/>
            <w:vAlign w:val="center"/>
          </w:tcPr>
          <w:p w14:paraId="31644225" w14:textId="5C02F0E9" w:rsidR="00230CBC" w:rsidRPr="0059433B" w:rsidRDefault="00230CBC" w:rsidP="00C5774C">
            <w:pPr>
              <w:pStyle w:val="COMTabletext"/>
              <w:keepNext w:val="0"/>
              <w:jc w:val="center"/>
              <w:rPr>
                <w:iCs/>
              </w:rPr>
            </w:pPr>
            <w:r w:rsidRPr="0059433B">
              <w:t>$</w:t>
            </w:r>
            <w:r w:rsidR="00B94620" w:rsidRPr="00867C25">
              <w:rPr>
                <w:rFonts w:ascii="MS Mincho" w:eastAsia="MS Mincho" w:hAnsi="MS Mincho" w:cs="MS Mincho" w:hint="eastAsia"/>
                <w:color w:val="000000"/>
                <w:w w:val="15"/>
                <w:shd w:val="solid" w:color="000000" w:fill="000000"/>
                <w:fitText w:val="18" w:id="-1171529458"/>
                <w14:textFill>
                  <w14:solidFill>
                    <w14:srgbClr w14:val="000000">
                      <w14:alpha w14:val="100000"/>
                    </w14:srgbClr>
                  </w14:solidFill>
                </w14:textFill>
              </w:rPr>
              <w:t xml:space="preserve">　</w:t>
            </w:r>
            <w:r w:rsidR="00B94620" w:rsidRPr="00867C25">
              <w:rPr>
                <w:color w:val="000000"/>
                <w:w w:val="15"/>
                <w:shd w:val="solid" w:color="000000" w:fill="000000"/>
                <w:fitText w:val="18" w:id="-1171529458"/>
                <w14:textFill>
                  <w14:solidFill>
                    <w14:srgbClr w14:val="000000">
                      <w14:alpha w14:val="100000"/>
                    </w14:srgbClr>
                  </w14:solidFill>
                </w14:textFill>
              </w:rPr>
              <w:t>|</w:t>
            </w:r>
            <w:r w:rsidR="00B94620" w:rsidRPr="00867C25">
              <w:rPr>
                <w:rFonts w:ascii="MS Mincho" w:eastAsia="MS Mincho" w:hAnsi="MS Mincho" w:cs="MS Mincho" w:hint="eastAsia"/>
                <w:color w:val="000000"/>
                <w:spacing w:val="-48"/>
                <w:w w:val="15"/>
                <w:shd w:val="solid" w:color="000000" w:fill="000000"/>
                <w:fitText w:val="18" w:id="-1171529458"/>
                <w14:textFill>
                  <w14:solidFill>
                    <w14:srgbClr w14:val="000000">
                      <w14:alpha w14:val="100000"/>
                    </w14:srgbClr>
                  </w14:solidFill>
                </w14:textFill>
              </w:rPr>
              <w:t xml:space="preserve">　</w:t>
            </w:r>
          </w:p>
        </w:tc>
        <w:tc>
          <w:tcPr>
            <w:tcW w:w="760" w:type="pct"/>
            <w:vAlign w:val="center"/>
          </w:tcPr>
          <w:p w14:paraId="6E4A626D" w14:textId="77777777" w:rsidR="00230CBC" w:rsidRPr="0059433B" w:rsidRDefault="00230CBC" w:rsidP="00C5774C">
            <w:pPr>
              <w:pStyle w:val="COMTabletext"/>
              <w:keepNext w:val="0"/>
              <w:jc w:val="center"/>
              <w:rPr>
                <w:iCs/>
              </w:rPr>
            </w:pPr>
            <w:r w:rsidRPr="0059433B">
              <w:t>6.601</w:t>
            </w:r>
          </w:p>
        </w:tc>
        <w:tc>
          <w:tcPr>
            <w:tcW w:w="761" w:type="pct"/>
            <w:vAlign w:val="center"/>
          </w:tcPr>
          <w:p w14:paraId="36AED966" w14:textId="79DB43F4" w:rsidR="00230CBC" w:rsidRPr="003F0BF2" w:rsidRDefault="00230CBC" w:rsidP="00C5774C">
            <w:pPr>
              <w:pStyle w:val="COMTabletext"/>
              <w:keepNext w:val="0"/>
              <w:jc w:val="center"/>
              <w:rPr>
                <w:iCs/>
                <w:vertAlign w:val="superscript"/>
              </w:rPr>
            </w:pPr>
            <w:r w:rsidRPr="0059433B">
              <w:t>$</w:t>
            </w:r>
            <w:r w:rsidR="00B94620" w:rsidRPr="00B626A0">
              <w:rPr>
                <w:rFonts w:ascii="MS Mincho" w:eastAsia="MS Mincho" w:hAnsi="MS Mincho" w:cs="MS Mincho" w:hint="eastAsia"/>
                <w:color w:val="000000"/>
                <w:w w:val="15"/>
                <w:shd w:val="solid" w:color="000000" w:fill="000000"/>
                <w:fitText w:val="46" w:id="-1171529457"/>
                <w14:textFill>
                  <w14:solidFill>
                    <w14:srgbClr w14:val="000000">
                      <w14:alpha w14:val="100000"/>
                    </w14:srgbClr>
                  </w14:solidFill>
                </w14:textFill>
              </w:rPr>
              <w:t xml:space="preserve">　</w:t>
            </w:r>
            <w:r w:rsidR="00B94620" w:rsidRPr="00B626A0">
              <w:rPr>
                <w:color w:val="000000"/>
                <w:w w:val="15"/>
                <w:shd w:val="solid" w:color="000000" w:fill="000000"/>
                <w:fitText w:val="46" w:id="-1171529457"/>
                <w14:textFill>
                  <w14:solidFill>
                    <w14:srgbClr w14:val="000000">
                      <w14:alpha w14:val="100000"/>
                    </w14:srgbClr>
                  </w14:solidFill>
                </w14:textFill>
              </w:rPr>
              <w:t>|</w:t>
            </w:r>
            <w:r w:rsidR="00B94620" w:rsidRPr="00B626A0">
              <w:rPr>
                <w:rFonts w:ascii="MS Mincho" w:eastAsia="MS Mincho" w:hAnsi="MS Mincho" w:cs="MS Mincho" w:hint="eastAsia"/>
                <w:color w:val="000000"/>
                <w:spacing w:val="-19"/>
                <w:w w:val="15"/>
                <w:shd w:val="solid" w:color="000000" w:fill="000000"/>
                <w:fitText w:val="46" w:id="-1171529457"/>
                <w14:textFill>
                  <w14:solidFill>
                    <w14:srgbClr w14:val="000000">
                      <w14:alpha w14:val="100000"/>
                    </w14:srgbClr>
                  </w14:solidFill>
                </w14:textFill>
              </w:rPr>
              <w:t xml:space="preserve">　</w:t>
            </w:r>
            <w:r w:rsidR="009E7191">
              <w:rPr>
                <w:vertAlign w:val="superscript"/>
              </w:rPr>
              <w:t>1</w:t>
            </w:r>
          </w:p>
        </w:tc>
        <w:tc>
          <w:tcPr>
            <w:tcW w:w="444" w:type="pct"/>
            <w:vAlign w:val="center"/>
          </w:tcPr>
          <w:p w14:paraId="6CD6E3CF" w14:textId="77777777" w:rsidR="00230CBC" w:rsidRPr="0059433B" w:rsidRDefault="00230CBC" w:rsidP="00C5774C">
            <w:pPr>
              <w:pStyle w:val="COMTabletext"/>
              <w:keepNext w:val="0"/>
              <w:jc w:val="center"/>
              <w:rPr>
                <w:iCs/>
              </w:rPr>
            </w:pPr>
            <w:r w:rsidRPr="0059433B">
              <w:rPr>
                <w:iCs/>
              </w:rPr>
              <w:t>5%</w:t>
            </w:r>
          </w:p>
        </w:tc>
      </w:tr>
    </w:tbl>
    <w:p w14:paraId="7AC56620" w14:textId="77777777" w:rsidR="00230CBC" w:rsidRPr="0059433B" w:rsidRDefault="00230CBC" w:rsidP="00230CBC">
      <w:pPr>
        <w:pStyle w:val="COMTablefooter"/>
      </w:pPr>
      <w:r w:rsidRPr="0059433B">
        <w:t>Source: Constructed during the evaluation using the Section 3 economic model Excel workbook.</w:t>
      </w:r>
    </w:p>
    <w:p w14:paraId="01EBC47A" w14:textId="77777777" w:rsidR="00230CBC" w:rsidRPr="0059433B" w:rsidRDefault="00230CBC" w:rsidP="00230CBC">
      <w:pPr>
        <w:pStyle w:val="COMTablefooter"/>
      </w:pPr>
      <w:r w:rsidRPr="0059433B">
        <w:t>Abbreviations: AAN, Australian Amyloidosis Network; PND, polyneuropathy disability.</w:t>
      </w:r>
    </w:p>
    <w:p w14:paraId="4CDD30B2" w14:textId="7A60EC90" w:rsidR="00230CBC" w:rsidRDefault="00230CBC" w:rsidP="00331793">
      <w:pPr>
        <w:pStyle w:val="COMTablefooter"/>
        <w:spacing w:after="0"/>
      </w:pPr>
      <w:r w:rsidRPr="0059433B">
        <w:rPr>
          <w:vertAlign w:val="superscript"/>
        </w:rPr>
        <w:t>a</w:t>
      </w:r>
      <w:r w:rsidRPr="0059433B">
        <w:t xml:space="preserve"> Anniversary price reductions include in the submission’s base case removed.</w:t>
      </w:r>
    </w:p>
    <w:p w14:paraId="43563073" w14:textId="77777777" w:rsidR="001C11F0" w:rsidRPr="009A6D58" w:rsidRDefault="001C11F0" w:rsidP="001C11F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DBA6D1D" w14:textId="5D81AC34" w:rsidR="001C11F0" w:rsidRPr="003F0BF2" w:rsidRDefault="001C11F0" w:rsidP="001C11F0">
      <w:pPr>
        <w:ind w:right="147"/>
        <w:rPr>
          <w:rFonts w:ascii="Arial Narrow" w:hAnsi="Arial Narrow"/>
          <w:i/>
          <w:iCs/>
          <w:color w:val="333333"/>
          <w:sz w:val="18"/>
          <w:szCs w:val="18"/>
        </w:rPr>
      </w:pPr>
      <w:r w:rsidRPr="003F0BF2">
        <w:rPr>
          <w:rFonts w:ascii="Arial Narrow" w:hAnsi="Arial Narrow"/>
          <w:i/>
          <w:iCs/>
          <w:color w:val="333333"/>
          <w:sz w:val="18"/>
          <w:szCs w:val="18"/>
          <w:vertAlign w:val="superscript"/>
        </w:rPr>
        <w:t>1</w:t>
      </w:r>
      <w:r w:rsidRPr="003F0BF2">
        <w:rPr>
          <w:rFonts w:ascii="Arial Narrow" w:hAnsi="Arial Narrow"/>
          <w:i/>
          <w:iCs/>
          <w:color w:val="333333"/>
          <w:sz w:val="18"/>
          <w:szCs w:val="18"/>
        </w:rPr>
        <w:t>$255,000 to &lt; $355,000</w:t>
      </w:r>
    </w:p>
    <w:p w14:paraId="56D2880A" w14:textId="68C6ED19" w:rsidR="004B1A74" w:rsidRPr="003F0BF2" w:rsidRDefault="004B1A74" w:rsidP="004B1A74">
      <w:pPr>
        <w:ind w:right="147"/>
        <w:rPr>
          <w:rFonts w:ascii="Arial Narrow" w:hAnsi="Arial Narrow"/>
          <w:i/>
          <w:iCs/>
          <w:color w:val="333333"/>
          <w:sz w:val="18"/>
          <w:szCs w:val="18"/>
        </w:rPr>
      </w:pPr>
      <w:r w:rsidRPr="003F0BF2">
        <w:rPr>
          <w:rFonts w:ascii="Arial Narrow" w:hAnsi="Arial Narrow"/>
          <w:i/>
          <w:iCs/>
          <w:color w:val="333333"/>
          <w:sz w:val="18"/>
          <w:szCs w:val="18"/>
          <w:vertAlign w:val="superscript"/>
        </w:rPr>
        <w:t>2</w:t>
      </w:r>
      <w:r w:rsidRPr="003F0BF2">
        <w:rPr>
          <w:rFonts w:ascii="Arial Narrow" w:hAnsi="Arial Narrow"/>
          <w:i/>
          <w:iCs/>
          <w:color w:val="333333"/>
          <w:sz w:val="18"/>
          <w:szCs w:val="18"/>
        </w:rPr>
        <w:t>$355,000 to &lt; $455,000</w:t>
      </w:r>
    </w:p>
    <w:p w14:paraId="478BEEBD" w14:textId="4F7D51EA" w:rsidR="004B1A74" w:rsidRPr="003F0BF2" w:rsidRDefault="004B1A74" w:rsidP="004B1A74">
      <w:pPr>
        <w:ind w:right="147"/>
        <w:rPr>
          <w:rFonts w:ascii="Arial Narrow" w:hAnsi="Arial Narrow"/>
          <w:i/>
          <w:iCs/>
          <w:color w:val="333333"/>
          <w:sz w:val="18"/>
          <w:szCs w:val="18"/>
        </w:rPr>
      </w:pPr>
      <w:r w:rsidRPr="003F0BF2">
        <w:rPr>
          <w:rFonts w:ascii="Arial Narrow" w:hAnsi="Arial Narrow"/>
          <w:i/>
          <w:iCs/>
          <w:color w:val="333333"/>
          <w:sz w:val="18"/>
          <w:szCs w:val="18"/>
          <w:vertAlign w:val="superscript"/>
        </w:rPr>
        <w:t>3</w:t>
      </w:r>
      <w:r w:rsidRPr="003F0BF2">
        <w:rPr>
          <w:rFonts w:ascii="Arial Narrow" w:hAnsi="Arial Narrow"/>
          <w:i/>
          <w:iCs/>
          <w:color w:val="333333"/>
          <w:sz w:val="18"/>
          <w:szCs w:val="18"/>
        </w:rPr>
        <w:t>$755,000 to &lt; $855,000</w:t>
      </w:r>
    </w:p>
    <w:p w14:paraId="18AC6B23" w14:textId="20368DEC" w:rsidR="009E7191" w:rsidRDefault="009E7191" w:rsidP="00331793">
      <w:pPr>
        <w:spacing w:after="120"/>
        <w:ind w:right="147"/>
        <w:rPr>
          <w:rFonts w:ascii="Arial Narrow" w:hAnsi="Arial Narrow"/>
          <w:i/>
          <w:iCs/>
          <w:color w:val="333333"/>
          <w:sz w:val="18"/>
          <w:szCs w:val="18"/>
        </w:rPr>
      </w:pPr>
      <w:r w:rsidRPr="003F0BF2">
        <w:rPr>
          <w:rFonts w:ascii="Arial Narrow" w:hAnsi="Arial Narrow"/>
          <w:i/>
          <w:iCs/>
          <w:color w:val="333333"/>
          <w:sz w:val="18"/>
          <w:szCs w:val="18"/>
          <w:vertAlign w:val="superscript"/>
        </w:rPr>
        <w:t>4</w:t>
      </w:r>
      <w:r w:rsidRPr="003F0BF2">
        <w:rPr>
          <w:rFonts w:ascii="Arial Narrow" w:hAnsi="Arial Narrow"/>
          <w:i/>
          <w:iCs/>
          <w:color w:val="333333"/>
          <w:sz w:val="18"/>
          <w:szCs w:val="18"/>
        </w:rPr>
        <w:t>$455,000 to &lt; $555,000</w:t>
      </w:r>
    </w:p>
    <w:p w14:paraId="5CA1F53B" w14:textId="77777777" w:rsidR="00230CBC" w:rsidRPr="0059433B" w:rsidRDefault="00230CBC" w:rsidP="00230CBC">
      <w:pPr>
        <w:pStyle w:val="COMexecsumnumberedpara"/>
        <w:rPr>
          <w:iCs/>
        </w:rPr>
      </w:pPr>
      <w:r w:rsidRPr="0059433B">
        <w:rPr>
          <w:iCs/>
        </w:rPr>
        <w:t>The modelled results were most sensitive to changes in the mortality risk, the application of treatment-related utility increments/decrements for being on/off treatment with patisiran, and the assumed minimum and maximum health state utilities.</w:t>
      </w:r>
    </w:p>
    <w:p w14:paraId="33944FC0" w14:textId="77777777" w:rsidR="00F126D4" w:rsidRPr="0059433B" w:rsidRDefault="00230CBC" w:rsidP="00230CBC">
      <w:pPr>
        <w:pStyle w:val="COMexecsumnumberedpara"/>
      </w:pPr>
      <w:bookmarkStart w:id="68" w:name="_Ref142323094"/>
      <w:r w:rsidRPr="0059433B">
        <w:t>The ESC noted that the submission provided a sensitivity analysis incorporating the impact of carer disutilities.</w:t>
      </w:r>
      <w:r w:rsidR="00F45F60" w:rsidRPr="0059433B">
        <w:t xml:space="preserve"> </w:t>
      </w:r>
      <w:r w:rsidRPr="0059433B">
        <w:t xml:space="preserve">The submission stated that caring for patients with hATTR amyloidosis with polyneuropathy is challenging and </w:t>
      </w:r>
      <w:proofErr w:type="gramStart"/>
      <w:r w:rsidRPr="0059433B">
        <w:t>is understood</w:t>
      </w:r>
      <w:proofErr w:type="gramEnd"/>
      <w:r w:rsidRPr="0059433B">
        <w:t xml:space="preserve"> to impact caregiver health-related quality of life, by negatively affecting their physical and mental health, and by requiring vast amounts of time, reducing their ability to be productive and function socially. The submission noted that inclusion of caregiver disutilities that </w:t>
      </w:r>
      <w:proofErr w:type="gramStart"/>
      <w:r w:rsidRPr="0059433B">
        <w:t>were accepted</w:t>
      </w:r>
      <w:proofErr w:type="gramEnd"/>
      <w:r w:rsidRPr="0059433B">
        <w:t xml:space="preserve"> by NICE in the appraisal of patisiran reduced the ICER by 8% from the base-case analysis (</w:t>
      </w:r>
      <w:r w:rsidRPr="0059433B">
        <w:fldChar w:fldCharType="begin" w:fldLock="1"/>
      </w:r>
      <w:r w:rsidRPr="0059433B">
        <w:instrText xml:space="preserve"> REF _Ref132583366 \h  \* MERGEFORMAT </w:instrText>
      </w:r>
      <w:r w:rsidRPr="0059433B">
        <w:fldChar w:fldCharType="separate"/>
      </w:r>
      <w:r w:rsidR="00042B2E" w:rsidRPr="0059433B">
        <w:t>Table 13</w:t>
      </w:r>
      <w:r w:rsidRPr="0059433B">
        <w:fldChar w:fldCharType="end"/>
      </w:r>
      <w:r w:rsidRPr="0059433B">
        <w:t>).</w:t>
      </w:r>
      <w:bookmarkEnd w:id="68"/>
    </w:p>
    <w:p w14:paraId="4400C551" w14:textId="781E0AE1" w:rsidR="00230CBC" w:rsidRPr="0059433B" w:rsidRDefault="00230CBC" w:rsidP="00230CBC">
      <w:pPr>
        <w:pStyle w:val="COMexecsumnumberedpara"/>
      </w:pPr>
      <w:bookmarkStart w:id="69" w:name="_Ref137821230"/>
      <w:bookmarkStart w:id="70" w:name="_Hlk142303703"/>
      <w:r w:rsidRPr="0059433B">
        <w:t xml:space="preserve">The ESC noted that </w:t>
      </w:r>
      <w:proofErr w:type="gramStart"/>
      <w:r w:rsidRPr="0059433B">
        <w:t>numerous</w:t>
      </w:r>
      <w:proofErr w:type="gramEnd"/>
      <w:r w:rsidRPr="0059433B">
        <w:t xml:space="preserve"> concerns about the economic model had been identified during the evaluation.</w:t>
      </w:r>
      <w:r w:rsidR="00F45F60" w:rsidRPr="0059433B">
        <w:t xml:space="preserve"> </w:t>
      </w:r>
      <w:r w:rsidRPr="0059433B">
        <w:t>The ESC considered that the main concerns were:</w:t>
      </w:r>
      <w:bookmarkEnd w:id="69"/>
    </w:p>
    <w:bookmarkEnd w:id="70"/>
    <w:p w14:paraId="6C9E7D1B" w14:textId="1010E475" w:rsidR="00230CBC" w:rsidRPr="0059433B" w:rsidRDefault="00230CBC" w:rsidP="00331793">
      <w:pPr>
        <w:pStyle w:val="ListParagraph"/>
        <w:numPr>
          <w:ilvl w:val="0"/>
          <w:numId w:val="9"/>
        </w:numPr>
        <w:ind w:left="1134"/>
        <w:rPr>
          <w:iCs/>
        </w:rPr>
      </w:pPr>
      <w:r w:rsidRPr="0059433B">
        <w:rPr>
          <w:iCs/>
        </w:rPr>
        <w:t>Model health states were defined by PND scores which are solely based on mobility status and may not adequately capture all aspects of the condition, including sensory issues (e.g., numbness, tingling and pain), autonomic symptoms (e.g., dizziness or fainting, impotence, constipation, diarrhoea, faecal/urinary incontinence), or symptoms associated with cardiomyopathy (e.g., shortness of breath, fatigue).</w:t>
      </w:r>
      <w:r w:rsidR="00F45F60" w:rsidRPr="0059433B">
        <w:rPr>
          <w:iCs/>
        </w:rPr>
        <w:t xml:space="preserve"> </w:t>
      </w:r>
      <w:r w:rsidRPr="0059433B">
        <w:rPr>
          <w:iCs/>
        </w:rPr>
        <w:t xml:space="preserve">The ESC considered that a model structure based on PND scores was appropriate, despite the limitations described, however considered that the submission’s approach which applied additional monthly decrements/increments based on treatment category (paragraphs </w:t>
      </w:r>
      <w:r w:rsidRPr="0059433B">
        <w:rPr>
          <w:iCs/>
        </w:rPr>
        <w:fldChar w:fldCharType="begin" w:fldLock="1"/>
      </w:r>
      <w:r w:rsidRPr="0059433B">
        <w:rPr>
          <w:iCs/>
        </w:rPr>
        <w:instrText xml:space="preserve"> REF _Ref142314729 \r \h </w:instrText>
      </w:r>
      <w:r w:rsidRPr="0059433B">
        <w:rPr>
          <w:iCs/>
        </w:rPr>
      </w:r>
      <w:r w:rsidRPr="0059433B">
        <w:rPr>
          <w:iCs/>
        </w:rPr>
        <w:fldChar w:fldCharType="separate"/>
      </w:r>
      <w:r w:rsidR="00042B2E" w:rsidRPr="0059433B">
        <w:rPr>
          <w:iCs/>
        </w:rPr>
        <w:t>6.5</w:t>
      </w:r>
      <w:r w:rsidR="00725B4C">
        <w:rPr>
          <w:iCs/>
        </w:rPr>
        <w:t>4</w:t>
      </w:r>
      <w:r w:rsidRPr="0059433B">
        <w:rPr>
          <w:iCs/>
        </w:rPr>
        <w:fldChar w:fldCharType="end"/>
      </w:r>
      <w:r w:rsidRPr="0059433B">
        <w:rPr>
          <w:iCs/>
        </w:rPr>
        <w:t xml:space="preserve"> to </w:t>
      </w:r>
      <w:r w:rsidRPr="0059433B">
        <w:rPr>
          <w:iCs/>
        </w:rPr>
        <w:fldChar w:fldCharType="begin" w:fldLock="1"/>
      </w:r>
      <w:r w:rsidRPr="0059433B">
        <w:rPr>
          <w:iCs/>
        </w:rPr>
        <w:instrText xml:space="preserve"> REF _Ref142314731 \r \h </w:instrText>
      </w:r>
      <w:r w:rsidRPr="0059433B">
        <w:rPr>
          <w:iCs/>
        </w:rPr>
      </w:r>
      <w:r w:rsidRPr="0059433B">
        <w:rPr>
          <w:iCs/>
        </w:rPr>
        <w:fldChar w:fldCharType="separate"/>
      </w:r>
      <w:r w:rsidR="00042B2E" w:rsidRPr="0059433B">
        <w:rPr>
          <w:iCs/>
        </w:rPr>
        <w:t>6.6</w:t>
      </w:r>
      <w:r w:rsidR="00ED378E">
        <w:rPr>
          <w:iCs/>
        </w:rPr>
        <w:t>1</w:t>
      </w:r>
      <w:r w:rsidRPr="0059433B">
        <w:rPr>
          <w:iCs/>
        </w:rPr>
        <w:fldChar w:fldCharType="end"/>
      </w:r>
      <w:r w:rsidRPr="0059433B">
        <w:rPr>
          <w:iCs/>
        </w:rPr>
        <w:t xml:space="preserve">), as well as an additional disutility for autonomic dysfunction (paragraph </w:t>
      </w:r>
      <w:r w:rsidRPr="0059433B">
        <w:rPr>
          <w:iCs/>
        </w:rPr>
        <w:fldChar w:fldCharType="begin" w:fldLock="1"/>
      </w:r>
      <w:r w:rsidRPr="0059433B">
        <w:rPr>
          <w:iCs/>
        </w:rPr>
        <w:instrText xml:space="preserve"> REF _Ref142314501 \r \h </w:instrText>
      </w:r>
      <w:r w:rsidRPr="0059433B">
        <w:rPr>
          <w:iCs/>
        </w:rPr>
      </w:r>
      <w:r w:rsidRPr="0059433B">
        <w:rPr>
          <w:iCs/>
        </w:rPr>
        <w:fldChar w:fldCharType="separate"/>
      </w:r>
      <w:r w:rsidR="00042B2E" w:rsidRPr="0059433B">
        <w:rPr>
          <w:iCs/>
        </w:rPr>
        <w:t>6.6</w:t>
      </w:r>
      <w:r w:rsidR="00ED378E">
        <w:rPr>
          <w:iCs/>
        </w:rPr>
        <w:t>2</w:t>
      </w:r>
      <w:r w:rsidRPr="0059433B">
        <w:rPr>
          <w:iCs/>
        </w:rPr>
        <w:fldChar w:fldCharType="end"/>
      </w:r>
      <w:r w:rsidRPr="0059433B">
        <w:rPr>
          <w:iCs/>
        </w:rPr>
        <w:t>), was not appropriate.</w:t>
      </w:r>
    </w:p>
    <w:p w14:paraId="72DB8135" w14:textId="77777777" w:rsidR="00F126D4" w:rsidRPr="0059433B" w:rsidRDefault="00230CBC" w:rsidP="00331793">
      <w:pPr>
        <w:pStyle w:val="ListBullet"/>
        <w:tabs>
          <w:tab w:val="clear" w:pos="360"/>
          <w:tab w:val="num" w:pos="770"/>
        </w:tabs>
        <w:spacing w:after="120"/>
        <w:ind w:left="1134"/>
        <w:contextualSpacing w:val="0"/>
        <w:rPr>
          <w:iCs/>
        </w:rPr>
      </w:pPr>
      <w:r w:rsidRPr="0059433B">
        <w:rPr>
          <w:iCs/>
        </w:rPr>
        <w:t xml:space="preserve">The model time horizon was 40 years in the base case, which was associated with considerable uncertainty given the limited clinical evidence available to inform the model, which included a relatively short period of trial evidence (up to 18 </w:t>
      </w:r>
      <w:r w:rsidRPr="0059433B">
        <w:rPr>
          <w:iCs/>
        </w:rPr>
        <w:lastRenderedPageBreak/>
        <w:t>months for placebo and up to 54 months for patisiran) and a relatively limited clinical trial population size (n=</w:t>
      </w:r>
      <w:r w:rsidRPr="0059433B">
        <w:t>225 in APOLLO).</w:t>
      </w:r>
    </w:p>
    <w:p w14:paraId="63E9929A" w14:textId="391B9979" w:rsidR="00230CBC" w:rsidRPr="0059433B" w:rsidRDefault="00230CBC" w:rsidP="00331793">
      <w:pPr>
        <w:pStyle w:val="ListBullet"/>
        <w:tabs>
          <w:tab w:val="clear" w:pos="360"/>
          <w:tab w:val="num" w:pos="770"/>
        </w:tabs>
        <w:spacing w:after="120"/>
        <w:ind w:left="1134"/>
        <w:contextualSpacing w:val="0"/>
        <w:rPr>
          <w:iCs/>
        </w:rPr>
      </w:pPr>
      <w:r w:rsidRPr="0059433B">
        <w:rPr>
          <w:iCs/>
        </w:rPr>
        <w:t xml:space="preserve">The ESC noted that while the model was relatively insensitive to the time horizon because the impact was overshadowed by other assumptions of the model (see </w:t>
      </w:r>
      <w:r w:rsidRPr="0059433B">
        <w:rPr>
          <w:iCs/>
        </w:rPr>
        <w:fldChar w:fldCharType="begin" w:fldLock="1"/>
      </w:r>
      <w:r w:rsidRPr="0059433B">
        <w:rPr>
          <w:iCs/>
        </w:rPr>
        <w:instrText xml:space="preserve"> REF _Ref135042050 \h  \* MERGEFORMAT </w:instrText>
      </w:r>
      <w:r w:rsidRPr="0059433B">
        <w:rPr>
          <w:iCs/>
        </w:rPr>
      </w:r>
      <w:r w:rsidRPr="0059433B">
        <w:rPr>
          <w:iCs/>
        </w:rPr>
        <w:fldChar w:fldCharType="separate"/>
      </w:r>
      <w:r w:rsidR="00042B2E" w:rsidRPr="0059433B">
        <w:rPr>
          <w:iCs/>
        </w:rPr>
        <w:t>Figure 5</w:t>
      </w:r>
      <w:r w:rsidRPr="0059433B">
        <w:rPr>
          <w:iCs/>
        </w:rPr>
        <w:fldChar w:fldCharType="end"/>
      </w:r>
      <w:r w:rsidRPr="0059433B">
        <w:rPr>
          <w:iCs/>
        </w:rPr>
        <w:t xml:space="preserve">), a shorter time horizon in the order of 10-15 years was likely to have been more appropriate, given the uncertainty in the data. In the model, 70% of incremental QALYs, 50% of patisiran drug costs (drug costs, administration costs, premedication costs), and 42% of incremental disease management costs </w:t>
      </w:r>
      <w:proofErr w:type="gramStart"/>
      <w:r w:rsidRPr="0059433B">
        <w:rPr>
          <w:iCs/>
        </w:rPr>
        <w:t>were accrued</w:t>
      </w:r>
      <w:proofErr w:type="gramEnd"/>
      <w:r w:rsidRPr="0059433B">
        <w:rPr>
          <w:iCs/>
        </w:rPr>
        <w:t xml:space="preserve"> in the extrapolated period beyond 4.5 years (corresponding to the duration of follow-up for the patisiran arm in the APOLLO trial and Global OLE). The ESC noted that the model traces for the patisiran and BSC arms prepared during evaluation, showed the impact of the 40 year time horizon, and that convergence of the survival curves did not occur until approximately 35 years of the modelled period (</w:t>
      </w:r>
      <w:r w:rsidRPr="0059433B">
        <w:rPr>
          <w:iCs/>
        </w:rPr>
        <w:fldChar w:fldCharType="begin" w:fldLock="1"/>
      </w:r>
      <w:r w:rsidRPr="0059433B">
        <w:rPr>
          <w:iCs/>
        </w:rPr>
        <w:instrText xml:space="preserve"> REF _Ref132583006 \h  \* MERGEFORMAT </w:instrText>
      </w:r>
      <w:r w:rsidRPr="0059433B">
        <w:rPr>
          <w:iCs/>
        </w:rPr>
      </w:r>
      <w:r w:rsidRPr="0059433B">
        <w:rPr>
          <w:iCs/>
        </w:rPr>
        <w:fldChar w:fldCharType="separate"/>
      </w:r>
      <w:r w:rsidR="00042B2E" w:rsidRPr="0059433B">
        <w:rPr>
          <w:iCs/>
        </w:rPr>
        <w:t>Figure 4</w:t>
      </w:r>
      <w:r w:rsidRPr="0059433B">
        <w:rPr>
          <w:iCs/>
        </w:rPr>
        <w:fldChar w:fldCharType="end"/>
      </w:r>
      <w:r w:rsidRPr="0059433B">
        <w:rPr>
          <w:iCs/>
        </w:rPr>
        <w:t>).</w:t>
      </w:r>
    </w:p>
    <w:p w14:paraId="12AA1C0D" w14:textId="77777777" w:rsidR="00230CBC" w:rsidRPr="0059433B" w:rsidRDefault="00230CBC" w:rsidP="00331793">
      <w:pPr>
        <w:pStyle w:val="ListBullet"/>
        <w:tabs>
          <w:tab w:val="clear" w:pos="360"/>
          <w:tab w:val="num" w:pos="770"/>
        </w:tabs>
        <w:spacing w:after="120"/>
        <w:ind w:left="1134"/>
        <w:contextualSpacing w:val="0"/>
        <w:rPr>
          <w:iCs/>
        </w:rPr>
      </w:pPr>
      <w:r w:rsidRPr="0059433B">
        <w:rPr>
          <w:iCs/>
        </w:rPr>
        <w:t xml:space="preserve">Patients transitioning to PND IV </w:t>
      </w:r>
      <w:proofErr w:type="gramStart"/>
      <w:r w:rsidRPr="0059433B">
        <w:rPr>
          <w:iCs/>
        </w:rPr>
        <w:t>are assumed</w:t>
      </w:r>
      <w:proofErr w:type="gramEnd"/>
      <w:r w:rsidRPr="0059433B">
        <w:rPr>
          <w:iCs/>
        </w:rPr>
        <w:t xml:space="preserve"> to discontinue treatment, which may not be adhered to in clinical practice.</w:t>
      </w:r>
    </w:p>
    <w:p w14:paraId="424EB1C5" w14:textId="69F4EE4E" w:rsidR="00230CBC" w:rsidRPr="0059433B" w:rsidRDefault="00230CBC" w:rsidP="00331793">
      <w:pPr>
        <w:pStyle w:val="ListBullet"/>
        <w:tabs>
          <w:tab w:val="clear" w:pos="360"/>
          <w:tab w:val="num" w:pos="770"/>
        </w:tabs>
        <w:spacing w:after="120"/>
        <w:ind w:left="1134" w:hanging="357"/>
        <w:contextualSpacing w:val="0"/>
        <w:rPr>
          <w:iCs/>
        </w:rPr>
      </w:pPr>
      <w:r w:rsidRPr="0059433B">
        <w:rPr>
          <w:iCs/>
        </w:rPr>
        <w:t>The mortality benefit incorporated in the economic model was uncertain.</w:t>
      </w:r>
      <w:r w:rsidR="00F45F60" w:rsidRPr="0059433B">
        <w:rPr>
          <w:iCs/>
        </w:rPr>
        <w:t xml:space="preserve"> </w:t>
      </w:r>
      <w:r w:rsidRPr="0059433B">
        <w:rPr>
          <w:iCs/>
        </w:rPr>
        <w:t xml:space="preserve">The ESC noted that a significant improvement in overall survival had not been demonstrated by the clinical evidence, whilst recognising that there was a trend suggestive of improvement (see paragraph </w:t>
      </w:r>
      <w:r w:rsidRPr="0059433B">
        <w:rPr>
          <w:iCs/>
        </w:rPr>
        <w:fldChar w:fldCharType="begin" w:fldLock="1"/>
      </w:r>
      <w:r w:rsidRPr="0059433B">
        <w:rPr>
          <w:iCs/>
        </w:rPr>
        <w:instrText xml:space="preserve"> REF _Ref137806061 \r \h  \* MERGEFORMAT </w:instrText>
      </w:r>
      <w:r w:rsidRPr="0059433B">
        <w:rPr>
          <w:iCs/>
        </w:rPr>
      </w:r>
      <w:r w:rsidRPr="0059433B">
        <w:rPr>
          <w:iCs/>
        </w:rPr>
        <w:fldChar w:fldCharType="separate"/>
      </w:r>
      <w:r w:rsidR="00042B2E" w:rsidRPr="0059433B">
        <w:rPr>
          <w:iCs/>
        </w:rPr>
        <w:t>6.3</w:t>
      </w:r>
      <w:r w:rsidR="00965874">
        <w:rPr>
          <w:iCs/>
        </w:rPr>
        <w:t>2</w:t>
      </w:r>
      <w:r w:rsidRPr="0059433B">
        <w:rPr>
          <w:iCs/>
        </w:rPr>
        <w:fldChar w:fldCharType="end"/>
      </w:r>
      <w:r w:rsidRPr="0059433B">
        <w:rPr>
          <w:iCs/>
        </w:rPr>
        <w:t>).</w:t>
      </w:r>
      <w:r w:rsidR="00F45F60" w:rsidRPr="0059433B">
        <w:rPr>
          <w:iCs/>
        </w:rPr>
        <w:t xml:space="preserve"> </w:t>
      </w:r>
      <w:r w:rsidRPr="0059433B">
        <w:rPr>
          <w:iCs/>
        </w:rPr>
        <w:t xml:space="preserve">The ESC considered that the submission’s approach to modelling survival relied on key assumptions that had not </w:t>
      </w:r>
      <w:proofErr w:type="gramStart"/>
      <w:r w:rsidRPr="0059433B">
        <w:rPr>
          <w:iCs/>
        </w:rPr>
        <w:t>been validated</w:t>
      </w:r>
      <w:proofErr w:type="gramEnd"/>
      <w:r w:rsidRPr="0059433B">
        <w:rPr>
          <w:iCs/>
        </w:rPr>
        <w:t>.</w:t>
      </w:r>
      <w:r w:rsidR="00F45F60" w:rsidRPr="0059433B">
        <w:rPr>
          <w:iCs/>
        </w:rPr>
        <w:t xml:space="preserve"> </w:t>
      </w:r>
      <w:r w:rsidRPr="0059433B">
        <w:rPr>
          <w:iCs/>
        </w:rPr>
        <w:t>The model assumed PND categories 0/I/II had mortality equal to general population.</w:t>
      </w:r>
      <w:r w:rsidR="00F45F60" w:rsidRPr="0059433B">
        <w:rPr>
          <w:iCs/>
        </w:rPr>
        <w:t xml:space="preserve"> </w:t>
      </w:r>
      <w:r w:rsidRPr="0059433B">
        <w:rPr>
          <w:iCs/>
        </w:rPr>
        <w:t xml:space="preserve">The ESC considered there was no evidence provided to support this, and it may overestimate the survival benefits for patisiran. Mortality multipliers </w:t>
      </w:r>
      <w:proofErr w:type="gramStart"/>
      <w:r w:rsidRPr="0059433B">
        <w:rPr>
          <w:iCs/>
        </w:rPr>
        <w:t>were applied</w:t>
      </w:r>
      <w:proofErr w:type="gramEnd"/>
      <w:r w:rsidRPr="0059433B">
        <w:rPr>
          <w:iCs/>
        </w:rPr>
        <w:t xml:space="preserve"> for PND IIIA/IIIB and PND IV in the model, which assumes that mortality risk only applies to patients with substantial mobility impairment requiring at least one stick or crutch (where PND IIIA refers to a patient able to walk but requiring at least one stick or crutch) or patient is confined to wheelchair or bedridden (PND IV).</w:t>
      </w:r>
      <w:r w:rsidR="00F45F60" w:rsidRPr="0059433B">
        <w:rPr>
          <w:iCs/>
        </w:rPr>
        <w:t xml:space="preserve"> </w:t>
      </w:r>
      <w:r w:rsidRPr="0059433B">
        <w:rPr>
          <w:iCs/>
        </w:rPr>
        <w:t>The ESC noted that alternative inputs were tested in sensitivity analyses (</w:t>
      </w:r>
      <w:r w:rsidRPr="0059433B">
        <w:rPr>
          <w:iCs/>
        </w:rPr>
        <w:fldChar w:fldCharType="begin" w:fldLock="1"/>
      </w:r>
      <w:r w:rsidRPr="0059433B">
        <w:rPr>
          <w:iCs/>
        </w:rPr>
        <w:instrText xml:space="preserve"> REF _Ref132583366 \h  \* MERGEFORMAT </w:instrText>
      </w:r>
      <w:r w:rsidRPr="0059433B">
        <w:rPr>
          <w:iCs/>
        </w:rPr>
      </w:r>
      <w:r w:rsidRPr="0059433B">
        <w:rPr>
          <w:iCs/>
        </w:rPr>
        <w:fldChar w:fldCharType="separate"/>
      </w:r>
      <w:r w:rsidR="00042B2E" w:rsidRPr="0059433B">
        <w:rPr>
          <w:iCs/>
        </w:rPr>
        <w:t>Table 13</w:t>
      </w:r>
      <w:r w:rsidRPr="0059433B">
        <w:rPr>
          <w:iCs/>
        </w:rPr>
        <w:fldChar w:fldCharType="end"/>
      </w:r>
      <w:r w:rsidRPr="0059433B">
        <w:rPr>
          <w:iCs/>
        </w:rPr>
        <w:t>), however these did not address the uncertainty associated with the model structure, which inherently assumed that progression to worse PND health states increased mortality risk compared with PND categories 0/I/II (which did not account for potential increases in mortality risk within those categories).</w:t>
      </w:r>
      <w:r w:rsidR="00F45F60" w:rsidRPr="0059433B">
        <w:rPr>
          <w:iCs/>
        </w:rPr>
        <w:t xml:space="preserve"> </w:t>
      </w:r>
      <w:r w:rsidRPr="0059433B">
        <w:rPr>
          <w:iCs/>
        </w:rPr>
        <w:t xml:space="preserve">The ESC considered that data from the trial could </w:t>
      </w:r>
      <w:proofErr w:type="gramStart"/>
      <w:r w:rsidRPr="0059433B">
        <w:rPr>
          <w:iCs/>
        </w:rPr>
        <w:t>be used</w:t>
      </w:r>
      <w:proofErr w:type="gramEnd"/>
      <w:r w:rsidRPr="0059433B">
        <w:rPr>
          <w:iCs/>
        </w:rPr>
        <w:t xml:space="preserve"> to inform mortality estimates for all PND states compared with the general population.</w:t>
      </w:r>
    </w:p>
    <w:p w14:paraId="6006BCAA" w14:textId="2709F26A" w:rsidR="00230CBC" w:rsidRPr="0059433B" w:rsidRDefault="00230CBC" w:rsidP="00F27B5E">
      <w:pPr>
        <w:pStyle w:val="COMexecsumnumberedpara"/>
        <w:numPr>
          <w:ilvl w:val="1"/>
          <w:numId w:val="26"/>
        </w:numPr>
        <w:rPr>
          <w:shd w:val="clear" w:color="auto" w:fill="FFFFFF"/>
        </w:rPr>
      </w:pPr>
      <w:bookmarkStart w:id="71" w:name="_Ref142322736"/>
      <w:r w:rsidRPr="0059433B">
        <w:t>The pre-PBAC response defended the use of a regression analysis for utilities and autonomic dysfunction-related disutilities as applied in the submission.</w:t>
      </w:r>
      <w:r w:rsidR="00F45F60" w:rsidRPr="0059433B">
        <w:t xml:space="preserve"> </w:t>
      </w:r>
      <w:r w:rsidRPr="0059433B">
        <w:rPr>
          <w:iCs/>
        </w:rPr>
        <w:t xml:space="preserve">The response </w:t>
      </w:r>
      <w:r w:rsidRPr="0059433B">
        <w:rPr>
          <w:iCs/>
        </w:rPr>
        <w:lastRenderedPageBreak/>
        <w:t xml:space="preserve">stated that </w:t>
      </w:r>
      <w:r w:rsidRPr="0059433B">
        <w:t xml:space="preserve">PND score does not accurately capture autonomic dysfunction or other changes in patients’ clinical status that may impact their HRQoL and that patients’ HRQoL can change </w:t>
      </w:r>
      <w:proofErr w:type="gramStart"/>
      <w:r w:rsidRPr="0059433B">
        <w:t>substantially without</w:t>
      </w:r>
      <w:proofErr w:type="gramEnd"/>
      <w:r w:rsidRPr="0059433B">
        <w:t xml:space="preserve"> a change in PND score. For example, a patient in PND IIIA (defined by the need for one stick or crutch to walk) may experience improvement in pain, numbness, or tingling in their arms and hands (associated with neuropathy) within a certain timeframe, thereby improving their HRQoL, even if they are not able to stop using a walking stick during the same period and therefore maintain the same PND score.</w:t>
      </w:r>
      <w:r w:rsidR="00F45F60" w:rsidRPr="0059433B">
        <w:t xml:space="preserve"> </w:t>
      </w:r>
      <w:r w:rsidRPr="0059433B">
        <w:t xml:space="preserve">It </w:t>
      </w:r>
      <w:proofErr w:type="gramStart"/>
      <w:r w:rsidRPr="0059433B">
        <w:t>was noted</w:t>
      </w:r>
      <w:proofErr w:type="gramEnd"/>
      <w:r w:rsidRPr="0059433B">
        <w:t xml:space="preserve"> that patisiran</w:t>
      </w:r>
      <w:r w:rsidRPr="0059433B">
        <w:noBreakHyphen/>
        <w:t>treated patients showed improvement across multiple outcomes relating to HRQoL (EQ-5D, Norfolk QoL-DN, Composite Autonomic Symptom Score [COMPASS-31], and R-ODS) compared to placebo even in patients whose PND score remained constant over the course of APOLLO.</w:t>
      </w:r>
      <w:r w:rsidR="00F45F60" w:rsidRPr="0059433B">
        <w:t xml:space="preserve"> </w:t>
      </w:r>
      <w:r w:rsidRPr="0059433B">
        <w:t xml:space="preserve">The response also reiterated the </w:t>
      </w:r>
      <w:r w:rsidRPr="0059433B">
        <w:rPr>
          <w:shd w:val="clear" w:color="auto" w:fill="FFFFFF"/>
        </w:rPr>
        <w:t xml:space="preserve">debilitating effects of autonomic dysfunction and the need to apply a disutility for autonomic dysfunction as an additional modelling step due to the limitations of EQ-5D in capturing these effects, and given that the previously described regression model for estimating </w:t>
      </w:r>
      <w:r w:rsidRPr="0059433B">
        <w:t>utility values as a function of PND score and the interaction of treatment with time was informed solely by EQ-5D utility</w:t>
      </w:r>
      <w:r w:rsidRPr="0059433B">
        <w:rPr>
          <w:shd w:val="clear" w:color="auto" w:fill="FFFFFF"/>
        </w:rPr>
        <w:t>.</w:t>
      </w:r>
      <w:bookmarkEnd w:id="71"/>
    </w:p>
    <w:p w14:paraId="4BA274CE" w14:textId="7C3E9E69" w:rsidR="00230CBC" w:rsidRPr="0059433B" w:rsidRDefault="00230CBC" w:rsidP="00230CBC">
      <w:pPr>
        <w:pStyle w:val="COMH2-non-numbered"/>
      </w:pPr>
      <w:bookmarkStart w:id="72" w:name="_Toc22897646"/>
      <w:bookmarkStart w:id="73" w:name="_Toc107927632"/>
      <w:bookmarkStart w:id="74" w:name="_Toc135226811"/>
      <w:r w:rsidRPr="0059433B">
        <w:t>Drug cost/patient</w:t>
      </w:r>
      <w:bookmarkEnd w:id="72"/>
      <w:bookmarkEnd w:id="73"/>
      <w:r w:rsidRPr="0059433B">
        <w:t>/year</w:t>
      </w:r>
      <w:bookmarkEnd w:id="74"/>
    </w:p>
    <w:bookmarkStart w:id="75" w:name="_Ref104805102"/>
    <w:p w14:paraId="3267D5C8" w14:textId="4B2FE9A2" w:rsidR="00230CBC" w:rsidRPr="0059433B" w:rsidRDefault="00230CBC" w:rsidP="00230CBC">
      <w:pPr>
        <w:pStyle w:val="COMexecsumnumberedpara"/>
      </w:pPr>
      <w:r w:rsidRPr="0059433B">
        <w:rPr>
          <w:highlight w:val="yellow"/>
        </w:rPr>
        <w:fldChar w:fldCharType="begin" w:fldLock="1"/>
      </w:r>
      <w:r w:rsidRPr="0059433B">
        <w:instrText xml:space="preserve"> REF _Ref132583386 \h </w:instrText>
      </w:r>
      <w:r w:rsidRPr="0059433B">
        <w:rPr>
          <w:highlight w:val="yellow"/>
        </w:rPr>
      </w:r>
      <w:r w:rsidRPr="0059433B">
        <w:rPr>
          <w:highlight w:val="yellow"/>
        </w:rPr>
        <w:fldChar w:fldCharType="separate"/>
      </w:r>
      <w:r w:rsidR="00042B2E" w:rsidRPr="0059433B">
        <w:t>Table 14</w:t>
      </w:r>
      <w:r w:rsidRPr="0059433B">
        <w:rPr>
          <w:highlight w:val="yellow"/>
        </w:rPr>
        <w:fldChar w:fldCharType="end"/>
      </w:r>
      <w:r w:rsidRPr="0059433B">
        <w:t xml:space="preserve"> presents the drug costs for patisiran included in the economic model and financial estimates. The cost of BSC in the economic model and the financial estimates was assumed to be </w:t>
      </w:r>
      <w:proofErr w:type="gramStart"/>
      <w:r w:rsidRPr="0059433B">
        <w:t>nil</w:t>
      </w:r>
      <w:proofErr w:type="gramEnd"/>
      <w:r w:rsidRPr="0059433B">
        <w:t>.</w:t>
      </w:r>
    </w:p>
    <w:p w14:paraId="5481366B" w14:textId="70AE3472" w:rsidR="00230CBC" w:rsidRPr="0059433B" w:rsidRDefault="00230CBC" w:rsidP="00230CBC">
      <w:pPr>
        <w:pStyle w:val="COMtablefigcaption"/>
      </w:pPr>
      <w:bookmarkStart w:id="76" w:name="_Ref132583386"/>
      <w:bookmarkEnd w:id="75"/>
      <w:r w:rsidRPr="0059433B">
        <w:t xml:space="preserve">Table </w:t>
      </w:r>
      <w:fldSimple w:instr=" SEQ Table \* ARABIC " w:fldLock="1">
        <w:r w:rsidR="00042B2E" w:rsidRPr="0059433B">
          <w:t>14</w:t>
        </w:r>
      </w:fldSimple>
      <w:bookmarkEnd w:id="76"/>
      <w:r w:rsidRPr="0059433B">
        <w:t>: Drug cost per patient for patisiran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patisiran"/>
      </w:tblPr>
      <w:tblGrid>
        <w:gridCol w:w="2530"/>
        <w:gridCol w:w="2162"/>
        <w:gridCol w:w="2159"/>
        <w:gridCol w:w="2166"/>
      </w:tblGrid>
      <w:tr w:rsidR="00230CBC" w:rsidRPr="0059433B" w14:paraId="41B016EE" w14:textId="77777777" w:rsidTr="00C5774C">
        <w:trPr>
          <w:cantSplit/>
          <w:tblHeader/>
          <w:jc w:val="center"/>
        </w:trPr>
        <w:tc>
          <w:tcPr>
            <w:tcW w:w="1403" w:type="pct"/>
            <w:shd w:val="clear" w:color="auto" w:fill="auto"/>
            <w:vAlign w:val="center"/>
          </w:tcPr>
          <w:p w14:paraId="7C117BC3" w14:textId="77777777" w:rsidR="00230CBC" w:rsidRPr="0059433B" w:rsidRDefault="00230CBC" w:rsidP="00C5774C">
            <w:pPr>
              <w:pStyle w:val="COMTableheadingrow"/>
              <w:jc w:val="center"/>
              <w:rPr>
                <w:lang w:val="en-AU"/>
              </w:rPr>
            </w:pPr>
          </w:p>
        </w:tc>
        <w:tc>
          <w:tcPr>
            <w:tcW w:w="1199" w:type="pct"/>
            <w:shd w:val="clear" w:color="auto" w:fill="auto"/>
            <w:vAlign w:val="center"/>
          </w:tcPr>
          <w:p w14:paraId="45C5E053" w14:textId="77777777" w:rsidR="00230CBC" w:rsidRPr="0059433B" w:rsidRDefault="00230CBC" w:rsidP="00C5774C">
            <w:pPr>
              <w:pStyle w:val="COMTableheadingrow"/>
              <w:jc w:val="center"/>
              <w:rPr>
                <w:lang w:val="en-AU"/>
              </w:rPr>
            </w:pPr>
            <w:r w:rsidRPr="0059433B">
              <w:rPr>
                <w:lang w:val="en-AU"/>
              </w:rPr>
              <w:t>APOLLO trial</w:t>
            </w:r>
          </w:p>
        </w:tc>
        <w:tc>
          <w:tcPr>
            <w:tcW w:w="1197" w:type="pct"/>
            <w:shd w:val="clear" w:color="auto" w:fill="auto"/>
            <w:vAlign w:val="center"/>
          </w:tcPr>
          <w:p w14:paraId="533BACFD" w14:textId="77777777" w:rsidR="00230CBC" w:rsidRPr="0059433B" w:rsidRDefault="00230CBC" w:rsidP="00C5774C">
            <w:pPr>
              <w:pStyle w:val="COMTableheadingrow"/>
              <w:jc w:val="center"/>
              <w:rPr>
                <w:lang w:val="en-AU"/>
              </w:rPr>
            </w:pPr>
            <w:r w:rsidRPr="0059433B">
              <w:rPr>
                <w:lang w:val="en-AU"/>
              </w:rPr>
              <w:t>Economic model</w:t>
            </w:r>
          </w:p>
        </w:tc>
        <w:tc>
          <w:tcPr>
            <w:tcW w:w="1201" w:type="pct"/>
            <w:shd w:val="clear" w:color="auto" w:fill="auto"/>
            <w:vAlign w:val="center"/>
          </w:tcPr>
          <w:p w14:paraId="336841C6" w14:textId="77777777" w:rsidR="00230CBC" w:rsidRPr="0059433B" w:rsidRDefault="00230CBC" w:rsidP="00C5774C">
            <w:pPr>
              <w:pStyle w:val="COMTableheadingrow"/>
              <w:jc w:val="center"/>
              <w:rPr>
                <w:lang w:val="en-AU"/>
              </w:rPr>
            </w:pPr>
            <w:r w:rsidRPr="0059433B">
              <w:rPr>
                <w:lang w:val="en-AU"/>
              </w:rPr>
              <w:t>Financial estimates</w:t>
            </w:r>
          </w:p>
        </w:tc>
      </w:tr>
      <w:tr w:rsidR="00230CBC" w:rsidRPr="0059433B" w14:paraId="7EBD862A" w14:textId="77777777" w:rsidTr="00C5774C">
        <w:trPr>
          <w:cantSplit/>
          <w:jc w:val="center"/>
        </w:trPr>
        <w:tc>
          <w:tcPr>
            <w:tcW w:w="1403" w:type="pct"/>
            <w:shd w:val="clear" w:color="auto" w:fill="auto"/>
            <w:vAlign w:val="center"/>
          </w:tcPr>
          <w:p w14:paraId="1B6C85AD" w14:textId="77777777" w:rsidR="00230CBC" w:rsidRPr="0059433B" w:rsidRDefault="00230CBC" w:rsidP="00C5774C">
            <w:pPr>
              <w:pStyle w:val="COMTabletext"/>
            </w:pPr>
            <w:r w:rsidRPr="0059433B">
              <w:t>Treatment regimen</w:t>
            </w:r>
          </w:p>
        </w:tc>
        <w:tc>
          <w:tcPr>
            <w:tcW w:w="1199" w:type="pct"/>
            <w:shd w:val="clear" w:color="auto" w:fill="auto"/>
            <w:vAlign w:val="center"/>
          </w:tcPr>
          <w:p w14:paraId="2D50EFD4" w14:textId="77777777" w:rsidR="00230CBC" w:rsidRPr="0059433B" w:rsidRDefault="00230CBC" w:rsidP="00C5774C">
            <w:pPr>
              <w:pStyle w:val="COMTabletext"/>
              <w:jc w:val="center"/>
              <w:rPr>
                <w:bCs w:val="0"/>
              </w:rPr>
            </w:pPr>
            <w:r w:rsidRPr="0059433B">
              <w:rPr>
                <w:bCs w:val="0"/>
              </w:rPr>
              <w:t>0.3 mg/kg to a maximum of 30 mg every 3 weeks</w:t>
            </w:r>
          </w:p>
        </w:tc>
        <w:tc>
          <w:tcPr>
            <w:tcW w:w="1197" w:type="pct"/>
            <w:shd w:val="clear" w:color="auto" w:fill="auto"/>
            <w:vAlign w:val="center"/>
          </w:tcPr>
          <w:p w14:paraId="150D516A" w14:textId="77777777" w:rsidR="00230CBC" w:rsidRPr="0059433B" w:rsidRDefault="00230CBC" w:rsidP="00C5774C">
            <w:pPr>
              <w:pStyle w:val="COMTabletext"/>
              <w:jc w:val="center"/>
              <w:rPr>
                <w:bCs w:val="0"/>
              </w:rPr>
            </w:pPr>
            <w:r w:rsidRPr="0059433B">
              <w:rPr>
                <w:bCs w:val="0"/>
              </w:rPr>
              <w:t>0.3 mg/kg to a maximum of 30 mg every 3 weeks</w:t>
            </w:r>
          </w:p>
        </w:tc>
        <w:tc>
          <w:tcPr>
            <w:tcW w:w="1201" w:type="pct"/>
            <w:shd w:val="clear" w:color="auto" w:fill="auto"/>
            <w:vAlign w:val="center"/>
          </w:tcPr>
          <w:p w14:paraId="3AF9083B" w14:textId="77777777" w:rsidR="00230CBC" w:rsidRPr="0059433B" w:rsidRDefault="00230CBC" w:rsidP="00C5774C">
            <w:pPr>
              <w:pStyle w:val="COMTabletext"/>
              <w:jc w:val="center"/>
              <w:rPr>
                <w:bCs w:val="0"/>
              </w:rPr>
            </w:pPr>
            <w:r w:rsidRPr="0059433B">
              <w:rPr>
                <w:bCs w:val="0"/>
              </w:rPr>
              <w:t>0.3 mg/kg to a maximum of 30 mg every 3 weeks</w:t>
            </w:r>
          </w:p>
        </w:tc>
      </w:tr>
      <w:tr w:rsidR="00230CBC" w:rsidRPr="0059433B" w14:paraId="4875EDDF" w14:textId="77777777" w:rsidTr="00C5774C">
        <w:trPr>
          <w:cantSplit/>
          <w:jc w:val="center"/>
        </w:trPr>
        <w:tc>
          <w:tcPr>
            <w:tcW w:w="1403" w:type="pct"/>
            <w:shd w:val="clear" w:color="auto" w:fill="auto"/>
            <w:vAlign w:val="center"/>
          </w:tcPr>
          <w:p w14:paraId="47D0E514" w14:textId="77777777" w:rsidR="00230CBC" w:rsidRPr="0059433B" w:rsidRDefault="00230CBC" w:rsidP="00C5774C">
            <w:pPr>
              <w:pStyle w:val="COMTabletext"/>
            </w:pPr>
            <w:r w:rsidRPr="0059433B">
              <w:t>Cost per dose</w:t>
            </w:r>
          </w:p>
        </w:tc>
        <w:tc>
          <w:tcPr>
            <w:tcW w:w="1199" w:type="pct"/>
            <w:shd w:val="clear" w:color="auto" w:fill="auto"/>
            <w:vAlign w:val="center"/>
          </w:tcPr>
          <w:p w14:paraId="33F118CB" w14:textId="77777777" w:rsidR="00230CBC" w:rsidRPr="0059433B" w:rsidRDefault="00230CBC" w:rsidP="00C5774C">
            <w:pPr>
              <w:pStyle w:val="COMTabletext"/>
              <w:jc w:val="center"/>
              <w:rPr>
                <w:bCs w:val="0"/>
              </w:rPr>
            </w:pPr>
            <w:r w:rsidRPr="0059433B">
              <w:rPr>
                <w:bCs w:val="0"/>
              </w:rPr>
              <w:t>-</w:t>
            </w:r>
          </w:p>
        </w:tc>
        <w:tc>
          <w:tcPr>
            <w:tcW w:w="1197" w:type="pct"/>
            <w:shd w:val="clear" w:color="auto" w:fill="auto"/>
            <w:vAlign w:val="center"/>
          </w:tcPr>
          <w:p w14:paraId="4350E622" w14:textId="6E0D5ECA" w:rsidR="00230CBC" w:rsidRPr="0059433B" w:rsidRDefault="00230CBC" w:rsidP="00C5774C">
            <w:pPr>
              <w:pStyle w:val="COMTabletext"/>
              <w:jc w:val="center"/>
              <w:rPr>
                <w:bCs w:val="0"/>
                <w:vertAlign w:val="superscript"/>
              </w:rPr>
            </w:pPr>
            <w:r w:rsidRPr="0059433B">
              <w:rPr>
                <w:bCs w:val="0"/>
              </w:rPr>
              <w:t>$</w:t>
            </w:r>
            <w:r w:rsidR="00B94620" w:rsidRPr="00B94620">
              <w:rPr>
                <w:bCs w:val="0"/>
                <w:color w:val="000000"/>
                <w:shd w:val="solid" w:color="000000" w:fill="000000"/>
                <w14:textFill>
                  <w14:solidFill>
                    <w14:srgbClr w14:val="000000">
                      <w14:alpha w14:val="100000"/>
                    </w14:srgbClr>
                  </w14:solidFill>
                </w14:textFill>
              </w:rPr>
              <w:t>|</w:t>
            </w:r>
            <w:r w:rsidRPr="0059433B">
              <w:rPr>
                <w:bCs w:val="0"/>
                <w:vertAlign w:val="superscript"/>
              </w:rPr>
              <w:t xml:space="preserve"> a</w:t>
            </w:r>
          </w:p>
        </w:tc>
        <w:tc>
          <w:tcPr>
            <w:tcW w:w="1201" w:type="pct"/>
            <w:shd w:val="clear" w:color="auto" w:fill="auto"/>
            <w:vAlign w:val="center"/>
          </w:tcPr>
          <w:p w14:paraId="11997DA5" w14:textId="72A71A37" w:rsidR="00230CBC" w:rsidRPr="0059433B" w:rsidRDefault="00230CBC" w:rsidP="00C5774C">
            <w:pPr>
              <w:pStyle w:val="COMTabletext"/>
              <w:jc w:val="center"/>
              <w:rPr>
                <w:bCs w:val="0"/>
              </w:rPr>
            </w:pPr>
            <w:r w:rsidRPr="0059433B">
              <w:rPr>
                <w:bCs w:val="0"/>
              </w:rPr>
              <w:t>$</w:t>
            </w:r>
            <w:r w:rsidR="00B94620" w:rsidRPr="00B94620">
              <w:rPr>
                <w:bCs w:val="0"/>
                <w:color w:val="000000"/>
                <w:shd w:val="solid" w:color="000000" w:fill="000000"/>
                <w14:textFill>
                  <w14:solidFill>
                    <w14:srgbClr w14:val="000000">
                      <w14:alpha w14:val="100000"/>
                    </w14:srgbClr>
                  </w14:solidFill>
                </w14:textFill>
              </w:rPr>
              <w:t>|</w:t>
            </w:r>
            <w:r w:rsidRPr="0059433B">
              <w:rPr>
                <w:bCs w:val="0"/>
                <w:vertAlign w:val="superscript"/>
              </w:rPr>
              <w:t xml:space="preserve"> a</w:t>
            </w:r>
          </w:p>
        </w:tc>
      </w:tr>
      <w:tr w:rsidR="00230CBC" w:rsidRPr="0059433B" w14:paraId="4538AB8F" w14:textId="77777777" w:rsidTr="00C5774C">
        <w:trPr>
          <w:cantSplit/>
          <w:jc w:val="center"/>
        </w:trPr>
        <w:tc>
          <w:tcPr>
            <w:tcW w:w="1403" w:type="pct"/>
            <w:shd w:val="clear" w:color="auto" w:fill="auto"/>
            <w:vAlign w:val="center"/>
          </w:tcPr>
          <w:p w14:paraId="6F335010" w14:textId="77777777" w:rsidR="00230CBC" w:rsidRPr="0059433B" w:rsidRDefault="00230CBC" w:rsidP="00C5774C">
            <w:pPr>
              <w:pStyle w:val="COMTabletext"/>
            </w:pPr>
            <w:r w:rsidRPr="0059433B">
              <w:t>Adherence</w:t>
            </w:r>
          </w:p>
        </w:tc>
        <w:tc>
          <w:tcPr>
            <w:tcW w:w="1199" w:type="pct"/>
            <w:shd w:val="clear" w:color="auto" w:fill="auto"/>
            <w:vAlign w:val="center"/>
          </w:tcPr>
          <w:p w14:paraId="1E935DAA" w14:textId="77777777" w:rsidR="00230CBC" w:rsidRPr="0059433B" w:rsidRDefault="00230CBC" w:rsidP="00C5774C">
            <w:pPr>
              <w:pStyle w:val="COMTabletext"/>
              <w:jc w:val="center"/>
              <w:rPr>
                <w:bCs w:val="0"/>
              </w:rPr>
            </w:pPr>
            <w:r w:rsidRPr="0059433B">
              <w:rPr>
                <w:bCs w:val="0"/>
              </w:rPr>
              <w:t>Relative dose intensity: 0.969</w:t>
            </w:r>
          </w:p>
        </w:tc>
        <w:tc>
          <w:tcPr>
            <w:tcW w:w="1197" w:type="pct"/>
            <w:shd w:val="clear" w:color="auto" w:fill="auto"/>
            <w:vAlign w:val="center"/>
          </w:tcPr>
          <w:p w14:paraId="167D134F" w14:textId="77777777" w:rsidR="00230CBC" w:rsidRPr="0059433B" w:rsidRDefault="00230CBC" w:rsidP="00C5774C">
            <w:pPr>
              <w:pStyle w:val="COMTabletext"/>
              <w:jc w:val="center"/>
              <w:rPr>
                <w:bCs w:val="0"/>
              </w:rPr>
            </w:pPr>
            <w:r w:rsidRPr="0059433B">
              <w:rPr>
                <w:bCs w:val="0"/>
              </w:rPr>
              <w:t>96.9%</w:t>
            </w:r>
          </w:p>
        </w:tc>
        <w:tc>
          <w:tcPr>
            <w:tcW w:w="1201" w:type="pct"/>
            <w:shd w:val="clear" w:color="auto" w:fill="auto"/>
            <w:vAlign w:val="center"/>
          </w:tcPr>
          <w:p w14:paraId="575A7B4A" w14:textId="77777777" w:rsidR="00230CBC" w:rsidRPr="0059433B" w:rsidRDefault="00230CBC" w:rsidP="00C5774C">
            <w:pPr>
              <w:pStyle w:val="COMTabletext"/>
              <w:jc w:val="center"/>
              <w:rPr>
                <w:bCs w:val="0"/>
              </w:rPr>
            </w:pPr>
            <w:r w:rsidRPr="0059433B">
              <w:rPr>
                <w:bCs w:val="0"/>
              </w:rPr>
              <w:t>96.9%</w:t>
            </w:r>
          </w:p>
        </w:tc>
      </w:tr>
      <w:tr w:rsidR="00230CBC" w:rsidRPr="0059433B" w14:paraId="3FEEFA7E" w14:textId="77777777" w:rsidTr="00C5774C">
        <w:trPr>
          <w:cantSplit/>
          <w:jc w:val="center"/>
        </w:trPr>
        <w:tc>
          <w:tcPr>
            <w:tcW w:w="1403" w:type="pct"/>
            <w:shd w:val="clear" w:color="auto" w:fill="auto"/>
            <w:vAlign w:val="center"/>
          </w:tcPr>
          <w:p w14:paraId="2A1A7972" w14:textId="77777777" w:rsidR="00230CBC" w:rsidRPr="0059433B" w:rsidRDefault="00230CBC" w:rsidP="00C5774C">
            <w:pPr>
              <w:pStyle w:val="COMTabletext"/>
            </w:pPr>
            <w:r w:rsidRPr="0059433B">
              <w:t>Cost per year</w:t>
            </w:r>
          </w:p>
        </w:tc>
        <w:tc>
          <w:tcPr>
            <w:tcW w:w="1199" w:type="pct"/>
            <w:shd w:val="clear" w:color="auto" w:fill="auto"/>
            <w:vAlign w:val="center"/>
          </w:tcPr>
          <w:p w14:paraId="54B1E4DA" w14:textId="77777777" w:rsidR="00230CBC" w:rsidRPr="0059433B" w:rsidRDefault="00230CBC" w:rsidP="00C5774C">
            <w:pPr>
              <w:pStyle w:val="COMTabletext"/>
              <w:jc w:val="center"/>
              <w:rPr>
                <w:bCs w:val="0"/>
              </w:rPr>
            </w:pPr>
            <w:r w:rsidRPr="0059433B">
              <w:rPr>
                <w:bCs w:val="0"/>
              </w:rPr>
              <w:t>-</w:t>
            </w:r>
          </w:p>
        </w:tc>
        <w:tc>
          <w:tcPr>
            <w:tcW w:w="1197" w:type="pct"/>
            <w:shd w:val="clear" w:color="auto" w:fill="auto"/>
            <w:vAlign w:val="center"/>
          </w:tcPr>
          <w:p w14:paraId="47A56240" w14:textId="5FE7812A" w:rsidR="00230CBC" w:rsidRPr="0059433B" w:rsidRDefault="00230CBC" w:rsidP="00C5774C">
            <w:pPr>
              <w:pStyle w:val="COMTabletext"/>
              <w:jc w:val="center"/>
              <w:rPr>
                <w:bCs w:val="0"/>
                <w:vertAlign w:val="superscript"/>
              </w:rPr>
            </w:pPr>
            <w:r w:rsidRPr="0059433B">
              <w:t>$</w:t>
            </w:r>
            <w:r w:rsidR="00B94620" w:rsidRPr="00B94620">
              <w:rPr>
                <w:color w:val="000000"/>
                <w:shd w:val="solid" w:color="000000" w:fill="000000"/>
                <w14:textFill>
                  <w14:solidFill>
                    <w14:srgbClr w14:val="000000">
                      <w14:alpha w14:val="100000"/>
                    </w14:srgbClr>
                  </w14:solidFill>
                </w14:textFill>
              </w:rPr>
              <w:t>|</w:t>
            </w:r>
            <w:r w:rsidRPr="00D8232B">
              <w:rPr>
                <w:vertAlign w:val="superscript"/>
              </w:rPr>
              <w:t>b</w:t>
            </w:r>
          </w:p>
        </w:tc>
        <w:tc>
          <w:tcPr>
            <w:tcW w:w="1201" w:type="pct"/>
            <w:shd w:val="clear" w:color="auto" w:fill="auto"/>
            <w:vAlign w:val="center"/>
          </w:tcPr>
          <w:p w14:paraId="2EB71009" w14:textId="2522221F" w:rsidR="00230CBC" w:rsidRPr="0059433B" w:rsidRDefault="00230CBC" w:rsidP="00C5774C">
            <w:pPr>
              <w:pStyle w:val="COMTabletext"/>
              <w:jc w:val="center"/>
              <w:rPr>
                <w:bCs w:val="0"/>
                <w:vertAlign w:val="superscript"/>
              </w:rPr>
            </w:pPr>
            <w:r w:rsidRPr="0059433B">
              <w:t>$</w:t>
            </w:r>
            <w:r w:rsidR="00B94620" w:rsidRPr="00B94620">
              <w:rPr>
                <w:color w:val="000000"/>
                <w:shd w:val="solid" w:color="000000" w:fill="000000"/>
                <w14:textFill>
                  <w14:solidFill>
                    <w14:srgbClr w14:val="000000">
                      <w14:alpha w14:val="100000"/>
                    </w14:srgbClr>
                  </w14:solidFill>
                </w14:textFill>
              </w:rPr>
              <w:t>|</w:t>
            </w:r>
            <w:r w:rsidRPr="0059433B">
              <w:rPr>
                <w:vertAlign w:val="superscript"/>
              </w:rPr>
              <w:t>b</w:t>
            </w:r>
          </w:p>
        </w:tc>
      </w:tr>
      <w:tr w:rsidR="00230CBC" w:rsidRPr="0059433B" w14:paraId="662BDCC7" w14:textId="77777777" w:rsidTr="00C5774C">
        <w:trPr>
          <w:cantSplit/>
          <w:jc w:val="center"/>
        </w:trPr>
        <w:tc>
          <w:tcPr>
            <w:tcW w:w="1403" w:type="pct"/>
            <w:shd w:val="clear" w:color="auto" w:fill="auto"/>
            <w:vAlign w:val="center"/>
          </w:tcPr>
          <w:p w14:paraId="4E0C89B7" w14:textId="77777777" w:rsidR="00230CBC" w:rsidRPr="0059433B" w:rsidRDefault="00230CBC" w:rsidP="00C5774C">
            <w:pPr>
              <w:pStyle w:val="COMTabletext"/>
            </w:pPr>
            <w:r w:rsidRPr="0059433B">
              <w:t>Proportion of patients on treatment (persistence)</w:t>
            </w:r>
          </w:p>
        </w:tc>
        <w:tc>
          <w:tcPr>
            <w:tcW w:w="1199" w:type="pct"/>
            <w:shd w:val="clear" w:color="auto" w:fill="auto"/>
            <w:vAlign w:val="center"/>
          </w:tcPr>
          <w:p w14:paraId="520C186E" w14:textId="77777777" w:rsidR="00230CBC" w:rsidRPr="0059433B" w:rsidRDefault="00230CBC" w:rsidP="00C5774C">
            <w:pPr>
              <w:pStyle w:val="COMTabletext"/>
              <w:jc w:val="center"/>
              <w:rPr>
                <w:bCs w:val="0"/>
              </w:rPr>
            </w:pPr>
            <w:r w:rsidRPr="0059433B">
              <w:rPr>
                <w:bCs w:val="0"/>
              </w:rPr>
              <w:t>92.6% of patients remained on treatment at 18 months</w:t>
            </w:r>
          </w:p>
        </w:tc>
        <w:tc>
          <w:tcPr>
            <w:tcW w:w="1197" w:type="pct"/>
            <w:shd w:val="clear" w:color="auto" w:fill="auto"/>
            <w:vAlign w:val="center"/>
          </w:tcPr>
          <w:p w14:paraId="351223D4" w14:textId="77777777" w:rsidR="00230CBC" w:rsidRPr="0059433B" w:rsidRDefault="00230CBC" w:rsidP="00C5774C">
            <w:pPr>
              <w:pStyle w:val="COMTabletext"/>
              <w:jc w:val="center"/>
              <w:rPr>
                <w:bCs w:val="0"/>
                <w:vertAlign w:val="superscript"/>
              </w:rPr>
            </w:pPr>
            <w:r w:rsidRPr="0059433B">
              <w:rPr>
                <w:bCs w:val="0"/>
              </w:rPr>
              <w:t>Year 1: 94%</w:t>
            </w:r>
            <w:r w:rsidRPr="0059433B">
              <w:rPr>
                <w:bCs w:val="0"/>
                <w:vertAlign w:val="superscript"/>
              </w:rPr>
              <w:t>c</w:t>
            </w:r>
          </w:p>
          <w:p w14:paraId="13F55D20" w14:textId="77777777" w:rsidR="00230CBC" w:rsidRPr="0059433B" w:rsidRDefault="00230CBC" w:rsidP="00C5774C">
            <w:pPr>
              <w:pStyle w:val="COMTabletext"/>
              <w:jc w:val="center"/>
              <w:rPr>
                <w:bCs w:val="0"/>
                <w:vertAlign w:val="superscript"/>
              </w:rPr>
            </w:pPr>
            <w:r w:rsidRPr="0059433B">
              <w:rPr>
                <w:bCs w:val="0"/>
              </w:rPr>
              <w:t>Year 2: 84%</w:t>
            </w:r>
            <w:r w:rsidRPr="0059433B">
              <w:rPr>
                <w:bCs w:val="0"/>
                <w:vertAlign w:val="superscript"/>
              </w:rPr>
              <w:t>c</w:t>
            </w:r>
          </w:p>
          <w:p w14:paraId="470257B0" w14:textId="77777777" w:rsidR="00230CBC" w:rsidRPr="0059433B" w:rsidRDefault="00230CBC" w:rsidP="00C5774C">
            <w:pPr>
              <w:pStyle w:val="COMTabletext"/>
              <w:jc w:val="center"/>
              <w:rPr>
                <w:bCs w:val="0"/>
                <w:vertAlign w:val="superscript"/>
              </w:rPr>
            </w:pPr>
            <w:r w:rsidRPr="0059433B">
              <w:rPr>
                <w:bCs w:val="0"/>
              </w:rPr>
              <w:t>Year 3: 75%</w:t>
            </w:r>
            <w:r w:rsidRPr="0059433B">
              <w:rPr>
                <w:bCs w:val="0"/>
                <w:vertAlign w:val="superscript"/>
              </w:rPr>
              <w:t>c</w:t>
            </w:r>
          </w:p>
          <w:p w14:paraId="3FEAC438" w14:textId="77777777" w:rsidR="00230CBC" w:rsidRPr="0059433B" w:rsidRDefault="00230CBC" w:rsidP="00C5774C">
            <w:pPr>
              <w:pStyle w:val="COMTabletext"/>
              <w:jc w:val="center"/>
              <w:rPr>
                <w:bCs w:val="0"/>
                <w:vertAlign w:val="superscript"/>
              </w:rPr>
            </w:pPr>
            <w:r w:rsidRPr="0059433B">
              <w:rPr>
                <w:bCs w:val="0"/>
              </w:rPr>
              <w:t>Year 4: 69%</w:t>
            </w:r>
            <w:r w:rsidRPr="0059433B">
              <w:rPr>
                <w:bCs w:val="0"/>
                <w:vertAlign w:val="superscript"/>
              </w:rPr>
              <w:t>c</w:t>
            </w:r>
          </w:p>
          <w:p w14:paraId="2C76648C" w14:textId="77777777" w:rsidR="00230CBC" w:rsidRPr="0059433B" w:rsidRDefault="00230CBC" w:rsidP="00C5774C">
            <w:pPr>
              <w:pStyle w:val="COMTabletext"/>
              <w:jc w:val="center"/>
              <w:rPr>
                <w:bCs w:val="0"/>
                <w:vertAlign w:val="superscript"/>
              </w:rPr>
            </w:pPr>
            <w:r w:rsidRPr="0059433B">
              <w:rPr>
                <w:bCs w:val="0"/>
              </w:rPr>
              <w:t>Year 5: 63%</w:t>
            </w:r>
            <w:r w:rsidRPr="0059433B">
              <w:rPr>
                <w:bCs w:val="0"/>
                <w:vertAlign w:val="superscript"/>
              </w:rPr>
              <w:t>c</w:t>
            </w:r>
          </w:p>
          <w:p w14:paraId="54FC1E48" w14:textId="77777777" w:rsidR="00230CBC" w:rsidRPr="0059433B" w:rsidRDefault="00230CBC" w:rsidP="00C5774C">
            <w:pPr>
              <w:pStyle w:val="COMTabletext"/>
              <w:jc w:val="center"/>
              <w:rPr>
                <w:bCs w:val="0"/>
                <w:vertAlign w:val="superscript"/>
              </w:rPr>
            </w:pPr>
            <w:r w:rsidRPr="0059433B">
              <w:rPr>
                <w:bCs w:val="0"/>
              </w:rPr>
              <w:t>Year 6: 57%</w:t>
            </w:r>
            <w:r w:rsidRPr="0059433B">
              <w:rPr>
                <w:bCs w:val="0"/>
                <w:vertAlign w:val="superscript"/>
              </w:rPr>
              <w:t>c</w:t>
            </w:r>
          </w:p>
        </w:tc>
        <w:tc>
          <w:tcPr>
            <w:tcW w:w="1201" w:type="pct"/>
            <w:shd w:val="clear" w:color="auto" w:fill="auto"/>
            <w:vAlign w:val="center"/>
          </w:tcPr>
          <w:p w14:paraId="67229EAC" w14:textId="77777777" w:rsidR="00230CBC" w:rsidRPr="0059433B" w:rsidRDefault="00230CBC" w:rsidP="00C5774C">
            <w:pPr>
              <w:pStyle w:val="COMTabletext"/>
              <w:jc w:val="center"/>
              <w:rPr>
                <w:bCs w:val="0"/>
                <w:vertAlign w:val="superscript"/>
              </w:rPr>
            </w:pPr>
            <w:r w:rsidRPr="0059433B">
              <w:rPr>
                <w:bCs w:val="0"/>
              </w:rPr>
              <w:t>Year 1: 100%</w:t>
            </w:r>
            <w:r w:rsidRPr="0059433B">
              <w:rPr>
                <w:bCs w:val="0"/>
                <w:vertAlign w:val="superscript"/>
              </w:rPr>
              <w:t>d</w:t>
            </w:r>
          </w:p>
          <w:p w14:paraId="362E299E" w14:textId="77777777" w:rsidR="00230CBC" w:rsidRPr="0059433B" w:rsidRDefault="00230CBC" w:rsidP="00C5774C">
            <w:pPr>
              <w:pStyle w:val="COMTabletext"/>
              <w:jc w:val="center"/>
              <w:rPr>
                <w:bCs w:val="0"/>
                <w:vertAlign w:val="superscript"/>
              </w:rPr>
            </w:pPr>
            <w:r w:rsidRPr="0059433B">
              <w:rPr>
                <w:bCs w:val="0"/>
              </w:rPr>
              <w:t>Year 2: 100%</w:t>
            </w:r>
            <w:r w:rsidRPr="0059433B">
              <w:rPr>
                <w:bCs w:val="0"/>
                <w:vertAlign w:val="superscript"/>
              </w:rPr>
              <w:t>d</w:t>
            </w:r>
          </w:p>
          <w:p w14:paraId="23FF52EA" w14:textId="77777777" w:rsidR="00230CBC" w:rsidRPr="0059433B" w:rsidRDefault="00230CBC" w:rsidP="00C5774C">
            <w:pPr>
              <w:pStyle w:val="COMTabletext"/>
              <w:jc w:val="center"/>
              <w:rPr>
                <w:bCs w:val="0"/>
                <w:vertAlign w:val="superscript"/>
              </w:rPr>
            </w:pPr>
            <w:r w:rsidRPr="0059433B">
              <w:rPr>
                <w:bCs w:val="0"/>
              </w:rPr>
              <w:t>Year 3: 100%</w:t>
            </w:r>
            <w:r w:rsidRPr="0059433B">
              <w:rPr>
                <w:bCs w:val="0"/>
                <w:vertAlign w:val="superscript"/>
              </w:rPr>
              <w:t>d</w:t>
            </w:r>
          </w:p>
          <w:p w14:paraId="151C9D8C" w14:textId="77777777" w:rsidR="00230CBC" w:rsidRPr="0059433B" w:rsidRDefault="00230CBC" w:rsidP="00C5774C">
            <w:pPr>
              <w:pStyle w:val="COMTabletext"/>
              <w:jc w:val="center"/>
              <w:rPr>
                <w:bCs w:val="0"/>
                <w:vertAlign w:val="superscript"/>
              </w:rPr>
            </w:pPr>
            <w:r w:rsidRPr="0059433B">
              <w:rPr>
                <w:bCs w:val="0"/>
              </w:rPr>
              <w:t>Year 4: 100%</w:t>
            </w:r>
            <w:r w:rsidRPr="0059433B">
              <w:rPr>
                <w:bCs w:val="0"/>
                <w:vertAlign w:val="superscript"/>
              </w:rPr>
              <w:t>d</w:t>
            </w:r>
          </w:p>
          <w:p w14:paraId="05D4C2BA" w14:textId="77777777" w:rsidR="00230CBC" w:rsidRPr="0059433B" w:rsidRDefault="00230CBC" w:rsidP="00C5774C">
            <w:pPr>
              <w:pStyle w:val="COMTabletext"/>
              <w:jc w:val="center"/>
              <w:rPr>
                <w:bCs w:val="0"/>
                <w:vertAlign w:val="superscript"/>
              </w:rPr>
            </w:pPr>
            <w:r w:rsidRPr="0059433B">
              <w:rPr>
                <w:bCs w:val="0"/>
              </w:rPr>
              <w:t>Year 5: 100%</w:t>
            </w:r>
            <w:r w:rsidRPr="0059433B">
              <w:rPr>
                <w:bCs w:val="0"/>
                <w:vertAlign w:val="superscript"/>
              </w:rPr>
              <w:t>d</w:t>
            </w:r>
          </w:p>
          <w:p w14:paraId="4E3F1C42" w14:textId="77777777" w:rsidR="00230CBC" w:rsidRPr="0059433B" w:rsidRDefault="00230CBC" w:rsidP="00C5774C">
            <w:pPr>
              <w:pStyle w:val="COMTabletext"/>
              <w:jc w:val="center"/>
              <w:rPr>
                <w:bCs w:val="0"/>
                <w:vertAlign w:val="superscript"/>
              </w:rPr>
            </w:pPr>
            <w:r w:rsidRPr="0059433B">
              <w:rPr>
                <w:bCs w:val="0"/>
              </w:rPr>
              <w:t>Year 6: 100%</w:t>
            </w:r>
            <w:r w:rsidRPr="0059433B">
              <w:rPr>
                <w:bCs w:val="0"/>
                <w:vertAlign w:val="superscript"/>
              </w:rPr>
              <w:t>d</w:t>
            </w:r>
          </w:p>
        </w:tc>
      </w:tr>
    </w:tbl>
    <w:p w14:paraId="3BC19F1A" w14:textId="77777777" w:rsidR="00230CBC" w:rsidRPr="00B80329" w:rsidRDefault="00230CBC" w:rsidP="00230CBC">
      <w:pPr>
        <w:pStyle w:val="COMTablefooter"/>
      </w:pPr>
      <w:r w:rsidRPr="0059433B">
        <w:t xml:space="preserve">Source: Table 10, p80 of the APOLLO trial clinical study report; ‘Costs’ and ‘Markov Patisiran’ tabs of the economic model Excel workbook; ‘3a. Scripts – proposed’ tab of the financial implications Excel </w:t>
      </w:r>
      <w:r w:rsidRPr="00B80329">
        <w:t>Workbook.</w:t>
      </w:r>
    </w:p>
    <w:p w14:paraId="0E017600" w14:textId="5867AA74" w:rsidR="00230CBC" w:rsidRPr="00B80329" w:rsidRDefault="00230CBC" w:rsidP="00230CBC">
      <w:pPr>
        <w:pStyle w:val="COMTablefooter"/>
      </w:pPr>
      <w:r w:rsidRPr="00B80329">
        <w:rPr>
          <w:vertAlign w:val="superscript"/>
        </w:rPr>
        <w:t>a</w:t>
      </w:r>
      <w:r w:rsidRPr="00B80329">
        <w:t xml:space="preserve"> Based on the proposed AEMP of $</w:t>
      </w:r>
      <w:r w:rsidR="00B94620" w:rsidRPr="00B80329">
        <w:rPr>
          <w:color w:val="000000"/>
          <w:spacing w:val="38"/>
          <w:shd w:val="solid" w:color="000000" w:fill="000000"/>
          <w:fitText w:val="274" w:id="-1171529456"/>
          <w14:textFill>
            <w14:solidFill>
              <w14:srgbClr w14:val="000000">
                <w14:alpha w14:val="100000"/>
              </w14:srgbClr>
            </w14:solidFill>
          </w14:textFill>
        </w:rPr>
        <w:t xml:space="preserve">|  </w:t>
      </w:r>
      <w:r w:rsidR="00B94620" w:rsidRPr="00B80329">
        <w:rPr>
          <w:color w:val="000000"/>
          <w:spacing w:val="2"/>
          <w:shd w:val="solid" w:color="000000" w:fill="000000"/>
          <w:fitText w:val="274" w:id="-1171529456"/>
          <w14:textFill>
            <w14:solidFill>
              <w14:srgbClr w14:val="000000">
                <w14:alpha w14:val="100000"/>
              </w14:srgbClr>
            </w14:solidFill>
          </w14:textFill>
        </w:rPr>
        <w:t>|</w:t>
      </w:r>
      <w:r w:rsidRPr="00B80329">
        <w:t xml:space="preserve"> per 10 mg vial, assuming 2.38 vials per treatment.</w:t>
      </w:r>
    </w:p>
    <w:p w14:paraId="69189166" w14:textId="43CA98A5" w:rsidR="00230CBC" w:rsidRPr="0059433B" w:rsidRDefault="00230CBC" w:rsidP="00230CBC">
      <w:pPr>
        <w:pStyle w:val="COMTablefooter"/>
      </w:pPr>
      <w:r w:rsidRPr="00B80329">
        <w:rPr>
          <w:vertAlign w:val="superscript"/>
        </w:rPr>
        <w:t>b</w:t>
      </w:r>
      <w:r w:rsidRPr="00B80329">
        <w:t xml:space="preserve"> Based on the proposed patisiran AEMP of $</w:t>
      </w:r>
      <w:r w:rsidR="00B94620" w:rsidRPr="00B80329">
        <w:rPr>
          <w:color w:val="000000"/>
          <w:spacing w:val="38"/>
          <w:shd w:val="solid" w:color="000000" w:fill="000000"/>
          <w:fitText w:val="274" w:id="-1171529472"/>
          <w14:textFill>
            <w14:solidFill>
              <w14:srgbClr w14:val="000000">
                <w14:alpha w14:val="100000"/>
              </w14:srgbClr>
            </w14:solidFill>
          </w14:textFill>
        </w:rPr>
        <w:t xml:space="preserve">|  </w:t>
      </w:r>
      <w:r w:rsidR="00B94620" w:rsidRPr="00B80329">
        <w:rPr>
          <w:color w:val="000000"/>
          <w:spacing w:val="2"/>
          <w:shd w:val="solid" w:color="000000" w:fill="000000"/>
          <w:fitText w:val="274" w:id="-1171529472"/>
          <w14:textFill>
            <w14:solidFill>
              <w14:srgbClr w14:val="000000">
                <w14:alpha w14:val="100000"/>
              </w14:srgbClr>
            </w14:solidFill>
          </w14:textFill>
        </w:rPr>
        <w:t>|</w:t>
      </w:r>
      <w:r w:rsidRPr="00B80329">
        <w:t xml:space="preserve"> per 10 mg vial, assuming 2.38 vials per treatment, 17.39 treatments per year (365.25 ÷ 21), and treatment adherence of 96.9%.</w:t>
      </w:r>
    </w:p>
    <w:p w14:paraId="6E8EE71E" w14:textId="77777777" w:rsidR="00230CBC" w:rsidRPr="0059433B" w:rsidRDefault="00230CBC" w:rsidP="00230CBC">
      <w:pPr>
        <w:pStyle w:val="COMTablefooter"/>
      </w:pPr>
      <w:r w:rsidRPr="0059433B">
        <w:rPr>
          <w:vertAlign w:val="superscript"/>
        </w:rPr>
        <w:t>c</w:t>
      </w:r>
      <w:r w:rsidRPr="0059433B">
        <w:t xml:space="preserve"> Inclusive of half-cycle correction.</w:t>
      </w:r>
    </w:p>
    <w:p w14:paraId="7B456DC5" w14:textId="77777777" w:rsidR="00230CBC" w:rsidRPr="0059433B" w:rsidRDefault="00230CBC" w:rsidP="00230CBC">
      <w:pPr>
        <w:pStyle w:val="COMTablefooter"/>
      </w:pPr>
      <w:r w:rsidRPr="0059433B">
        <w:rPr>
          <w:vertAlign w:val="superscript"/>
        </w:rPr>
        <w:t>d</w:t>
      </w:r>
      <w:r w:rsidRPr="0059433B">
        <w:t xml:space="preserve"> A treatment duration of 72.27 months </w:t>
      </w:r>
      <w:proofErr w:type="gramStart"/>
      <w:r w:rsidRPr="0059433B">
        <w:t>was assumed</w:t>
      </w:r>
      <w:proofErr w:type="gramEnd"/>
      <w:r w:rsidRPr="0059433B">
        <w:t xml:space="preserve"> in the financial implications Excel workbook, which resulted in 100% treatment persistence over the initial 6 years of listing. The source of the estimated treatment duration was unclear.</w:t>
      </w:r>
    </w:p>
    <w:p w14:paraId="319112C8" w14:textId="77777777" w:rsidR="00230CBC" w:rsidRPr="0059433B" w:rsidRDefault="00230CBC" w:rsidP="00230CBC">
      <w:pPr>
        <w:pStyle w:val="COMH2-non-numbered"/>
      </w:pPr>
      <w:bookmarkStart w:id="77" w:name="_Toc22897647"/>
      <w:bookmarkStart w:id="78" w:name="_Toc107927633"/>
      <w:bookmarkStart w:id="79" w:name="_Toc135226812"/>
      <w:r w:rsidRPr="0059433B">
        <w:t>Estimated PBS usage &amp; financial implications</w:t>
      </w:r>
      <w:bookmarkEnd w:id="77"/>
      <w:bookmarkEnd w:id="78"/>
      <w:bookmarkEnd w:id="79"/>
    </w:p>
    <w:p w14:paraId="258A5202" w14:textId="77777777" w:rsidR="00230CBC" w:rsidRPr="0059433B" w:rsidRDefault="00230CBC" w:rsidP="00230CBC">
      <w:pPr>
        <w:pStyle w:val="3-BodyText"/>
        <w:numPr>
          <w:ilvl w:val="1"/>
          <w:numId w:val="1"/>
        </w:numPr>
        <w:snapToGrid/>
      </w:pPr>
      <w:r w:rsidRPr="0059433B">
        <w:t xml:space="preserve">This submission </w:t>
      </w:r>
      <w:proofErr w:type="gramStart"/>
      <w:r w:rsidRPr="0059433B">
        <w:t>was considered</w:t>
      </w:r>
      <w:proofErr w:type="gramEnd"/>
      <w:r w:rsidRPr="0059433B">
        <w:t xml:space="preserve"> by DUSC.</w:t>
      </w:r>
    </w:p>
    <w:p w14:paraId="091DCFF1" w14:textId="77777777" w:rsidR="00F126D4" w:rsidRPr="0059433B" w:rsidRDefault="00230CBC" w:rsidP="00230CBC">
      <w:pPr>
        <w:pStyle w:val="COMexecsumnumberedpara"/>
      </w:pPr>
      <w:r w:rsidRPr="0059433B">
        <w:lastRenderedPageBreak/>
        <w:t>The submission used an epidemiological approach to estimate the utilisation and financial impacts associated with listing patisiran for the treatment of patients with hATTR amyloidosis with polyneuropathy.</w:t>
      </w:r>
    </w:p>
    <w:p w14:paraId="250006E6" w14:textId="69F8CEAE" w:rsidR="00230CBC" w:rsidRPr="0059433B" w:rsidRDefault="00230CBC" w:rsidP="00230CBC">
      <w:pPr>
        <w:pStyle w:val="COMexecsumnumberedpara"/>
      </w:pPr>
      <w:r w:rsidRPr="0059433B">
        <w:t xml:space="preserve">Key sources of data used to derive the financial estimates </w:t>
      </w:r>
      <w:proofErr w:type="gramStart"/>
      <w:r w:rsidRPr="0059433B">
        <w:t>are presented</w:t>
      </w:r>
      <w:proofErr w:type="gramEnd"/>
      <w:r w:rsidRPr="0059433B">
        <w:t xml:space="preserve"> in </w:t>
      </w:r>
      <w:r w:rsidRPr="0059433B">
        <w:fldChar w:fldCharType="begin" w:fldLock="1"/>
      </w:r>
      <w:r w:rsidRPr="0059433B">
        <w:instrText xml:space="preserve"> REF _Ref132583404 \h  \* MERGEFORMAT </w:instrText>
      </w:r>
      <w:r w:rsidRPr="0059433B">
        <w:fldChar w:fldCharType="separate"/>
      </w:r>
      <w:r w:rsidR="00042B2E" w:rsidRPr="0059433B">
        <w:t>Table 15</w:t>
      </w:r>
      <w:r w:rsidRPr="0059433B">
        <w:fldChar w:fldCharType="end"/>
      </w:r>
      <w:r w:rsidRPr="0059433B">
        <w:t>.</w:t>
      </w:r>
    </w:p>
    <w:p w14:paraId="0D1565B2" w14:textId="23784FA4" w:rsidR="00230CBC" w:rsidRPr="0059433B" w:rsidRDefault="00230CBC" w:rsidP="00230CBC">
      <w:pPr>
        <w:pStyle w:val="COMtablefigcaption"/>
      </w:pPr>
      <w:bookmarkStart w:id="80" w:name="_Ref132583404"/>
      <w:r w:rsidRPr="0059433B">
        <w:t xml:space="preserve">Table </w:t>
      </w:r>
      <w:fldSimple w:instr=" SEQ Table \* ARABIC " w:fldLock="1">
        <w:r w:rsidR="00042B2E" w:rsidRPr="0059433B">
          <w:t>15</w:t>
        </w:r>
      </w:fldSimple>
      <w:bookmarkEnd w:id="80"/>
      <w:r w:rsidRPr="0059433B">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for financial estimates"/>
      </w:tblPr>
      <w:tblGrid>
        <w:gridCol w:w="1593"/>
        <w:gridCol w:w="3159"/>
        <w:gridCol w:w="4265"/>
      </w:tblGrid>
      <w:tr w:rsidR="00230CBC" w:rsidRPr="0059433B" w14:paraId="2AC26397" w14:textId="77777777" w:rsidTr="00C5774C">
        <w:trPr>
          <w:tblHeader/>
        </w:trPr>
        <w:tc>
          <w:tcPr>
            <w:tcW w:w="0" w:type="auto"/>
            <w:shd w:val="clear" w:color="auto" w:fill="auto"/>
            <w:vAlign w:val="center"/>
          </w:tcPr>
          <w:p w14:paraId="08EB23BA" w14:textId="77777777" w:rsidR="00230CBC" w:rsidRPr="0059433B" w:rsidRDefault="00230CBC" w:rsidP="00C5774C">
            <w:pPr>
              <w:pStyle w:val="COMTableheadingrow"/>
              <w:rPr>
                <w:lang w:val="en-AU"/>
              </w:rPr>
            </w:pPr>
            <w:r w:rsidRPr="0059433B">
              <w:rPr>
                <w:lang w:val="en-AU"/>
              </w:rPr>
              <w:t>Parameter</w:t>
            </w:r>
          </w:p>
        </w:tc>
        <w:tc>
          <w:tcPr>
            <w:tcW w:w="0" w:type="auto"/>
            <w:shd w:val="clear" w:color="auto" w:fill="auto"/>
            <w:vAlign w:val="center"/>
          </w:tcPr>
          <w:p w14:paraId="3FC643AD" w14:textId="77777777" w:rsidR="00230CBC" w:rsidRPr="0059433B" w:rsidRDefault="00230CBC" w:rsidP="00C5774C">
            <w:pPr>
              <w:pStyle w:val="COMTableheadingrow"/>
              <w:jc w:val="center"/>
              <w:rPr>
                <w:lang w:val="en-AU"/>
              </w:rPr>
            </w:pPr>
            <w:r w:rsidRPr="0059433B">
              <w:rPr>
                <w:lang w:val="en-AU"/>
              </w:rPr>
              <w:t>Value applied and source</w:t>
            </w:r>
          </w:p>
        </w:tc>
        <w:tc>
          <w:tcPr>
            <w:tcW w:w="0" w:type="auto"/>
            <w:shd w:val="clear" w:color="auto" w:fill="auto"/>
            <w:vAlign w:val="center"/>
          </w:tcPr>
          <w:p w14:paraId="341F2B06" w14:textId="77777777" w:rsidR="00230CBC" w:rsidRPr="0059433B" w:rsidRDefault="00230CBC" w:rsidP="00C5774C">
            <w:pPr>
              <w:pStyle w:val="COMTableheadingrow"/>
              <w:jc w:val="center"/>
              <w:rPr>
                <w:lang w:val="en-AU"/>
              </w:rPr>
            </w:pPr>
            <w:r w:rsidRPr="0059433B">
              <w:rPr>
                <w:lang w:val="en-AU"/>
              </w:rPr>
              <w:t>Comment</w:t>
            </w:r>
          </w:p>
        </w:tc>
      </w:tr>
      <w:tr w:rsidR="00230CBC" w:rsidRPr="0059433B" w14:paraId="3DC40EB2" w14:textId="77777777" w:rsidTr="00C5774C">
        <w:tc>
          <w:tcPr>
            <w:tcW w:w="0" w:type="auto"/>
            <w:shd w:val="clear" w:color="auto" w:fill="auto"/>
            <w:vAlign w:val="center"/>
          </w:tcPr>
          <w:p w14:paraId="7E736C99" w14:textId="77777777" w:rsidR="00230CBC" w:rsidRPr="0059433B" w:rsidRDefault="00230CBC" w:rsidP="00C5774C">
            <w:pPr>
              <w:pStyle w:val="COMTabletext"/>
              <w:keepNext w:val="0"/>
            </w:pPr>
            <w:r w:rsidRPr="0059433B">
              <w:t>Number of prevalent hATTR amyloidosis patients by PND score</w:t>
            </w:r>
          </w:p>
        </w:tc>
        <w:tc>
          <w:tcPr>
            <w:tcW w:w="0" w:type="auto"/>
            <w:shd w:val="clear" w:color="auto" w:fill="auto"/>
            <w:vAlign w:val="center"/>
          </w:tcPr>
          <w:p w14:paraId="2D1A1422" w14:textId="77777777" w:rsidR="00230CBC" w:rsidRPr="0059433B" w:rsidRDefault="00230CBC" w:rsidP="00C5774C">
            <w:pPr>
              <w:pStyle w:val="COMTabletext"/>
            </w:pPr>
            <w:r w:rsidRPr="0059433B">
              <w:t xml:space="preserve">PND 0: 59; PND I: </w:t>
            </w:r>
            <w:proofErr w:type="gramStart"/>
            <w:r w:rsidRPr="0059433B">
              <w:t>29</w:t>
            </w:r>
            <w:proofErr w:type="gramEnd"/>
            <w:r w:rsidRPr="0059433B">
              <w:t>; PND II: 13; PND IIIA: 4; PND IIIB: 7; PND IV: 1; PND unknown: 17. Based on data obtained from the AAN, comprising 4 treatment centres and 3 affiliate services, collected from clinic databases spanning 2007-2022.</w:t>
            </w:r>
          </w:p>
        </w:tc>
        <w:tc>
          <w:tcPr>
            <w:tcW w:w="0" w:type="auto"/>
            <w:shd w:val="clear" w:color="auto" w:fill="auto"/>
            <w:vAlign w:val="center"/>
          </w:tcPr>
          <w:p w14:paraId="5C831B37" w14:textId="77777777" w:rsidR="00230CBC" w:rsidRPr="0059433B" w:rsidRDefault="00230CBC" w:rsidP="00C5774C">
            <w:pPr>
              <w:pStyle w:val="COMTabletext"/>
            </w:pPr>
            <w:r w:rsidRPr="0059433B">
              <w:t>Correspondence from the AAN indicated that:</w:t>
            </w:r>
          </w:p>
          <w:p w14:paraId="2CB7F608" w14:textId="77777777" w:rsidR="00230CBC" w:rsidRPr="0059433B" w:rsidRDefault="00230CBC" w:rsidP="00230CBC">
            <w:pPr>
              <w:pStyle w:val="COMTabletext"/>
              <w:numPr>
                <w:ilvl w:val="0"/>
                <w:numId w:val="6"/>
              </w:numPr>
              <w:ind w:left="119" w:hanging="77"/>
            </w:pPr>
            <w:r w:rsidRPr="0059433B">
              <w:t xml:space="preserve">The centres included in the network do not see every case of hATTR amyloidosis in Australia, as even if a case </w:t>
            </w:r>
            <w:proofErr w:type="gramStart"/>
            <w:r w:rsidRPr="0059433B">
              <w:t>is diagnosed</w:t>
            </w:r>
            <w:proofErr w:type="gramEnd"/>
            <w:r w:rsidRPr="0059433B">
              <w:t>, they are not necessarily referred to an AAN service.</w:t>
            </w:r>
          </w:p>
          <w:p w14:paraId="28665DB6" w14:textId="77777777" w:rsidR="00230CBC" w:rsidRPr="0059433B" w:rsidRDefault="00230CBC" w:rsidP="00230CBC">
            <w:pPr>
              <w:pStyle w:val="COMTabletext"/>
              <w:numPr>
                <w:ilvl w:val="0"/>
                <w:numId w:val="6"/>
              </w:numPr>
              <w:ind w:left="119" w:hanging="77"/>
            </w:pPr>
            <w:r w:rsidRPr="0059433B">
              <w:t>The numbers are an underestimate due to hereditary amyloidosis being an under-recognised and under-diagnosed disorder.</w:t>
            </w:r>
          </w:p>
          <w:p w14:paraId="7A25C98F" w14:textId="77777777" w:rsidR="00230CBC" w:rsidRPr="0059433B" w:rsidRDefault="00230CBC" w:rsidP="00C5774C">
            <w:pPr>
              <w:pStyle w:val="COMTabletext"/>
              <w:rPr>
                <w:iCs/>
              </w:rPr>
            </w:pPr>
          </w:p>
          <w:p w14:paraId="16B266DE" w14:textId="75BC26C8" w:rsidR="00230CBC" w:rsidRPr="0059433B" w:rsidRDefault="00230CBC" w:rsidP="00C5774C">
            <w:pPr>
              <w:pStyle w:val="COMTabletext"/>
              <w:rPr>
                <w:iCs/>
              </w:rPr>
            </w:pPr>
            <w:r w:rsidRPr="0059433B">
              <w:rPr>
                <w:iCs/>
              </w:rPr>
              <w:t>The PSCR acknowledged that there is underdiagnosis of hATTR amyloidosis, recognising that detection may increase with clinical trial activity and introduction of MBS item (73422).</w:t>
            </w:r>
          </w:p>
          <w:p w14:paraId="55210620" w14:textId="77777777" w:rsidR="00230CBC" w:rsidRPr="0059433B" w:rsidRDefault="00230CBC" w:rsidP="00C5774C">
            <w:pPr>
              <w:pStyle w:val="COMTabletext"/>
              <w:rPr>
                <w:iCs/>
              </w:rPr>
            </w:pPr>
          </w:p>
          <w:p w14:paraId="6EF4CB4B" w14:textId="22F244CC" w:rsidR="00230CBC" w:rsidRPr="0059433B" w:rsidRDefault="00230CBC" w:rsidP="00C5774C">
            <w:pPr>
              <w:pStyle w:val="COMTabletext"/>
              <w:rPr>
                <w:iCs/>
              </w:rPr>
            </w:pPr>
            <w:r w:rsidRPr="0059433B">
              <w:rPr>
                <w:iCs/>
              </w:rPr>
              <w:t xml:space="preserve">DUSC agreed with the commentary that the prevalent patient data from the AAN </w:t>
            </w:r>
            <w:proofErr w:type="gramStart"/>
            <w:r w:rsidRPr="0059433B">
              <w:rPr>
                <w:iCs/>
              </w:rPr>
              <w:t>is underestimated</w:t>
            </w:r>
            <w:proofErr w:type="gramEnd"/>
            <w:r w:rsidRPr="0059433B">
              <w:rPr>
                <w:iCs/>
              </w:rPr>
              <w:t xml:space="preserve">. It </w:t>
            </w:r>
            <w:proofErr w:type="gramStart"/>
            <w:r w:rsidRPr="0059433B">
              <w:rPr>
                <w:iCs/>
              </w:rPr>
              <w:t>was noted</w:t>
            </w:r>
            <w:proofErr w:type="gramEnd"/>
            <w:r w:rsidRPr="0059433B">
              <w:rPr>
                <w:iCs/>
              </w:rPr>
              <w:t xml:space="preserve"> that the sponsor had not used prevalence rates from available literature, and this may have been more appropriate.</w:t>
            </w:r>
            <w:r w:rsidR="00A66278" w:rsidRPr="0059433B">
              <w:rPr>
                <w:iCs/>
              </w:rPr>
              <w:t xml:space="preserve"> </w:t>
            </w:r>
            <w:r w:rsidRPr="0059433B">
              <w:rPr>
                <w:iCs/>
              </w:rPr>
              <w:t xml:space="preserve">DUSC agreed with the commentary that the availability of MBS-funded genetic testing and the PBS listing of a disease-modifying treatment may lead to an increase in diagnostic testing and may identify greater numbers of patients at </w:t>
            </w:r>
            <w:proofErr w:type="gramStart"/>
            <w:r w:rsidRPr="0059433B">
              <w:rPr>
                <w:iCs/>
              </w:rPr>
              <w:t>early stages</w:t>
            </w:r>
            <w:proofErr w:type="gramEnd"/>
            <w:r w:rsidRPr="0059433B">
              <w:rPr>
                <w:iCs/>
              </w:rPr>
              <w:t xml:space="preserve"> of disease.</w:t>
            </w:r>
          </w:p>
          <w:p w14:paraId="4027FC00" w14:textId="77777777" w:rsidR="00230CBC" w:rsidRPr="0059433B" w:rsidRDefault="00230CBC" w:rsidP="00C5774C">
            <w:pPr>
              <w:pStyle w:val="COMTabletext"/>
              <w:rPr>
                <w:iCs/>
              </w:rPr>
            </w:pPr>
          </w:p>
          <w:p w14:paraId="58FB5A4D" w14:textId="36A8162B" w:rsidR="00230CBC" w:rsidRPr="0059433B" w:rsidRDefault="00230CBC" w:rsidP="00C5774C">
            <w:pPr>
              <w:pStyle w:val="COMTabletext"/>
              <w:rPr>
                <w:iCs/>
              </w:rPr>
            </w:pPr>
            <w:r w:rsidRPr="0059433B">
              <w:rPr>
                <w:iCs/>
              </w:rPr>
              <w:t xml:space="preserve">DUSC suggested using prevalent rates from available literature to </w:t>
            </w:r>
            <w:proofErr w:type="gramStart"/>
            <w:r w:rsidRPr="0059433B">
              <w:rPr>
                <w:iCs/>
              </w:rPr>
              <w:t>make changes to</w:t>
            </w:r>
            <w:proofErr w:type="gramEnd"/>
            <w:r w:rsidRPr="0059433B">
              <w:rPr>
                <w:iCs/>
              </w:rPr>
              <w:t xml:space="preserve"> prevalent population numbers.</w:t>
            </w:r>
            <w:r w:rsidR="00D4347F" w:rsidRPr="0059433B">
              <w:rPr>
                <w:iCs/>
              </w:rPr>
              <w:t xml:space="preserve"> Noting that when taking a prevalent patient approach there is no need to include incident population, as they </w:t>
            </w:r>
            <w:proofErr w:type="gramStart"/>
            <w:r w:rsidR="00D4347F" w:rsidRPr="0059433B">
              <w:rPr>
                <w:iCs/>
              </w:rPr>
              <w:t>are already captured</w:t>
            </w:r>
            <w:proofErr w:type="gramEnd"/>
            <w:r w:rsidR="00D4347F" w:rsidRPr="0059433B">
              <w:rPr>
                <w:iCs/>
              </w:rPr>
              <w:t xml:space="preserve"> in the prevalence estimates.</w:t>
            </w:r>
          </w:p>
        </w:tc>
      </w:tr>
      <w:tr w:rsidR="00230CBC" w:rsidRPr="0059433B" w14:paraId="72F1183E" w14:textId="77777777" w:rsidTr="00C5774C">
        <w:tc>
          <w:tcPr>
            <w:tcW w:w="0" w:type="auto"/>
            <w:shd w:val="clear" w:color="auto" w:fill="auto"/>
            <w:vAlign w:val="center"/>
          </w:tcPr>
          <w:p w14:paraId="25748A86" w14:textId="77777777" w:rsidR="00230CBC" w:rsidRPr="0059433B" w:rsidRDefault="00230CBC" w:rsidP="005A6F06">
            <w:pPr>
              <w:pStyle w:val="COMTabletext"/>
              <w:keepNext w:val="0"/>
            </w:pPr>
            <w:r w:rsidRPr="0059433B">
              <w:t>Distribution of patients by PND score</w:t>
            </w:r>
          </w:p>
        </w:tc>
        <w:tc>
          <w:tcPr>
            <w:tcW w:w="0" w:type="auto"/>
            <w:shd w:val="clear" w:color="auto" w:fill="auto"/>
            <w:vAlign w:val="center"/>
          </w:tcPr>
          <w:p w14:paraId="02F2F194" w14:textId="77777777" w:rsidR="00230CBC" w:rsidRPr="0059433B" w:rsidRDefault="00230CBC" w:rsidP="005A6F06">
            <w:pPr>
              <w:pStyle w:val="COMTabletext"/>
              <w:keepNext w:val="0"/>
            </w:pPr>
            <w:r w:rsidRPr="0059433B">
              <w:t>PND 0: 52%</w:t>
            </w:r>
          </w:p>
          <w:p w14:paraId="3D2A6566" w14:textId="77777777" w:rsidR="00230CBC" w:rsidRPr="0059433B" w:rsidRDefault="00230CBC" w:rsidP="005A6F06">
            <w:pPr>
              <w:pStyle w:val="COMTabletext"/>
              <w:keepNext w:val="0"/>
            </w:pPr>
            <w:r w:rsidRPr="0059433B">
              <w:t>PND I: 26%</w:t>
            </w:r>
          </w:p>
          <w:p w14:paraId="1E80E176" w14:textId="77777777" w:rsidR="00230CBC" w:rsidRPr="0059433B" w:rsidRDefault="00230CBC" w:rsidP="005A6F06">
            <w:pPr>
              <w:pStyle w:val="COMTabletext"/>
              <w:keepNext w:val="0"/>
            </w:pPr>
            <w:r w:rsidRPr="0059433B">
              <w:t>PND II: 12%</w:t>
            </w:r>
          </w:p>
          <w:p w14:paraId="51562975" w14:textId="77777777" w:rsidR="00230CBC" w:rsidRPr="0059433B" w:rsidRDefault="00230CBC" w:rsidP="005A6F06">
            <w:pPr>
              <w:pStyle w:val="COMTabletext"/>
              <w:keepNext w:val="0"/>
            </w:pPr>
            <w:r w:rsidRPr="0059433B">
              <w:t>PND IIIA: 4%</w:t>
            </w:r>
          </w:p>
          <w:p w14:paraId="7181532E" w14:textId="77777777" w:rsidR="00230CBC" w:rsidRPr="0059433B" w:rsidRDefault="00230CBC" w:rsidP="005A6F06">
            <w:pPr>
              <w:pStyle w:val="COMTabletext"/>
              <w:keepNext w:val="0"/>
            </w:pPr>
            <w:r w:rsidRPr="0059433B">
              <w:t>PND IIIB: 6%</w:t>
            </w:r>
          </w:p>
          <w:p w14:paraId="0960F836" w14:textId="77777777" w:rsidR="00230CBC" w:rsidRPr="0059433B" w:rsidRDefault="00230CBC" w:rsidP="005A6F06">
            <w:pPr>
              <w:pStyle w:val="COMTabletext"/>
              <w:keepNext w:val="0"/>
            </w:pPr>
            <w:r w:rsidRPr="0059433B">
              <w:t>PND IV: 1%</w:t>
            </w:r>
          </w:p>
          <w:p w14:paraId="681EE3B1" w14:textId="77777777" w:rsidR="00230CBC" w:rsidRPr="0059433B" w:rsidRDefault="00230CBC" w:rsidP="005A6F06">
            <w:pPr>
              <w:pStyle w:val="COMTabletext"/>
              <w:keepNext w:val="0"/>
            </w:pPr>
          </w:p>
          <w:p w14:paraId="3CD8E1D8" w14:textId="572AC747" w:rsidR="00230CBC" w:rsidRPr="0059433B" w:rsidRDefault="00230CBC" w:rsidP="005A6F06">
            <w:pPr>
              <w:pStyle w:val="COMTabletext"/>
              <w:keepNext w:val="0"/>
            </w:pPr>
            <w:r w:rsidRPr="0059433B">
              <w:t>Derived by dividing the number of prevalent hATTR amyloidosis patients in each PND score category by the total number of prevalent patients with a known PND score (113 patients).</w:t>
            </w:r>
          </w:p>
        </w:tc>
        <w:tc>
          <w:tcPr>
            <w:tcW w:w="0" w:type="auto"/>
            <w:shd w:val="clear" w:color="auto" w:fill="auto"/>
            <w:vAlign w:val="center"/>
          </w:tcPr>
          <w:p w14:paraId="675CECB0" w14:textId="77777777" w:rsidR="00230CBC" w:rsidRPr="0059433B" w:rsidRDefault="00230CBC" w:rsidP="005A6F06">
            <w:pPr>
              <w:pStyle w:val="COMTabletext"/>
              <w:keepNext w:val="0"/>
            </w:pPr>
            <w:r w:rsidRPr="0059433B">
              <w:t>DUSC considered that despite only capturing one dimension of disease, the use of PND as the marker was reasonable.</w:t>
            </w:r>
          </w:p>
        </w:tc>
      </w:tr>
      <w:tr w:rsidR="00230CBC" w:rsidRPr="0059433B" w14:paraId="73DFD8AE" w14:textId="77777777" w:rsidTr="00C5774C">
        <w:tc>
          <w:tcPr>
            <w:tcW w:w="0" w:type="auto"/>
            <w:shd w:val="clear" w:color="auto" w:fill="auto"/>
            <w:vAlign w:val="center"/>
          </w:tcPr>
          <w:p w14:paraId="263BE97A" w14:textId="77777777" w:rsidR="00230CBC" w:rsidRPr="0059433B" w:rsidRDefault="00230CBC" w:rsidP="005A6F06">
            <w:pPr>
              <w:pStyle w:val="COMTabletext"/>
              <w:keepNext w:val="0"/>
            </w:pPr>
            <w:r w:rsidRPr="0059433B">
              <w:t>Distribution of patients with unknown PND</w:t>
            </w:r>
          </w:p>
        </w:tc>
        <w:tc>
          <w:tcPr>
            <w:tcW w:w="0" w:type="auto"/>
            <w:shd w:val="clear" w:color="auto" w:fill="auto"/>
            <w:vAlign w:val="center"/>
          </w:tcPr>
          <w:p w14:paraId="6378B6F9" w14:textId="77777777" w:rsidR="00230CBC" w:rsidRPr="0059433B" w:rsidRDefault="00230CBC" w:rsidP="005A6F06">
            <w:pPr>
              <w:pStyle w:val="COMTabletext"/>
              <w:keepNext w:val="0"/>
            </w:pPr>
            <w:r w:rsidRPr="0059433B">
              <w:t xml:space="preserve">Derived by assuming that the PND score distribution among patients with an </w:t>
            </w:r>
            <w:r w:rsidRPr="0059433B">
              <w:lastRenderedPageBreak/>
              <w:t>unknown PND score is the same as for patients with a known PND score.</w:t>
            </w:r>
          </w:p>
        </w:tc>
        <w:tc>
          <w:tcPr>
            <w:tcW w:w="0" w:type="auto"/>
            <w:shd w:val="clear" w:color="auto" w:fill="auto"/>
            <w:vAlign w:val="center"/>
          </w:tcPr>
          <w:p w14:paraId="29105D81" w14:textId="77777777" w:rsidR="00230CBC" w:rsidRPr="0059433B" w:rsidRDefault="00230CBC" w:rsidP="005A6F06">
            <w:pPr>
              <w:pStyle w:val="COMTabletext"/>
              <w:keepNext w:val="0"/>
            </w:pPr>
            <w:r w:rsidRPr="0059433B">
              <w:lastRenderedPageBreak/>
              <w:t>This appeared reasonable.</w:t>
            </w:r>
          </w:p>
        </w:tc>
      </w:tr>
      <w:tr w:rsidR="00230CBC" w:rsidRPr="0059433B" w14:paraId="0E360916" w14:textId="77777777" w:rsidTr="00C5774C">
        <w:tc>
          <w:tcPr>
            <w:tcW w:w="0" w:type="auto"/>
            <w:shd w:val="clear" w:color="auto" w:fill="auto"/>
            <w:vAlign w:val="center"/>
          </w:tcPr>
          <w:p w14:paraId="6D887B9A" w14:textId="77777777" w:rsidR="00230CBC" w:rsidRPr="0059433B" w:rsidRDefault="00230CBC" w:rsidP="005A6F06">
            <w:pPr>
              <w:pStyle w:val="COMTabletext"/>
              <w:keepNext w:val="0"/>
            </w:pPr>
            <w:r w:rsidRPr="0059433B">
              <w:t>Patients currently treated with patisiran</w:t>
            </w:r>
          </w:p>
        </w:tc>
        <w:tc>
          <w:tcPr>
            <w:tcW w:w="0" w:type="auto"/>
            <w:shd w:val="clear" w:color="auto" w:fill="auto"/>
            <w:vAlign w:val="center"/>
          </w:tcPr>
          <w:p w14:paraId="56357046" w14:textId="17EC45FE" w:rsidR="00F126D4" w:rsidRPr="0059433B" w:rsidRDefault="007F7FB3" w:rsidP="005A6F06">
            <w:pPr>
              <w:pStyle w:val="COMTabletext"/>
              <w:keepNext w:val="0"/>
            </w:pPr>
            <w:r w:rsidRPr="007F7FB3">
              <w:rPr>
                <w:rFonts w:hint="eastAsia"/>
                <w:color w:val="000000"/>
                <w:w w:val="15"/>
                <w:shd w:val="solid" w:color="000000" w:fill="000000"/>
                <w:fitText w:val="60" w:id="-1163637504"/>
                <w14:textFill>
                  <w14:solidFill>
                    <w14:srgbClr w14:val="000000">
                      <w14:alpha w14:val="100000"/>
                    </w14:srgbClr>
                  </w14:solidFill>
                </w14:textFill>
              </w:rPr>
              <w:t xml:space="preserve">　</w:t>
            </w:r>
            <w:r w:rsidRPr="007F7FB3">
              <w:rPr>
                <w:color w:val="000000"/>
                <w:w w:val="15"/>
                <w:shd w:val="solid" w:color="000000" w:fill="000000"/>
                <w:fitText w:val="60" w:id="-1163637504"/>
                <w14:textFill>
                  <w14:solidFill>
                    <w14:srgbClr w14:val="000000">
                      <w14:alpha w14:val="100000"/>
                    </w14:srgbClr>
                  </w14:solidFill>
                </w14:textFill>
              </w:rPr>
              <w:t>|</w:t>
            </w:r>
            <w:r w:rsidRPr="007F7FB3">
              <w:rPr>
                <w:rFonts w:hint="eastAsia"/>
                <w:color w:val="000000"/>
                <w:w w:val="15"/>
                <w:shd w:val="solid" w:color="000000" w:fill="000000"/>
                <w:fitText w:val="60" w:id="-1163637504"/>
                <w14:textFill>
                  <w14:solidFill>
                    <w14:srgbClr w14:val="000000">
                      <w14:alpha w14:val="100000"/>
                    </w14:srgbClr>
                  </w14:solidFill>
                </w14:textFill>
              </w:rPr>
              <w:t xml:space="preserve">　</w:t>
            </w:r>
            <w:r w:rsidR="00F916B0">
              <w:rPr>
                <w:vertAlign w:val="superscript"/>
              </w:rPr>
              <w:t>1</w:t>
            </w:r>
            <w:r w:rsidR="00230CBC" w:rsidRPr="0059433B">
              <w:t xml:space="preserve"> patients</w:t>
            </w:r>
          </w:p>
          <w:p w14:paraId="5703FE3F" w14:textId="57BF0526" w:rsidR="00230CBC" w:rsidRPr="0059433B" w:rsidRDefault="00230CBC" w:rsidP="005A6F06">
            <w:pPr>
              <w:pStyle w:val="COMTabletext"/>
              <w:keepNext w:val="0"/>
            </w:pPr>
          </w:p>
          <w:p w14:paraId="4F3D89C2" w14:textId="77777777" w:rsidR="00230CBC" w:rsidRPr="0059433B" w:rsidRDefault="00230CBC" w:rsidP="005A6F06">
            <w:pPr>
              <w:pStyle w:val="COMTabletext"/>
              <w:keepNext w:val="0"/>
            </w:pPr>
            <w:r w:rsidRPr="0059433B">
              <w:t>Data provided by the sponsor.</w:t>
            </w:r>
          </w:p>
        </w:tc>
        <w:tc>
          <w:tcPr>
            <w:tcW w:w="0" w:type="auto"/>
            <w:shd w:val="clear" w:color="auto" w:fill="auto"/>
            <w:vAlign w:val="center"/>
          </w:tcPr>
          <w:p w14:paraId="06DAAD46" w14:textId="77777777" w:rsidR="00230CBC" w:rsidRPr="0059433B" w:rsidRDefault="00230CBC" w:rsidP="005A6F06">
            <w:pPr>
              <w:pStyle w:val="COMTabletext"/>
              <w:keepNext w:val="0"/>
            </w:pPr>
            <w:r w:rsidRPr="0059433B">
              <w:t xml:space="preserve">The submission stated that patients in Australia currently enrolled in clinical trials or receiving patisiran via an alternative access scheme should receive PBS-funded treatment once patisiran </w:t>
            </w:r>
            <w:proofErr w:type="gramStart"/>
            <w:r w:rsidRPr="0059433B">
              <w:t>is PBS-listed</w:t>
            </w:r>
            <w:proofErr w:type="gramEnd"/>
            <w:r w:rsidRPr="0059433B">
              <w:t>.</w:t>
            </w:r>
          </w:p>
        </w:tc>
      </w:tr>
      <w:tr w:rsidR="00230CBC" w:rsidRPr="0059433B" w14:paraId="13C12749" w14:textId="77777777" w:rsidTr="00C5774C">
        <w:tc>
          <w:tcPr>
            <w:tcW w:w="0" w:type="auto"/>
            <w:shd w:val="clear" w:color="auto" w:fill="auto"/>
            <w:vAlign w:val="center"/>
          </w:tcPr>
          <w:p w14:paraId="4A073C60" w14:textId="77777777" w:rsidR="00230CBC" w:rsidRPr="0059433B" w:rsidRDefault="00230CBC" w:rsidP="00C5774C">
            <w:pPr>
              <w:pStyle w:val="COMTabletext"/>
            </w:pPr>
            <w:r w:rsidRPr="0059433B">
              <w:t>Number of patients requiring treatment (patients who are not currently on treatment)</w:t>
            </w:r>
          </w:p>
        </w:tc>
        <w:tc>
          <w:tcPr>
            <w:tcW w:w="0" w:type="auto"/>
            <w:shd w:val="clear" w:color="auto" w:fill="auto"/>
            <w:vAlign w:val="center"/>
          </w:tcPr>
          <w:p w14:paraId="12A40F3C" w14:textId="28DC3981" w:rsidR="00230CBC" w:rsidRPr="0059433B" w:rsidRDefault="00230CBC" w:rsidP="00C5774C">
            <w:pPr>
              <w:pStyle w:val="COMTabletext"/>
            </w:pPr>
            <w:r w:rsidRPr="0059433B">
              <w:t xml:space="preserve">PND I/II: </w:t>
            </w:r>
            <w:proofErr w:type="gramStart"/>
            <w:r w:rsidRPr="0059433B">
              <w:t>23</w:t>
            </w:r>
            <w:proofErr w:type="gramEnd"/>
            <w:r w:rsidRPr="0059433B">
              <w:t>; PND IIIA/IIIB: 11; Unknown: 8. PND I/II patients not currently treated estimated based on data from the AAN.</w:t>
            </w:r>
            <w:r w:rsidR="00F45F60" w:rsidRPr="0059433B">
              <w:t xml:space="preserve"> </w:t>
            </w:r>
            <w:r w:rsidRPr="0059433B">
              <w:t>In the absence of data, the submission assumed that all patients with PND IIIA/IIIB, and all unknown patients assumed to have a PND score of I/II/IIIA/IIIB are not on treatment.</w:t>
            </w:r>
          </w:p>
        </w:tc>
        <w:tc>
          <w:tcPr>
            <w:tcW w:w="0" w:type="auto"/>
            <w:shd w:val="clear" w:color="auto" w:fill="auto"/>
            <w:vAlign w:val="center"/>
          </w:tcPr>
          <w:p w14:paraId="3AE93AE7" w14:textId="77777777" w:rsidR="00230CBC" w:rsidRPr="0059433B" w:rsidRDefault="00230CBC" w:rsidP="00C5774C">
            <w:pPr>
              <w:pStyle w:val="COMTabletext"/>
            </w:pPr>
            <w:r w:rsidRPr="0059433B">
              <w:t xml:space="preserve">There may be additional patients currently receiving treatment with alternative hATTR treatments who will switch to patisiran if it </w:t>
            </w:r>
            <w:proofErr w:type="gramStart"/>
            <w:r w:rsidRPr="0059433B">
              <w:t>is listed</w:t>
            </w:r>
            <w:proofErr w:type="gramEnd"/>
            <w:r w:rsidRPr="0059433B">
              <w:t xml:space="preserve"> on the PBS.</w:t>
            </w:r>
          </w:p>
          <w:p w14:paraId="20857C0C" w14:textId="77777777" w:rsidR="00230CBC" w:rsidRPr="0059433B" w:rsidRDefault="00230CBC" w:rsidP="00C5774C">
            <w:pPr>
              <w:pStyle w:val="COMTabletext"/>
              <w:rPr>
                <w:i/>
              </w:rPr>
            </w:pPr>
          </w:p>
          <w:p w14:paraId="32CA3E34" w14:textId="73B94086" w:rsidR="00230CBC" w:rsidRPr="0059433B" w:rsidRDefault="00230CBC" w:rsidP="007F7FB3">
            <w:pPr>
              <w:pStyle w:val="COMTabletext"/>
              <w:keepNext w:val="0"/>
            </w:pPr>
            <w:r w:rsidRPr="0059433B">
              <w:rPr>
                <w:iCs/>
              </w:rPr>
              <w:t>DUSC noted that use outside of the indication is likely, which would further add to the numbers of patients seeking treatment.</w:t>
            </w:r>
          </w:p>
        </w:tc>
      </w:tr>
      <w:tr w:rsidR="00230CBC" w:rsidRPr="0059433B" w14:paraId="2920ED9B" w14:textId="77777777" w:rsidTr="00C5774C">
        <w:tc>
          <w:tcPr>
            <w:tcW w:w="0" w:type="auto"/>
            <w:shd w:val="clear" w:color="auto" w:fill="auto"/>
            <w:vAlign w:val="center"/>
          </w:tcPr>
          <w:p w14:paraId="740CDF8D" w14:textId="77777777" w:rsidR="00230CBC" w:rsidRPr="0059433B" w:rsidRDefault="00230CBC" w:rsidP="00C5774C">
            <w:pPr>
              <w:pStyle w:val="COMTabletext"/>
            </w:pPr>
            <w:r w:rsidRPr="0059433B">
              <w:t>Prevalent PND 0 patients requiring treatment within 5 years</w:t>
            </w:r>
          </w:p>
        </w:tc>
        <w:tc>
          <w:tcPr>
            <w:tcW w:w="0" w:type="auto"/>
            <w:shd w:val="clear" w:color="auto" w:fill="auto"/>
            <w:vAlign w:val="center"/>
          </w:tcPr>
          <w:p w14:paraId="2CE921BB" w14:textId="77777777" w:rsidR="00230CBC" w:rsidRPr="0059433B" w:rsidRDefault="00230CBC" w:rsidP="00C5774C">
            <w:pPr>
              <w:pStyle w:val="COMTabletext"/>
            </w:pPr>
            <w:proofErr w:type="gramStart"/>
            <w:r w:rsidRPr="0059433B">
              <w:t>16</w:t>
            </w:r>
            <w:proofErr w:type="gramEnd"/>
            <w:r w:rsidRPr="0059433B">
              <w:t xml:space="preserve"> patients. Assumption. Out of </w:t>
            </w:r>
            <w:proofErr w:type="gramStart"/>
            <w:r w:rsidRPr="0059433B">
              <w:t>56</w:t>
            </w:r>
            <w:proofErr w:type="gramEnd"/>
            <w:r w:rsidRPr="0059433B">
              <w:t xml:space="preserve"> patients with PND 0 who are not currently on treatment, 16 are assumed to require treatment in the next 5 years.</w:t>
            </w:r>
          </w:p>
        </w:tc>
        <w:tc>
          <w:tcPr>
            <w:tcW w:w="0" w:type="auto"/>
            <w:shd w:val="clear" w:color="auto" w:fill="auto"/>
            <w:vAlign w:val="center"/>
          </w:tcPr>
          <w:p w14:paraId="06BFC001" w14:textId="77777777" w:rsidR="00230CBC" w:rsidRPr="0059433B" w:rsidRDefault="00230CBC" w:rsidP="00C5774C">
            <w:pPr>
              <w:pStyle w:val="COMTabletext"/>
            </w:pPr>
            <w:r w:rsidRPr="0059433B">
              <w:t>The submission assumed that these patients would progress to PND I or higher at a constant annual rate over the next 5 years (i.e., 3.2 patients annually).</w:t>
            </w:r>
          </w:p>
          <w:p w14:paraId="05359B44" w14:textId="77777777" w:rsidR="00230CBC" w:rsidRPr="0059433B" w:rsidRDefault="00230CBC" w:rsidP="00C5774C">
            <w:pPr>
              <w:pStyle w:val="COMTabletext"/>
              <w:rPr>
                <w:iCs/>
              </w:rPr>
            </w:pPr>
          </w:p>
          <w:p w14:paraId="74923C51" w14:textId="77777777" w:rsidR="00230CBC" w:rsidRPr="0059433B" w:rsidRDefault="00230CBC" w:rsidP="00C5774C">
            <w:pPr>
              <w:pStyle w:val="COMTabletext"/>
              <w:rPr>
                <w:iCs/>
              </w:rPr>
            </w:pPr>
            <w:r w:rsidRPr="0059433B">
              <w:rPr>
                <w:iCs/>
              </w:rPr>
              <w:t xml:space="preserve">DUSC considered that PND and FAP are both subjective and availability of the medicine could affect assessment with more patients graded as PND 1 rather than </w:t>
            </w:r>
            <w:proofErr w:type="gramStart"/>
            <w:r w:rsidRPr="0059433B">
              <w:rPr>
                <w:iCs/>
              </w:rPr>
              <w:t>0</w:t>
            </w:r>
            <w:proofErr w:type="gramEnd"/>
            <w:r w:rsidRPr="0059433B">
              <w:rPr>
                <w:iCs/>
              </w:rPr>
              <w:t>.</w:t>
            </w:r>
          </w:p>
        </w:tc>
      </w:tr>
      <w:tr w:rsidR="00230CBC" w:rsidRPr="0059433B" w14:paraId="48CA9B34" w14:textId="77777777" w:rsidTr="00C5774C">
        <w:tc>
          <w:tcPr>
            <w:tcW w:w="0" w:type="auto"/>
            <w:shd w:val="clear" w:color="auto" w:fill="auto"/>
            <w:vAlign w:val="center"/>
          </w:tcPr>
          <w:p w14:paraId="6F4828A6" w14:textId="77777777" w:rsidR="00230CBC" w:rsidRPr="0059433B" w:rsidRDefault="00230CBC" w:rsidP="00C5774C">
            <w:pPr>
              <w:pStyle w:val="COMTabletext"/>
            </w:pPr>
            <w:r w:rsidRPr="0059433B">
              <w:t>Incident patients</w:t>
            </w:r>
          </w:p>
        </w:tc>
        <w:tc>
          <w:tcPr>
            <w:tcW w:w="0" w:type="auto"/>
            <w:shd w:val="clear" w:color="auto" w:fill="auto"/>
            <w:vAlign w:val="center"/>
          </w:tcPr>
          <w:p w14:paraId="3E4C643D" w14:textId="77777777" w:rsidR="00230CBC" w:rsidRPr="0059433B" w:rsidRDefault="00230CBC" w:rsidP="00C5774C">
            <w:pPr>
              <w:pStyle w:val="COMTabletext"/>
            </w:pPr>
            <w:proofErr w:type="gramStart"/>
            <w:r w:rsidRPr="0059433B">
              <w:t>10</w:t>
            </w:r>
            <w:proofErr w:type="gramEnd"/>
            <w:r w:rsidRPr="0059433B">
              <w:t xml:space="preserve"> per year. Assumption based on data provided by the Australian Amyloidosis Network which indicated </w:t>
            </w:r>
            <w:proofErr w:type="gramStart"/>
            <w:r w:rsidRPr="0059433B">
              <w:t>10</w:t>
            </w:r>
            <w:proofErr w:type="gramEnd"/>
            <w:r w:rsidRPr="0059433B">
              <w:t xml:space="preserve"> newly diagnosed patients in 2021 and 2022.</w:t>
            </w:r>
          </w:p>
        </w:tc>
        <w:tc>
          <w:tcPr>
            <w:tcW w:w="0" w:type="auto"/>
            <w:shd w:val="clear" w:color="auto" w:fill="auto"/>
            <w:vAlign w:val="center"/>
          </w:tcPr>
          <w:p w14:paraId="13AE3C6C" w14:textId="77777777" w:rsidR="00230CBC" w:rsidRPr="0059433B" w:rsidRDefault="00230CBC" w:rsidP="00C5774C">
            <w:pPr>
              <w:pStyle w:val="COMTabletext"/>
            </w:pPr>
            <w:r w:rsidRPr="0059433B">
              <w:t>There may be additional incident patients managed outside of the AAN. The submission noted that the addition of genetic testing for neuromuscular disorders to the MBS (Item 73422) is likely to increase the detection rate of hATTR amyloidosis.</w:t>
            </w:r>
          </w:p>
          <w:p w14:paraId="1E50C0EC" w14:textId="77777777" w:rsidR="00230CBC" w:rsidRPr="0059433B" w:rsidRDefault="00230CBC" w:rsidP="00C5774C">
            <w:pPr>
              <w:ind w:right="112"/>
              <w:jc w:val="left"/>
              <w:rPr>
                <w:rFonts w:ascii="Arial Narrow" w:eastAsiaTheme="majorEastAsia" w:hAnsi="Arial Narrow" w:cstheme="majorBidi"/>
                <w:bCs/>
                <w:sz w:val="20"/>
              </w:rPr>
            </w:pPr>
          </w:p>
          <w:p w14:paraId="55E05CB0" w14:textId="7F4C1351" w:rsidR="00D4347F" w:rsidRPr="0059433B" w:rsidRDefault="00230CBC" w:rsidP="00C5774C">
            <w:pPr>
              <w:jc w:val="left"/>
              <w:rPr>
                <w:rFonts w:ascii="Arial Narrow" w:eastAsiaTheme="majorEastAsia" w:hAnsi="Arial Narrow" w:cstheme="majorBidi"/>
                <w:bCs/>
                <w:sz w:val="20"/>
              </w:rPr>
            </w:pPr>
            <w:r w:rsidRPr="0059433B">
              <w:rPr>
                <w:rFonts w:ascii="Arial Narrow" w:eastAsiaTheme="majorEastAsia" w:hAnsi="Arial Narrow" w:cstheme="majorBidi"/>
                <w:bCs/>
                <w:sz w:val="20"/>
              </w:rPr>
              <w:t xml:space="preserve">The PSCR commented that the possibility of enrolment into clinical trials over the last few years has </w:t>
            </w:r>
            <w:proofErr w:type="gramStart"/>
            <w:r w:rsidRPr="0059433B">
              <w:rPr>
                <w:rFonts w:ascii="Arial Narrow" w:eastAsiaTheme="majorEastAsia" w:hAnsi="Arial Narrow" w:cstheme="majorBidi"/>
                <w:bCs/>
                <w:sz w:val="20"/>
              </w:rPr>
              <w:t>likely increased</w:t>
            </w:r>
            <w:proofErr w:type="gramEnd"/>
            <w:r w:rsidRPr="0059433B">
              <w:rPr>
                <w:rFonts w:ascii="Arial Narrow" w:eastAsiaTheme="majorEastAsia" w:hAnsi="Arial Narrow" w:cstheme="majorBidi"/>
                <w:bCs/>
                <w:sz w:val="20"/>
              </w:rPr>
              <w:t xml:space="preserve"> diagnosis rates. However, the sponsor agreed that underdiagnosis of hATTR amyloidosis could occur in Australia, which may </w:t>
            </w:r>
            <w:proofErr w:type="gramStart"/>
            <w:r w:rsidRPr="0059433B">
              <w:rPr>
                <w:rFonts w:ascii="Arial Narrow" w:eastAsiaTheme="majorEastAsia" w:hAnsi="Arial Narrow" w:cstheme="majorBidi"/>
                <w:bCs/>
                <w:sz w:val="20"/>
              </w:rPr>
              <w:t>be addressed</w:t>
            </w:r>
            <w:proofErr w:type="gramEnd"/>
            <w:r w:rsidRPr="0059433B">
              <w:rPr>
                <w:rFonts w:ascii="Arial Narrow" w:eastAsiaTheme="majorEastAsia" w:hAnsi="Arial Narrow" w:cstheme="majorBidi"/>
                <w:bCs/>
                <w:sz w:val="20"/>
              </w:rPr>
              <w:t xml:space="preserve"> by the introduction of MBS item 73422. The utilisation estimates thus represent a lower bound of plausible incidence estimates for patients diagnosed over the coming years.</w:t>
            </w:r>
          </w:p>
          <w:p w14:paraId="3F4443DE" w14:textId="77777777" w:rsidR="00D4347F" w:rsidRPr="0059433B" w:rsidRDefault="00D4347F" w:rsidP="00C5774C">
            <w:pPr>
              <w:jc w:val="left"/>
              <w:rPr>
                <w:rFonts w:ascii="Arial Narrow" w:eastAsiaTheme="majorEastAsia" w:hAnsi="Arial Narrow" w:cstheme="majorBidi"/>
                <w:bCs/>
                <w:sz w:val="20"/>
              </w:rPr>
            </w:pPr>
          </w:p>
          <w:p w14:paraId="1B05CE5E" w14:textId="30321F9C" w:rsidR="00230CBC" w:rsidRPr="0059433B" w:rsidRDefault="00D4347F" w:rsidP="00C5774C">
            <w:pPr>
              <w:jc w:val="left"/>
              <w:rPr>
                <w:rFonts w:ascii="Arial Narrow" w:eastAsiaTheme="majorEastAsia" w:hAnsi="Arial Narrow" w:cstheme="majorBidi"/>
                <w:bCs/>
                <w:sz w:val="20"/>
              </w:rPr>
            </w:pPr>
            <w:r w:rsidRPr="0059433B">
              <w:rPr>
                <w:rFonts w:ascii="Arial Narrow" w:eastAsiaTheme="majorEastAsia" w:hAnsi="Arial Narrow" w:cstheme="majorBidi"/>
                <w:bCs/>
                <w:sz w:val="20"/>
              </w:rPr>
              <w:t xml:space="preserve">DUSC commented that the estimated number of incident patients is </w:t>
            </w:r>
            <w:proofErr w:type="gramStart"/>
            <w:r w:rsidRPr="0059433B">
              <w:rPr>
                <w:rFonts w:ascii="Arial Narrow" w:eastAsiaTheme="majorEastAsia" w:hAnsi="Arial Narrow" w:cstheme="majorBidi"/>
                <w:bCs/>
                <w:sz w:val="20"/>
              </w:rPr>
              <w:t>likely underestimated</w:t>
            </w:r>
            <w:proofErr w:type="gramEnd"/>
            <w:r w:rsidRPr="0059433B">
              <w:rPr>
                <w:rFonts w:ascii="Arial Narrow" w:eastAsiaTheme="majorEastAsia" w:hAnsi="Arial Narrow" w:cstheme="majorBidi"/>
                <w:bCs/>
                <w:sz w:val="20"/>
              </w:rPr>
              <w:t>.</w:t>
            </w:r>
            <w:r w:rsidR="00230CBC" w:rsidRPr="0059433B">
              <w:rPr>
                <w:rFonts w:ascii="Arial Narrow" w:eastAsiaTheme="majorEastAsia" w:hAnsi="Arial Narrow" w:cstheme="majorBidi"/>
                <w:bCs/>
                <w:sz w:val="20"/>
              </w:rPr>
              <w:t xml:space="preserve"> </w:t>
            </w:r>
          </w:p>
        </w:tc>
      </w:tr>
      <w:tr w:rsidR="00230CBC" w:rsidRPr="0059433B" w14:paraId="50E85D8D" w14:textId="77777777" w:rsidTr="00C5774C">
        <w:tc>
          <w:tcPr>
            <w:tcW w:w="0" w:type="auto"/>
            <w:shd w:val="clear" w:color="auto" w:fill="auto"/>
            <w:vAlign w:val="center"/>
          </w:tcPr>
          <w:p w14:paraId="1FB0F66E" w14:textId="114611AD" w:rsidR="00230CBC" w:rsidRPr="0059433B" w:rsidRDefault="00230CBC" w:rsidP="00C5774C">
            <w:pPr>
              <w:pStyle w:val="COMTabletext"/>
            </w:pPr>
            <w:r w:rsidRPr="0059433B">
              <w:t xml:space="preserve">Incident patient PND </w:t>
            </w:r>
            <w:r w:rsidR="00512F3E" w:rsidRPr="0059433B">
              <w:t>score</w:t>
            </w:r>
          </w:p>
        </w:tc>
        <w:tc>
          <w:tcPr>
            <w:tcW w:w="0" w:type="auto"/>
            <w:shd w:val="clear" w:color="auto" w:fill="auto"/>
            <w:vAlign w:val="center"/>
          </w:tcPr>
          <w:p w14:paraId="62EA99F3" w14:textId="77777777" w:rsidR="00230CBC" w:rsidRPr="0059433B" w:rsidRDefault="00230CBC" w:rsidP="00C5774C">
            <w:pPr>
              <w:pStyle w:val="COMTabletext"/>
            </w:pPr>
            <w:r w:rsidRPr="0059433B">
              <w:t xml:space="preserve">PND 0: 67.05%; PND I: 32.95%. Assumption based on the proportion of patients with PND 0 and PND I disease, the submission assumed that 6.7 of the </w:t>
            </w:r>
            <w:proofErr w:type="gramStart"/>
            <w:r w:rsidRPr="0059433B">
              <w:t>10</w:t>
            </w:r>
            <w:proofErr w:type="gramEnd"/>
            <w:r w:rsidRPr="0059433B">
              <w:t xml:space="preserve"> incident patients each year are in PND 0 and 3.3 patients are in PND I.</w:t>
            </w:r>
          </w:p>
        </w:tc>
        <w:tc>
          <w:tcPr>
            <w:tcW w:w="0" w:type="auto"/>
            <w:shd w:val="clear" w:color="auto" w:fill="auto"/>
            <w:vAlign w:val="center"/>
          </w:tcPr>
          <w:p w14:paraId="5D20DDC3" w14:textId="05D61E69" w:rsidR="00230CBC" w:rsidRPr="0059433B" w:rsidRDefault="00230CBC" w:rsidP="00C5774C">
            <w:pPr>
              <w:pStyle w:val="COMTabletext"/>
            </w:pPr>
            <w:r w:rsidRPr="0059433B">
              <w:t xml:space="preserve">Incident patients who </w:t>
            </w:r>
            <w:proofErr w:type="gramStart"/>
            <w:r w:rsidRPr="0059433B">
              <w:t>are initially diagnosed</w:t>
            </w:r>
            <w:proofErr w:type="gramEnd"/>
            <w:r w:rsidRPr="0059433B">
              <w:t xml:space="preserve"> in PND 0 are also likely to require treatment in subsequent years (i.e., following progression to a worse PND </w:t>
            </w:r>
            <w:r w:rsidR="00512F3E" w:rsidRPr="0059433B">
              <w:t>score</w:t>
            </w:r>
            <w:r w:rsidRPr="0059433B">
              <w:t xml:space="preserve">). Treatment of these patients in subsequent years </w:t>
            </w:r>
            <w:proofErr w:type="gramStart"/>
            <w:r w:rsidRPr="0059433B">
              <w:t>was not included</w:t>
            </w:r>
            <w:proofErr w:type="gramEnd"/>
            <w:r w:rsidRPr="0059433B">
              <w:t xml:space="preserve"> in the submission estimates.</w:t>
            </w:r>
          </w:p>
        </w:tc>
      </w:tr>
      <w:tr w:rsidR="00230CBC" w:rsidRPr="0059433B" w14:paraId="39A99076" w14:textId="77777777" w:rsidTr="00C5774C">
        <w:tc>
          <w:tcPr>
            <w:tcW w:w="0" w:type="auto"/>
            <w:shd w:val="clear" w:color="auto" w:fill="auto"/>
            <w:vAlign w:val="center"/>
          </w:tcPr>
          <w:p w14:paraId="7D59D0A5" w14:textId="77777777" w:rsidR="00230CBC" w:rsidRPr="0059433B" w:rsidRDefault="00230CBC" w:rsidP="00042B2E">
            <w:pPr>
              <w:pStyle w:val="COMTabletext"/>
              <w:keepNext w:val="0"/>
            </w:pPr>
            <w:r w:rsidRPr="0059433B">
              <w:t>Uptake rate (prevalent patients)</w:t>
            </w:r>
          </w:p>
        </w:tc>
        <w:tc>
          <w:tcPr>
            <w:tcW w:w="0" w:type="auto"/>
            <w:shd w:val="clear" w:color="auto" w:fill="auto"/>
            <w:vAlign w:val="center"/>
          </w:tcPr>
          <w:p w14:paraId="79A655C1" w14:textId="49F6A9C8" w:rsidR="00230CBC" w:rsidRPr="0059433B" w:rsidRDefault="00230CBC" w:rsidP="00042B2E">
            <w:pPr>
              <w:pStyle w:val="COMTabletext"/>
              <w:keepNext w:val="0"/>
            </w:pPr>
            <w:r w:rsidRPr="0059433B">
              <w:t xml:space="preserve">Yr 1: </w:t>
            </w:r>
            <w:r w:rsidR="007F7FB3" w:rsidRPr="007F7FB3">
              <w:rPr>
                <w:rFonts w:hint="eastAsia"/>
                <w:color w:val="000000"/>
                <w:w w:val="20"/>
                <w:shd w:val="solid" w:color="000000" w:fill="000000"/>
                <w:fitText w:val="90" w:id="-1163637503"/>
                <w14:textFill>
                  <w14:solidFill>
                    <w14:srgbClr w14:val="000000">
                      <w14:alpha w14:val="100000"/>
                    </w14:srgbClr>
                  </w14:solidFill>
                </w14:textFill>
              </w:rPr>
              <w:t xml:space="preserve">　</w:t>
            </w:r>
            <w:r w:rsidR="007F7FB3" w:rsidRPr="007F7FB3">
              <w:rPr>
                <w:color w:val="000000"/>
                <w:w w:val="20"/>
                <w:shd w:val="solid" w:color="000000" w:fill="000000"/>
                <w:fitText w:val="90" w:id="-1163637503"/>
                <w14:textFill>
                  <w14:solidFill>
                    <w14:srgbClr w14:val="000000">
                      <w14:alpha w14:val="100000"/>
                    </w14:srgbClr>
                  </w14:solidFill>
                </w14:textFill>
              </w:rPr>
              <w:t>|</w:t>
            </w:r>
            <w:r w:rsidR="007F7FB3" w:rsidRPr="007F7FB3">
              <w:rPr>
                <w:rFonts w:hint="eastAsia"/>
                <w:color w:val="000000"/>
                <w:w w:val="20"/>
                <w:shd w:val="solid" w:color="000000" w:fill="000000"/>
                <w:fitText w:val="90" w:id="-1163637503"/>
                <w14:textFill>
                  <w14:solidFill>
                    <w14:srgbClr w14:val="000000">
                      <w14:alpha w14:val="100000"/>
                    </w14:srgbClr>
                  </w14:solidFill>
                </w14:textFill>
              </w:rPr>
              <w:t xml:space="preserve">　</w:t>
            </w:r>
            <w:r w:rsidRPr="0059433B">
              <w:t xml:space="preserve">%; Yr 2: </w:t>
            </w:r>
            <w:r w:rsidR="007F7FB3" w:rsidRPr="007F7FB3">
              <w:rPr>
                <w:rFonts w:hint="eastAsia"/>
                <w:color w:val="000000"/>
                <w:w w:val="20"/>
                <w:shd w:val="solid" w:color="000000" w:fill="000000"/>
                <w:fitText w:val="90" w:id="-1163637502"/>
                <w14:textFill>
                  <w14:solidFill>
                    <w14:srgbClr w14:val="000000">
                      <w14:alpha w14:val="100000"/>
                    </w14:srgbClr>
                  </w14:solidFill>
                </w14:textFill>
              </w:rPr>
              <w:t xml:space="preserve">　</w:t>
            </w:r>
            <w:r w:rsidR="007F7FB3" w:rsidRPr="007F7FB3">
              <w:rPr>
                <w:color w:val="000000"/>
                <w:w w:val="20"/>
                <w:shd w:val="solid" w:color="000000" w:fill="000000"/>
                <w:fitText w:val="90" w:id="-1163637502"/>
                <w14:textFill>
                  <w14:solidFill>
                    <w14:srgbClr w14:val="000000">
                      <w14:alpha w14:val="100000"/>
                    </w14:srgbClr>
                  </w14:solidFill>
                </w14:textFill>
              </w:rPr>
              <w:t>|</w:t>
            </w:r>
            <w:r w:rsidR="007F7FB3" w:rsidRPr="007F7FB3">
              <w:rPr>
                <w:rFonts w:hint="eastAsia"/>
                <w:color w:val="000000"/>
                <w:w w:val="20"/>
                <w:shd w:val="solid" w:color="000000" w:fill="000000"/>
                <w:fitText w:val="90" w:id="-1163637502"/>
                <w14:textFill>
                  <w14:solidFill>
                    <w14:srgbClr w14:val="000000">
                      <w14:alpha w14:val="100000"/>
                    </w14:srgbClr>
                  </w14:solidFill>
                </w14:textFill>
              </w:rPr>
              <w:t xml:space="preserve">　</w:t>
            </w:r>
            <w:r w:rsidRPr="0059433B">
              <w:t xml:space="preserve">%; Yr 3: </w:t>
            </w:r>
            <w:r w:rsidR="007F7FB3" w:rsidRPr="007F7FB3">
              <w:rPr>
                <w:rFonts w:hint="eastAsia"/>
                <w:color w:val="000000"/>
                <w:w w:val="20"/>
                <w:shd w:val="solid" w:color="000000" w:fill="000000"/>
                <w:fitText w:val="90" w:id="-1163637501"/>
                <w14:textFill>
                  <w14:solidFill>
                    <w14:srgbClr w14:val="000000">
                      <w14:alpha w14:val="100000"/>
                    </w14:srgbClr>
                  </w14:solidFill>
                </w14:textFill>
              </w:rPr>
              <w:t xml:space="preserve">　</w:t>
            </w:r>
            <w:r w:rsidR="007F7FB3" w:rsidRPr="007F7FB3">
              <w:rPr>
                <w:color w:val="000000"/>
                <w:w w:val="20"/>
                <w:shd w:val="solid" w:color="000000" w:fill="000000"/>
                <w:fitText w:val="90" w:id="-1163637501"/>
                <w14:textFill>
                  <w14:solidFill>
                    <w14:srgbClr w14:val="000000">
                      <w14:alpha w14:val="100000"/>
                    </w14:srgbClr>
                  </w14:solidFill>
                </w14:textFill>
              </w:rPr>
              <w:t>|</w:t>
            </w:r>
            <w:r w:rsidR="007F7FB3" w:rsidRPr="007F7FB3">
              <w:rPr>
                <w:rFonts w:hint="eastAsia"/>
                <w:color w:val="000000"/>
                <w:w w:val="20"/>
                <w:shd w:val="solid" w:color="000000" w:fill="000000"/>
                <w:fitText w:val="90" w:id="-1163637501"/>
                <w14:textFill>
                  <w14:solidFill>
                    <w14:srgbClr w14:val="000000">
                      <w14:alpha w14:val="100000"/>
                    </w14:srgbClr>
                  </w14:solidFill>
                </w14:textFill>
              </w:rPr>
              <w:t xml:space="preserve">　</w:t>
            </w:r>
            <w:r w:rsidRPr="0059433B">
              <w:t xml:space="preserve">%; Yrs 4-6: </w:t>
            </w:r>
            <w:r w:rsidR="007F7FB3" w:rsidRPr="007F7FB3">
              <w:rPr>
                <w:rFonts w:hint="eastAsia"/>
                <w:color w:val="000000"/>
                <w:w w:val="20"/>
                <w:shd w:val="solid" w:color="000000" w:fill="000000"/>
                <w:fitText w:val="90" w:id="-1163637500"/>
                <w14:textFill>
                  <w14:solidFill>
                    <w14:srgbClr w14:val="000000">
                      <w14:alpha w14:val="100000"/>
                    </w14:srgbClr>
                  </w14:solidFill>
                </w14:textFill>
              </w:rPr>
              <w:t xml:space="preserve">　</w:t>
            </w:r>
            <w:r w:rsidR="007F7FB3" w:rsidRPr="007F7FB3">
              <w:rPr>
                <w:color w:val="000000"/>
                <w:w w:val="20"/>
                <w:shd w:val="solid" w:color="000000" w:fill="000000"/>
                <w:fitText w:val="90" w:id="-1163637500"/>
                <w14:textFill>
                  <w14:solidFill>
                    <w14:srgbClr w14:val="000000">
                      <w14:alpha w14:val="100000"/>
                    </w14:srgbClr>
                  </w14:solidFill>
                </w14:textFill>
              </w:rPr>
              <w:t>|</w:t>
            </w:r>
            <w:r w:rsidR="007F7FB3" w:rsidRPr="007F7FB3">
              <w:rPr>
                <w:rFonts w:hint="eastAsia"/>
                <w:color w:val="000000"/>
                <w:w w:val="20"/>
                <w:shd w:val="solid" w:color="000000" w:fill="000000"/>
                <w:fitText w:val="90" w:id="-1163637500"/>
                <w14:textFill>
                  <w14:solidFill>
                    <w14:srgbClr w14:val="000000">
                      <w14:alpha w14:val="100000"/>
                    </w14:srgbClr>
                  </w14:solidFill>
                </w14:textFill>
              </w:rPr>
              <w:t xml:space="preserve">　</w:t>
            </w:r>
            <w:r w:rsidRPr="0059433B">
              <w:t>%. Assumption.</w:t>
            </w:r>
          </w:p>
        </w:tc>
        <w:tc>
          <w:tcPr>
            <w:tcW w:w="0" w:type="auto"/>
            <w:shd w:val="clear" w:color="auto" w:fill="auto"/>
            <w:vAlign w:val="center"/>
          </w:tcPr>
          <w:p w14:paraId="7D34CB37" w14:textId="77777777" w:rsidR="00230CBC" w:rsidRPr="0059433B" w:rsidRDefault="00230CBC" w:rsidP="00042B2E">
            <w:pPr>
              <w:pStyle w:val="COMTabletext"/>
              <w:keepNext w:val="0"/>
            </w:pPr>
            <w:r w:rsidRPr="0059433B">
              <w:t xml:space="preserve">Uptake may be higher than estimated given the lack of other available treatment options. A resubmission for tafamidis, for the treatment of patients with cardiomyopathy associated with hATTR or wtATTR </w:t>
            </w:r>
            <w:proofErr w:type="gramStart"/>
            <w:r w:rsidRPr="0059433B">
              <w:t>was considered</w:t>
            </w:r>
            <w:proofErr w:type="gramEnd"/>
            <w:r w:rsidRPr="0059433B">
              <w:t xml:space="preserve"> at the July 2023 PBAC meeting. There is potential for overlap between the two submissions, as patients with hATTR amyloidosis may experience symptoms of polyneuropathy, cardiomyopathy, or both.</w:t>
            </w:r>
          </w:p>
          <w:p w14:paraId="6D64F1CB" w14:textId="77777777" w:rsidR="00230CBC" w:rsidRPr="0059433B" w:rsidRDefault="00230CBC" w:rsidP="00042B2E">
            <w:pPr>
              <w:pStyle w:val="COMTabletext"/>
              <w:keepNext w:val="0"/>
              <w:rPr>
                <w:iCs/>
              </w:rPr>
            </w:pPr>
          </w:p>
          <w:p w14:paraId="20500A58" w14:textId="3D0C39F8" w:rsidR="00230CBC" w:rsidRPr="008B4CC7" w:rsidRDefault="00230CBC" w:rsidP="008B4CC7">
            <w:pPr>
              <w:pStyle w:val="COMTabletext"/>
              <w:keepNext w:val="0"/>
              <w:ind w:right="-29"/>
              <w:rPr>
                <w:iCs/>
              </w:rPr>
            </w:pPr>
            <w:r w:rsidRPr="0059433B">
              <w:rPr>
                <w:iCs/>
              </w:rPr>
              <w:lastRenderedPageBreak/>
              <w:t xml:space="preserve">DUSC agreed with the commentary that the uptake rates </w:t>
            </w:r>
            <w:proofErr w:type="gramStart"/>
            <w:r w:rsidRPr="0059433B">
              <w:rPr>
                <w:iCs/>
              </w:rPr>
              <w:t>are underestimated</w:t>
            </w:r>
            <w:proofErr w:type="gramEnd"/>
            <w:r w:rsidRPr="0059433B">
              <w:rPr>
                <w:iCs/>
              </w:rPr>
              <w:t xml:space="preserve">. DUSC commented that the uptake rate should start at </w:t>
            </w:r>
            <w:r w:rsidR="007F7FB3" w:rsidRPr="007F7FB3">
              <w:rPr>
                <w:rFonts w:hint="eastAsia"/>
                <w:iCs/>
                <w:color w:val="000000"/>
                <w:w w:val="20"/>
                <w:shd w:val="solid" w:color="000000" w:fill="000000"/>
                <w:fitText w:val="90" w:id="-1163637247"/>
                <w14:textFill>
                  <w14:solidFill>
                    <w14:srgbClr w14:val="000000">
                      <w14:alpha w14:val="100000"/>
                    </w14:srgbClr>
                  </w14:solidFill>
                </w14:textFill>
              </w:rPr>
              <w:t xml:space="preserve">　</w:t>
            </w:r>
            <w:r w:rsidR="007F7FB3" w:rsidRPr="007F7FB3">
              <w:rPr>
                <w:iCs/>
                <w:color w:val="000000"/>
                <w:w w:val="20"/>
                <w:shd w:val="solid" w:color="000000" w:fill="000000"/>
                <w:fitText w:val="90" w:id="-1163637247"/>
                <w14:textFill>
                  <w14:solidFill>
                    <w14:srgbClr w14:val="000000">
                      <w14:alpha w14:val="100000"/>
                    </w14:srgbClr>
                  </w14:solidFill>
                </w14:textFill>
              </w:rPr>
              <w:t>|</w:t>
            </w:r>
            <w:r w:rsidR="007F7FB3" w:rsidRPr="007F7FB3">
              <w:rPr>
                <w:rFonts w:hint="eastAsia"/>
                <w:iCs/>
                <w:color w:val="000000"/>
                <w:w w:val="20"/>
                <w:shd w:val="solid" w:color="000000" w:fill="000000"/>
                <w:fitText w:val="90" w:id="-1163637247"/>
                <w14:textFill>
                  <w14:solidFill>
                    <w14:srgbClr w14:val="000000">
                      <w14:alpha w14:val="100000"/>
                    </w14:srgbClr>
                  </w14:solidFill>
                </w14:textFill>
              </w:rPr>
              <w:t xml:space="preserve">　</w:t>
            </w:r>
            <w:r w:rsidRPr="0059433B">
              <w:rPr>
                <w:iCs/>
              </w:rPr>
              <w:t xml:space="preserve">% and increase progressively to </w:t>
            </w:r>
            <w:r w:rsidR="007F7FB3" w:rsidRPr="007F7FB3">
              <w:rPr>
                <w:rFonts w:hint="eastAsia"/>
                <w:iCs/>
                <w:color w:val="000000"/>
                <w:w w:val="23"/>
                <w:shd w:val="solid" w:color="000000" w:fill="000000"/>
                <w:fitText w:val="105" w:id="-1163637246"/>
                <w14:textFill>
                  <w14:solidFill>
                    <w14:srgbClr w14:val="000000">
                      <w14:alpha w14:val="100000"/>
                    </w14:srgbClr>
                  </w14:solidFill>
                </w14:textFill>
              </w:rPr>
              <w:t xml:space="preserve">　</w:t>
            </w:r>
            <w:r w:rsidR="007F7FB3" w:rsidRPr="007F7FB3">
              <w:rPr>
                <w:iCs/>
                <w:color w:val="000000"/>
                <w:w w:val="23"/>
                <w:shd w:val="solid" w:color="000000" w:fill="000000"/>
                <w:fitText w:val="105" w:id="-1163637246"/>
                <w14:textFill>
                  <w14:solidFill>
                    <w14:srgbClr w14:val="000000">
                      <w14:alpha w14:val="100000"/>
                    </w14:srgbClr>
                  </w14:solidFill>
                </w14:textFill>
              </w:rPr>
              <w:t>|</w:t>
            </w:r>
            <w:r w:rsidR="007F7FB3" w:rsidRPr="007F7FB3">
              <w:rPr>
                <w:rFonts w:hint="eastAsia"/>
                <w:iCs/>
                <w:color w:val="000000"/>
                <w:w w:val="23"/>
                <w:shd w:val="solid" w:color="000000" w:fill="000000"/>
                <w:fitText w:val="105" w:id="-1163637246"/>
                <w14:textFill>
                  <w14:solidFill>
                    <w14:srgbClr w14:val="000000">
                      <w14:alpha w14:val="100000"/>
                    </w14:srgbClr>
                  </w14:solidFill>
                </w14:textFill>
              </w:rPr>
              <w:t xml:space="preserve">　</w:t>
            </w:r>
            <w:r w:rsidRPr="0059433B">
              <w:rPr>
                <w:iCs/>
              </w:rPr>
              <w:t>% by Year 6 of listing</w:t>
            </w:r>
          </w:p>
        </w:tc>
      </w:tr>
      <w:tr w:rsidR="00230CBC" w:rsidRPr="0059433B" w14:paraId="62F20715" w14:textId="77777777" w:rsidTr="00C5774C">
        <w:tc>
          <w:tcPr>
            <w:tcW w:w="0" w:type="auto"/>
            <w:shd w:val="clear" w:color="auto" w:fill="auto"/>
            <w:vAlign w:val="center"/>
          </w:tcPr>
          <w:p w14:paraId="3917C513" w14:textId="77777777" w:rsidR="00230CBC" w:rsidRPr="0059433B" w:rsidRDefault="00230CBC" w:rsidP="005A6F06">
            <w:pPr>
              <w:pStyle w:val="COMTabletext"/>
            </w:pPr>
            <w:r w:rsidRPr="0059433B">
              <w:lastRenderedPageBreak/>
              <w:t>Uptake rate (incident patients)</w:t>
            </w:r>
          </w:p>
        </w:tc>
        <w:tc>
          <w:tcPr>
            <w:tcW w:w="0" w:type="auto"/>
            <w:shd w:val="clear" w:color="auto" w:fill="auto"/>
            <w:vAlign w:val="center"/>
          </w:tcPr>
          <w:p w14:paraId="5FF04B4F" w14:textId="76A11039" w:rsidR="00230CBC" w:rsidRPr="0059433B" w:rsidRDefault="00230CBC" w:rsidP="005A6F06">
            <w:pPr>
              <w:pStyle w:val="COMTabletext"/>
            </w:pPr>
            <w:r w:rsidRPr="0059433B">
              <w:t xml:space="preserve">Yrs 1-6: </w:t>
            </w:r>
            <w:r w:rsidR="007F7FB3" w:rsidRPr="007F7FB3">
              <w:rPr>
                <w:rFonts w:hint="eastAsia"/>
                <w:color w:val="000000"/>
                <w:w w:val="20"/>
                <w:shd w:val="solid" w:color="000000" w:fill="000000"/>
                <w:fitText w:val="90" w:id="-1163637248"/>
                <w14:textFill>
                  <w14:solidFill>
                    <w14:srgbClr w14:val="000000">
                      <w14:alpha w14:val="100000"/>
                    </w14:srgbClr>
                  </w14:solidFill>
                </w14:textFill>
              </w:rPr>
              <w:t xml:space="preserve">　</w:t>
            </w:r>
            <w:r w:rsidR="007F7FB3" w:rsidRPr="007F7FB3">
              <w:rPr>
                <w:color w:val="000000"/>
                <w:w w:val="20"/>
                <w:shd w:val="solid" w:color="000000" w:fill="000000"/>
                <w:fitText w:val="90" w:id="-1163637248"/>
                <w14:textFill>
                  <w14:solidFill>
                    <w14:srgbClr w14:val="000000">
                      <w14:alpha w14:val="100000"/>
                    </w14:srgbClr>
                  </w14:solidFill>
                </w14:textFill>
              </w:rPr>
              <w:t>|</w:t>
            </w:r>
            <w:r w:rsidR="007F7FB3" w:rsidRPr="007F7FB3">
              <w:rPr>
                <w:rFonts w:hint="eastAsia"/>
                <w:color w:val="000000"/>
                <w:w w:val="20"/>
                <w:shd w:val="solid" w:color="000000" w:fill="000000"/>
                <w:fitText w:val="90" w:id="-1163637248"/>
                <w14:textFill>
                  <w14:solidFill>
                    <w14:srgbClr w14:val="000000">
                      <w14:alpha w14:val="100000"/>
                    </w14:srgbClr>
                  </w14:solidFill>
                </w14:textFill>
              </w:rPr>
              <w:t xml:space="preserve">　</w:t>
            </w:r>
            <w:r w:rsidRPr="0059433B">
              <w:t>%. Assumption.</w:t>
            </w:r>
          </w:p>
        </w:tc>
        <w:tc>
          <w:tcPr>
            <w:tcW w:w="0" w:type="auto"/>
            <w:shd w:val="clear" w:color="auto" w:fill="auto"/>
            <w:vAlign w:val="center"/>
          </w:tcPr>
          <w:p w14:paraId="2085F4A3" w14:textId="77777777" w:rsidR="00230CBC" w:rsidRPr="0059433B" w:rsidRDefault="00230CBC" w:rsidP="005A6F06">
            <w:pPr>
              <w:pStyle w:val="COMTabletext"/>
            </w:pPr>
            <w:r w:rsidRPr="0059433B">
              <w:t>Uptake may be higher than estimated given the lack of other available treatment options.</w:t>
            </w:r>
          </w:p>
          <w:p w14:paraId="4E06CA03" w14:textId="77777777" w:rsidR="00230CBC" w:rsidRPr="0059433B" w:rsidRDefault="00230CBC" w:rsidP="005A6F06">
            <w:pPr>
              <w:pStyle w:val="COMTabletext"/>
              <w:rPr>
                <w:iCs/>
              </w:rPr>
            </w:pPr>
          </w:p>
          <w:p w14:paraId="7580A2CA" w14:textId="77777777" w:rsidR="00230CBC" w:rsidRPr="0059433B" w:rsidRDefault="00230CBC" w:rsidP="005A6F06">
            <w:pPr>
              <w:pStyle w:val="COMTabletext"/>
            </w:pPr>
            <w:r w:rsidRPr="0059433B">
              <w:rPr>
                <w:iCs/>
              </w:rPr>
              <w:t xml:space="preserve">DUSC commented that the uptake rate of incident patients </w:t>
            </w:r>
            <w:proofErr w:type="gramStart"/>
            <w:r w:rsidRPr="0059433B">
              <w:rPr>
                <w:iCs/>
              </w:rPr>
              <w:t>is not required</w:t>
            </w:r>
            <w:proofErr w:type="gramEnd"/>
            <w:r w:rsidRPr="0059433B">
              <w:rPr>
                <w:iCs/>
              </w:rPr>
              <w:t xml:space="preserve"> when a prevalence-based approach is used.</w:t>
            </w:r>
          </w:p>
        </w:tc>
      </w:tr>
      <w:tr w:rsidR="00230CBC" w:rsidRPr="0059433B" w14:paraId="2908183E" w14:textId="77777777" w:rsidTr="00C5774C">
        <w:tc>
          <w:tcPr>
            <w:tcW w:w="0" w:type="auto"/>
            <w:shd w:val="clear" w:color="auto" w:fill="auto"/>
            <w:vAlign w:val="center"/>
          </w:tcPr>
          <w:p w14:paraId="7A069973" w14:textId="77777777" w:rsidR="00230CBC" w:rsidRPr="0059433B" w:rsidRDefault="00230CBC" w:rsidP="00042B2E">
            <w:pPr>
              <w:pStyle w:val="COMTabletext"/>
              <w:keepNext w:val="0"/>
            </w:pPr>
            <w:r w:rsidRPr="0059433B">
              <w:t>Treatment duration</w:t>
            </w:r>
          </w:p>
        </w:tc>
        <w:tc>
          <w:tcPr>
            <w:tcW w:w="0" w:type="auto"/>
            <w:shd w:val="clear" w:color="auto" w:fill="auto"/>
            <w:vAlign w:val="center"/>
          </w:tcPr>
          <w:p w14:paraId="6A39D566" w14:textId="77777777" w:rsidR="00230CBC" w:rsidRPr="0059433B" w:rsidRDefault="00230CBC" w:rsidP="00042B2E">
            <w:pPr>
              <w:pStyle w:val="COMTabletext"/>
              <w:keepNext w:val="0"/>
            </w:pPr>
            <w:r w:rsidRPr="0059433B">
              <w:t>72.27 months. Assumption.</w:t>
            </w:r>
          </w:p>
        </w:tc>
        <w:tc>
          <w:tcPr>
            <w:tcW w:w="0" w:type="auto"/>
            <w:shd w:val="clear" w:color="auto" w:fill="auto"/>
            <w:vAlign w:val="center"/>
          </w:tcPr>
          <w:p w14:paraId="21E7BF15" w14:textId="77777777" w:rsidR="00F126D4" w:rsidRPr="0059433B" w:rsidRDefault="00230CBC" w:rsidP="00042B2E">
            <w:pPr>
              <w:pStyle w:val="COMTabletext"/>
              <w:keepNext w:val="0"/>
            </w:pPr>
            <w:r w:rsidRPr="0059433B">
              <w:t>The source of the treatment duration estimate was unclear.</w:t>
            </w:r>
          </w:p>
          <w:p w14:paraId="290CC5CB" w14:textId="2DB207F3" w:rsidR="00D4347F" w:rsidRPr="0059433B" w:rsidRDefault="00D4347F" w:rsidP="00042B2E">
            <w:pPr>
              <w:pStyle w:val="COMTabletext"/>
              <w:keepNext w:val="0"/>
            </w:pPr>
          </w:p>
          <w:p w14:paraId="47BC9760" w14:textId="718CA7ED" w:rsidR="00D4347F" w:rsidRPr="0059433B" w:rsidRDefault="00D4347F" w:rsidP="00042B2E">
            <w:pPr>
              <w:pStyle w:val="COMTabletext"/>
              <w:keepNext w:val="0"/>
            </w:pPr>
            <w:r w:rsidRPr="0059433B">
              <w:t xml:space="preserve">DUSC commented this parameter </w:t>
            </w:r>
            <w:proofErr w:type="gramStart"/>
            <w:r w:rsidRPr="0059433B">
              <w:t>is not required</w:t>
            </w:r>
            <w:proofErr w:type="gramEnd"/>
            <w:r w:rsidRPr="0059433B">
              <w:t xml:space="preserve"> in applying a prevalence-based only approach to estimate the utilisation.</w:t>
            </w:r>
          </w:p>
        </w:tc>
      </w:tr>
      <w:tr w:rsidR="00230CBC" w:rsidRPr="0059433B" w14:paraId="0A402FB0" w14:textId="77777777" w:rsidTr="00C5774C">
        <w:tc>
          <w:tcPr>
            <w:tcW w:w="0" w:type="auto"/>
            <w:shd w:val="clear" w:color="auto" w:fill="auto"/>
            <w:vAlign w:val="center"/>
          </w:tcPr>
          <w:p w14:paraId="3696B83F" w14:textId="77777777" w:rsidR="00230CBC" w:rsidRPr="0059433B" w:rsidRDefault="00230CBC" w:rsidP="00C5774C">
            <w:pPr>
              <w:pStyle w:val="COMTabletext"/>
            </w:pPr>
            <w:r w:rsidRPr="0059433B">
              <w:t>Treatment adherence</w:t>
            </w:r>
          </w:p>
        </w:tc>
        <w:tc>
          <w:tcPr>
            <w:tcW w:w="0" w:type="auto"/>
            <w:shd w:val="clear" w:color="auto" w:fill="auto"/>
            <w:vAlign w:val="center"/>
          </w:tcPr>
          <w:p w14:paraId="4F272BCB" w14:textId="77777777" w:rsidR="00230CBC" w:rsidRPr="0059433B" w:rsidRDefault="00230CBC" w:rsidP="00C5774C">
            <w:pPr>
              <w:pStyle w:val="COMTabletext"/>
            </w:pPr>
            <w:r w:rsidRPr="0059433B">
              <w:t>96.9%. Based on the relative dose intensity for patisiran reported in the APOLLO trial, calculated as the ratio of the cumulative number of doses received divided by the total number of doses.</w:t>
            </w:r>
          </w:p>
        </w:tc>
        <w:tc>
          <w:tcPr>
            <w:tcW w:w="0" w:type="auto"/>
            <w:shd w:val="clear" w:color="auto" w:fill="auto"/>
            <w:vAlign w:val="center"/>
          </w:tcPr>
          <w:p w14:paraId="4AF6017D" w14:textId="77777777" w:rsidR="00230CBC" w:rsidRPr="0059433B" w:rsidRDefault="00230CBC" w:rsidP="00C5774C">
            <w:pPr>
              <w:pStyle w:val="COMTabletext"/>
            </w:pPr>
            <w:r w:rsidRPr="0059433B">
              <w:t>Treatment adherence is likely to be lower in clinical practice compared to the clinical trial.</w:t>
            </w:r>
          </w:p>
          <w:p w14:paraId="38A6B1C4" w14:textId="77777777" w:rsidR="00AB2BEC" w:rsidRPr="0059433B" w:rsidRDefault="00AB2BEC" w:rsidP="00C5774C">
            <w:pPr>
              <w:pStyle w:val="COMTabletext"/>
            </w:pPr>
          </w:p>
          <w:p w14:paraId="2CC7DB98" w14:textId="64D2A309" w:rsidR="00AB2BEC" w:rsidRPr="00331793" w:rsidRDefault="00AB2BEC" w:rsidP="00C5774C">
            <w:pPr>
              <w:pStyle w:val="COMTabletext"/>
              <w:rPr>
                <w:iCs/>
              </w:rPr>
            </w:pPr>
            <w:r w:rsidRPr="0059433B">
              <w:rPr>
                <w:iCs/>
              </w:rPr>
              <w:t xml:space="preserve">DUSC commented that the high treatment </w:t>
            </w:r>
            <w:r w:rsidR="00142589" w:rsidRPr="0059433B">
              <w:rPr>
                <w:iCs/>
              </w:rPr>
              <w:t>adherence</w:t>
            </w:r>
            <w:r w:rsidRPr="0059433B">
              <w:rPr>
                <w:iCs/>
              </w:rPr>
              <w:t xml:space="preserve"> rate was reasonable. Noting that it is </w:t>
            </w:r>
            <w:proofErr w:type="gramStart"/>
            <w:r w:rsidRPr="0059433B">
              <w:rPr>
                <w:iCs/>
              </w:rPr>
              <w:t>likely high</w:t>
            </w:r>
            <w:proofErr w:type="gramEnd"/>
            <w:r w:rsidRPr="0059433B">
              <w:rPr>
                <w:iCs/>
              </w:rPr>
              <w:t xml:space="preserve"> due to the treatment being an infusion.</w:t>
            </w:r>
          </w:p>
        </w:tc>
      </w:tr>
      <w:tr w:rsidR="00230CBC" w:rsidRPr="0059433B" w14:paraId="224D5F1A" w14:textId="77777777" w:rsidTr="00C5774C">
        <w:tc>
          <w:tcPr>
            <w:tcW w:w="0" w:type="auto"/>
            <w:shd w:val="clear" w:color="auto" w:fill="auto"/>
            <w:vAlign w:val="center"/>
          </w:tcPr>
          <w:p w14:paraId="5B7221C4" w14:textId="77777777" w:rsidR="00230CBC" w:rsidRPr="00B80329" w:rsidRDefault="00230CBC" w:rsidP="00C5774C">
            <w:pPr>
              <w:pStyle w:val="COMTabletext"/>
            </w:pPr>
            <w:r w:rsidRPr="00B80329">
              <w:t>Vials per administration</w:t>
            </w:r>
          </w:p>
        </w:tc>
        <w:tc>
          <w:tcPr>
            <w:tcW w:w="0" w:type="auto"/>
            <w:shd w:val="clear" w:color="auto" w:fill="auto"/>
            <w:vAlign w:val="center"/>
          </w:tcPr>
          <w:p w14:paraId="44864A33" w14:textId="77777777" w:rsidR="00230CBC" w:rsidRPr="00B80329" w:rsidRDefault="00230CBC" w:rsidP="00C5774C">
            <w:pPr>
              <w:pStyle w:val="COMTabletext"/>
            </w:pPr>
            <w:r w:rsidRPr="00B80329">
              <w:t xml:space="preserve">2.38 vials per administration per patient. An average of 2.38 vials per administration </w:t>
            </w:r>
            <w:proofErr w:type="gramStart"/>
            <w:r w:rsidRPr="00B80329">
              <w:t>was assumed</w:t>
            </w:r>
            <w:proofErr w:type="gramEnd"/>
            <w:r w:rsidRPr="00B80329">
              <w:t>, based on a patisiran dose of 0.3 mg/kg (to a maximum of 30 mg) and a body weight distribution among patients who did not have a Val30Met mutation (34-66kg: 62%; ≥67 kg: 38%).</w:t>
            </w:r>
          </w:p>
        </w:tc>
        <w:tc>
          <w:tcPr>
            <w:tcW w:w="0" w:type="auto"/>
            <w:shd w:val="clear" w:color="auto" w:fill="auto"/>
            <w:vAlign w:val="center"/>
          </w:tcPr>
          <w:p w14:paraId="6ED952E0" w14:textId="77777777" w:rsidR="00230CBC" w:rsidRPr="0059433B" w:rsidRDefault="00230CBC" w:rsidP="00C5774C">
            <w:pPr>
              <w:pStyle w:val="COMTabletext"/>
            </w:pPr>
            <w:r w:rsidRPr="0059433B">
              <w:t>While the method used to calculate the dose appropriately accounted for wastage, there may be differences in the body weight distribution between patients in the APOLLO trial and the Australian PBS population which may impact the average number of vials used.</w:t>
            </w:r>
          </w:p>
        </w:tc>
      </w:tr>
      <w:tr w:rsidR="00230CBC" w:rsidRPr="0059433B" w14:paraId="1BF4C947" w14:textId="77777777" w:rsidTr="00C5774C">
        <w:tc>
          <w:tcPr>
            <w:tcW w:w="0" w:type="auto"/>
            <w:shd w:val="clear" w:color="auto" w:fill="auto"/>
            <w:vAlign w:val="center"/>
          </w:tcPr>
          <w:p w14:paraId="0D462883" w14:textId="77777777" w:rsidR="00230CBC" w:rsidRPr="0059433B" w:rsidRDefault="00230CBC" w:rsidP="00C5774C">
            <w:pPr>
              <w:pStyle w:val="COMTabletext"/>
            </w:pPr>
            <w:r w:rsidRPr="0059433B">
              <w:t>Patisiran costs</w:t>
            </w:r>
          </w:p>
        </w:tc>
        <w:tc>
          <w:tcPr>
            <w:tcW w:w="0" w:type="auto"/>
            <w:shd w:val="clear" w:color="auto" w:fill="auto"/>
            <w:vAlign w:val="center"/>
          </w:tcPr>
          <w:p w14:paraId="578CE8AE" w14:textId="696C82B2" w:rsidR="00230CBC" w:rsidRPr="0059433B" w:rsidRDefault="00230CBC" w:rsidP="00C5774C">
            <w:pPr>
              <w:pStyle w:val="COMTabletext"/>
            </w:pPr>
            <w:r w:rsidRPr="0059433B">
              <w:t>$</w:t>
            </w:r>
            <w:r w:rsidR="00B94620" w:rsidRPr="00B626A0">
              <w:rPr>
                <w:color w:val="000000"/>
                <w:spacing w:val="53"/>
                <w:shd w:val="solid" w:color="000000" w:fill="000000"/>
                <w:fitText w:val="330" w:id="-1171529471"/>
                <w14:textFill>
                  <w14:solidFill>
                    <w14:srgbClr w14:val="000000">
                      <w14:alpha w14:val="100000"/>
                    </w14:srgbClr>
                  </w14:solidFill>
                </w14:textFill>
              </w:rPr>
              <w:t>|||</w:t>
            </w:r>
            <w:r w:rsidR="00B94620" w:rsidRPr="00B626A0">
              <w:rPr>
                <w:color w:val="000000"/>
                <w:spacing w:val="1"/>
                <w:shd w:val="solid" w:color="000000" w:fill="000000"/>
                <w:fitText w:val="330" w:id="-1171529471"/>
                <w14:textFill>
                  <w14:solidFill>
                    <w14:srgbClr w14:val="000000">
                      <w14:alpha w14:val="100000"/>
                    </w14:srgbClr>
                  </w14:solidFill>
                </w14:textFill>
              </w:rPr>
              <w:t>|</w:t>
            </w:r>
            <w:r w:rsidRPr="0059433B">
              <w:t>. Requested effective DPMQ for Section 100 public hospital listing.</w:t>
            </w:r>
          </w:p>
        </w:tc>
        <w:tc>
          <w:tcPr>
            <w:tcW w:w="0" w:type="auto"/>
            <w:shd w:val="clear" w:color="auto" w:fill="auto"/>
            <w:vAlign w:val="center"/>
          </w:tcPr>
          <w:p w14:paraId="53C732CD" w14:textId="77777777" w:rsidR="00230CBC" w:rsidRPr="0059433B" w:rsidRDefault="00230CBC" w:rsidP="00C5774C">
            <w:pPr>
              <w:pStyle w:val="COMTabletext"/>
            </w:pPr>
            <w:r w:rsidRPr="0059433B">
              <w:t>The submission estimated costs assuming a public hospitals listing only. The dispensed cost would be higher for a private hospital listing, due to additional fees and mark-ups associated with private hospital supply of PBS items.</w:t>
            </w:r>
          </w:p>
        </w:tc>
      </w:tr>
      <w:tr w:rsidR="00230CBC" w:rsidRPr="0059433B" w14:paraId="1797C6D9" w14:textId="77777777" w:rsidTr="00C5774C">
        <w:tc>
          <w:tcPr>
            <w:tcW w:w="0" w:type="auto"/>
            <w:shd w:val="clear" w:color="auto" w:fill="auto"/>
            <w:vAlign w:val="center"/>
          </w:tcPr>
          <w:p w14:paraId="18DA645D" w14:textId="77777777" w:rsidR="00230CBC" w:rsidRPr="0059433B" w:rsidRDefault="00230CBC" w:rsidP="00C5774C">
            <w:pPr>
              <w:pStyle w:val="COMTabletext"/>
            </w:pPr>
            <w:r w:rsidRPr="0059433B">
              <w:t>Administration costs</w:t>
            </w:r>
          </w:p>
        </w:tc>
        <w:tc>
          <w:tcPr>
            <w:tcW w:w="0" w:type="auto"/>
            <w:shd w:val="clear" w:color="auto" w:fill="auto"/>
            <w:vAlign w:val="center"/>
          </w:tcPr>
          <w:p w14:paraId="0D4906C6" w14:textId="77777777" w:rsidR="00230CBC" w:rsidRPr="0059433B" w:rsidRDefault="00230CBC" w:rsidP="00C5774C">
            <w:pPr>
              <w:pStyle w:val="COMTabletext"/>
            </w:pPr>
            <w:r w:rsidRPr="0059433B">
              <w:t>$89.92. MBS Item 13950 (parenteral administration of one or more antineoplastic agents), 80% of Schedule fee.</w:t>
            </w:r>
          </w:p>
        </w:tc>
        <w:tc>
          <w:tcPr>
            <w:tcW w:w="0" w:type="auto"/>
            <w:shd w:val="clear" w:color="auto" w:fill="auto"/>
            <w:vAlign w:val="center"/>
          </w:tcPr>
          <w:p w14:paraId="45959C3E" w14:textId="36582187" w:rsidR="00230CBC" w:rsidRPr="0059433B" w:rsidRDefault="00230CBC" w:rsidP="00C5774C">
            <w:pPr>
              <w:pStyle w:val="COMTabletext"/>
            </w:pPr>
            <w:r w:rsidRPr="0059433B">
              <w:t>The assumed cost was not reasonable given that patisiran is not an antineoplastic agent.</w:t>
            </w:r>
            <w:r w:rsidR="00F45F60" w:rsidRPr="0059433B">
              <w:t xml:space="preserve"> </w:t>
            </w:r>
            <w:r w:rsidRPr="0059433B">
              <w:t xml:space="preserve">DUSC considered that the administration costs were unclear, noting that in </w:t>
            </w:r>
            <w:proofErr w:type="gramStart"/>
            <w:r w:rsidRPr="0059433B">
              <w:t>some</w:t>
            </w:r>
            <w:proofErr w:type="gramEnd"/>
            <w:r w:rsidRPr="0059433B">
              <w:t xml:space="preserve"> rural areas MBS costs might be incurred.</w:t>
            </w:r>
          </w:p>
        </w:tc>
      </w:tr>
      <w:tr w:rsidR="00230CBC" w:rsidRPr="0059433B" w14:paraId="236A1603" w14:textId="77777777" w:rsidTr="00C5774C">
        <w:tc>
          <w:tcPr>
            <w:tcW w:w="0" w:type="auto"/>
            <w:shd w:val="clear" w:color="auto" w:fill="auto"/>
            <w:vAlign w:val="center"/>
          </w:tcPr>
          <w:p w14:paraId="34B441E2" w14:textId="77777777" w:rsidR="00230CBC" w:rsidRPr="0059433B" w:rsidRDefault="00230CBC" w:rsidP="00C5774C">
            <w:pPr>
              <w:pStyle w:val="COMTabletext"/>
            </w:pPr>
            <w:r w:rsidRPr="0059433B">
              <w:t>Genetic test</w:t>
            </w:r>
          </w:p>
        </w:tc>
        <w:tc>
          <w:tcPr>
            <w:tcW w:w="0" w:type="auto"/>
            <w:shd w:val="clear" w:color="auto" w:fill="auto"/>
            <w:vAlign w:val="center"/>
          </w:tcPr>
          <w:p w14:paraId="025046C9" w14:textId="77777777" w:rsidR="00230CBC" w:rsidRPr="0059433B" w:rsidRDefault="00230CBC" w:rsidP="00C5774C">
            <w:pPr>
              <w:pStyle w:val="COMTabletext"/>
            </w:pPr>
            <w:r w:rsidRPr="0059433B">
              <w:t xml:space="preserve">MBS Item 73422 (genetic testing for neuromuscular disorders) </w:t>
            </w:r>
            <w:proofErr w:type="gramStart"/>
            <w:r w:rsidRPr="0059433B">
              <w:t>was described</w:t>
            </w:r>
            <w:proofErr w:type="gramEnd"/>
            <w:r w:rsidRPr="0059433B">
              <w:t xml:space="preserve"> in submission but no increase in utilisation was assumed</w:t>
            </w:r>
          </w:p>
        </w:tc>
        <w:tc>
          <w:tcPr>
            <w:tcW w:w="0" w:type="auto"/>
            <w:shd w:val="clear" w:color="auto" w:fill="auto"/>
            <w:vAlign w:val="center"/>
          </w:tcPr>
          <w:p w14:paraId="03670CFE" w14:textId="7FC58275" w:rsidR="00230CBC" w:rsidRPr="0059433B" w:rsidRDefault="00230CBC" w:rsidP="00C5774C">
            <w:pPr>
              <w:pStyle w:val="COMTabletext"/>
            </w:pPr>
            <w:r w:rsidRPr="0059433B">
              <w:t>This may not be reasonable as the availability of an effective treatment may contribute to higher rates of testing for hATTR amyloidosis.</w:t>
            </w:r>
          </w:p>
        </w:tc>
      </w:tr>
    </w:tbl>
    <w:p w14:paraId="37DB2B3C" w14:textId="77777777" w:rsidR="00230CBC" w:rsidRPr="0059433B" w:rsidRDefault="00230CBC" w:rsidP="00230CBC">
      <w:pPr>
        <w:pStyle w:val="COMTablefooter"/>
      </w:pPr>
      <w:r w:rsidRPr="0059433B">
        <w:t>Source: Section 4, pp150-160 of the submission; Section 4 financial implications Excel workbook.</w:t>
      </w:r>
    </w:p>
    <w:p w14:paraId="6E1674D6" w14:textId="495AB4E1" w:rsidR="00230CBC" w:rsidRDefault="00230CBC" w:rsidP="007F7FB3">
      <w:pPr>
        <w:pStyle w:val="COMTablefooter"/>
        <w:spacing w:after="0"/>
      </w:pPr>
      <w:r w:rsidRPr="0059433B">
        <w:t>Abbreviations: AAN, Australian Amyloidosis Network; DPMQ, dispensed price for maximum quantity; hATTR, hereditary transthyretin-mediated amyloidosis; IV, intravenous; PBAC, Pharmaceutical Benefits Advisory Committee; PND, polyneuropathy disability; wtATTR, wild-type transthyretin-mediated amyloidosis; Yr, Year.</w:t>
      </w:r>
    </w:p>
    <w:p w14:paraId="65663646" w14:textId="77777777" w:rsidR="00F916B0" w:rsidRPr="009A6D58" w:rsidRDefault="00F916B0" w:rsidP="00F916B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7DA0085" w14:textId="429A1E59" w:rsidR="00F916B0" w:rsidRPr="007F7FB3" w:rsidRDefault="00F916B0" w:rsidP="007F7FB3">
      <w:pPr>
        <w:spacing w:after="120"/>
        <w:ind w:right="147"/>
        <w:rPr>
          <w:i/>
          <w:iCs/>
          <w:color w:val="333333"/>
          <w:szCs w:val="18"/>
        </w:rPr>
      </w:pPr>
      <w:r w:rsidRPr="00204E7C">
        <w:rPr>
          <w:rFonts w:ascii="Arial Narrow" w:hAnsi="Arial Narrow"/>
          <w:i/>
          <w:iCs/>
          <w:color w:val="333333"/>
          <w:sz w:val="18"/>
          <w:szCs w:val="18"/>
          <w:vertAlign w:val="superscript"/>
        </w:rPr>
        <w:t>1</w:t>
      </w:r>
      <w:r>
        <w:rPr>
          <w:rFonts w:ascii="Arial Narrow" w:hAnsi="Arial Narrow"/>
          <w:i/>
          <w:iCs/>
          <w:color w:val="333333"/>
          <w:sz w:val="18"/>
          <w:szCs w:val="18"/>
          <w:vertAlign w:val="superscript"/>
        </w:rPr>
        <w:t xml:space="preserve"> </w:t>
      </w:r>
      <w:r w:rsidRPr="00204E7C">
        <w:rPr>
          <w:rFonts w:ascii="Arial Narrow" w:hAnsi="Arial Narrow"/>
          <w:i/>
          <w:iCs/>
          <w:color w:val="333333"/>
          <w:sz w:val="18"/>
          <w:szCs w:val="18"/>
        </w:rPr>
        <w:t>&lt; 500</w:t>
      </w:r>
    </w:p>
    <w:p w14:paraId="6E8D1FFD" w14:textId="6CE3450C" w:rsidR="00230CBC" w:rsidRPr="0059433B" w:rsidRDefault="00230CBC" w:rsidP="00230CBC">
      <w:pPr>
        <w:pStyle w:val="COMexecsumnumberedpara"/>
      </w:pPr>
      <w:r w:rsidRPr="0059433B">
        <w:t xml:space="preserve">The estimated net cost to the PBS/RPBS of listing patisiran based on the proposed effective price </w:t>
      </w:r>
      <w:proofErr w:type="gramStart"/>
      <w:r w:rsidRPr="0059433B">
        <w:t>is presented</w:t>
      </w:r>
      <w:proofErr w:type="gramEnd"/>
      <w:r w:rsidRPr="0059433B">
        <w:t xml:space="preserve"> in </w:t>
      </w:r>
      <w:r w:rsidRPr="0059433B">
        <w:rPr>
          <w:highlight w:val="yellow"/>
        </w:rPr>
        <w:fldChar w:fldCharType="begin" w:fldLock="1"/>
      </w:r>
      <w:r w:rsidRPr="0059433B">
        <w:instrText xml:space="preserve"> REF _Ref132583442 \h </w:instrText>
      </w:r>
      <w:r w:rsidRPr="0059433B">
        <w:rPr>
          <w:highlight w:val="yellow"/>
        </w:rPr>
      </w:r>
      <w:r w:rsidRPr="0059433B">
        <w:rPr>
          <w:highlight w:val="yellow"/>
        </w:rPr>
        <w:fldChar w:fldCharType="separate"/>
      </w:r>
      <w:r w:rsidR="00042B2E" w:rsidRPr="0059433B">
        <w:t>Table 16</w:t>
      </w:r>
      <w:r w:rsidRPr="0059433B">
        <w:rPr>
          <w:highlight w:val="yellow"/>
        </w:rPr>
        <w:fldChar w:fldCharType="end"/>
      </w:r>
      <w:r w:rsidRPr="0059433B">
        <w:t xml:space="preserve">. Sensitivity analyses prepared by the DUSC Secretariat </w:t>
      </w:r>
      <w:proofErr w:type="gramStart"/>
      <w:r w:rsidRPr="0059433B">
        <w:t>are also provided</w:t>
      </w:r>
      <w:proofErr w:type="gramEnd"/>
      <w:r w:rsidRPr="0059433B">
        <w:t>.</w:t>
      </w:r>
    </w:p>
    <w:p w14:paraId="37111CA1" w14:textId="3E274580" w:rsidR="00230CBC" w:rsidRPr="0059433B" w:rsidRDefault="00230CBC" w:rsidP="00230CBC">
      <w:pPr>
        <w:pStyle w:val="COMtablefigcaption"/>
        <w:rPr>
          <w:b w:val="0"/>
        </w:rPr>
      </w:pPr>
      <w:bookmarkStart w:id="81" w:name="_Ref132583442"/>
      <w:r w:rsidRPr="0059433B">
        <w:lastRenderedPageBreak/>
        <w:t xml:space="preserve">Table </w:t>
      </w:r>
      <w:fldSimple w:instr=" SEQ Table \* ARABIC " w:fldLock="1">
        <w:r w:rsidR="00042B2E" w:rsidRPr="0059433B">
          <w:t>16</w:t>
        </w:r>
      </w:fldSimple>
      <w:bookmarkEnd w:id="81"/>
      <w:r w:rsidRPr="0059433B">
        <w:t>: Estimated utilisation and net cost of listing patisiran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Estimated utilisation and net cost of listing patisiran"/>
      </w:tblPr>
      <w:tblGrid>
        <w:gridCol w:w="2549"/>
        <w:gridCol w:w="1077"/>
        <w:gridCol w:w="1077"/>
        <w:gridCol w:w="1078"/>
        <w:gridCol w:w="1077"/>
        <w:gridCol w:w="1077"/>
        <w:gridCol w:w="1082"/>
      </w:tblGrid>
      <w:tr w:rsidR="00230CBC" w:rsidRPr="0059433B" w14:paraId="1B37CD11" w14:textId="77777777" w:rsidTr="00C5774C">
        <w:trPr>
          <w:tblHeader/>
        </w:trPr>
        <w:tc>
          <w:tcPr>
            <w:tcW w:w="1413" w:type="pct"/>
            <w:shd w:val="clear" w:color="auto" w:fill="auto"/>
            <w:vAlign w:val="center"/>
          </w:tcPr>
          <w:p w14:paraId="26841FBC" w14:textId="77777777" w:rsidR="00230CBC" w:rsidRPr="0059433B" w:rsidRDefault="00230CBC" w:rsidP="00C5774C">
            <w:pPr>
              <w:pStyle w:val="COMTableheadingrow"/>
              <w:rPr>
                <w:lang w:val="en-AU"/>
              </w:rPr>
            </w:pPr>
          </w:p>
        </w:tc>
        <w:tc>
          <w:tcPr>
            <w:tcW w:w="597" w:type="pct"/>
            <w:shd w:val="clear" w:color="auto" w:fill="auto"/>
            <w:vAlign w:val="center"/>
          </w:tcPr>
          <w:p w14:paraId="35C24192" w14:textId="77777777" w:rsidR="00230CBC" w:rsidRPr="0059433B" w:rsidRDefault="00230CBC" w:rsidP="00C5774C">
            <w:pPr>
              <w:pStyle w:val="COMTableheadingrow"/>
              <w:jc w:val="center"/>
              <w:rPr>
                <w:lang w:val="en-AU"/>
              </w:rPr>
            </w:pPr>
            <w:r w:rsidRPr="0059433B">
              <w:rPr>
                <w:lang w:val="en-AU"/>
              </w:rPr>
              <w:t>Year 1</w:t>
            </w:r>
          </w:p>
        </w:tc>
        <w:tc>
          <w:tcPr>
            <w:tcW w:w="597" w:type="pct"/>
            <w:shd w:val="clear" w:color="auto" w:fill="auto"/>
            <w:vAlign w:val="center"/>
          </w:tcPr>
          <w:p w14:paraId="785A4272" w14:textId="77777777" w:rsidR="00230CBC" w:rsidRPr="0059433B" w:rsidRDefault="00230CBC" w:rsidP="00C5774C">
            <w:pPr>
              <w:pStyle w:val="COMTableheadingrow"/>
              <w:jc w:val="center"/>
              <w:rPr>
                <w:lang w:val="en-AU"/>
              </w:rPr>
            </w:pPr>
            <w:r w:rsidRPr="0059433B">
              <w:rPr>
                <w:lang w:val="en-AU"/>
              </w:rPr>
              <w:t>Year 2</w:t>
            </w:r>
          </w:p>
        </w:tc>
        <w:tc>
          <w:tcPr>
            <w:tcW w:w="598" w:type="pct"/>
            <w:shd w:val="clear" w:color="auto" w:fill="auto"/>
            <w:vAlign w:val="center"/>
          </w:tcPr>
          <w:p w14:paraId="39B40966" w14:textId="77777777" w:rsidR="00230CBC" w:rsidRPr="0059433B" w:rsidRDefault="00230CBC" w:rsidP="00C5774C">
            <w:pPr>
              <w:pStyle w:val="COMTableheadingrow"/>
              <w:jc w:val="center"/>
              <w:rPr>
                <w:lang w:val="en-AU"/>
              </w:rPr>
            </w:pPr>
            <w:r w:rsidRPr="0059433B">
              <w:rPr>
                <w:lang w:val="en-AU"/>
              </w:rPr>
              <w:t>Year 3</w:t>
            </w:r>
          </w:p>
        </w:tc>
        <w:tc>
          <w:tcPr>
            <w:tcW w:w="597" w:type="pct"/>
            <w:shd w:val="clear" w:color="auto" w:fill="auto"/>
            <w:vAlign w:val="center"/>
          </w:tcPr>
          <w:p w14:paraId="4AD95CCE" w14:textId="77777777" w:rsidR="00230CBC" w:rsidRPr="0059433B" w:rsidRDefault="00230CBC" w:rsidP="00C5774C">
            <w:pPr>
              <w:pStyle w:val="COMTableheadingrow"/>
              <w:jc w:val="center"/>
              <w:rPr>
                <w:lang w:val="en-AU"/>
              </w:rPr>
            </w:pPr>
            <w:r w:rsidRPr="0059433B">
              <w:rPr>
                <w:lang w:val="en-AU"/>
              </w:rPr>
              <w:t>Year 4</w:t>
            </w:r>
          </w:p>
        </w:tc>
        <w:tc>
          <w:tcPr>
            <w:tcW w:w="597" w:type="pct"/>
            <w:shd w:val="clear" w:color="auto" w:fill="auto"/>
            <w:vAlign w:val="center"/>
          </w:tcPr>
          <w:p w14:paraId="0FCA2102" w14:textId="77777777" w:rsidR="00230CBC" w:rsidRPr="0059433B" w:rsidRDefault="00230CBC" w:rsidP="00C5774C">
            <w:pPr>
              <w:pStyle w:val="COMTableheadingrow"/>
              <w:jc w:val="center"/>
              <w:rPr>
                <w:lang w:val="en-AU"/>
              </w:rPr>
            </w:pPr>
            <w:r w:rsidRPr="0059433B">
              <w:rPr>
                <w:lang w:val="en-AU"/>
              </w:rPr>
              <w:t>Year 5</w:t>
            </w:r>
          </w:p>
        </w:tc>
        <w:tc>
          <w:tcPr>
            <w:tcW w:w="600" w:type="pct"/>
            <w:shd w:val="clear" w:color="auto" w:fill="auto"/>
            <w:vAlign w:val="center"/>
          </w:tcPr>
          <w:p w14:paraId="5860F8DB" w14:textId="77777777" w:rsidR="00230CBC" w:rsidRPr="0059433B" w:rsidRDefault="00230CBC" w:rsidP="00C5774C">
            <w:pPr>
              <w:pStyle w:val="COMTableheadingrow"/>
              <w:jc w:val="center"/>
              <w:rPr>
                <w:lang w:val="en-AU"/>
              </w:rPr>
            </w:pPr>
            <w:r w:rsidRPr="0059433B">
              <w:rPr>
                <w:lang w:val="en-AU"/>
              </w:rPr>
              <w:t>Year 6</w:t>
            </w:r>
          </w:p>
        </w:tc>
      </w:tr>
      <w:tr w:rsidR="00230CBC" w:rsidRPr="0059433B" w14:paraId="28408392" w14:textId="77777777" w:rsidTr="00C5774C">
        <w:tc>
          <w:tcPr>
            <w:tcW w:w="1413" w:type="pct"/>
            <w:shd w:val="clear" w:color="auto" w:fill="auto"/>
            <w:vAlign w:val="center"/>
          </w:tcPr>
          <w:p w14:paraId="46C2C10B" w14:textId="77777777" w:rsidR="00230CBC" w:rsidRPr="0059433B" w:rsidRDefault="00230CBC" w:rsidP="00C5774C">
            <w:pPr>
              <w:pStyle w:val="COMTabletext"/>
            </w:pPr>
            <w:r w:rsidRPr="0059433B">
              <w:t>Total treated patients</w:t>
            </w:r>
          </w:p>
        </w:tc>
        <w:tc>
          <w:tcPr>
            <w:tcW w:w="597" w:type="pct"/>
            <w:shd w:val="clear" w:color="auto" w:fill="auto"/>
            <w:vAlign w:val="center"/>
          </w:tcPr>
          <w:p w14:paraId="3874A1DB" w14:textId="07792697"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70"/>
                <w14:textFill>
                  <w14:solidFill>
                    <w14:srgbClr w14:val="000000">
                      <w14:alpha w14:val="100000"/>
                    </w14:srgbClr>
                  </w14:solidFill>
                </w14:textFill>
              </w:rPr>
              <w:t xml:space="preserve">　</w:t>
            </w:r>
            <w:r w:rsidRPr="00B626A0">
              <w:rPr>
                <w:color w:val="000000"/>
                <w:w w:val="15"/>
                <w:shd w:val="solid" w:color="000000" w:fill="000000"/>
                <w:fitText w:val="55" w:id="-1171529470"/>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70"/>
                <w14:textFill>
                  <w14:solidFill>
                    <w14:srgbClr w14:val="000000">
                      <w14:alpha w14:val="100000"/>
                    </w14:srgbClr>
                  </w14:solidFill>
                </w14:textFill>
              </w:rPr>
              <w:t xml:space="preserve">　</w:t>
            </w:r>
            <w:r w:rsidR="009953AE">
              <w:rPr>
                <w:vertAlign w:val="superscript"/>
              </w:rPr>
              <w:t>1</w:t>
            </w:r>
          </w:p>
        </w:tc>
        <w:tc>
          <w:tcPr>
            <w:tcW w:w="597" w:type="pct"/>
            <w:shd w:val="clear" w:color="auto" w:fill="auto"/>
            <w:vAlign w:val="center"/>
          </w:tcPr>
          <w:p w14:paraId="6D7226BF" w14:textId="7F2AB29C"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69"/>
                <w14:textFill>
                  <w14:solidFill>
                    <w14:srgbClr w14:val="000000">
                      <w14:alpha w14:val="100000"/>
                    </w14:srgbClr>
                  </w14:solidFill>
                </w14:textFill>
              </w:rPr>
              <w:t xml:space="preserve">　</w:t>
            </w:r>
            <w:r w:rsidRPr="00B626A0">
              <w:rPr>
                <w:color w:val="000000"/>
                <w:w w:val="15"/>
                <w:shd w:val="solid" w:color="000000" w:fill="000000"/>
                <w:fitText w:val="55" w:id="-1171529469"/>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9"/>
                <w14:textFill>
                  <w14:solidFill>
                    <w14:srgbClr w14:val="000000">
                      <w14:alpha w14:val="100000"/>
                    </w14:srgbClr>
                  </w14:solidFill>
                </w14:textFill>
              </w:rPr>
              <w:t xml:space="preserve">　</w:t>
            </w:r>
            <w:r w:rsidR="009953AE">
              <w:rPr>
                <w:vertAlign w:val="superscript"/>
              </w:rPr>
              <w:t>1</w:t>
            </w:r>
          </w:p>
        </w:tc>
        <w:tc>
          <w:tcPr>
            <w:tcW w:w="598" w:type="pct"/>
            <w:shd w:val="clear" w:color="auto" w:fill="auto"/>
            <w:vAlign w:val="center"/>
          </w:tcPr>
          <w:p w14:paraId="4F456592" w14:textId="11F074DE"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68"/>
                <w14:textFill>
                  <w14:solidFill>
                    <w14:srgbClr w14:val="000000">
                      <w14:alpha w14:val="100000"/>
                    </w14:srgbClr>
                  </w14:solidFill>
                </w14:textFill>
              </w:rPr>
              <w:t xml:space="preserve">　</w:t>
            </w:r>
            <w:r w:rsidRPr="00B626A0">
              <w:rPr>
                <w:color w:val="000000"/>
                <w:w w:val="15"/>
                <w:shd w:val="solid" w:color="000000" w:fill="000000"/>
                <w:fitText w:val="55" w:id="-1171529468"/>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8"/>
                <w14:textFill>
                  <w14:solidFill>
                    <w14:srgbClr w14:val="000000">
                      <w14:alpha w14:val="100000"/>
                    </w14:srgbClr>
                  </w14:solidFill>
                </w14:textFill>
              </w:rPr>
              <w:t xml:space="preserve">　</w:t>
            </w:r>
            <w:r w:rsidR="009953AE">
              <w:rPr>
                <w:vertAlign w:val="superscript"/>
              </w:rPr>
              <w:t>1</w:t>
            </w:r>
          </w:p>
        </w:tc>
        <w:tc>
          <w:tcPr>
            <w:tcW w:w="597" w:type="pct"/>
            <w:shd w:val="clear" w:color="auto" w:fill="auto"/>
            <w:vAlign w:val="center"/>
          </w:tcPr>
          <w:p w14:paraId="3456795E" w14:textId="78922B61"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67"/>
                <w14:textFill>
                  <w14:solidFill>
                    <w14:srgbClr w14:val="000000">
                      <w14:alpha w14:val="100000"/>
                    </w14:srgbClr>
                  </w14:solidFill>
                </w14:textFill>
              </w:rPr>
              <w:t xml:space="preserve">　</w:t>
            </w:r>
            <w:r w:rsidRPr="00B626A0">
              <w:rPr>
                <w:color w:val="000000"/>
                <w:w w:val="15"/>
                <w:shd w:val="solid" w:color="000000" w:fill="000000"/>
                <w:fitText w:val="55" w:id="-1171529467"/>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7"/>
                <w14:textFill>
                  <w14:solidFill>
                    <w14:srgbClr w14:val="000000">
                      <w14:alpha w14:val="100000"/>
                    </w14:srgbClr>
                  </w14:solidFill>
                </w14:textFill>
              </w:rPr>
              <w:t xml:space="preserve">　</w:t>
            </w:r>
            <w:r w:rsidR="009953AE">
              <w:rPr>
                <w:vertAlign w:val="superscript"/>
              </w:rPr>
              <w:t>1</w:t>
            </w:r>
          </w:p>
        </w:tc>
        <w:tc>
          <w:tcPr>
            <w:tcW w:w="597" w:type="pct"/>
            <w:shd w:val="clear" w:color="auto" w:fill="auto"/>
            <w:vAlign w:val="center"/>
          </w:tcPr>
          <w:p w14:paraId="747AD121" w14:textId="409F1D5D"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66"/>
                <w14:textFill>
                  <w14:solidFill>
                    <w14:srgbClr w14:val="000000">
                      <w14:alpha w14:val="100000"/>
                    </w14:srgbClr>
                  </w14:solidFill>
                </w14:textFill>
              </w:rPr>
              <w:t xml:space="preserve">　</w:t>
            </w:r>
            <w:r w:rsidRPr="00B626A0">
              <w:rPr>
                <w:color w:val="000000"/>
                <w:w w:val="15"/>
                <w:shd w:val="solid" w:color="000000" w:fill="000000"/>
                <w:fitText w:val="55" w:id="-1171529466"/>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6"/>
                <w14:textFill>
                  <w14:solidFill>
                    <w14:srgbClr w14:val="000000">
                      <w14:alpha w14:val="100000"/>
                    </w14:srgbClr>
                  </w14:solidFill>
                </w14:textFill>
              </w:rPr>
              <w:t xml:space="preserve">　</w:t>
            </w:r>
            <w:r w:rsidR="009953AE">
              <w:rPr>
                <w:vertAlign w:val="superscript"/>
              </w:rPr>
              <w:t>1</w:t>
            </w:r>
          </w:p>
        </w:tc>
        <w:tc>
          <w:tcPr>
            <w:tcW w:w="600" w:type="pct"/>
            <w:shd w:val="clear" w:color="auto" w:fill="auto"/>
            <w:vAlign w:val="center"/>
          </w:tcPr>
          <w:p w14:paraId="26B5D1DB" w14:textId="26BAE3ED" w:rsidR="00230CBC" w:rsidRPr="00204E7C" w:rsidRDefault="00B94620" w:rsidP="00C5774C">
            <w:pPr>
              <w:pStyle w:val="COMTabletext"/>
              <w:jc w:val="center"/>
              <w:rPr>
                <w:rFonts w:cs="Arial"/>
                <w:color w:val="000000"/>
                <w:vertAlign w:val="superscript"/>
              </w:rPr>
            </w:pPr>
            <w:r w:rsidRPr="00B94620">
              <w:rPr>
                <w:rFonts w:ascii="MS Mincho" w:eastAsia="MS Mincho" w:hAnsi="MS Mincho" w:cs="MS Mincho" w:hint="eastAsia"/>
                <w:color w:val="000000"/>
                <w:w w:val="15"/>
                <w:shd w:val="solid" w:color="000000" w:fill="000000"/>
                <w:fitText w:val="65" w:id="-1171529465"/>
                <w14:textFill>
                  <w14:solidFill>
                    <w14:srgbClr w14:val="000000">
                      <w14:alpha w14:val="100000"/>
                    </w14:srgbClr>
                  </w14:solidFill>
                </w14:textFill>
              </w:rPr>
              <w:t xml:space="preserve">　</w:t>
            </w:r>
            <w:r w:rsidRPr="00B94620">
              <w:rPr>
                <w:color w:val="000000"/>
                <w:w w:val="15"/>
                <w:shd w:val="solid" w:color="000000" w:fill="000000"/>
                <w:fitText w:val="65" w:id="-1171529465"/>
                <w14:textFill>
                  <w14:solidFill>
                    <w14:srgbClr w14:val="000000">
                      <w14:alpha w14:val="100000"/>
                    </w14:srgbClr>
                  </w14:solidFill>
                </w14:textFill>
              </w:rPr>
              <w:t>|</w:t>
            </w:r>
            <w:r w:rsidRPr="00B94620">
              <w:rPr>
                <w:rFonts w:ascii="MS Mincho" w:eastAsia="MS Mincho" w:hAnsi="MS Mincho" w:cs="MS Mincho" w:hint="eastAsia"/>
                <w:color w:val="000000"/>
                <w:w w:val="15"/>
                <w:shd w:val="solid" w:color="000000" w:fill="000000"/>
                <w:fitText w:val="65" w:id="-1171529465"/>
                <w14:textFill>
                  <w14:solidFill>
                    <w14:srgbClr w14:val="000000">
                      <w14:alpha w14:val="100000"/>
                    </w14:srgbClr>
                  </w14:solidFill>
                </w14:textFill>
              </w:rPr>
              <w:t xml:space="preserve">　</w:t>
            </w:r>
            <w:r w:rsidR="009953AE">
              <w:rPr>
                <w:vertAlign w:val="superscript"/>
              </w:rPr>
              <w:t>1</w:t>
            </w:r>
          </w:p>
        </w:tc>
      </w:tr>
      <w:tr w:rsidR="00230CBC" w:rsidRPr="0059433B" w14:paraId="1FD800A6" w14:textId="77777777" w:rsidTr="00C5774C">
        <w:tc>
          <w:tcPr>
            <w:tcW w:w="1413" w:type="pct"/>
            <w:shd w:val="clear" w:color="auto" w:fill="auto"/>
          </w:tcPr>
          <w:p w14:paraId="4E0436AE" w14:textId="77777777" w:rsidR="00230CBC" w:rsidRPr="0059433B" w:rsidRDefault="00230CBC" w:rsidP="00C5774C">
            <w:pPr>
              <w:pStyle w:val="COMTabletext"/>
            </w:pPr>
            <w:r w:rsidRPr="0059433B">
              <w:t>Total scripts (16.85 per year)</w:t>
            </w:r>
          </w:p>
        </w:tc>
        <w:tc>
          <w:tcPr>
            <w:tcW w:w="597" w:type="pct"/>
            <w:shd w:val="clear" w:color="auto" w:fill="auto"/>
          </w:tcPr>
          <w:p w14:paraId="12B2855C" w14:textId="1A0FB870"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64"/>
                <w14:textFill>
                  <w14:solidFill>
                    <w14:srgbClr w14:val="000000">
                      <w14:alpha w14:val="100000"/>
                    </w14:srgbClr>
                  </w14:solidFill>
                </w14:textFill>
              </w:rPr>
              <w:t xml:space="preserve">　</w:t>
            </w:r>
            <w:r w:rsidRPr="00B626A0">
              <w:rPr>
                <w:color w:val="000000"/>
                <w:w w:val="15"/>
                <w:shd w:val="solid" w:color="000000" w:fill="000000"/>
                <w:fitText w:val="55" w:id="-1171529464"/>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4"/>
                <w14:textFill>
                  <w14:solidFill>
                    <w14:srgbClr w14:val="000000">
                      <w14:alpha w14:val="100000"/>
                    </w14:srgbClr>
                  </w14:solidFill>
                </w14:textFill>
              </w:rPr>
              <w:t xml:space="preserve">　</w:t>
            </w:r>
            <w:r w:rsidR="009953AE">
              <w:rPr>
                <w:vertAlign w:val="superscript"/>
              </w:rPr>
              <w:t>1</w:t>
            </w:r>
          </w:p>
        </w:tc>
        <w:tc>
          <w:tcPr>
            <w:tcW w:w="597" w:type="pct"/>
            <w:shd w:val="clear" w:color="auto" w:fill="auto"/>
          </w:tcPr>
          <w:p w14:paraId="65B2CD39" w14:textId="2F66F6E6" w:rsidR="00230CBC" w:rsidRPr="0059433B" w:rsidRDefault="00B94620" w:rsidP="00C5774C">
            <w:pPr>
              <w:pStyle w:val="COMTabletext"/>
              <w:jc w:val="center"/>
              <w:rPr>
                <w:rFonts w:cs="Arial"/>
                <w:color w:val="000000"/>
              </w:rPr>
            </w:pPr>
            <w:r w:rsidRPr="00B626A0">
              <w:rPr>
                <w:rFonts w:ascii="MS Mincho" w:eastAsia="MS Mincho" w:hAnsi="MS Mincho" w:cs="MS Mincho" w:hint="eastAsia"/>
                <w:color w:val="000000"/>
                <w:w w:val="15"/>
                <w:shd w:val="solid" w:color="000000" w:fill="000000"/>
                <w:fitText w:val="55" w:id="-1171529463"/>
                <w14:textFill>
                  <w14:solidFill>
                    <w14:srgbClr w14:val="000000">
                      <w14:alpha w14:val="100000"/>
                    </w14:srgbClr>
                  </w14:solidFill>
                </w14:textFill>
              </w:rPr>
              <w:t xml:space="preserve">　</w:t>
            </w:r>
            <w:r w:rsidRPr="00B626A0">
              <w:rPr>
                <w:color w:val="000000"/>
                <w:w w:val="15"/>
                <w:shd w:val="solid" w:color="000000" w:fill="000000"/>
                <w:fitText w:val="55" w:id="-1171529463"/>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3"/>
                <w14:textFill>
                  <w14:solidFill>
                    <w14:srgbClr w14:val="000000">
                      <w14:alpha w14:val="100000"/>
                    </w14:srgbClr>
                  </w14:solidFill>
                </w14:textFill>
              </w:rPr>
              <w:t xml:space="preserve">　</w:t>
            </w:r>
            <w:r w:rsidR="009953AE">
              <w:rPr>
                <w:vertAlign w:val="superscript"/>
              </w:rPr>
              <w:t>2</w:t>
            </w:r>
            <w:r w:rsidR="00230CBC" w:rsidRPr="0059433B">
              <w:t xml:space="preserve"> </w:t>
            </w:r>
          </w:p>
        </w:tc>
        <w:tc>
          <w:tcPr>
            <w:tcW w:w="598" w:type="pct"/>
            <w:shd w:val="clear" w:color="auto" w:fill="auto"/>
          </w:tcPr>
          <w:p w14:paraId="1777E365" w14:textId="2A1C1CF8" w:rsidR="00230CBC" w:rsidRPr="0059433B" w:rsidRDefault="00B94620" w:rsidP="00C5774C">
            <w:pPr>
              <w:pStyle w:val="COMTabletext"/>
              <w:jc w:val="center"/>
              <w:rPr>
                <w:rFonts w:cs="Arial"/>
                <w:color w:val="000000"/>
              </w:rPr>
            </w:pPr>
            <w:r w:rsidRPr="00B626A0">
              <w:rPr>
                <w:rFonts w:ascii="MS Mincho" w:eastAsia="MS Mincho" w:hAnsi="MS Mincho" w:cs="MS Mincho" w:hint="eastAsia"/>
                <w:color w:val="000000"/>
                <w:w w:val="15"/>
                <w:shd w:val="solid" w:color="000000" w:fill="000000"/>
                <w:fitText w:val="55" w:id="-1171529462"/>
                <w14:textFill>
                  <w14:solidFill>
                    <w14:srgbClr w14:val="000000">
                      <w14:alpha w14:val="100000"/>
                    </w14:srgbClr>
                  </w14:solidFill>
                </w14:textFill>
              </w:rPr>
              <w:t xml:space="preserve">　</w:t>
            </w:r>
            <w:r w:rsidRPr="00B626A0">
              <w:rPr>
                <w:color w:val="000000"/>
                <w:w w:val="15"/>
                <w:shd w:val="solid" w:color="000000" w:fill="000000"/>
                <w:fitText w:val="55" w:id="-1171529462"/>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2"/>
                <w14:textFill>
                  <w14:solidFill>
                    <w14:srgbClr w14:val="000000">
                      <w14:alpha w14:val="100000"/>
                    </w14:srgbClr>
                  </w14:solidFill>
                </w14:textFill>
              </w:rPr>
              <w:t xml:space="preserve">　</w:t>
            </w:r>
            <w:r w:rsidR="009953AE">
              <w:rPr>
                <w:vertAlign w:val="superscript"/>
              </w:rPr>
              <w:t>2</w:t>
            </w:r>
            <w:r w:rsidR="00230CBC" w:rsidRPr="0059433B">
              <w:t xml:space="preserve"> </w:t>
            </w:r>
          </w:p>
        </w:tc>
        <w:tc>
          <w:tcPr>
            <w:tcW w:w="597" w:type="pct"/>
            <w:shd w:val="clear" w:color="auto" w:fill="auto"/>
          </w:tcPr>
          <w:p w14:paraId="6D5B4B71" w14:textId="6A42B015" w:rsidR="00230CBC" w:rsidRPr="0059433B" w:rsidRDefault="00B94620" w:rsidP="00C5774C">
            <w:pPr>
              <w:pStyle w:val="COMTabletext"/>
              <w:jc w:val="center"/>
              <w:rPr>
                <w:rFonts w:cs="Arial"/>
                <w:color w:val="000000"/>
              </w:rPr>
            </w:pPr>
            <w:r w:rsidRPr="00B626A0">
              <w:rPr>
                <w:rFonts w:ascii="MS Mincho" w:eastAsia="MS Mincho" w:hAnsi="MS Mincho" w:cs="MS Mincho" w:hint="eastAsia"/>
                <w:color w:val="000000"/>
                <w:w w:val="15"/>
                <w:shd w:val="solid" w:color="000000" w:fill="000000"/>
                <w:fitText w:val="55" w:id="-1171529461"/>
                <w14:textFill>
                  <w14:solidFill>
                    <w14:srgbClr w14:val="000000">
                      <w14:alpha w14:val="100000"/>
                    </w14:srgbClr>
                  </w14:solidFill>
                </w14:textFill>
              </w:rPr>
              <w:t xml:space="preserve">　</w:t>
            </w:r>
            <w:r w:rsidRPr="00B626A0">
              <w:rPr>
                <w:color w:val="000000"/>
                <w:w w:val="15"/>
                <w:shd w:val="solid" w:color="000000" w:fill="000000"/>
                <w:fitText w:val="55" w:id="-1171529461"/>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1"/>
                <w14:textFill>
                  <w14:solidFill>
                    <w14:srgbClr w14:val="000000">
                      <w14:alpha w14:val="100000"/>
                    </w14:srgbClr>
                  </w14:solidFill>
                </w14:textFill>
              </w:rPr>
              <w:t xml:space="preserve">　</w:t>
            </w:r>
            <w:r w:rsidR="009953AE">
              <w:rPr>
                <w:vertAlign w:val="superscript"/>
              </w:rPr>
              <w:t>2</w:t>
            </w:r>
            <w:r w:rsidR="00230CBC" w:rsidRPr="0059433B">
              <w:t xml:space="preserve"> </w:t>
            </w:r>
          </w:p>
        </w:tc>
        <w:tc>
          <w:tcPr>
            <w:tcW w:w="597" w:type="pct"/>
            <w:shd w:val="clear" w:color="auto" w:fill="auto"/>
          </w:tcPr>
          <w:p w14:paraId="626A1F44" w14:textId="40DA9E8F" w:rsidR="00230CBC" w:rsidRPr="0059433B" w:rsidRDefault="00B94620" w:rsidP="00C5774C">
            <w:pPr>
              <w:pStyle w:val="COMTabletext"/>
              <w:jc w:val="center"/>
              <w:rPr>
                <w:rFonts w:cs="Arial"/>
                <w:color w:val="000000"/>
              </w:rPr>
            </w:pPr>
            <w:r w:rsidRPr="00B626A0">
              <w:rPr>
                <w:rFonts w:ascii="MS Mincho" w:eastAsia="MS Mincho" w:hAnsi="MS Mincho" w:cs="MS Mincho" w:hint="eastAsia"/>
                <w:color w:val="000000"/>
                <w:w w:val="15"/>
                <w:shd w:val="solid" w:color="000000" w:fill="000000"/>
                <w:fitText w:val="55" w:id="-1171529460"/>
                <w14:textFill>
                  <w14:solidFill>
                    <w14:srgbClr w14:val="000000">
                      <w14:alpha w14:val="100000"/>
                    </w14:srgbClr>
                  </w14:solidFill>
                </w14:textFill>
              </w:rPr>
              <w:t xml:space="preserve">　</w:t>
            </w:r>
            <w:r w:rsidRPr="00B626A0">
              <w:rPr>
                <w:color w:val="000000"/>
                <w:w w:val="15"/>
                <w:shd w:val="solid" w:color="000000" w:fill="000000"/>
                <w:fitText w:val="55" w:id="-1171529460"/>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60"/>
                <w14:textFill>
                  <w14:solidFill>
                    <w14:srgbClr w14:val="000000">
                      <w14:alpha w14:val="100000"/>
                    </w14:srgbClr>
                  </w14:solidFill>
                </w14:textFill>
              </w:rPr>
              <w:t xml:space="preserve">　</w:t>
            </w:r>
            <w:r w:rsidR="009953AE">
              <w:rPr>
                <w:vertAlign w:val="superscript"/>
              </w:rPr>
              <w:t>2</w:t>
            </w:r>
            <w:r w:rsidR="00230CBC" w:rsidRPr="0059433B">
              <w:t xml:space="preserve"> </w:t>
            </w:r>
          </w:p>
        </w:tc>
        <w:tc>
          <w:tcPr>
            <w:tcW w:w="600" w:type="pct"/>
            <w:shd w:val="clear" w:color="auto" w:fill="auto"/>
          </w:tcPr>
          <w:p w14:paraId="1C3E5F3A" w14:textId="53C7DE6A" w:rsidR="00230CBC" w:rsidRPr="0059433B" w:rsidRDefault="00B94620" w:rsidP="00C5774C">
            <w:pPr>
              <w:pStyle w:val="COMTabletext"/>
              <w:jc w:val="center"/>
              <w:rPr>
                <w:rFonts w:cs="Arial"/>
                <w:color w:val="000000"/>
              </w:rPr>
            </w:pPr>
            <w:r w:rsidRPr="00B94620">
              <w:rPr>
                <w:rFonts w:ascii="MS Mincho" w:eastAsia="MS Mincho" w:hAnsi="MS Mincho" w:cs="MS Mincho" w:hint="eastAsia"/>
                <w:color w:val="000000"/>
                <w:w w:val="15"/>
                <w:shd w:val="solid" w:color="000000" w:fill="000000"/>
                <w:fitText w:val="65" w:id="-1171529459"/>
                <w14:textFill>
                  <w14:solidFill>
                    <w14:srgbClr w14:val="000000">
                      <w14:alpha w14:val="100000"/>
                    </w14:srgbClr>
                  </w14:solidFill>
                </w14:textFill>
              </w:rPr>
              <w:t xml:space="preserve">　</w:t>
            </w:r>
            <w:r w:rsidRPr="00B94620">
              <w:rPr>
                <w:color w:val="000000"/>
                <w:w w:val="15"/>
                <w:shd w:val="solid" w:color="000000" w:fill="000000"/>
                <w:fitText w:val="65" w:id="-1171529459"/>
                <w14:textFill>
                  <w14:solidFill>
                    <w14:srgbClr w14:val="000000">
                      <w14:alpha w14:val="100000"/>
                    </w14:srgbClr>
                  </w14:solidFill>
                </w14:textFill>
              </w:rPr>
              <w:t>|</w:t>
            </w:r>
            <w:r w:rsidRPr="00B94620">
              <w:rPr>
                <w:rFonts w:ascii="MS Mincho" w:eastAsia="MS Mincho" w:hAnsi="MS Mincho" w:cs="MS Mincho" w:hint="eastAsia"/>
                <w:color w:val="000000"/>
                <w:w w:val="15"/>
                <w:shd w:val="solid" w:color="000000" w:fill="000000"/>
                <w:fitText w:val="65" w:id="-1171529459"/>
                <w14:textFill>
                  <w14:solidFill>
                    <w14:srgbClr w14:val="000000">
                      <w14:alpha w14:val="100000"/>
                    </w14:srgbClr>
                  </w14:solidFill>
                </w14:textFill>
              </w:rPr>
              <w:t xml:space="preserve">　</w:t>
            </w:r>
            <w:r w:rsidR="009953AE">
              <w:rPr>
                <w:vertAlign w:val="superscript"/>
              </w:rPr>
              <w:t>2</w:t>
            </w:r>
            <w:r w:rsidR="00230CBC" w:rsidRPr="0059433B">
              <w:t xml:space="preserve"> </w:t>
            </w:r>
          </w:p>
        </w:tc>
      </w:tr>
      <w:tr w:rsidR="00230CBC" w:rsidRPr="0059433B" w14:paraId="78E0B20A" w14:textId="77777777" w:rsidTr="00C5774C">
        <w:tc>
          <w:tcPr>
            <w:tcW w:w="1413" w:type="pct"/>
            <w:shd w:val="clear" w:color="auto" w:fill="auto"/>
            <w:vAlign w:val="center"/>
          </w:tcPr>
          <w:p w14:paraId="3C9DAC35" w14:textId="1D80F6A3" w:rsidR="00230CBC" w:rsidRPr="0059433B" w:rsidRDefault="00230CBC" w:rsidP="00C5774C">
            <w:pPr>
              <w:pStyle w:val="COMTabletext"/>
            </w:pPr>
            <w:r w:rsidRPr="0059433B">
              <w:t>Net cost to PBS/RPBS</w:t>
            </w:r>
            <w:r w:rsidR="00D8232B">
              <w:t xml:space="preserve"> ($)</w:t>
            </w:r>
          </w:p>
        </w:tc>
        <w:tc>
          <w:tcPr>
            <w:tcW w:w="597" w:type="pct"/>
            <w:shd w:val="clear" w:color="auto" w:fill="auto"/>
            <w:vAlign w:val="center"/>
          </w:tcPr>
          <w:p w14:paraId="07E4472C" w14:textId="0099D82B"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58"/>
                <w14:textFill>
                  <w14:solidFill>
                    <w14:srgbClr w14:val="000000">
                      <w14:alpha w14:val="100000"/>
                    </w14:srgbClr>
                  </w14:solidFill>
                </w14:textFill>
              </w:rPr>
              <w:t xml:space="preserve">　</w:t>
            </w:r>
            <w:r w:rsidRPr="00B626A0">
              <w:rPr>
                <w:color w:val="000000"/>
                <w:w w:val="15"/>
                <w:shd w:val="solid" w:color="000000" w:fill="000000"/>
                <w:fitText w:val="55" w:id="-1171529458"/>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58"/>
                <w14:textFill>
                  <w14:solidFill>
                    <w14:srgbClr w14:val="000000">
                      <w14:alpha w14:val="100000"/>
                    </w14:srgbClr>
                  </w14:solidFill>
                </w14:textFill>
              </w:rPr>
              <w:t xml:space="preserve">　</w:t>
            </w:r>
            <w:r w:rsidR="005E093D">
              <w:rPr>
                <w:vertAlign w:val="superscript"/>
              </w:rPr>
              <w:t>3</w:t>
            </w:r>
          </w:p>
        </w:tc>
        <w:tc>
          <w:tcPr>
            <w:tcW w:w="597" w:type="pct"/>
            <w:shd w:val="clear" w:color="auto" w:fill="auto"/>
            <w:vAlign w:val="center"/>
          </w:tcPr>
          <w:p w14:paraId="5B8B1543" w14:textId="06A363BB" w:rsidR="00230CBC" w:rsidRPr="00204E7C" w:rsidRDefault="00B94620" w:rsidP="00C5774C">
            <w:pPr>
              <w:pStyle w:val="COMTabletext"/>
              <w:jc w:val="center"/>
              <w:rPr>
                <w:rFonts w:cs="Arial"/>
                <w:color w:val="000000"/>
                <w:vertAlign w:val="superscript"/>
              </w:rP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005E093D">
              <w:rPr>
                <w:vertAlign w:val="superscript"/>
              </w:rPr>
              <w:t>3</w:t>
            </w:r>
          </w:p>
        </w:tc>
        <w:tc>
          <w:tcPr>
            <w:tcW w:w="598" w:type="pct"/>
            <w:shd w:val="clear" w:color="auto" w:fill="auto"/>
            <w:vAlign w:val="center"/>
          </w:tcPr>
          <w:p w14:paraId="01BB809D" w14:textId="67B5F9F1"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56"/>
                <w14:textFill>
                  <w14:solidFill>
                    <w14:srgbClr w14:val="000000">
                      <w14:alpha w14:val="100000"/>
                    </w14:srgbClr>
                  </w14:solidFill>
                </w14:textFill>
              </w:rPr>
              <w:t xml:space="preserve">　</w:t>
            </w:r>
            <w:r w:rsidRPr="00B626A0">
              <w:rPr>
                <w:color w:val="000000"/>
                <w:w w:val="15"/>
                <w:shd w:val="solid" w:color="000000" w:fill="000000"/>
                <w:fitText w:val="55" w:id="-1171529456"/>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56"/>
                <w14:textFill>
                  <w14:solidFill>
                    <w14:srgbClr w14:val="000000">
                      <w14:alpha w14:val="100000"/>
                    </w14:srgbClr>
                  </w14:solidFill>
                </w14:textFill>
              </w:rPr>
              <w:t xml:space="preserve">　</w:t>
            </w:r>
            <w:r w:rsidR="005E093D">
              <w:rPr>
                <w:vertAlign w:val="superscript"/>
              </w:rPr>
              <w:t>4</w:t>
            </w:r>
          </w:p>
        </w:tc>
        <w:tc>
          <w:tcPr>
            <w:tcW w:w="597" w:type="pct"/>
            <w:shd w:val="clear" w:color="auto" w:fill="auto"/>
            <w:vAlign w:val="center"/>
          </w:tcPr>
          <w:p w14:paraId="1141AF46" w14:textId="1351E6BA"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72"/>
                <w14:textFill>
                  <w14:solidFill>
                    <w14:srgbClr w14:val="000000">
                      <w14:alpha w14:val="100000"/>
                    </w14:srgbClr>
                  </w14:solidFill>
                </w14:textFill>
              </w:rPr>
              <w:t xml:space="preserve">　</w:t>
            </w:r>
            <w:r w:rsidRPr="00B626A0">
              <w:rPr>
                <w:color w:val="000000"/>
                <w:w w:val="15"/>
                <w:shd w:val="solid" w:color="000000" w:fill="000000"/>
                <w:fitText w:val="55" w:id="-1171529472"/>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72"/>
                <w14:textFill>
                  <w14:solidFill>
                    <w14:srgbClr w14:val="000000">
                      <w14:alpha w14:val="100000"/>
                    </w14:srgbClr>
                  </w14:solidFill>
                </w14:textFill>
              </w:rPr>
              <w:t xml:space="preserve">　</w:t>
            </w:r>
            <w:r w:rsidR="005E093D">
              <w:rPr>
                <w:vertAlign w:val="superscript"/>
              </w:rPr>
              <w:t>4</w:t>
            </w:r>
          </w:p>
        </w:tc>
        <w:tc>
          <w:tcPr>
            <w:tcW w:w="597" w:type="pct"/>
            <w:shd w:val="clear" w:color="auto" w:fill="auto"/>
            <w:vAlign w:val="center"/>
          </w:tcPr>
          <w:p w14:paraId="1FEDD8AA" w14:textId="5855F13C" w:rsidR="00230CBC" w:rsidRPr="00204E7C" w:rsidRDefault="00B94620" w:rsidP="00C5774C">
            <w:pPr>
              <w:pStyle w:val="COMTabletext"/>
              <w:jc w:val="center"/>
              <w:rPr>
                <w:rFonts w:cs="Arial"/>
                <w:color w:val="000000"/>
                <w:vertAlign w:val="superscript"/>
              </w:rPr>
            </w:pPr>
            <w:r w:rsidRPr="00B626A0">
              <w:rPr>
                <w:rFonts w:ascii="MS Mincho" w:eastAsia="MS Mincho" w:hAnsi="MS Mincho" w:cs="MS Mincho" w:hint="eastAsia"/>
                <w:color w:val="000000"/>
                <w:w w:val="15"/>
                <w:shd w:val="solid" w:color="000000" w:fill="000000"/>
                <w:fitText w:val="55" w:id="-1171529471"/>
                <w14:textFill>
                  <w14:solidFill>
                    <w14:srgbClr w14:val="000000">
                      <w14:alpha w14:val="100000"/>
                    </w14:srgbClr>
                  </w14:solidFill>
                </w14:textFill>
              </w:rPr>
              <w:t xml:space="preserve">　</w:t>
            </w:r>
            <w:r w:rsidRPr="00B626A0">
              <w:rPr>
                <w:color w:val="000000"/>
                <w:w w:val="15"/>
                <w:shd w:val="solid" w:color="000000" w:fill="000000"/>
                <w:fitText w:val="55" w:id="-1171529471"/>
                <w14:textFill>
                  <w14:solidFill>
                    <w14:srgbClr w14:val="000000">
                      <w14:alpha w14:val="100000"/>
                    </w14:srgbClr>
                  </w14:solidFill>
                </w14:textFill>
              </w:rPr>
              <w:t>|</w:t>
            </w:r>
            <w:r w:rsidRPr="00B626A0">
              <w:rPr>
                <w:rFonts w:ascii="MS Mincho" w:eastAsia="MS Mincho" w:hAnsi="MS Mincho" w:cs="MS Mincho" w:hint="eastAsia"/>
                <w:color w:val="000000"/>
                <w:spacing w:val="-10"/>
                <w:w w:val="15"/>
                <w:shd w:val="solid" w:color="000000" w:fill="000000"/>
                <w:fitText w:val="55" w:id="-1171529471"/>
                <w14:textFill>
                  <w14:solidFill>
                    <w14:srgbClr w14:val="000000">
                      <w14:alpha w14:val="100000"/>
                    </w14:srgbClr>
                  </w14:solidFill>
                </w14:textFill>
              </w:rPr>
              <w:t xml:space="preserve">　</w:t>
            </w:r>
            <w:r w:rsidR="005E093D">
              <w:rPr>
                <w:vertAlign w:val="superscript"/>
              </w:rPr>
              <w:t>4</w:t>
            </w:r>
          </w:p>
        </w:tc>
        <w:tc>
          <w:tcPr>
            <w:tcW w:w="600" w:type="pct"/>
            <w:shd w:val="clear" w:color="auto" w:fill="auto"/>
            <w:vAlign w:val="center"/>
          </w:tcPr>
          <w:p w14:paraId="029DC023" w14:textId="15746953" w:rsidR="00230CBC" w:rsidRPr="00204E7C" w:rsidRDefault="00B94620" w:rsidP="00C5774C">
            <w:pPr>
              <w:pStyle w:val="COMTabletext"/>
              <w:jc w:val="center"/>
              <w:rPr>
                <w:rFonts w:cs="Arial"/>
                <w:color w:val="000000"/>
                <w:vertAlign w:val="superscript"/>
              </w:rPr>
            </w:pPr>
            <w:r w:rsidRPr="00B94620">
              <w:rPr>
                <w:rFonts w:ascii="MS Mincho" w:eastAsia="MS Mincho" w:hAnsi="MS Mincho" w:cs="MS Mincho" w:hint="eastAsia"/>
                <w:color w:val="000000"/>
                <w:w w:val="15"/>
                <w:shd w:val="solid" w:color="000000" w:fill="000000"/>
                <w:fitText w:val="65" w:id="-1171529470"/>
                <w14:textFill>
                  <w14:solidFill>
                    <w14:srgbClr w14:val="000000">
                      <w14:alpha w14:val="100000"/>
                    </w14:srgbClr>
                  </w14:solidFill>
                </w14:textFill>
              </w:rPr>
              <w:t xml:space="preserve">　</w:t>
            </w:r>
            <w:r w:rsidRPr="00B94620">
              <w:rPr>
                <w:color w:val="000000"/>
                <w:w w:val="15"/>
                <w:shd w:val="solid" w:color="000000" w:fill="000000"/>
                <w:fitText w:val="65" w:id="-1171529470"/>
                <w14:textFill>
                  <w14:solidFill>
                    <w14:srgbClr w14:val="000000">
                      <w14:alpha w14:val="100000"/>
                    </w14:srgbClr>
                  </w14:solidFill>
                </w14:textFill>
              </w:rPr>
              <w:t>|</w:t>
            </w:r>
            <w:r w:rsidRPr="00B94620">
              <w:rPr>
                <w:rFonts w:ascii="MS Mincho" w:eastAsia="MS Mincho" w:hAnsi="MS Mincho" w:cs="MS Mincho" w:hint="eastAsia"/>
                <w:color w:val="000000"/>
                <w:w w:val="15"/>
                <w:shd w:val="solid" w:color="000000" w:fill="000000"/>
                <w:fitText w:val="65" w:id="-1171529470"/>
                <w14:textFill>
                  <w14:solidFill>
                    <w14:srgbClr w14:val="000000">
                      <w14:alpha w14:val="100000"/>
                    </w14:srgbClr>
                  </w14:solidFill>
                </w14:textFill>
              </w:rPr>
              <w:t xml:space="preserve">　</w:t>
            </w:r>
            <w:r w:rsidR="005E093D">
              <w:rPr>
                <w:vertAlign w:val="superscript"/>
              </w:rPr>
              <w:t>4</w:t>
            </w:r>
          </w:p>
        </w:tc>
      </w:tr>
      <w:tr w:rsidR="00230CBC" w:rsidRPr="0059433B" w14:paraId="4FFA9138" w14:textId="77777777" w:rsidTr="00C5774C">
        <w:tc>
          <w:tcPr>
            <w:tcW w:w="1413" w:type="pct"/>
            <w:shd w:val="clear" w:color="auto" w:fill="auto"/>
            <w:vAlign w:val="center"/>
          </w:tcPr>
          <w:p w14:paraId="5F1B13BB" w14:textId="77777777" w:rsidR="00230CBC" w:rsidRPr="0059433B" w:rsidRDefault="00230CBC" w:rsidP="00C5774C">
            <w:pPr>
              <w:pStyle w:val="COMTabletext"/>
            </w:pPr>
            <w:r w:rsidRPr="0059433B">
              <w:t>Net cost to the MBS</w:t>
            </w:r>
          </w:p>
        </w:tc>
        <w:tc>
          <w:tcPr>
            <w:tcW w:w="597" w:type="pct"/>
            <w:shd w:val="clear" w:color="auto" w:fill="auto"/>
          </w:tcPr>
          <w:p w14:paraId="2CD0E5A5" w14:textId="395145F9"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c>
          <w:tcPr>
            <w:tcW w:w="597" w:type="pct"/>
            <w:shd w:val="clear" w:color="auto" w:fill="auto"/>
          </w:tcPr>
          <w:p w14:paraId="6506B651" w14:textId="4CF57187"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c>
          <w:tcPr>
            <w:tcW w:w="598" w:type="pct"/>
            <w:shd w:val="clear" w:color="auto" w:fill="auto"/>
          </w:tcPr>
          <w:p w14:paraId="4D8D374A" w14:textId="077F7CE9"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c>
          <w:tcPr>
            <w:tcW w:w="597" w:type="pct"/>
            <w:shd w:val="clear" w:color="auto" w:fill="auto"/>
          </w:tcPr>
          <w:p w14:paraId="3D8EE102" w14:textId="4CB5C056"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c>
          <w:tcPr>
            <w:tcW w:w="597" w:type="pct"/>
            <w:shd w:val="clear" w:color="auto" w:fill="auto"/>
          </w:tcPr>
          <w:p w14:paraId="2D5ADC60" w14:textId="31771349"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c>
          <w:tcPr>
            <w:tcW w:w="600" w:type="pct"/>
            <w:shd w:val="clear" w:color="auto" w:fill="auto"/>
          </w:tcPr>
          <w:p w14:paraId="11C50FC4" w14:textId="14F7D2BE" w:rsidR="00230CBC" w:rsidRPr="004C4DC5" w:rsidRDefault="004C4DC5" w:rsidP="00C5774C">
            <w:pPr>
              <w:pStyle w:val="COMTabletext"/>
              <w:jc w:val="center"/>
            </w:pPr>
            <w:r w:rsidRPr="004C4DC5">
              <w:rPr>
                <w:rFonts w:ascii="MS Mincho" w:eastAsia="MS Mincho" w:hAnsi="MS Mincho" w:cs="MS Mincho" w:hint="eastAsia"/>
                <w:color w:val="000000"/>
                <w:w w:val="15"/>
                <w:shd w:val="solid" w:color="000000" w:fill="000000"/>
                <w:fitText w:val="55" w:id="-1171529457"/>
                <w14:textFill>
                  <w14:solidFill>
                    <w14:srgbClr w14:val="000000">
                      <w14:alpha w14:val="100000"/>
                    </w14:srgbClr>
                  </w14:solidFill>
                </w14:textFill>
              </w:rPr>
              <w:t xml:space="preserve">　</w:t>
            </w:r>
            <w:r w:rsidRPr="004C4DC5">
              <w:rPr>
                <w:color w:val="000000"/>
                <w:w w:val="15"/>
                <w:shd w:val="solid" w:color="000000" w:fill="000000"/>
                <w:fitText w:val="55" w:id="-1171529457"/>
                <w14:textFill>
                  <w14:solidFill>
                    <w14:srgbClr w14:val="000000">
                      <w14:alpha w14:val="100000"/>
                    </w14:srgbClr>
                  </w14:solidFill>
                </w14:textFill>
              </w:rPr>
              <w:t>|</w:t>
            </w:r>
            <w:r w:rsidRPr="004C4DC5">
              <w:rPr>
                <w:rFonts w:ascii="MS Mincho" w:eastAsia="MS Mincho" w:hAnsi="MS Mincho" w:cs="MS Mincho" w:hint="eastAsia"/>
                <w:color w:val="000000"/>
                <w:spacing w:val="-10"/>
                <w:w w:val="15"/>
                <w:shd w:val="solid" w:color="000000" w:fill="000000"/>
                <w:fitText w:val="55" w:id="-1171529457"/>
                <w14:textFill>
                  <w14:solidFill>
                    <w14:srgbClr w14:val="000000">
                      <w14:alpha w14:val="100000"/>
                    </w14:srgbClr>
                  </w14:solidFill>
                </w14:textFill>
              </w:rPr>
              <w:t xml:space="preserve">　</w:t>
            </w:r>
            <w:r w:rsidRPr="004C4DC5">
              <w:rPr>
                <w:vertAlign w:val="superscript"/>
              </w:rPr>
              <w:t>3</w:t>
            </w:r>
          </w:p>
        </w:tc>
      </w:tr>
      <w:tr w:rsidR="00230CBC" w:rsidRPr="0059433B" w14:paraId="521033EC" w14:textId="77777777" w:rsidTr="00C5774C">
        <w:tc>
          <w:tcPr>
            <w:tcW w:w="1413" w:type="pct"/>
            <w:shd w:val="clear" w:color="auto" w:fill="auto"/>
            <w:vAlign w:val="center"/>
          </w:tcPr>
          <w:p w14:paraId="5AA1E1F7" w14:textId="394D0CA4" w:rsidR="00230CBC" w:rsidRPr="0059433B" w:rsidRDefault="00230CBC" w:rsidP="00C5774C">
            <w:pPr>
              <w:pStyle w:val="COMTabletext"/>
              <w:rPr>
                <w:b/>
                <w:bCs w:val="0"/>
              </w:rPr>
            </w:pPr>
            <w:r w:rsidRPr="0059433B">
              <w:rPr>
                <w:b/>
                <w:bCs w:val="0"/>
              </w:rPr>
              <w:t>Net cost to the PBS/RPBS/MBS</w:t>
            </w:r>
            <w:r w:rsidR="00106D43">
              <w:rPr>
                <w:b/>
                <w:bCs w:val="0"/>
              </w:rPr>
              <w:t xml:space="preserve"> ($)</w:t>
            </w:r>
          </w:p>
        </w:tc>
        <w:tc>
          <w:tcPr>
            <w:tcW w:w="597" w:type="pct"/>
            <w:shd w:val="clear" w:color="auto" w:fill="auto"/>
          </w:tcPr>
          <w:p w14:paraId="0F66ABA8" w14:textId="6B5A506E"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2"/>
                <w:shd w:val="solid" w:color="000000" w:fill="000000"/>
                <w:fitText w:val="101" w:id="-1171529469"/>
                <w14:textFill>
                  <w14:solidFill>
                    <w14:srgbClr w14:val="000000">
                      <w14:alpha w14:val="100000"/>
                    </w14:srgbClr>
                  </w14:solidFill>
                </w14:textFill>
              </w:rPr>
              <w:t xml:space="preserve">　</w:t>
            </w:r>
            <w:r w:rsidRPr="00B94620">
              <w:rPr>
                <w:b/>
                <w:bCs w:val="0"/>
                <w:color w:val="000000"/>
                <w:w w:val="22"/>
                <w:shd w:val="solid" w:color="000000" w:fill="000000"/>
                <w:fitText w:val="101" w:id="-1171529469"/>
                <w14:textFill>
                  <w14:solidFill>
                    <w14:srgbClr w14:val="000000">
                      <w14:alpha w14:val="100000"/>
                    </w14:srgbClr>
                  </w14:solidFill>
                </w14:textFill>
              </w:rPr>
              <w:t>|</w:t>
            </w:r>
            <w:r w:rsidRPr="00B94620">
              <w:rPr>
                <w:rFonts w:ascii="MS Mincho" w:eastAsia="MS Mincho" w:hAnsi="MS Mincho" w:cs="MS Mincho" w:hint="eastAsia"/>
                <w:b/>
                <w:bCs w:val="0"/>
                <w:color w:val="000000"/>
                <w:spacing w:val="3"/>
                <w:w w:val="22"/>
                <w:shd w:val="solid" w:color="000000" w:fill="000000"/>
                <w:fitText w:val="101" w:id="-1171529469"/>
                <w14:textFill>
                  <w14:solidFill>
                    <w14:srgbClr w14:val="000000">
                      <w14:alpha w14:val="100000"/>
                    </w14:srgbClr>
                  </w14:solidFill>
                </w14:textFill>
              </w:rPr>
              <w:t xml:space="preserve">　</w:t>
            </w:r>
            <w:r w:rsidR="00204E7C">
              <w:rPr>
                <w:vertAlign w:val="superscript"/>
              </w:rPr>
              <w:t>3</w:t>
            </w:r>
          </w:p>
        </w:tc>
        <w:tc>
          <w:tcPr>
            <w:tcW w:w="597" w:type="pct"/>
            <w:shd w:val="clear" w:color="auto" w:fill="auto"/>
          </w:tcPr>
          <w:p w14:paraId="70D40739" w14:textId="59861E32"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2"/>
                <w:shd w:val="solid" w:color="000000" w:fill="000000"/>
                <w:fitText w:val="101" w:id="-1171529468"/>
                <w14:textFill>
                  <w14:solidFill>
                    <w14:srgbClr w14:val="000000">
                      <w14:alpha w14:val="100000"/>
                    </w14:srgbClr>
                  </w14:solidFill>
                </w14:textFill>
              </w:rPr>
              <w:t xml:space="preserve">　</w:t>
            </w:r>
            <w:r w:rsidRPr="00B94620">
              <w:rPr>
                <w:b/>
                <w:bCs w:val="0"/>
                <w:color w:val="000000"/>
                <w:w w:val="22"/>
                <w:shd w:val="solid" w:color="000000" w:fill="000000"/>
                <w:fitText w:val="101" w:id="-1171529468"/>
                <w14:textFill>
                  <w14:solidFill>
                    <w14:srgbClr w14:val="000000">
                      <w14:alpha w14:val="100000"/>
                    </w14:srgbClr>
                  </w14:solidFill>
                </w14:textFill>
              </w:rPr>
              <w:t>|</w:t>
            </w:r>
            <w:r w:rsidRPr="00B94620">
              <w:rPr>
                <w:rFonts w:ascii="MS Mincho" w:eastAsia="MS Mincho" w:hAnsi="MS Mincho" w:cs="MS Mincho" w:hint="eastAsia"/>
                <w:b/>
                <w:bCs w:val="0"/>
                <w:color w:val="000000"/>
                <w:spacing w:val="3"/>
                <w:w w:val="22"/>
                <w:shd w:val="solid" w:color="000000" w:fill="000000"/>
                <w:fitText w:val="101" w:id="-1171529468"/>
                <w14:textFill>
                  <w14:solidFill>
                    <w14:srgbClr w14:val="000000">
                      <w14:alpha w14:val="100000"/>
                    </w14:srgbClr>
                  </w14:solidFill>
                </w14:textFill>
              </w:rPr>
              <w:t xml:space="preserve">　</w:t>
            </w:r>
            <w:r w:rsidR="00204E7C">
              <w:rPr>
                <w:vertAlign w:val="superscript"/>
              </w:rPr>
              <w:t>3</w:t>
            </w:r>
          </w:p>
        </w:tc>
        <w:tc>
          <w:tcPr>
            <w:tcW w:w="598" w:type="pct"/>
            <w:shd w:val="clear" w:color="auto" w:fill="auto"/>
          </w:tcPr>
          <w:p w14:paraId="11260295" w14:textId="14F1DCF4"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2"/>
                <w:shd w:val="solid" w:color="000000" w:fill="000000"/>
                <w:fitText w:val="101" w:id="-1171529467"/>
                <w14:textFill>
                  <w14:solidFill>
                    <w14:srgbClr w14:val="000000">
                      <w14:alpha w14:val="100000"/>
                    </w14:srgbClr>
                  </w14:solidFill>
                </w14:textFill>
              </w:rPr>
              <w:t xml:space="preserve">　</w:t>
            </w:r>
            <w:r w:rsidRPr="00B94620">
              <w:rPr>
                <w:b/>
                <w:bCs w:val="0"/>
                <w:color w:val="000000"/>
                <w:w w:val="22"/>
                <w:shd w:val="solid" w:color="000000" w:fill="000000"/>
                <w:fitText w:val="101" w:id="-1171529467"/>
                <w14:textFill>
                  <w14:solidFill>
                    <w14:srgbClr w14:val="000000">
                      <w14:alpha w14:val="100000"/>
                    </w14:srgbClr>
                  </w14:solidFill>
                </w14:textFill>
              </w:rPr>
              <w:t>|</w:t>
            </w:r>
            <w:r w:rsidRPr="00B94620">
              <w:rPr>
                <w:rFonts w:ascii="MS Mincho" w:eastAsia="MS Mincho" w:hAnsi="MS Mincho" w:cs="MS Mincho" w:hint="eastAsia"/>
                <w:b/>
                <w:bCs w:val="0"/>
                <w:color w:val="000000"/>
                <w:spacing w:val="3"/>
                <w:w w:val="22"/>
                <w:shd w:val="solid" w:color="000000" w:fill="000000"/>
                <w:fitText w:val="101" w:id="-1171529467"/>
                <w14:textFill>
                  <w14:solidFill>
                    <w14:srgbClr w14:val="000000">
                      <w14:alpha w14:val="100000"/>
                    </w14:srgbClr>
                  </w14:solidFill>
                </w14:textFill>
              </w:rPr>
              <w:t xml:space="preserve">　</w:t>
            </w:r>
            <w:r w:rsidR="008B6556">
              <w:rPr>
                <w:vertAlign w:val="superscript"/>
              </w:rPr>
              <w:t>4</w:t>
            </w:r>
          </w:p>
        </w:tc>
        <w:tc>
          <w:tcPr>
            <w:tcW w:w="597" w:type="pct"/>
            <w:shd w:val="clear" w:color="auto" w:fill="auto"/>
          </w:tcPr>
          <w:p w14:paraId="7A3DBEC1" w14:textId="5CCF709F"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2"/>
                <w:shd w:val="solid" w:color="000000" w:fill="000000"/>
                <w:fitText w:val="101" w:id="-1171529466"/>
                <w14:textFill>
                  <w14:solidFill>
                    <w14:srgbClr w14:val="000000">
                      <w14:alpha w14:val="100000"/>
                    </w14:srgbClr>
                  </w14:solidFill>
                </w14:textFill>
              </w:rPr>
              <w:t xml:space="preserve">　</w:t>
            </w:r>
            <w:r w:rsidRPr="00B94620">
              <w:rPr>
                <w:b/>
                <w:bCs w:val="0"/>
                <w:color w:val="000000"/>
                <w:w w:val="22"/>
                <w:shd w:val="solid" w:color="000000" w:fill="000000"/>
                <w:fitText w:val="101" w:id="-1171529466"/>
                <w14:textFill>
                  <w14:solidFill>
                    <w14:srgbClr w14:val="000000">
                      <w14:alpha w14:val="100000"/>
                    </w14:srgbClr>
                  </w14:solidFill>
                </w14:textFill>
              </w:rPr>
              <w:t>|</w:t>
            </w:r>
            <w:r w:rsidRPr="00B94620">
              <w:rPr>
                <w:rFonts w:ascii="MS Mincho" w:eastAsia="MS Mincho" w:hAnsi="MS Mincho" w:cs="MS Mincho" w:hint="eastAsia"/>
                <w:b/>
                <w:bCs w:val="0"/>
                <w:color w:val="000000"/>
                <w:spacing w:val="3"/>
                <w:w w:val="22"/>
                <w:shd w:val="solid" w:color="000000" w:fill="000000"/>
                <w:fitText w:val="101" w:id="-1171529466"/>
                <w14:textFill>
                  <w14:solidFill>
                    <w14:srgbClr w14:val="000000">
                      <w14:alpha w14:val="100000"/>
                    </w14:srgbClr>
                  </w14:solidFill>
                </w14:textFill>
              </w:rPr>
              <w:t xml:space="preserve">　</w:t>
            </w:r>
            <w:r w:rsidR="008B6556">
              <w:rPr>
                <w:vertAlign w:val="superscript"/>
              </w:rPr>
              <w:t>4</w:t>
            </w:r>
          </w:p>
        </w:tc>
        <w:tc>
          <w:tcPr>
            <w:tcW w:w="597" w:type="pct"/>
            <w:shd w:val="clear" w:color="auto" w:fill="auto"/>
          </w:tcPr>
          <w:p w14:paraId="2DCBEDE5" w14:textId="60B8AEBA"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2"/>
                <w:shd w:val="solid" w:color="000000" w:fill="000000"/>
                <w:fitText w:val="101" w:id="-1171529465"/>
                <w14:textFill>
                  <w14:solidFill>
                    <w14:srgbClr w14:val="000000">
                      <w14:alpha w14:val="100000"/>
                    </w14:srgbClr>
                  </w14:solidFill>
                </w14:textFill>
              </w:rPr>
              <w:t xml:space="preserve">　</w:t>
            </w:r>
            <w:r w:rsidRPr="00B94620">
              <w:rPr>
                <w:b/>
                <w:bCs w:val="0"/>
                <w:color w:val="000000"/>
                <w:w w:val="22"/>
                <w:shd w:val="solid" w:color="000000" w:fill="000000"/>
                <w:fitText w:val="101" w:id="-1171529465"/>
                <w14:textFill>
                  <w14:solidFill>
                    <w14:srgbClr w14:val="000000">
                      <w14:alpha w14:val="100000"/>
                    </w14:srgbClr>
                  </w14:solidFill>
                </w14:textFill>
              </w:rPr>
              <w:t>|</w:t>
            </w:r>
            <w:r w:rsidRPr="00B94620">
              <w:rPr>
                <w:rFonts w:ascii="MS Mincho" w:eastAsia="MS Mincho" w:hAnsi="MS Mincho" w:cs="MS Mincho" w:hint="eastAsia"/>
                <w:b/>
                <w:bCs w:val="0"/>
                <w:color w:val="000000"/>
                <w:spacing w:val="3"/>
                <w:w w:val="22"/>
                <w:shd w:val="solid" w:color="000000" w:fill="000000"/>
                <w:fitText w:val="101" w:id="-1171529465"/>
                <w14:textFill>
                  <w14:solidFill>
                    <w14:srgbClr w14:val="000000">
                      <w14:alpha w14:val="100000"/>
                    </w14:srgbClr>
                  </w14:solidFill>
                </w14:textFill>
              </w:rPr>
              <w:t xml:space="preserve">　</w:t>
            </w:r>
            <w:r w:rsidR="008B6556">
              <w:rPr>
                <w:vertAlign w:val="superscript"/>
              </w:rPr>
              <w:t>4</w:t>
            </w:r>
          </w:p>
        </w:tc>
        <w:tc>
          <w:tcPr>
            <w:tcW w:w="600" w:type="pct"/>
            <w:shd w:val="clear" w:color="auto" w:fill="auto"/>
          </w:tcPr>
          <w:p w14:paraId="037246BB" w14:textId="565768B9" w:rsidR="00230CBC" w:rsidRPr="00204E7C" w:rsidRDefault="00B94620" w:rsidP="00C5774C">
            <w:pPr>
              <w:pStyle w:val="COMTabletext"/>
              <w:jc w:val="center"/>
              <w:rPr>
                <w:vertAlign w:val="superscript"/>
              </w:rPr>
            </w:pPr>
            <w:r w:rsidRPr="00B94620">
              <w:rPr>
                <w:rFonts w:ascii="MS Mincho" w:eastAsia="MS Mincho" w:hAnsi="MS Mincho" w:cs="MS Mincho" w:hint="eastAsia"/>
                <w:b/>
                <w:bCs w:val="0"/>
                <w:color w:val="000000"/>
                <w:w w:val="24"/>
                <w:shd w:val="solid" w:color="000000" w:fill="000000"/>
                <w:fitText w:val="110" w:id="-1171529464"/>
                <w14:textFill>
                  <w14:solidFill>
                    <w14:srgbClr w14:val="000000">
                      <w14:alpha w14:val="100000"/>
                    </w14:srgbClr>
                  </w14:solidFill>
                </w14:textFill>
              </w:rPr>
              <w:t xml:space="preserve">　</w:t>
            </w:r>
            <w:r w:rsidRPr="00B94620">
              <w:rPr>
                <w:b/>
                <w:bCs w:val="0"/>
                <w:color w:val="000000"/>
                <w:w w:val="24"/>
                <w:shd w:val="solid" w:color="000000" w:fill="000000"/>
                <w:fitText w:val="110" w:id="-1171529464"/>
                <w14:textFill>
                  <w14:solidFill>
                    <w14:srgbClr w14:val="000000">
                      <w14:alpha w14:val="100000"/>
                    </w14:srgbClr>
                  </w14:solidFill>
                </w14:textFill>
              </w:rPr>
              <w:t>|</w:t>
            </w:r>
            <w:r w:rsidRPr="00B94620">
              <w:rPr>
                <w:rFonts w:ascii="MS Mincho" w:eastAsia="MS Mincho" w:hAnsi="MS Mincho" w:cs="MS Mincho" w:hint="eastAsia"/>
                <w:b/>
                <w:bCs w:val="0"/>
                <w:color w:val="000000"/>
                <w:spacing w:val="5"/>
                <w:w w:val="24"/>
                <w:shd w:val="solid" w:color="000000" w:fill="000000"/>
                <w:fitText w:val="110" w:id="-1171529464"/>
                <w14:textFill>
                  <w14:solidFill>
                    <w14:srgbClr w14:val="000000">
                      <w14:alpha w14:val="100000"/>
                    </w14:srgbClr>
                  </w14:solidFill>
                </w14:textFill>
              </w:rPr>
              <w:t xml:space="preserve">　</w:t>
            </w:r>
            <w:r w:rsidR="008B6556">
              <w:rPr>
                <w:vertAlign w:val="superscript"/>
              </w:rPr>
              <w:t>4</w:t>
            </w:r>
          </w:p>
        </w:tc>
      </w:tr>
      <w:tr w:rsidR="00230CBC" w:rsidRPr="0059433B" w14:paraId="68D57796" w14:textId="77777777" w:rsidTr="00C5774C">
        <w:tc>
          <w:tcPr>
            <w:tcW w:w="1413" w:type="pct"/>
            <w:shd w:val="clear" w:color="auto" w:fill="auto"/>
            <w:vAlign w:val="center"/>
          </w:tcPr>
          <w:p w14:paraId="52A4C338" w14:textId="77777777" w:rsidR="00230CBC" w:rsidRPr="0059433B" w:rsidRDefault="00230CBC" w:rsidP="00C5774C">
            <w:pPr>
              <w:pStyle w:val="COMTabletext"/>
              <w:rPr>
                <w:b/>
                <w:bCs w:val="0"/>
              </w:rPr>
            </w:pPr>
            <w:r w:rsidRPr="0059433B">
              <w:rPr>
                <w:b/>
                <w:szCs w:val="16"/>
              </w:rPr>
              <w:t>Sensitivity analyses</w:t>
            </w:r>
          </w:p>
        </w:tc>
        <w:tc>
          <w:tcPr>
            <w:tcW w:w="597" w:type="pct"/>
            <w:shd w:val="clear" w:color="auto" w:fill="auto"/>
          </w:tcPr>
          <w:p w14:paraId="15E2170F" w14:textId="77777777" w:rsidR="00230CBC" w:rsidRPr="0059433B" w:rsidRDefault="00230CBC" w:rsidP="00C5774C">
            <w:pPr>
              <w:pStyle w:val="COMTabletext"/>
              <w:jc w:val="center"/>
              <w:rPr>
                <w:b/>
                <w:bCs w:val="0"/>
              </w:rPr>
            </w:pPr>
          </w:p>
        </w:tc>
        <w:tc>
          <w:tcPr>
            <w:tcW w:w="597" w:type="pct"/>
            <w:shd w:val="clear" w:color="auto" w:fill="auto"/>
          </w:tcPr>
          <w:p w14:paraId="1D9B5A84" w14:textId="77777777" w:rsidR="00230CBC" w:rsidRPr="0059433B" w:rsidRDefault="00230CBC" w:rsidP="00C5774C">
            <w:pPr>
              <w:pStyle w:val="COMTabletext"/>
              <w:jc w:val="center"/>
              <w:rPr>
                <w:b/>
                <w:bCs w:val="0"/>
              </w:rPr>
            </w:pPr>
          </w:p>
        </w:tc>
        <w:tc>
          <w:tcPr>
            <w:tcW w:w="598" w:type="pct"/>
            <w:shd w:val="clear" w:color="auto" w:fill="auto"/>
          </w:tcPr>
          <w:p w14:paraId="6BEC390A" w14:textId="77777777" w:rsidR="00230CBC" w:rsidRPr="0059433B" w:rsidRDefault="00230CBC" w:rsidP="00C5774C">
            <w:pPr>
              <w:pStyle w:val="COMTabletext"/>
              <w:jc w:val="center"/>
              <w:rPr>
                <w:b/>
                <w:bCs w:val="0"/>
              </w:rPr>
            </w:pPr>
          </w:p>
        </w:tc>
        <w:tc>
          <w:tcPr>
            <w:tcW w:w="597" w:type="pct"/>
            <w:shd w:val="clear" w:color="auto" w:fill="auto"/>
          </w:tcPr>
          <w:p w14:paraId="60553296" w14:textId="77777777" w:rsidR="00230CBC" w:rsidRPr="0059433B" w:rsidRDefault="00230CBC" w:rsidP="00C5774C">
            <w:pPr>
              <w:pStyle w:val="COMTabletext"/>
              <w:jc w:val="center"/>
              <w:rPr>
                <w:b/>
                <w:bCs w:val="0"/>
              </w:rPr>
            </w:pPr>
          </w:p>
        </w:tc>
        <w:tc>
          <w:tcPr>
            <w:tcW w:w="597" w:type="pct"/>
            <w:shd w:val="clear" w:color="auto" w:fill="auto"/>
          </w:tcPr>
          <w:p w14:paraId="3F828B5E" w14:textId="77777777" w:rsidR="00230CBC" w:rsidRPr="0059433B" w:rsidRDefault="00230CBC" w:rsidP="00C5774C">
            <w:pPr>
              <w:pStyle w:val="COMTabletext"/>
              <w:jc w:val="center"/>
              <w:rPr>
                <w:b/>
                <w:bCs w:val="0"/>
              </w:rPr>
            </w:pPr>
          </w:p>
        </w:tc>
        <w:tc>
          <w:tcPr>
            <w:tcW w:w="600" w:type="pct"/>
            <w:shd w:val="clear" w:color="auto" w:fill="auto"/>
          </w:tcPr>
          <w:p w14:paraId="0E297E0D" w14:textId="77777777" w:rsidR="00230CBC" w:rsidRPr="0059433B" w:rsidRDefault="00230CBC" w:rsidP="00C5774C">
            <w:pPr>
              <w:pStyle w:val="COMTabletext"/>
              <w:jc w:val="center"/>
              <w:rPr>
                <w:b/>
                <w:bCs w:val="0"/>
              </w:rPr>
            </w:pPr>
          </w:p>
        </w:tc>
      </w:tr>
      <w:tr w:rsidR="00230CBC" w:rsidRPr="0059433B" w14:paraId="0DFF1D8E" w14:textId="77777777" w:rsidTr="00C5774C">
        <w:tc>
          <w:tcPr>
            <w:tcW w:w="1413" w:type="pct"/>
            <w:shd w:val="clear" w:color="auto" w:fill="auto"/>
            <w:vAlign w:val="bottom"/>
          </w:tcPr>
          <w:p w14:paraId="60599E8A" w14:textId="39DC07EB" w:rsidR="00230CBC" w:rsidRPr="0059433B" w:rsidRDefault="00230CBC" w:rsidP="00C5774C">
            <w:pPr>
              <w:pStyle w:val="COMTabletext"/>
              <w:rPr>
                <w:b/>
                <w:bCs w:val="0"/>
              </w:rPr>
            </w:pPr>
            <w:r w:rsidRPr="0059433B">
              <w:rPr>
                <w:rFonts w:cs="Calibri"/>
                <w:color w:val="000000"/>
                <w:szCs w:val="20"/>
              </w:rPr>
              <w:t>Removing incident patients</w:t>
            </w:r>
            <w:r w:rsidR="00106D43">
              <w:rPr>
                <w:rFonts w:cs="Calibri"/>
                <w:color w:val="000000"/>
                <w:szCs w:val="20"/>
              </w:rPr>
              <w:t xml:space="preserve"> ($)</w:t>
            </w:r>
          </w:p>
        </w:tc>
        <w:tc>
          <w:tcPr>
            <w:tcW w:w="597" w:type="pct"/>
            <w:shd w:val="clear" w:color="auto" w:fill="auto"/>
            <w:vAlign w:val="center"/>
          </w:tcPr>
          <w:p w14:paraId="6924074C" w14:textId="4E8456D7"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3"/>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3"/>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3"/>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2638CF6B" w14:textId="75454908"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2"/>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2"/>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2"/>
                <w14:textFill>
                  <w14:solidFill>
                    <w14:srgbClr w14:val="000000">
                      <w14:alpha w14:val="100000"/>
                    </w14:srgbClr>
                  </w14:solidFill>
                </w14:textFill>
              </w:rPr>
              <w:t xml:space="preserve">　</w:t>
            </w:r>
            <w:r w:rsidR="008B6556">
              <w:rPr>
                <w:rFonts w:cs="Calibri"/>
                <w:color w:val="000000"/>
                <w:szCs w:val="20"/>
                <w:vertAlign w:val="superscript"/>
              </w:rPr>
              <w:t>3</w:t>
            </w:r>
          </w:p>
        </w:tc>
        <w:tc>
          <w:tcPr>
            <w:tcW w:w="598" w:type="pct"/>
            <w:shd w:val="clear" w:color="auto" w:fill="auto"/>
            <w:vAlign w:val="center"/>
          </w:tcPr>
          <w:p w14:paraId="6C7A096B" w14:textId="5EFE1C09"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1"/>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1"/>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1"/>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20C84E00" w14:textId="19AE112C"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0"/>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0"/>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0"/>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3F6520DB" w14:textId="16C1BCD5"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59"/>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59"/>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59"/>
                <w14:textFill>
                  <w14:solidFill>
                    <w14:srgbClr w14:val="000000">
                      <w14:alpha w14:val="100000"/>
                    </w14:srgbClr>
                  </w14:solidFill>
                </w14:textFill>
              </w:rPr>
              <w:t xml:space="preserve">　</w:t>
            </w:r>
            <w:r w:rsidR="008B6556">
              <w:rPr>
                <w:rFonts w:cs="Calibri"/>
                <w:color w:val="000000"/>
                <w:szCs w:val="20"/>
                <w:vertAlign w:val="superscript"/>
              </w:rPr>
              <w:t>3</w:t>
            </w:r>
          </w:p>
        </w:tc>
        <w:tc>
          <w:tcPr>
            <w:tcW w:w="600" w:type="pct"/>
            <w:shd w:val="clear" w:color="auto" w:fill="auto"/>
            <w:vAlign w:val="center"/>
          </w:tcPr>
          <w:p w14:paraId="25AA36A5" w14:textId="260D5206" w:rsidR="00230CBC" w:rsidRPr="00204E7C" w:rsidRDefault="00B94620" w:rsidP="00C5774C">
            <w:pPr>
              <w:pStyle w:val="COMTabletext"/>
              <w:jc w:val="center"/>
              <w:rPr>
                <w:b/>
                <w:bCs w:val="0"/>
                <w:vertAlign w:val="superscript"/>
              </w:rPr>
            </w:pPr>
            <w:r w:rsidRPr="00B94620">
              <w:rPr>
                <w:rFonts w:ascii="MS Mincho" w:eastAsia="MS Mincho" w:hAnsi="MS Mincho" w:cs="MS Mincho" w:hint="eastAsia"/>
                <w:color w:val="000000"/>
                <w:w w:val="15"/>
                <w:szCs w:val="20"/>
                <w:shd w:val="solid" w:color="000000" w:fill="000000"/>
                <w:fitText w:val="65" w:id="-1171529458"/>
                <w14:textFill>
                  <w14:solidFill>
                    <w14:srgbClr w14:val="000000">
                      <w14:alpha w14:val="100000"/>
                    </w14:srgbClr>
                  </w14:solidFill>
                </w14:textFill>
              </w:rPr>
              <w:t xml:space="preserve">　</w:t>
            </w:r>
            <w:r w:rsidRPr="00B94620">
              <w:rPr>
                <w:rFonts w:cs="Calibri"/>
                <w:color w:val="000000"/>
                <w:w w:val="15"/>
                <w:szCs w:val="20"/>
                <w:shd w:val="solid" w:color="000000" w:fill="000000"/>
                <w:fitText w:val="65" w:id="-1171529458"/>
                <w14:textFill>
                  <w14:solidFill>
                    <w14:srgbClr w14:val="000000">
                      <w14:alpha w14:val="100000"/>
                    </w14:srgbClr>
                  </w14:solidFill>
                </w14:textFill>
              </w:rPr>
              <w:t>|</w:t>
            </w:r>
            <w:r w:rsidRPr="00B94620">
              <w:rPr>
                <w:rFonts w:ascii="MS Mincho" w:eastAsia="MS Mincho" w:hAnsi="MS Mincho" w:cs="MS Mincho" w:hint="eastAsia"/>
                <w:color w:val="000000"/>
                <w:w w:val="15"/>
                <w:szCs w:val="20"/>
                <w:shd w:val="solid" w:color="000000" w:fill="000000"/>
                <w:fitText w:val="65" w:id="-1171529458"/>
                <w14:textFill>
                  <w14:solidFill>
                    <w14:srgbClr w14:val="000000">
                      <w14:alpha w14:val="100000"/>
                    </w14:srgbClr>
                  </w14:solidFill>
                </w14:textFill>
              </w:rPr>
              <w:t xml:space="preserve">　</w:t>
            </w:r>
            <w:r w:rsidR="008B6556">
              <w:rPr>
                <w:rFonts w:cs="Calibri"/>
                <w:color w:val="000000"/>
                <w:szCs w:val="20"/>
                <w:vertAlign w:val="superscript"/>
              </w:rPr>
              <w:t>3</w:t>
            </w:r>
          </w:p>
        </w:tc>
      </w:tr>
      <w:tr w:rsidR="00230CBC" w:rsidRPr="0059433B" w14:paraId="6F5C0466" w14:textId="77777777" w:rsidTr="00C5774C">
        <w:tc>
          <w:tcPr>
            <w:tcW w:w="1413" w:type="pct"/>
            <w:shd w:val="clear" w:color="auto" w:fill="auto"/>
            <w:vAlign w:val="bottom"/>
          </w:tcPr>
          <w:p w14:paraId="0F1D7A40" w14:textId="0F54EF08" w:rsidR="00230CBC" w:rsidRPr="0059433B" w:rsidRDefault="00230CBC" w:rsidP="00C5774C">
            <w:pPr>
              <w:pStyle w:val="COMTabletext"/>
              <w:rPr>
                <w:b/>
                <w:bCs w:val="0"/>
              </w:rPr>
            </w:pPr>
            <w:r w:rsidRPr="0059433B">
              <w:rPr>
                <w:rFonts w:cs="Calibri"/>
                <w:color w:val="000000"/>
                <w:szCs w:val="20"/>
              </w:rPr>
              <w:t xml:space="preserve">Assuming 30% of patients </w:t>
            </w:r>
            <w:proofErr w:type="gramStart"/>
            <w:r w:rsidRPr="0059433B">
              <w:rPr>
                <w:rFonts w:cs="Calibri"/>
                <w:color w:val="000000"/>
                <w:szCs w:val="20"/>
              </w:rPr>
              <w:t>are not recorded</w:t>
            </w:r>
            <w:proofErr w:type="gramEnd"/>
            <w:r w:rsidRPr="0059433B">
              <w:rPr>
                <w:rFonts w:cs="Calibri"/>
                <w:color w:val="000000"/>
                <w:szCs w:val="20"/>
              </w:rPr>
              <w:t xml:space="preserve"> on the registry</w:t>
            </w:r>
            <w:r w:rsidR="00106D43">
              <w:rPr>
                <w:rFonts w:cs="Calibri"/>
                <w:color w:val="000000"/>
                <w:szCs w:val="20"/>
              </w:rPr>
              <w:t xml:space="preserve"> ($)</w:t>
            </w:r>
          </w:p>
        </w:tc>
        <w:tc>
          <w:tcPr>
            <w:tcW w:w="597" w:type="pct"/>
            <w:shd w:val="clear" w:color="auto" w:fill="auto"/>
            <w:vAlign w:val="center"/>
          </w:tcPr>
          <w:p w14:paraId="78E79C6C" w14:textId="1B04336C"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57"/>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57"/>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57"/>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6868DDC2" w14:textId="17165859"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56"/>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56"/>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56"/>
                <w14:textFill>
                  <w14:solidFill>
                    <w14:srgbClr w14:val="000000">
                      <w14:alpha w14:val="100000"/>
                    </w14:srgbClr>
                  </w14:solidFill>
                </w14:textFill>
              </w:rPr>
              <w:t xml:space="preserve">　</w:t>
            </w:r>
            <w:r w:rsidR="008B6556">
              <w:rPr>
                <w:rFonts w:cs="Calibri"/>
                <w:color w:val="000000"/>
                <w:szCs w:val="20"/>
                <w:vertAlign w:val="superscript"/>
              </w:rPr>
              <w:t>3</w:t>
            </w:r>
          </w:p>
        </w:tc>
        <w:tc>
          <w:tcPr>
            <w:tcW w:w="598" w:type="pct"/>
            <w:shd w:val="clear" w:color="auto" w:fill="auto"/>
            <w:vAlign w:val="center"/>
          </w:tcPr>
          <w:p w14:paraId="1A104581" w14:textId="782E45A0"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72"/>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72"/>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72"/>
                <w14:textFill>
                  <w14:solidFill>
                    <w14:srgbClr w14:val="000000">
                      <w14:alpha w14:val="100000"/>
                    </w14:srgbClr>
                  </w14:solidFill>
                </w14:textFill>
              </w:rPr>
              <w:t xml:space="preserve">　</w:t>
            </w:r>
            <w:r w:rsidR="008B6556">
              <w:rPr>
                <w:rFonts w:cs="Calibri"/>
                <w:color w:val="000000"/>
                <w:szCs w:val="20"/>
                <w:vertAlign w:val="superscript"/>
              </w:rPr>
              <w:t>4</w:t>
            </w:r>
          </w:p>
        </w:tc>
        <w:tc>
          <w:tcPr>
            <w:tcW w:w="597" w:type="pct"/>
            <w:shd w:val="clear" w:color="auto" w:fill="auto"/>
            <w:vAlign w:val="center"/>
          </w:tcPr>
          <w:p w14:paraId="7D471A29" w14:textId="7A52D0E3"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71"/>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71"/>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71"/>
                <w14:textFill>
                  <w14:solidFill>
                    <w14:srgbClr w14:val="000000">
                      <w14:alpha w14:val="100000"/>
                    </w14:srgbClr>
                  </w14:solidFill>
                </w14:textFill>
              </w:rPr>
              <w:t xml:space="preserve">　</w:t>
            </w:r>
            <w:r w:rsidR="008B6556">
              <w:rPr>
                <w:rFonts w:cs="Calibri"/>
                <w:color w:val="000000"/>
                <w:szCs w:val="20"/>
                <w:vertAlign w:val="superscript"/>
              </w:rPr>
              <w:t>4</w:t>
            </w:r>
          </w:p>
        </w:tc>
        <w:tc>
          <w:tcPr>
            <w:tcW w:w="597" w:type="pct"/>
            <w:shd w:val="clear" w:color="auto" w:fill="auto"/>
            <w:vAlign w:val="center"/>
          </w:tcPr>
          <w:p w14:paraId="2BC38EDB" w14:textId="2D46DB35"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70"/>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70"/>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70"/>
                <w14:textFill>
                  <w14:solidFill>
                    <w14:srgbClr w14:val="000000">
                      <w14:alpha w14:val="100000"/>
                    </w14:srgbClr>
                  </w14:solidFill>
                </w14:textFill>
              </w:rPr>
              <w:t xml:space="preserve">　</w:t>
            </w:r>
            <w:r w:rsidR="008B6556">
              <w:rPr>
                <w:rFonts w:cs="Calibri"/>
                <w:color w:val="000000"/>
                <w:szCs w:val="20"/>
                <w:vertAlign w:val="superscript"/>
              </w:rPr>
              <w:t>4</w:t>
            </w:r>
          </w:p>
        </w:tc>
        <w:tc>
          <w:tcPr>
            <w:tcW w:w="600" w:type="pct"/>
            <w:shd w:val="clear" w:color="auto" w:fill="auto"/>
            <w:vAlign w:val="center"/>
          </w:tcPr>
          <w:p w14:paraId="084C3A0F" w14:textId="65A31785" w:rsidR="00230CBC" w:rsidRPr="00204E7C" w:rsidRDefault="00B94620" w:rsidP="00C5774C">
            <w:pPr>
              <w:pStyle w:val="COMTabletext"/>
              <w:jc w:val="center"/>
              <w:rPr>
                <w:b/>
                <w:bCs w:val="0"/>
                <w:vertAlign w:val="superscript"/>
              </w:rPr>
            </w:pPr>
            <w:r w:rsidRPr="00B94620">
              <w:rPr>
                <w:rFonts w:ascii="MS Mincho" w:eastAsia="MS Mincho" w:hAnsi="MS Mincho" w:cs="MS Mincho" w:hint="eastAsia"/>
                <w:color w:val="000000"/>
                <w:w w:val="15"/>
                <w:szCs w:val="20"/>
                <w:shd w:val="solid" w:color="000000" w:fill="000000"/>
                <w:fitText w:val="65" w:id="-1171529469"/>
                <w14:textFill>
                  <w14:solidFill>
                    <w14:srgbClr w14:val="000000">
                      <w14:alpha w14:val="100000"/>
                    </w14:srgbClr>
                  </w14:solidFill>
                </w14:textFill>
              </w:rPr>
              <w:t xml:space="preserve">　</w:t>
            </w:r>
            <w:r w:rsidRPr="00B94620">
              <w:rPr>
                <w:rFonts w:cs="Calibri"/>
                <w:color w:val="000000"/>
                <w:w w:val="15"/>
                <w:szCs w:val="20"/>
                <w:shd w:val="solid" w:color="000000" w:fill="000000"/>
                <w:fitText w:val="65" w:id="-1171529469"/>
                <w14:textFill>
                  <w14:solidFill>
                    <w14:srgbClr w14:val="000000">
                      <w14:alpha w14:val="100000"/>
                    </w14:srgbClr>
                  </w14:solidFill>
                </w14:textFill>
              </w:rPr>
              <w:t>|</w:t>
            </w:r>
            <w:r w:rsidRPr="00B94620">
              <w:rPr>
                <w:rFonts w:ascii="MS Mincho" w:eastAsia="MS Mincho" w:hAnsi="MS Mincho" w:cs="MS Mincho" w:hint="eastAsia"/>
                <w:color w:val="000000"/>
                <w:w w:val="15"/>
                <w:szCs w:val="20"/>
                <w:shd w:val="solid" w:color="000000" w:fill="000000"/>
                <w:fitText w:val="65" w:id="-1171529469"/>
                <w14:textFill>
                  <w14:solidFill>
                    <w14:srgbClr w14:val="000000">
                      <w14:alpha w14:val="100000"/>
                    </w14:srgbClr>
                  </w14:solidFill>
                </w14:textFill>
              </w:rPr>
              <w:t xml:space="preserve">　</w:t>
            </w:r>
            <w:r w:rsidR="008B6556">
              <w:rPr>
                <w:rFonts w:cs="Calibri"/>
                <w:color w:val="000000"/>
                <w:szCs w:val="20"/>
                <w:vertAlign w:val="superscript"/>
              </w:rPr>
              <w:t>4</w:t>
            </w:r>
          </w:p>
        </w:tc>
      </w:tr>
      <w:tr w:rsidR="00230CBC" w:rsidRPr="0059433B" w14:paraId="31A13DDC" w14:textId="77777777" w:rsidTr="00C5774C">
        <w:tc>
          <w:tcPr>
            <w:tcW w:w="1413" w:type="pct"/>
            <w:shd w:val="clear" w:color="auto" w:fill="auto"/>
            <w:vAlign w:val="bottom"/>
          </w:tcPr>
          <w:p w14:paraId="0744CCD5" w14:textId="77777777" w:rsidR="00F126D4" w:rsidRPr="0059433B" w:rsidRDefault="00230CBC" w:rsidP="00C5774C">
            <w:pPr>
              <w:pStyle w:val="COMTabletext"/>
              <w:rPr>
                <w:rFonts w:cs="Calibri"/>
                <w:color w:val="000000"/>
                <w:szCs w:val="20"/>
              </w:rPr>
            </w:pPr>
            <w:r w:rsidRPr="0059433B">
              <w:rPr>
                <w:rFonts w:cs="Calibri"/>
                <w:color w:val="000000"/>
                <w:szCs w:val="20"/>
              </w:rPr>
              <w:t>Uptake rate</w:t>
            </w:r>
          </w:p>
          <w:p w14:paraId="7E9D7ECB" w14:textId="56376BDC" w:rsidR="00230CBC" w:rsidRPr="0059433B" w:rsidRDefault="00230CBC" w:rsidP="00C5774C">
            <w:pPr>
              <w:pStyle w:val="COMTabletext"/>
              <w:rPr>
                <w:rFonts w:cs="Calibri"/>
                <w:color w:val="000000"/>
                <w:szCs w:val="20"/>
              </w:rPr>
            </w:pPr>
            <w:r w:rsidRPr="0059433B">
              <w:rPr>
                <w:rFonts w:cs="Calibri"/>
                <w:color w:val="000000"/>
                <w:szCs w:val="20"/>
              </w:rPr>
              <w:t xml:space="preserve">(base case assumed Yr 1: </w:t>
            </w:r>
            <w:r w:rsidR="00BC11FF" w:rsidRPr="00BC11FF">
              <w:rPr>
                <w:rFonts w:cs="Calibri" w:hint="eastAsia"/>
                <w:color w:val="000000"/>
                <w:w w:val="20"/>
                <w:szCs w:val="20"/>
                <w:shd w:val="solid" w:color="000000" w:fill="000000"/>
                <w:fitText w:val="90" w:id="-1163637245"/>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7245"/>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7245"/>
                <w14:textFill>
                  <w14:solidFill>
                    <w14:srgbClr w14:val="000000">
                      <w14:alpha w14:val="100000"/>
                    </w14:srgbClr>
                  </w14:solidFill>
                </w14:textFill>
              </w:rPr>
              <w:t xml:space="preserve">　</w:t>
            </w:r>
            <w:r w:rsidRPr="0059433B">
              <w:rPr>
                <w:rFonts w:cs="Calibri"/>
                <w:color w:val="000000"/>
                <w:szCs w:val="20"/>
              </w:rPr>
              <w:t>%; Yr</w:t>
            </w:r>
            <w:r w:rsidR="00BC11FF">
              <w:rPr>
                <w:rFonts w:cs="Calibri"/>
                <w:color w:val="000000"/>
                <w:szCs w:val="20"/>
              </w:rPr>
              <w:t> </w:t>
            </w:r>
            <w:r w:rsidRPr="0059433B">
              <w:rPr>
                <w:rFonts w:cs="Calibri"/>
                <w:color w:val="000000"/>
                <w:szCs w:val="20"/>
              </w:rPr>
              <w:t xml:space="preserve">2: </w:t>
            </w:r>
            <w:r w:rsidR="00BC11FF" w:rsidRPr="00BC11FF">
              <w:rPr>
                <w:rFonts w:cs="Calibri" w:hint="eastAsia"/>
                <w:color w:val="000000"/>
                <w:w w:val="20"/>
                <w:szCs w:val="20"/>
                <w:shd w:val="solid" w:color="000000" w:fill="000000"/>
                <w:fitText w:val="90" w:id="-1163636992"/>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992"/>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992"/>
                <w14:textFill>
                  <w14:solidFill>
                    <w14:srgbClr w14:val="000000">
                      <w14:alpha w14:val="100000"/>
                    </w14:srgbClr>
                  </w14:solidFill>
                </w14:textFill>
              </w:rPr>
              <w:t xml:space="preserve">　</w:t>
            </w:r>
            <w:r w:rsidRPr="0059433B">
              <w:rPr>
                <w:rFonts w:cs="Calibri"/>
                <w:color w:val="000000"/>
                <w:szCs w:val="20"/>
              </w:rPr>
              <w:t xml:space="preserve">%; Yr 3: </w:t>
            </w:r>
            <w:r w:rsidR="00BC11FF" w:rsidRPr="00BC11FF">
              <w:rPr>
                <w:rFonts w:cs="Calibri" w:hint="eastAsia"/>
                <w:color w:val="000000"/>
                <w:w w:val="20"/>
                <w:szCs w:val="20"/>
                <w:shd w:val="solid" w:color="000000" w:fill="000000"/>
                <w:fitText w:val="90" w:id="-1163636991"/>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991"/>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991"/>
                <w14:textFill>
                  <w14:solidFill>
                    <w14:srgbClr w14:val="000000">
                      <w14:alpha w14:val="100000"/>
                    </w14:srgbClr>
                  </w14:solidFill>
                </w14:textFill>
              </w:rPr>
              <w:t xml:space="preserve">　</w:t>
            </w:r>
            <w:r w:rsidRPr="0059433B">
              <w:rPr>
                <w:rFonts w:cs="Calibri"/>
                <w:color w:val="000000"/>
                <w:szCs w:val="20"/>
              </w:rPr>
              <w:t xml:space="preserve">%; Yrs 4-6: </w:t>
            </w:r>
            <w:r w:rsidR="00BC11FF" w:rsidRPr="00BC11FF">
              <w:rPr>
                <w:rFonts w:cs="Calibri" w:hint="eastAsia"/>
                <w:color w:val="000000"/>
                <w:w w:val="20"/>
                <w:szCs w:val="20"/>
                <w:shd w:val="solid" w:color="000000" w:fill="000000"/>
                <w:fitText w:val="90" w:id="-1163636990"/>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990"/>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990"/>
                <w14:textFill>
                  <w14:solidFill>
                    <w14:srgbClr w14:val="000000">
                      <w14:alpha w14:val="100000"/>
                    </w14:srgbClr>
                  </w14:solidFill>
                </w14:textFill>
              </w:rPr>
              <w:t xml:space="preserve">　</w:t>
            </w:r>
            <w:r w:rsidR="00F916B0">
              <w:rPr>
                <w:rFonts w:cs="Calibri"/>
                <w:color w:val="000000"/>
                <w:szCs w:val="20"/>
              </w:rPr>
              <w:t>%</w:t>
            </w:r>
            <w:r w:rsidRPr="0059433B">
              <w:rPr>
                <w:rFonts w:cs="Calibri"/>
                <w:color w:val="000000"/>
                <w:szCs w:val="20"/>
              </w:rPr>
              <w:t xml:space="preserve">; Incident </w:t>
            </w:r>
            <w:r w:rsidR="00BC11FF" w:rsidRPr="00BC11FF">
              <w:rPr>
                <w:rFonts w:cs="Calibri" w:hint="eastAsia"/>
                <w:color w:val="000000"/>
                <w:w w:val="23"/>
                <w:szCs w:val="20"/>
                <w:shd w:val="solid" w:color="000000" w:fill="000000"/>
                <w:fitText w:val="105" w:id="-1163636989"/>
                <w14:textFill>
                  <w14:solidFill>
                    <w14:srgbClr w14:val="000000">
                      <w14:alpha w14:val="100000"/>
                    </w14:srgbClr>
                  </w14:solidFill>
                </w14:textFill>
              </w:rPr>
              <w:t xml:space="preserve">　</w:t>
            </w:r>
            <w:r w:rsidR="00BC11FF" w:rsidRPr="00BC11FF">
              <w:rPr>
                <w:rFonts w:cs="Calibri"/>
                <w:color w:val="000000"/>
                <w:w w:val="23"/>
                <w:szCs w:val="20"/>
                <w:shd w:val="solid" w:color="000000" w:fill="000000"/>
                <w:fitText w:val="105" w:id="-1163636989"/>
                <w14:textFill>
                  <w14:solidFill>
                    <w14:srgbClr w14:val="000000">
                      <w14:alpha w14:val="100000"/>
                    </w14:srgbClr>
                  </w14:solidFill>
                </w14:textFill>
              </w:rPr>
              <w:t>|</w:t>
            </w:r>
            <w:r w:rsidR="00BC11FF" w:rsidRPr="00BC11FF">
              <w:rPr>
                <w:rFonts w:cs="Calibri" w:hint="eastAsia"/>
                <w:color w:val="000000"/>
                <w:w w:val="23"/>
                <w:szCs w:val="20"/>
                <w:shd w:val="solid" w:color="000000" w:fill="000000"/>
                <w:fitText w:val="105" w:id="-1163636989"/>
                <w14:textFill>
                  <w14:solidFill>
                    <w14:srgbClr w14:val="000000">
                      <w14:alpha w14:val="100000"/>
                    </w14:srgbClr>
                  </w14:solidFill>
                </w14:textFill>
              </w:rPr>
              <w:t xml:space="preserve">　</w:t>
            </w:r>
            <w:r w:rsidRPr="0059433B">
              <w:rPr>
                <w:rFonts w:cs="Calibri"/>
                <w:color w:val="000000"/>
                <w:szCs w:val="20"/>
              </w:rPr>
              <w:t>%)</w:t>
            </w:r>
          </w:p>
          <w:p w14:paraId="7B162AAD" w14:textId="77777777" w:rsidR="00230CBC" w:rsidRPr="0059433B" w:rsidRDefault="00230CBC" w:rsidP="00C5774C">
            <w:pPr>
              <w:pStyle w:val="COMTabletext"/>
              <w:rPr>
                <w:rFonts w:cs="Calibri"/>
                <w:color w:val="000000"/>
                <w:szCs w:val="20"/>
              </w:rPr>
            </w:pPr>
          </w:p>
          <w:p w14:paraId="1C7035A5" w14:textId="45451EB3" w:rsidR="00230CBC" w:rsidRPr="0059433B" w:rsidRDefault="00230CBC" w:rsidP="00C5774C">
            <w:pPr>
              <w:pStyle w:val="COMTabletext"/>
              <w:rPr>
                <w:rFonts w:cs="Calibri"/>
                <w:color w:val="000000"/>
                <w:szCs w:val="20"/>
              </w:rPr>
            </w:pPr>
            <w:r w:rsidRPr="0059433B">
              <w:rPr>
                <w:rFonts w:cs="Calibri"/>
                <w:color w:val="000000"/>
                <w:szCs w:val="20"/>
              </w:rPr>
              <w:t xml:space="preserve">Yr 1: </w:t>
            </w:r>
            <w:r w:rsidR="00BC11FF" w:rsidRPr="00BC11FF">
              <w:rPr>
                <w:rFonts w:cs="Calibri" w:hint="eastAsia"/>
                <w:color w:val="000000"/>
                <w:w w:val="20"/>
                <w:szCs w:val="20"/>
                <w:shd w:val="solid" w:color="000000" w:fill="000000"/>
                <w:fitText w:val="90" w:id="-1163636988"/>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988"/>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988"/>
                <w14:textFill>
                  <w14:solidFill>
                    <w14:srgbClr w14:val="000000">
                      <w14:alpha w14:val="100000"/>
                    </w14:srgbClr>
                  </w14:solidFill>
                </w14:textFill>
              </w:rPr>
              <w:t xml:space="preserve">　</w:t>
            </w:r>
            <w:r w:rsidRPr="0059433B">
              <w:rPr>
                <w:rFonts w:cs="Calibri"/>
                <w:color w:val="000000"/>
                <w:szCs w:val="20"/>
              </w:rPr>
              <w:t xml:space="preserve">%; Yr 2: </w:t>
            </w:r>
            <w:r w:rsidR="00BC11FF" w:rsidRPr="00BC11FF">
              <w:rPr>
                <w:rFonts w:cs="Calibri" w:hint="eastAsia"/>
                <w:color w:val="000000"/>
                <w:w w:val="20"/>
                <w:szCs w:val="20"/>
                <w:shd w:val="solid" w:color="000000" w:fill="000000"/>
                <w:fitText w:val="90" w:id="-1163636987"/>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987"/>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987"/>
                <w14:textFill>
                  <w14:solidFill>
                    <w14:srgbClr w14:val="000000">
                      <w14:alpha w14:val="100000"/>
                    </w14:srgbClr>
                  </w14:solidFill>
                </w14:textFill>
              </w:rPr>
              <w:t xml:space="preserve">　</w:t>
            </w:r>
            <w:r w:rsidRPr="0059433B">
              <w:rPr>
                <w:rFonts w:cs="Calibri"/>
                <w:color w:val="000000"/>
                <w:szCs w:val="20"/>
              </w:rPr>
              <w:t xml:space="preserve">%; Yr 3: </w:t>
            </w:r>
            <w:r w:rsidR="00BC11FF" w:rsidRPr="00BC11FF">
              <w:rPr>
                <w:rFonts w:cs="Calibri" w:hint="eastAsia"/>
                <w:color w:val="000000"/>
                <w:w w:val="20"/>
                <w:szCs w:val="20"/>
                <w:shd w:val="solid" w:color="000000" w:fill="000000"/>
                <w:fitText w:val="90" w:id="-1163636736"/>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6"/>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6"/>
                <w14:textFill>
                  <w14:solidFill>
                    <w14:srgbClr w14:val="000000">
                      <w14:alpha w14:val="100000"/>
                    </w14:srgbClr>
                  </w14:solidFill>
                </w14:textFill>
              </w:rPr>
              <w:t xml:space="preserve">　</w:t>
            </w:r>
            <w:r w:rsidRPr="0059433B">
              <w:rPr>
                <w:rFonts w:cs="Calibri"/>
                <w:color w:val="000000"/>
                <w:szCs w:val="20"/>
              </w:rPr>
              <w:t xml:space="preserve">%; Yrs 4-6: </w:t>
            </w:r>
            <w:r w:rsidR="00BC11FF" w:rsidRPr="00BC11FF">
              <w:rPr>
                <w:rFonts w:cs="Calibri" w:hint="eastAsia"/>
                <w:color w:val="000000"/>
                <w:w w:val="20"/>
                <w:szCs w:val="20"/>
                <w:shd w:val="solid" w:color="000000" w:fill="000000"/>
                <w:fitText w:val="90" w:id="-1163636735"/>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5"/>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5"/>
                <w14:textFill>
                  <w14:solidFill>
                    <w14:srgbClr w14:val="000000">
                      <w14:alpha w14:val="100000"/>
                    </w14:srgbClr>
                  </w14:solidFill>
                </w14:textFill>
              </w:rPr>
              <w:t xml:space="preserve">　</w:t>
            </w:r>
            <w:r w:rsidRPr="00F916B0">
              <w:rPr>
                <w:rFonts w:cs="Calibri"/>
                <w:color w:val="000000"/>
                <w:szCs w:val="20"/>
              </w:rPr>
              <w:t>%</w:t>
            </w:r>
          </w:p>
        </w:tc>
        <w:tc>
          <w:tcPr>
            <w:tcW w:w="597" w:type="pct"/>
            <w:shd w:val="clear" w:color="auto" w:fill="auto"/>
            <w:vAlign w:val="center"/>
          </w:tcPr>
          <w:p w14:paraId="17C6CC17" w14:textId="6063B24C"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8"/>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8"/>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8"/>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40905D55" w14:textId="4E7417FC"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7"/>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7"/>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7"/>
                <w14:textFill>
                  <w14:solidFill>
                    <w14:srgbClr w14:val="000000">
                      <w14:alpha w14:val="100000"/>
                    </w14:srgbClr>
                  </w14:solidFill>
                </w14:textFill>
              </w:rPr>
              <w:t xml:space="preserve">　</w:t>
            </w:r>
            <w:r w:rsidR="008B6556">
              <w:rPr>
                <w:rFonts w:cs="Calibri"/>
                <w:color w:val="000000"/>
                <w:szCs w:val="20"/>
                <w:vertAlign w:val="superscript"/>
              </w:rPr>
              <w:t>3</w:t>
            </w:r>
          </w:p>
        </w:tc>
        <w:tc>
          <w:tcPr>
            <w:tcW w:w="598" w:type="pct"/>
            <w:shd w:val="clear" w:color="auto" w:fill="auto"/>
            <w:vAlign w:val="center"/>
          </w:tcPr>
          <w:p w14:paraId="7D594A96" w14:textId="7818627D"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6"/>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6"/>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6"/>
                <w14:textFill>
                  <w14:solidFill>
                    <w14:srgbClr w14:val="000000">
                      <w14:alpha w14:val="100000"/>
                    </w14:srgbClr>
                  </w14:solidFill>
                </w14:textFill>
              </w:rPr>
              <w:t xml:space="preserve">　</w:t>
            </w:r>
            <w:r w:rsidR="008B6556">
              <w:rPr>
                <w:rFonts w:cs="Calibri"/>
                <w:color w:val="000000"/>
                <w:szCs w:val="20"/>
                <w:vertAlign w:val="superscript"/>
              </w:rPr>
              <w:t>4</w:t>
            </w:r>
          </w:p>
        </w:tc>
        <w:tc>
          <w:tcPr>
            <w:tcW w:w="597" w:type="pct"/>
            <w:shd w:val="clear" w:color="auto" w:fill="auto"/>
            <w:vAlign w:val="center"/>
          </w:tcPr>
          <w:p w14:paraId="658F4BFC" w14:textId="01200DBB"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465"/>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465"/>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465"/>
                <w14:textFill>
                  <w14:solidFill>
                    <w14:srgbClr w14:val="000000">
                      <w14:alpha w14:val="100000"/>
                    </w14:srgbClr>
                  </w14:solidFill>
                </w14:textFill>
              </w:rPr>
              <w:t xml:space="preserve">　</w:t>
            </w:r>
            <w:r w:rsidR="008B6556">
              <w:rPr>
                <w:rFonts w:cs="Calibri"/>
                <w:color w:val="000000"/>
                <w:szCs w:val="20"/>
                <w:vertAlign w:val="superscript"/>
              </w:rPr>
              <w:t>4</w:t>
            </w:r>
          </w:p>
        </w:tc>
        <w:tc>
          <w:tcPr>
            <w:tcW w:w="597" w:type="pct"/>
            <w:shd w:val="clear" w:color="auto" w:fill="auto"/>
            <w:vAlign w:val="center"/>
          </w:tcPr>
          <w:p w14:paraId="4562E72D" w14:textId="2D51EB17"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6"/>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6"/>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6"/>
                <w14:textFill>
                  <w14:solidFill>
                    <w14:srgbClr w14:val="000000">
                      <w14:alpha w14:val="100000"/>
                    </w14:srgbClr>
                  </w14:solidFill>
                </w14:textFill>
              </w:rPr>
              <w:t xml:space="preserve">　</w:t>
            </w:r>
            <w:r w:rsidR="008B6556">
              <w:rPr>
                <w:rFonts w:cs="Calibri"/>
                <w:color w:val="000000"/>
                <w:szCs w:val="20"/>
                <w:vertAlign w:val="superscript"/>
              </w:rPr>
              <w:t>4</w:t>
            </w:r>
          </w:p>
        </w:tc>
        <w:tc>
          <w:tcPr>
            <w:tcW w:w="600" w:type="pct"/>
            <w:shd w:val="clear" w:color="auto" w:fill="auto"/>
            <w:vAlign w:val="center"/>
          </w:tcPr>
          <w:p w14:paraId="7E4B8103" w14:textId="4DCAB736" w:rsidR="00230CBC" w:rsidRPr="00204E7C" w:rsidRDefault="00B94620" w:rsidP="00C5774C">
            <w:pPr>
              <w:pStyle w:val="COMTabletext"/>
              <w:jc w:val="center"/>
              <w:rPr>
                <w:b/>
                <w:bCs w:val="0"/>
                <w:vertAlign w:val="superscript"/>
              </w:rPr>
            </w:pPr>
            <w:r w:rsidRPr="00B94620">
              <w:rPr>
                <w:rFonts w:ascii="MS Mincho" w:eastAsia="MS Mincho" w:hAnsi="MS Mincho" w:cs="MS Mincho" w:hint="eastAsia"/>
                <w:color w:val="000000"/>
                <w:w w:val="15"/>
                <w:szCs w:val="20"/>
                <w:shd w:val="solid" w:color="000000" w:fill="000000"/>
                <w:fitText w:val="65" w:id="-1171529215"/>
                <w14:textFill>
                  <w14:solidFill>
                    <w14:srgbClr w14:val="000000">
                      <w14:alpha w14:val="100000"/>
                    </w14:srgbClr>
                  </w14:solidFill>
                </w14:textFill>
              </w:rPr>
              <w:t xml:space="preserve">　</w:t>
            </w:r>
            <w:r w:rsidRPr="00B94620">
              <w:rPr>
                <w:rFonts w:cs="Calibri"/>
                <w:color w:val="000000"/>
                <w:w w:val="15"/>
                <w:szCs w:val="20"/>
                <w:shd w:val="solid" w:color="000000" w:fill="000000"/>
                <w:fitText w:val="65" w:id="-1171529215"/>
                <w14:textFill>
                  <w14:solidFill>
                    <w14:srgbClr w14:val="000000">
                      <w14:alpha w14:val="100000"/>
                    </w14:srgbClr>
                  </w14:solidFill>
                </w14:textFill>
              </w:rPr>
              <w:t>|</w:t>
            </w:r>
            <w:r w:rsidRPr="00B94620">
              <w:rPr>
                <w:rFonts w:ascii="MS Mincho" w:eastAsia="MS Mincho" w:hAnsi="MS Mincho" w:cs="MS Mincho" w:hint="eastAsia"/>
                <w:color w:val="000000"/>
                <w:w w:val="15"/>
                <w:szCs w:val="20"/>
                <w:shd w:val="solid" w:color="000000" w:fill="000000"/>
                <w:fitText w:val="65" w:id="-1171529215"/>
                <w14:textFill>
                  <w14:solidFill>
                    <w14:srgbClr w14:val="000000">
                      <w14:alpha w14:val="100000"/>
                    </w14:srgbClr>
                  </w14:solidFill>
                </w14:textFill>
              </w:rPr>
              <w:t xml:space="preserve">　</w:t>
            </w:r>
            <w:r w:rsidR="008B6556">
              <w:rPr>
                <w:rFonts w:cs="Calibri"/>
                <w:color w:val="000000"/>
                <w:szCs w:val="20"/>
                <w:vertAlign w:val="superscript"/>
              </w:rPr>
              <w:t>4</w:t>
            </w:r>
          </w:p>
        </w:tc>
      </w:tr>
      <w:tr w:rsidR="00230CBC" w:rsidRPr="0059433B" w14:paraId="332E7A25" w14:textId="77777777" w:rsidTr="00C5774C">
        <w:tc>
          <w:tcPr>
            <w:tcW w:w="1413" w:type="pct"/>
            <w:shd w:val="clear" w:color="auto" w:fill="auto"/>
            <w:vAlign w:val="bottom"/>
          </w:tcPr>
          <w:p w14:paraId="11CEFECF" w14:textId="512EEA07" w:rsidR="00230CBC" w:rsidRPr="0059433B" w:rsidRDefault="003C644E" w:rsidP="00C5774C">
            <w:pPr>
              <w:jc w:val="left"/>
              <w:rPr>
                <w:rFonts w:ascii="Arial Narrow" w:hAnsi="Arial Narrow" w:cs="Calibri"/>
                <w:color w:val="000000"/>
                <w:sz w:val="20"/>
                <w:szCs w:val="20"/>
              </w:rPr>
            </w:pPr>
            <w:r w:rsidRPr="0059433B">
              <w:rPr>
                <w:rFonts w:ascii="Arial Narrow" w:hAnsi="Arial Narrow" w:cs="Calibri"/>
                <w:color w:val="000000"/>
                <w:sz w:val="20"/>
                <w:szCs w:val="20"/>
              </w:rPr>
              <w:t>Two-way</w:t>
            </w:r>
            <w:r w:rsidR="00230CBC" w:rsidRPr="0059433B">
              <w:rPr>
                <w:rFonts w:ascii="Arial Narrow" w:hAnsi="Arial Narrow" w:cs="Calibri"/>
                <w:color w:val="000000"/>
                <w:sz w:val="20"/>
                <w:szCs w:val="20"/>
              </w:rPr>
              <w:t xml:space="preserve"> sensitivity analysis:</w:t>
            </w:r>
          </w:p>
          <w:p w14:paraId="4D121587" w14:textId="4BF7D6AC" w:rsidR="00230CBC" w:rsidRPr="0059433B" w:rsidRDefault="00230CBC" w:rsidP="00C5774C">
            <w:pPr>
              <w:pStyle w:val="COMTabletext"/>
              <w:rPr>
                <w:b/>
                <w:bCs w:val="0"/>
              </w:rPr>
            </w:pPr>
            <w:proofErr w:type="gramStart"/>
            <w:r w:rsidRPr="0059433B">
              <w:rPr>
                <w:rFonts w:cs="Calibri"/>
                <w:color w:val="000000"/>
                <w:szCs w:val="20"/>
              </w:rPr>
              <w:t>30%</w:t>
            </w:r>
            <w:proofErr w:type="gramEnd"/>
            <w:r w:rsidRPr="0059433B">
              <w:rPr>
                <w:rFonts w:cs="Calibri"/>
                <w:color w:val="000000"/>
                <w:szCs w:val="20"/>
              </w:rPr>
              <w:t xml:space="preserve"> of patients not recorded; Yr 1: </w:t>
            </w:r>
            <w:r w:rsidR="00BC11FF" w:rsidRPr="00BC11FF">
              <w:rPr>
                <w:rFonts w:cs="Calibri" w:hint="eastAsia"/>
                <w:color w:val="000000"/>
                <w:w w:val="20"/>
                <w:szCs w:val="20"/>
                <w:shd w:val="solid" w:color="000000" w:fill="000000"/>
                <w:fitText w:val="90" w:id="-1163636734"/>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4"/>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4"/>
                <w14:textFill>
                  <w14:solidFill>
                    <w14:srgbClr w14:val="000000">
                      <w14:alpha w14:val="100000"/>
                    </w14:srgbClr>
                  </w14:solidFill>
                </w14:textFill>
              </w:rPr>
              <w:t xml:space="preserve">　</w:t>
            </w:r>
            <w:r w:rsidRPr="0059433B">
              <w:rPr>
                <w:rFonts w:cs="Calibri"/>
                <w:color w:val="000000"/>
                <w:szCs w:val="20"/>
              </w:rPr>
              <w:t xml:space="preserve">%; Yr 2: </w:t>
            </w:r>
            <w:r w:rsidR="00BC11FF" w:rsidRPr="00BC11FF">
              <w:rPr>
                <w:rFonts w:cs="Calibri" w:hint="eastAsia"/>
                <w:color w:val="000000"/>
                <w:w w:val="20"/>
                <w:szCs w:val="20"/>
                <w:shd w:val="solid" w:color="000000" w:fill="000000"/>
                <w:fitText w:val="90" w:id="-1163636733"/>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3"/>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3"/>
                <w14:textFill>
                  <w14:solidFill>
                    <w14:srgbClr w14:val="000000">
                      <w14:alpha w14:val="100000"/>
                    </w14:srgbClr>
                  </w14:solidFill>
                </w14:textFill>
              </w:rPr>
              <w:t xml:space="preserve">　</w:t>
            </w:r>
            <w:r w:rsidRPr="0059433B">
              <w:rPr>
                <w:rFonts w:cs="Calibri"/>
                <w:color w:val="000000"/>
                <w:szCs w:val="20"/>
              </w:rPr>
              <w:t xml:space="preserve">%; Yr 3: </w:t>
            </w:r>
            <w:r w:rsidR="00BC11FF" w:rsidRPr="00BC11FF">
              <w:rPr>
                <w:rFonts w:cs="Calibri" w:hint="eastAsia"/>
                <w:color w:val="000000"/>
                <w:w w:val="20"/>
                <w:szCs w:val="20"/>
                <w:shd w:val="solid" w:color="000000" w:fill="000000"/>
                <w:fitText w:val="90" w:id="-1163636732"/>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2"/>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2"/>
                <w14:textFill>
                  <w14:solidFill>
                    <w14:srgbClr w14:val="000000">
                      <w14:alpha w14:val="100000"/>
                    </w14:srgbClr>
                  </w14:solidFill>
                </w14:textFill>
              </w:rPr>
              <w:t xml:space="preserve">　</w:t>
            </w:r>
            <w:r w:rsidRPr="0059433B">
              <w:rPr>
                <w:rFonts w:cs="Calibri"/>
                <w:color w:val="000000"/>
                <w:szCs w:val="20"/>
              </w:rPr>
              <w:t xml:space="preserve">%; Yrs 4-6: </w:t>
            </w:r>
            <w:r w:rsidR="00BC11FF" w:rsidRPr="00BC11FF">
              <w:rPr>
                <w:rFonts w:cs="Calibri" w:hint="eastAsia"/>
                <w:color w:val="000000"/>
                <w:w w:val="20"/>
                <w:szCs w:val="20"/>
                <w:shd w:val="solid" w:color="000000" w:fill="000000"/>
                <w:fitText w:val="90" w:id="-1163636731"/>
                <w14:textFill>
                  <w14:solidFill>
                    <w14:srgbClr w14:val="000000">
                      <w14:alpha w14:val="100000"/>
                    </w14:srgbClr>
                  </w14:solidFill>
                </w14:textFill>
              </w:rPr>
              <w:t xml:space="preserve">　</w:t>
            </w:r>
            <w:r w:rsidR="00BC11FF" w:rsidRPr="00BC11FF">
              <w:rPr>
                <w:rFonts w:cs="Calibri"/>
                <w:color w:val="000000"/>
                <w:w w:val="20"/>
                <w:szCs w:val="20"/>
                <w:shd w:val="solid" w:color="000000" w:fill="000000"/>
                <w:fitText w:val="90" w:id="-1163636731"/>
                <w14:textFill>
                  <w14:solidFill>
                    <w14:srgbClr w14:val="000000">
                      <w14:alpha w14:val="100000"/>
                    </w14:srgbClr>
                  </w14:solidFill>
                </w14:textFill>
              </w:rPr>
              <w:t>|</w:t>
            </w:r>
            <w:r w:rsidR="00BC11FF" w:rsidRPr="00BC11FF">
              <w:rPr>
                <w:rFonts w:cs="Calibri" w:hint="eastAsia"/>
                <w:color w:val="000000"/>
                <w:w w:val="20"/>
                <w:szCs w:val="20"/>
                <w:shd w:val="solid" w:color="000000" w:fill="000000"/>
                <w:fitText w:val="90" w:id="-1163636731"/>
                <w14:textFill>
                  <w14:solidFill>
                    <w14:srgbClr w14:val="000000">
                      <w14:alpha w14:val="100000"/>
                    </w14:srgbClr>
                  </w14:solidFill>
                </w14:textFill>
              </w:rPr>
              <w:t xml:space="preserve">　</w:t>
            </w:r>
            <w:r w:rsidRPr="0059433B">
              <w:rPr>
                <w:rFonts w:cs="Calibri"/>
                <w:color w:val="000000"/>
                <w:szCs w:val="20"/>
              </w:rPr>
              <w:t>%</w:t>
            </w:r>
          </w:p>
        </w:tc>
        <w:tc>
          <w:tcPr>
            <w:tcW w:w="597" w:type="pct"/>
            <w:shd w:val="clear" w:color="auto" w:fill="auto"/>
            <w:vAlign w:val="center"/>
          </w:tcPr>
          <w:p w14:paraId="49D0BD13" w14:textId="03C5F493"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4"/>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4"/>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4"/>
                <w14:textFill>
                  <w14:solidFill>
                    <w14:srgbClr w14:val="000000">
                      <w14:alpha w14:val="100000"/>
                    </w14:srgbClr>
                  </w14:solidFill>
                </w14:textFill>
              </w:rPr>
              <w:t xml:space="preserve">　</w:t>
            </w:r>
            <w:r w:rsidR="008B6556">
              <w:rPr>
                <w:rFonts w:cs="Calibri"/>
                <w:color w:val="000000"/>
                <w:szCs w:val="20"/>
                <w:vertAlign w:val="superscript"/>
              </w:rPr>
              <w:t>3</w:t>
            </w:r>
          </w:p>
        </w:tc>
        <w:tc>
          <w:tcPr>
            <w:tcW w:w="597" w:type="pct"/>
            <w:shd w:val="clear" w:color="auto" w:fill="auto"/>
            <w:vAlign w:val="center"/>
          </w:tcPr>
          <w:p w14:paraId="67F2645B" w14:textId="1629113E"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3"/>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3"/>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3"/>
                <w14:textFill>
                  <w14:solidFill>
                    <w14:srgbClr w14:val="000000">
                      <w14:alpha w14:val="100000"/>
                    </w14:srgbClr>
                  </w14:solidFill>
                </w14:textFill>
              </w:rPr>
              <w:t xml:space="preserve">　</w:t>
            </w:r>
            <w:r w:rsidR="008B6556">
              <w:rPr>
                <w:rFonts w:cs="Calibri"/>
                <w:color w:val="000000"/>
                <w:szCs w:val="20"/>
                <w:vertAlign w:val="superscript"/>
              </w:rPr>
              <w:t>4</w:t>
            </w:r>
          </w:p>
        </w:tc>
        <w:tc>
          <w:tcPr>
            <w:tcW w:w="598" w:type="pct"/>
            <w:shd w:val="clear" w:color="auto" w:fill="auto"/>
            <w:vAlign w:val="center"/>
          </w:tcPr>
          <w:p w14:paraId="5900EAD2" w14:textId="5F84C379"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2"/>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2"/>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2"/>
                <w14:textFill>
                  <w14:solidFill>
                    <w14:srgbClr w14:val="000000">
                      <w14:alpha w14:val="100000"/>
                    </w14:srgbClr>
                  </w14:solidFill>
                </w14:textFill>
              </w:rPr>
              <w:t xml:space="preserve">　</w:t>
            </w:r>
            <w:r w:rsidR="008B6556">
              <w:rPr>
                <w:rFonts w:cs="Calibri"/>
                <w:color w:val="000000"/>
                <w:szCs w:val="20"/>
                <w:vertAlign w:val="superscript"/>
              </w:rPr>
              <w:t>4</w:t>
            </w:r>
          </w:p>
        </w:tc>
        <w:tc>
          <w:tcPr>
            <w:tcW w:w="597" w:type="pct"/>
            <w:shd w:val="clear" w:color="auto" w:fill="auto"/>
            <w:vAlign w:val="center"/>
          </w:tcPr>
          <w:p w14:paraId="133D6C7C" w14:textId="3B128131"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1"/>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1"/>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1"/>
                <w14:textFill>
                  <w14:solidFill>
                    <w14:srgbClr w14:val="000000">
                      <w14:alpha w14:val="100000"/>
                    </w14:srgbClr>
                  </w14:solidFill>
                </w14:textFill>
              </w:rPr>
              <w:t xml:space="preserve">　</w:t>
            </w:r>
            <w:r w:rsidR="006E77A9">
              <w:rPr>
                <w:rFonts w:cs="Calibri"/>
                <w:color w:val="000000"/>
                <w:szCs w:val="20"/>
                <w:vertAlign w:val="superscript"/>
              </w:rPr>
              <w:t>4</w:t>
            </w:r>
          </w:p>
        </w:tc>
        <w:tc>
          <w:tcPr>
            <w:tcW w:w="597" w:type="pct"/>
            <w:shd w:val="clear" w:color="auto" w:fill="auto"/>
            <w:vAlign w:val="center"/>
          </w:tcPr>
          <w:p w14:paraId="36777DA1" w14:textId="66501EB4" w:rsidR="00230CBC" w:rsidRPr="00204E7C" w:rsidRDefault="00B94620" w:rsidP="00C5774C">
            <w:pPr>
              <w:pStyle w:val="COMTabletext"/>
              <w:jc w:val="center"/>
              <w:rPr>
                <w:b/>
                <w:bCs w:val="0"/>
                <w:vertAlign w:val="superscript"/>
              </w:rPr>
            </w:pPr>
            <w:r w:rsidRPr="00B626A0">
              <w:rPr>
                <w:rFonts w:ascii="MS Mincho" w:eastAsia="MS Mincho" w:hAnsi="MS Mincho" w:cs="MS Mincho" w:hint="eastAsia"/>
                <w:color w:val="000000"/>
                <w:w w:val="15"/>
                <w:szCs w:val="20"/>
                <w:shd w:val="solid" w:color="000000" w:fill="000000"/>
                <w:fitText w:val="55" w:id="-1171529210"/>
                <w14:textFill>
                  <w14:solidFill>
                    <w14:srgbClr w14:val="000000">
                      <w14:alpha w14:val="100000"/>
                    </w14:srgbClr>
                  </w14:solidFill>
                </w14:textFill>
              </w:rPr>
              <w:t xml:space="preserve">　</w:t>
            </w:r>
            <w:r w:rsidRPr="00B626A0">
              <w:rPr>
                <w:rFonts w:cs="Calibri"/>
                <w:color w:val="000000"/>
                <w:w w:val="15"/>
                <w:szCs w:val="20"/>
                <w:shd w:val="solid" w:color="000000" w:fill="000000"/>
                <w:fitText w:val="55" w:id="-1171529210"/>
                <w14:textFill>
                  <w14:solidFill>
                    <w14:srgbClr w14:val="000000">
                      <w14:alpha w14:val="100000"/>
                    </w14:srgbClr>
                  </w14:solidFill>
                </w14:textFill>
              </w:rPr>
              <w:t>|</w:t>
            </w:r>
            <w:r w:rsidRPr="00B626A0">
              <w:rPr>
                <w:rFonts w:ascii="MS Mincho" w:eastAsia="MS Mincho" w:hAnsi="MS Mincho" w:cs="MS Mincho" w:hint="eastAsia"/>
                <w:color w:val="000000"/>
                <w:spacing w:val="-10"/>
                <w:w w:val="15"/>
                <w:szCs w:val="20"/>
                <w:shd w:val="solid" w:color="000000" w:fill="000000"/>
                <w:fitText w:val="55" w:id="-1171529210"/>
                <w14:textFill>
                  <w14:solidFill>
                    <w14:srgbClr w14:val="000000">
                      <w14:alpha w14:val="100000"/>
                    </w14:srgbClr>
                  </w14:solidFill>
                </w14:textFill>
              </w:rPr>
              <w:t xml:space="preserve">　</w:t>
            </w:r>
            <w:r w:rsidR="006E77A9">
              <w:rPr>
                <w:rFonts w:cs="Calibri"/>
                <w:color w:val="000000"/>
                <w:szCs w:val="20"/>
                <w:vertAlign w:val="superscript"/>
              </w:rPr>
              <w:t>4</w:t>
            </w:r>
          </w:p>
        </w:tc>
        <w:tc>
          <w:tcPr>
            <w:tcW w:w="600" w:type="pct"/>
            <w:shd w:val="clear" w:color="auto" w:fill="auto"/>
            <w:vAlign w:val="center"/>
          </w:tcPr>
          <w:p w14:paraId="211B6640" w14:textId="49B15441" w:rsidR="00230CBC" w:rsidRPr="00204E7C" w:rsidRDefault="00B94620" w:rsidP="00C5774C">
            <w:pPr>
              <w:pStyle w:val="COMTabletext"/>
              <w:jc w:val="center"/>
              <w:rPr>
                <w:b/>
                <w:bCs w:val="0"/>
                <w:vertAlign w:val="superscript"/>
              </w:rPr>
            </w:pPr>
            <w:r w:rsidRPr="00B94620">
              <w:rPr>
                <w:rFonts w:ascii="MS Mincho" w:eastAsia="MS Mincho" w:hAnsi="MS Mincho" w:cs="MS Mincho" w:hint="eastAsia"/>
                <w:color w:val="000000"/>
                <w:w w:val="15"/>
                <w:szCs w:val="20"/>
                <w:shd w:val="solid" w:color="000000" w:fill="000000"/>
                <w:fitText w:val="65" w:id="-1171529209"/>
                <w14:textFill>
                  <w14:solidFill>
                    <w14:srgbClr w14:val="000000">
                      <w14:alpha w14:val="100000"/>
                    </w14:srgbClr>
                  </w14:solidFill>
                </w14:textFill>
              </w:rPr>
              <w:t xml:space="preserve">　</w:t>
            </w:r>
            <w:r w:rsidRPr="00B94620">
              <w:rPr>
                <w:rFonts w:cs="Calibri"/>
                <w:color w:val="000000"/>
                <w:w w:val="15"/>
                <w:szCs w:val="20"/>
                <w:shd w:val="solid" w:color="000000" w:fill="000000"/>
                <w:fitText w:val="65" w:id="-1171529209"/>
                <w14:textFill>
                  <w14:solidFill>
                    <w14:srgbClr w14:val="000000">
                      <w14:alpha w14:val="100000"/>
                    </w14:srgbClr>
                  </w14:solidFill>
                </w14:textFill>
              </w:rPr>
              <w:t>|</w:t>
            </w:r>
            <w:r w:rsidRPr="00B94620">
              <w:rPr>
                <w:rFonts w:ascii="MS Mincho" w:eastAsia="MS Mincho" w:hAnsi="MS Mincho" w:cs="MS Mincho" w:hint="eastAsia"/>
                <w:color w:val="000000"/>
                <w:w w:val="15"/>
                <w:szCs w:val="20"/>
                <w:shd w:val="solid" w:color="000000" w:fill="000000"/>
                <w:fitText w:val="65" w:id="-1171529209"/>
                <w14:textFill>
                  <w14:solidFill>
                    <w14:srgbClr w14:val="000000">
                      <w14:alpha w14:val="100000"/>
                    </w14:srgbClr>
                  </w14:solidFill>
                </w14:textFill>
              </w:rPr>
              <w:t xml:space="preserve">　</w:t>
            </w:r>
            <w:r w:rsidR="006E77A9">
              <w:rPr>
                <w:rFonts w:cs="Calibri"/>
                <w:color w:val="000000"/>
                <w:szCs w:val="20"/>
                <w:vertAlign w:val="superscript"/>
              </w:rPr>
              <w:t>4</w:t>
            </w:r>
          </w:p>
        </w:tc>
      </w:tr>
    </w:tbl>
    <w:p w14:paraId="1910AF91" w14:textId="138832F2" w:rsidR="00230CBC" w:rsidRDefault="00230CBC" w:rsidP="007F7FB3">
      <w:pPr>
        <w:pStyle w:val="COMTablefooter"/>
        <w:spacing w:after="0"/>
      </w:pPr>
      <w:r w:rsidRPr="0059433B">
        <w:t>Source: Table 4.5, p155; Table 4.6, p155; Table 4.10, p157 of the submission; Section 4 financial implications Excel workbook.</w:t>
      </w:r>
    </w:p>
    <w:p w14:paraId="3925ED52" w14:textId="77777777" w:rsidR="009953AE" w:rsidRPr="009A6D58" w:rsidRDefault="009953AE" w:rsidP="009953A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E571A5A" w14:textId="2F862165" w:rsidR="009953AE" w:rsidRPr="00204E7C" w:rsidRDefault="009953AE" w:rsidP="009953AE">
      <w:pPr>
        <w:ind w:right="147"/>
        <w:rPr>
          <w:rFonts w:ascii="Arial Narrow" w:hAnsi="Arial Narrow"/>
          <w:i/>
          <w:iCs/>
          <w:color w:val="333333"/>
          <w:sz w:val="18"/>
          <w:szCs w:val="18"/>
        </w:rPr>
      </w:pPr>
      <w:r w:rsidRPr="00204E7C">
        <w:rPr>
          <w:rFonts w:ascii="Arial Narrow" w:hAnsi="Arial Narrow"/>
          <w:i/>
          <w:iCs/>
          <w:color w:val="333333"/>
          <w:sz w:val="18"/>
          <w:szCs w:val="18"/>
          <w:vertAlign w:val="superscript"/>
        </w:rPr>
        <w:t>1</w:t>
      </w:r>
      <w:r w:rsidR="00F916B0">
        <w:rPr>
          <w:rFonts w:ascii="Arial Narrow" w:hAnsi="Arial Narrow"/>
          <w:i/>
          <w:iCs/>
          <w:color w:val="333333"/>
          <w:sz w:val="18"/>
          <w:szCs w:val="18"/>
          <w:vertAlign w:val="superscript"/>
        </w:rPr>
        <w:t xml:space="preserve"> </w:t>
      </w:r>
      <w:r w:rsidRPr="00204E7C">
        <w:rPr>
          <w:rFonts w:ascii="Arial Narrow" w:hAnsi="Arial Narrow"/>
          <w:i/>
          <w:iCs/>
          <w:color w:val="333333"/>
          <w:sz w:val="18"/>
          <w:szCs w:val="18"/>
        </w:rPr>
        <w:t>&lt; 500</w:t>
      </w:r>
    </w:p>
    <w:p w14:paraId="5A33F248" w14:textId="04071A02" w:rsidR="009953AE" w:rsidRPr="00204E7C" w:rsidRDefault="009953AE" w:rsidP="009953AE">
      <w:pPr>
        <w:ind w:right="147"/>
        <w:rPr>
          <w:rFonts w:ascii="Arial Narrow" w:hAnsi="Arial Narrow"/>
          <w:i/>
          <w:iCs/>
          <w:color w:val="333333"/>
          <w:sz w:val="18"/>
          <w:szCs w:val="18"/>
        </w:rPr>
      </w:pPr>
      <w:r w:rsidRPr="00204E7C">
        <w:rPr>
          <w:rFonts w:ascii="Arial Narrow" w:hAnsi="Arial Narrow"/>
          <w:i/>
          <w:iCs/>
          <w:color w:val="333333"/>
          <w:sz w:val="18"/>
          <w:szCs w:val="18"/>
          <w:vertAlign w:val="superscript"/>
        </w:rPr>
        <w:t>2</w:t>
      </w:r>
      <w:r w:rsidR="00F916B0">
        <w:rPr>
          <w:rFonts w:ascii="Arial Narrow" w:hAnsi="Arial Narrow"/>
          <w:i/>
          <w:iCs/>
          <w:color w:val="333333"/>
          <w:sz w:val="18"/>
          <w:szCs w:val="18"/>
          <w:vertAlign w:val="superscript"/>
        </w:rPr>
        <w:t xml:space="preserve"> </w:t>
      </w:r>
      <w:r w:rsidRPr="00204E7C">
        <w:rPr>
          <w:rFonts w:ascii="Arial Narrow" w:hAnsi="Arial Narrow"/>
          <w:i/>
          <w:iCs/>
          <w:color w:val="333333"/>
          <w:sz w:val="18"/>
          <w:szCs w:val="18"/>
        </w:rPr>
        <w:t>500 to &lt; 5,000</w:t>
      </w:r>
    </w:p>
    <w:p w14:paraId="3D0C81BA" w14:textId="7A2E89ED" w:rsidR="005E093D" w:rsidRPr="00204E7C" w:rsidRDefault="005E093D" w:rsidP="00204E7C">
      <w:pPr>
        <w:ind w:right="150"/>
        <w:rPr>
          <w:rFonts w:ascii="Arial Narrow" w:hAnsi="Arial Narrow"/>
          <w:i/>
          <w:iCs/>
          <w:color w:val="333333"/>
          <w:sz w:val="18"/>
          <w:szCs w:val="18"/>
        </w:rPr>
      </w:pPr>
      <w:r w:rsidRPr="00204E7C">
        <w:rPr>
          <w:rFonts w:ascii="Arial Narrow" w:hAnsi="Arial Narrow"/>
          <w:i/>
          <w:iCs/>
          <w:color w:val="333333"/>
          <w:sz w:val="18"/>
          <w:szCs w:val="18"/>
          <w:vertAlign w:val="superscript"/>
        </w:rPr>
        <w:t>3</w:t>
      </w:r>
      <w:r w:rsidR="00F916B0">
        <w:rPr>
          <w:rFonts w:ascii="Arial Narrow" w:hAnsi="Arial Narrow"/>
          <w:i/>
          <w:iCs/>
          <w:color w:val="333333"/>
          <w:sz w:val="18"/>
          <w:szCs w:val="18"/>
          <w:vertAlign w:val="superscript"/>
        </w:rPr>
        <w:t xml:space="preserve"> </w:t>
      </w:r>
      <w:r w:rsidRPr="00204E7C">
        <w:rPr>
          <w:rFonts w:ascii="Arial Narrow" w:hAnsi="Arial Narrow"/>
          <w:i/>
          <w:iCs/>
          <w:color w:val="333333"/>
          <w:sz w:val="18"/>
          <w:szCs w:val="18"/>
        </w:rPr>
        <w:t>$0 to &lt; $10 million</w:t>
      </w:r>
    </w:p>
    <w:p w14:paraId="5EC45DFA" w14:textId="0FB9B3B8" w:rsidR="005E093D" w:rsidRPr="00204E7C" w:rsidRDefault="005E093D" w:rsidP="007F7FB3">
      <w:pPr>
        <w:spacing w:after="120"/>
        <w:ind w:right="150"/>
        <w:rPr>
          <w:rFonts w:ascii="Arial Narrow" w:hAnsi="Arial Narrow"/>
          <w:i/>
          <w:iCs/>
          <w:color w:val="333333"/>
          <w:sz w:val="18"/>
          <w:szCs w:val="18"/>
        </w:rPr>
      </w:pPr>
      <w:r w:rsidRPr="00204E7C">
        <w:rPr>
          <w:rFonts w:ascii="Arial Narrow" w:hAnsi="Arial Narrow"/>
          <w:i/>
          <w:iCs/>
          <w:color w:val="333333"/>
          <w:sz w:val="18"/>
          <w:szCs w:val="18"/>
          <w:vertAlign w:val="superscript"/>
        </w:rPr>
        <w:t>4</w:t>
      </w:r>
      <w:r w:rsidR="00F916B0">
        <w:rPr>
          <w:rFonts w:ascii="Arial Narrow" w:hAnsi="Arial Narrow"/>
          <w:i/>
          <w:iCs/>
          <w:color w:val="333333"/>
          <w:sz w:val="18"/>
          <w:szCs w:val="18"/>
          <w:vertAlign w:val="superscript"/>
        </w:rPr>
        <w:t xml:space="preserve"> </w:t>
      </w:r>
      <w:r w:rsidRPr="00204E7C">
        <w:rPr>
          <w:rFonts w:ascii="Arial Narrow" w:hAnsi="Arial Narrow"/>
          <w:i/>
          <w:iCs/>
          <w:color w:val="333333"/>
          <w:sz w:val="18"/>
          <w:szCs w:val="18"/>
        </w:rPr>
        <w:t>$10 million to &lt; $20 million</w:t>
      </w:r>
    </w:p>
    <w:p w14:paraId="302C0426" w14:textId="2ED93DE7" w:rsidR="00230CBC" w:rsidRPr="0059433B" w:rsidRDefault="00230CBC" w:rsidP="00230CBC">
      <w:pPr>
        <w:pStyle w:val="COMexecsumnumberedpara"/>
      </w:pPr>
      <w:r w:rsidRPr="0059433B">
        <w:rPr>
          <w:snapToGrid/>
        </w:rPr>
        <w:t xml:space="preserve">The submission estimated a net cost to the PBS/RPBS/MBS of </w:t>
      </w:r>
      <w:r w:rsidR="005D35AA" w:rsidRPr="005D35AA">
        <w:rPr>
          <w:snapToGrid/>
        </w:rPr>
        <w:t>$0</w:t>
      </w:r>
      <w:r w:rsidR="00204E7C">
        <w:rPr>
          <w:snapToGrid/>
        </w:rPr>
        <w:t> </w:t>
      </w:r>
      <w:r w:rsidR="005D35AA" w:rsidRPr="005D35AA">
        <w:rPr>
          <w:snapToGrid/>
        </w:rPr>
        <w:t>to</w:t>
      </w:r>
      <w:r w:rsidR="00204E7C">
        <w:rPr>
          <w:snapToGrid/>
        </w:rPr>
        <w:t> </w:t>
      </w:r>
      <w:r w:rsidR="005D35AA" w:rsidRPr="005D35AA">
        <w:rPr>
          <w:snapToGrid/>
        </w:rPr>
        <w:t>&lt;</w:t>
      </w:r>
      <w:r w:rsidR="00204E7C">
        <w:rPr>
          <w:snapToGrid/>
        </w:rPr>
        <w:t> </w:t>
      </w:r>
      <w:r w:rsidR="005D35AA" w:rsidRPr="005D35AA">
        <w:rPr>
          <w:snapToGrid/>
        </w:rPr>
        <w:t>$10 million</w:t>
      </w:r>
      <w:r w:rsidR="005D35AA">
        <w:rPr>
          <w:snapToGrid/>
        </w:rPr>
        <w:t xml:space="preserve"> </w:t>
      </w:r>
      <w:r w:rsidRPr="0059433B">
        <w:rPr>
          <w:snapToGrid/>
        </w:rPr>
        <w:t xml:space="preserve">in Year 1, increasing to </w:t>
      </w:r>
      <w:r w:rsidR="005D35AA" w:rsidRPr="005D35AA">
        <w:rPr>
          <w:snapToGrid/>
        </w:rPr>
        <w:t>$10</w:t>
      </w:r>
      <w:r w:rsidR="00204E7C">
        <w:rPr>
          <w:snapToGrid/>
        </w:rPr>
        <w:t> </w:t>
      </w:r>
      <w:r w:rsidR="005D35AA" w:rsidRPr="005D35AA">
        <w:rPr>
          <w:snapToGrid/>
        </w:rPr>
        <w:t>million</w:t>
      </w:r>
      <w:r w:rsidR="00204E7C">
        <w:rPr>
          <w:snapToGrid/>
        </w:rPr>
        <w:t> </w:t>
      </w:r>
      <w:r w:rsidR="005D35AA" w:rsidRPr="005D35AA">
        <w:rPr>
          <w:snapToGrid/>
        </w:rPr>
        <w:t>to</w:t>
      </w:r>
      <w:r w:rsidR="00204E7C">
        <w:rPr>
          <w:snapToGrid/>
        </w:rPr>
        <w:t> </w:t>
      </w:r>
      <w:r w:rsidR="005D35AA" w:rsidRPr="005D35AA">
        <w:rPr>
          <w:snapToGrid/>
        </w:rPr>
        <w:t>&lt;</w:t>
      </w:r>
      <w:r w:rsidR="00204E7C">
        <w:rPr>
          <w:snapToGrid/>
        </w:rPr>
        <w:t> </w:t>
      </w:r>
      <w:r w:rsidR="005D35AA" w:rsidRPr="005D35AA">
        <w:rPr>
          <w:snapToGrid/>
        </w:rPr>
        <w:t>$20 million</w:t>
      </w:r>
      <w:r w:rsidR="005D35AA">
        <w:rPr>
          <w:snapToGrid/>
        </w:rPr>
        <w:t xml:space="preserve"> </w:t>
      </w:r>
      <w:r w:rsidRPr="0059433B">
        <w:rPr>
          <w:snapToGrid/>
        </w:rPr>
        <w:t xml:space="preserve">in Year 6, an estimated net cost of </w:t>
      </w:r>
      <w:r w:rsidR="005D35AA" w:rsidRPr="005D35AA">
        <w:rPr>
          <w:snapToGrid/>
        </w:rPr>
        <w:t>$60</w:t>
      </w:r>
      <w:r w:rsidR="00204E7C">
        <w:rPr>
          <w:snapToGrid/>
        </w:rPr>
        <w:t> </w:t>
      </w:r>
      <w:r w:rsidR="005D35AA" w:rsidRPr="005D35AA">
        <w:rPr>
          <w:snapToGrid/>
        </w:rPr>
        <w:t>million</w:t>
      </w:r>
      <w:r w:rsidR="00204E7C">
        <w:rPr>
          <w:snapToGrid/>
        </w:rPr>
        <w:t> </w:t>
      </w:r>
      <w:r w:rsidR="005D35AA" w:rsidRPr="005D35AA">
        <w:rPr>
          <w:snapToGrid/>
        </w:rPr>
        <w:t>to</w:t>
      </w:r>
      <w:r w:rsidR="00204E7C">
        <w:rPr>
          <w:snapToGrid/>
        </w:rPr>
        <w:t> </w:t>
      </w:r>
      <w:r w:rsidR="005D35AA" w:rsidRPr="005D35AA">
        <w:rPr>
          <w:snapToGrid/>
        </w:rPr>
        <w:t>&lt;</w:t>
      </w:r>
      <w:r w:rsidR="00204E7C">
        <w:rPr>
          <w:snapToGrid/>
        </w:rPr>
        <w:t> </w:t>
      </w:r>
      <w:r w:rsidR="005D35AA" w:rsidRPr="005D35AA">
        <w:rPr>
          <w:snapToGrid/>
        </w:rPr>
        <w:t>$70</w:t>
      </w:r>
      <w:r w:rsidR="00204E7C">
        <w:rPr>
          <w:snapToGrid/>
        </w:rPr>
        <w:t> </w:t>
      </w:r>
      <w:r w:rsidR="005D35AA" w:rsidRPr="005D35AA">
        <w:rPr>
          <w:snapToGrid/>
        </w:rPr>
        <w:t>million</w:t>
      </w:r>
      <w:r w:rsidR="005D35AA">
        <w:rPr>
          <w:snapToGrid/>
        </w:rPr>
        <w:t xml:space="preserve"> </w:t>
      </w:r>
      <w:r w:rsidRPr="0059433B">
        <w:rPr>
          <w:snapToGrid/>
        </w:rPr>
        <w:t>over the first six years of listing.</w:t>
      </w:r>
      <w:r w:rsidR="00F45F60" w:rsidRPr="0059433B">
        <w:rPr>
          <w:snapToGrid/>
        </w:rPr>
        <w:t xml:space="preserve"> </w:t>
      </w:r>
      <w:r w:rsidRPr="0059433B">
        <w:rPr>
          <w:snapToGrid/>
        </w:rPr>
        <w:t xml:space="preserve">The sensitivity analyses resulted in higher estimates, up to </w:t>
      </w:r>
      <w:r w:rsidR="005D35AA" w:rsidRPr="005D35AA">
        <w:rPr>
          <w:snapToGrid/>
        </w:rPr>
        <w:t>$80</w:t>
      </w:r>
      <w:r w:rsidR="00204E7C">
        <w:rPr>
          <w:snapToGrid/>
        </w:rPr>
        <w:t> </w:t>
      </w:r>
      <w:r w:rsidR="005D35AA" w:rsidRPr="005D35AA">
        <w:rPr>
          <w:snapToGrid/>
        </w:rPr>
        <w:t>million</w:t>
      </w:r>
      <w:r w:rsidR="00204E7C">
        <w:rPr>
          <w:snapToGrid/>
        </w:rPr>
        <w:t> </w:t>
      </w:r>
      <w:r w:rsidR="005D35AA" w:rsidRPr="005D35AA">
        <w:rPr>
          <w:snapToGrid/>
        </w:rPr>
        <w:t>to</w:t>
      </w:r>
      <w:r w:rsidR="00204E7C">
        <w:rPr>
          <w:snapToGrid/>
        </w:rPr>
        <w:t> </w:t>
      </w:r>
      <w:r w:rsidR="005D35AA" w:rsidRPr="005D35AA">
        <w:rPr>
          <w:snapToGrid/>
        </w:rPr>
        <w:t>&lt;</w:t>
      </w:r>
      <w:r w:rsidR="00CB1A62">
        <w:rPr>
          <w:snapToGrid/>
        </w:rPr>
        <w:t> </w:t>
      </w:r>
      <w:r w:rsidR="005D35AA" w:rsidRPr="005D35AA">
        <w:rPr>
          <w:snapToGrid/>
        </w:rPr>
        <w:t>$90 million</w:t>
      </w:r>
      <w:r w:rsidR="005D35AA">
        <w:rPr>
          <w:snapToGrid/>
        </w:rPr>
        <w:t xml:space="preserve"> </w:t>
      </w:r>
      <w:r w:rsidRPr="0059433B">
        <w:rPr>
          <w:snapToGrid/>
        </w:rPr>
        <w:t>over the first six years of listing (</w:t>
      </w:r>
      <w:r w:rsidRPr="0059433B">
        <w:rPr>
          <w:snapToGrid/>
        </w:rPr>
        <w:fldChar w:fldCharType="begin" w:fldLock="1"/>
      </w:r>
      <w:r w:rsidRPr="0059433B">
        <w:rPr>
          <w:snapToGrid/>
        </w:rPr>
        <w:instrText xml:space="preserve"> REF _Ref132583442 \h </w:instrText>
      </w:r>
      <w:r w:rsidRPr="0059433B">
        <w:rPr>
          <w:snapToGrid/>
        </w:rPr>
      </w:r>
      <w:r w:rsidRPr="0059433B">
        <w:rPr>
          <w:snapToGrid/>
        </w:rPr>
        <w:fldChar w:fldCharType="separate"/>
      </w:r>
      <w:r w:rsidR="00042B2E" w:rsidRPr="0059433B">
        <w:t>Table 16</w:t>
      </w:r>
      <w:r w:rsidRPr="0059433B">
        <w:rPr>
          <w:snapToGrid/>
        </w:rPr>
        <w:fldChar w:fldCharType="end"/>
      </w:r>
      <w:r w:rsidRPr="0059433B">
        <w:rPr>
          <w:snapToGrid/>
        </w:rPr>
        <w:t>).</w:t>
      </w:r>
    </w:p>
    <w:p w14:paraId="23A801AB" w14:textId="77777777" w:rsidR="00230CBC" w:rsidRPr="0059433B" w:rsidRDefault="00230CBC" w:rsidP="00331793">
      <w:pPr>
        <w:pStyle w:val="COMexecsumnumberedpara"/>
      </w:pPr>
      <w:bookmarkStart w:id="82" w:name="_Ref142060326"/>
      <w:r w:rsidRPr="0059433B">
        <w:t xml:space="preserve">The estimated utilisation and </w:t>
      </w:r>
      <w:proofErr w:type="gramStart"/>
      <w:r w:rsidRPr="0059433B">
        <w:t>financial impact</w:t>
      </w:r>
      <w:proofErr w:type="gramEnd"/>
      <w:r w:rsidRPr="0059433B">
        <w:t xml:space="preserve"> to the PBS/RPBS appeared to be underestimated due to the following reasons:</w:t>
      </w:r>
      <w:bookmarkEnd w:id="82"/>
    </w:p>
    <w:p w14:paraId="4B356F39" w14:textId="77777777" w:rsidR="00F126D4" w:rsidRPr="0059433B" w:rsidRDefault="00230CBC" w:rsidP="00331793">
      <w:pPr>
        <w:pStyle w:val="COMexecsummbulletlist"/>
      </w:pPr>
      <w:r w:rsidRPr="0059433B">
        <w:t xml:space="preserve">The number of prevalent and incident patients </w:t>
      </w:r>
      <w:proofErr w:type="gramStart"/>
      <w:r w:rsidRPr="0059433B">
        <w:t>were derived</w:t>
      </w:r>
      <w:proofErr w:type="gramEnd"/>
      <w:r w:rsidRPr="0059433B">
        <w:t xml:space="preserve"> from data supplied by the Australian Amyloidosis Network (AAN). Correspondence from the AAN indicated that the numbers were underestimates, as not all patients in Australia diagnosed with hATTR amyloidosis </w:t>
      </w:r>
      <w:proofErr w:type="gramStart"/>
      <w:r w:rsidRPr="0059433B">
        <w:t>are referred</w:t>
      </w:r>
      <w:proofErr w:type="gramEnd"/>
      <w:r w:rsidRPr="0059433B">
        <w:t xml:space="preserve"> to an AAN service.</w:t>
      </w:r>
    </w:p>
    <w:p w14:paraId="73014178" w14:textId="7572ABCB" w:rsidR="00230CBC" w:rsidRPr="0059433B" w:rsidRDefault="00230CBC" w:rsidP="00331793">
      <w:pPr>
        <w:pStyle w:val="COMexecsummbulletlist"/>
      </w:pPr>
      <w:r w:rsidRPr="0059433B">
        <w:t>The addition of Item 73422 to the MBS (genetic testing for neuromuscular disorders), which includes identification of gene mutations in the transthyretin gene, is likely to increase the detection rate of hATTR amyloidosis. The availability of an effective treatment may also contribute to higher rates of testing for hATTR amyloidosis.</w:t>
      </w:r>
    </w:p>
    <w:p w14:paraId="1239974D" w14:textId="77777777" w:rsidR="00230CBC" w:rsidRPr="0059433B" w:rsidRDefault="00230CBC" w:rsidP="00331793">
      <w:pPr>
        <w:pStyle w:val="COMexecsummbulletlist"/>
        <w:ind w:hanging="357"/>
      </w:pPr>
      <w:r w:rsidRPr="0059433B">
        <w:lastRenderedPageBreak/>
        <w:t xml:space="preserve">There is potential for use outside of the proposed restriction among patients with earlier stage disease (i.e., PND 0) or among patients who have progressed to PND IV (i.e., patients and clinicians may be reluctant to cease treatment with patisiran in PND IV if treatment </w:t>
      </w:r>
      <w:proofErr w:type="gramStart"/>
      <w:r w:rsidRPr="0059433B">
        <w:t>is still considered</w:t>
      </w:r>
      <w:proofErr w:type="gramEnd"/>
      <w:r w:rsidRPr="0059433B">
        <w:t xml:space="preserve"> to be providing a benefit).</w:t>
      </w:r>
    </w:p>
    <w:p w14:paraId="466E1E71" w14:textId="77777777" w:rsidR="00230CBC" w:rsidRPr="0059433B" w:rsidRDefault="00230CBC" w:rsidP="00331793">
      <w:pPr>
        <w:pStyle w:val="COMexecsummbulletlist"/>
      </w:pPr>
      <w:r w:rsidRPr="0059433B">
        <w:t xml:space="preserve">There may be additional patients currently receiving treatment with alternative hATTR treatments who will switch to patisiran if it </w:t>
      </w:r>
      <w:proofErr w:type="gramStart"/>
      <w:r w:rsidRPr="0059433B">
        <w:t>is listed</w:t>
      </w:r>
      <w:proofErr w:type="gramEnd"/>
      <w:r w:rsidRPr="0059433B">
        <w:t xml:space="preserve"> on the PBS.</w:t>
      </w:r>
    </w:p>
    <w:p w14:paraId="72FEE0FD" w14:textId="77777777" w:rsidR="00F126D4" w:rsidRPr="0059433B" w:rsidRDefault="00230CBC" w:rsidP="00331793">
      <w:pPr>
        <w:pStyle w:val="COMexecsummbulletlist"/>
      </w:pPr>
      <w:r w:rsidRPr="0059433B">
        <w:t>Uptake rates may be higher than assumed in the submission due to the lack of alternative treatments available for hATTR amyloidosis.</w:t>
      </w:r>
    </w:p>
    <w:p w14:paraId="5D20BD6B" w14:textId="5BF8CDE0" w:rsidR="00230CBC" w:rsidRPr="0059433B" w:rsidRDefault="00230CBC" w:rsidP="00331793">
      <w:pPr>
        <w:pStyle w:val="COMexecsummbulletlist"/>
        <w:ind w:hanging="357"/>
      </w:pPr>
      <w:r w:rsidRPr="0059433B">
        <w:t>The submission did not account for disease progression in the future among patients in the incident patient population with a PND score of 0 at diagnosis.</w:t>
      </w:r>
    </w:p>
    <w:p w14:paraId="0E2FD71C" w14:textId="1BEB32E1" w:rsidR="00230CBC" w:rsidRPr="0059433B" w:rsidRDefault="00230CBC" w:rsidP="00230CBC">
      <w:pPr>
        <w:pStyle w:val="COMexecsumnumberedpara"/>
        <w:spacing w:after="160" w:line="259" w:lineRule="auto"/>
      </w:pPr>
      <w:bookmarkStart w:id="83" w:name="_Toc22897648"/>
      <w:bookmarkStart w:id="84" w:name="_Toc107927634"/>
      <w:bookmarkStart w:id="85" w:name="_Toc135226813"/>
      <w:r w:rsidRPr="0059433B">
        <w:t xml:space="preserve">The pre-PBAC response provided revised estimates of the treatment-eligible population based on </w:t>
      </w:r>
      <w:r w:rsidRPr="0059433B">
        <w:rPr>
          <w:iCs/>
        </w:rPr>
        <w:t>literature as suggested by DUSC.</w:t>
      </w:r>
      <w:r w:rsidR="00F45F60" w:rsidRPr="0059433B">
        <w:rPr>
          <w:iCs/>
        </w:rPr>
        <w:t xml:space="preserve"> </w:t>
      </w:r>
      <w:r w:rsidRPr="0059433B">
        <w:rPr>
          <w:iCs/>
        </w:rPr>
        <w:t xml:space="preserve">The response </w:t>
      </w:r>
      <w:r w:rsidRPr="0059433B">
        <w:t>proposed estimates based on published prevalence data by Schmidt et al. (2018). Based on the Australian population (N=25,688,079 lives)</w:t>
      </w:r>
      <w:r w:rsidRPr="0059433B">
        <w:rPr>
          <w:rStyle w:val="FootnoteReference"/>
        </w:rPr>
        <w:footnoteReference w:id="8"/>
      </w:r>
      <w:r w:rsidRPr="0059433B">
        <w:t xml:space="preserve"> and the high-end prevalence estimate from Schmidt et al. (7.52 per million), a total of 193 patients with hATTR amyloidosis with polyneuropathy in Australia </w:t>
      </w:r>
      <w:proofErr w:type="gramStart"/>
      <w:r w:rsidRPr="0059433B">
        <w:t>was estimated</w:t>
      </w:r>
      <w:proofErr w:type="gramEnd"/>
      <w:r w:rsidRPr="0059433B">
        <w:t xml:space="preserve">. Applying the same proportion of patisiran-eligible patients from the prevalent pool of patients as demonstrated in the submitted AAN data (30.75%; see </w:t>
      </w:r>
      <w:r w:rsidRPr="0059433B">
        <w:fldChar w:fldCharType="begin" w:fldLock="1"/>
      </w:r>
      <w:r w:rsidRPr="0059433B">
        <w:instrText xml:space="preserve"> REF _Ref142315051 \h </w:instrText>
      </w:r>
      <w:r w:rsidRPr="0059433B">
        <w:fldChar w:fldCharType="separate"/>
      </w:r>
      <w:r w:rsidR="00042B2E" w:rsidRPr="0059433B">
        <w:t>Table 17</w:t>
      </w:r>
      <w:r w:rsidRPr="0059433B">
        <w:fldChar w:fldCharType="end"/>
      </w:r>
      <w:r w:rsidRPr="0059433B">
        <w:t xml:space="preserve">) and the incidence of 3.3 incident PND I patients per year, in addition to the </w:t>
      </w:r>
      <w:r w:rsidR="00F916B0">
        <w:t>&lt; 500</w:t>
      </w:r>
      <w:r w:rsidR="00F916B0" w:rsidRPr="0059433B">
        <w:t xml:space="preserve"> </w:t>
      </w:r>
      <w:r w:rsidRPr="0059433B">
        <w:t xml:space="preserve">patients who are currently receiving patisiran, resulted in totals of </w:t>
      </w:r>
      <w:r w:rsidR="00F916B0">
        <w:t>&lt; 500</w:t>
      </w:r>
      <w:r w:rsidRPr="0059433B">
        <w:t xml:space="preserve">, </w:t>
      </w:r>
      <w:r w:rsidR="00F916B0">
        <w:t>&lt; 500</w:t>
      </w:r>
      <w:r w:rsidRPr="0059433B">
        <w:t xml:space="preserve">, </w:t>
      </w:r>
      <w:r w:rsidR="00F916B0">
        <w:t>&lt; 500</w:t>
      </w:r>
      <w:r w:rsidRPr="0059433B">
        <w:t xml:space="preserve">, </w:t>
      </w:r>
      <w:r w:rsidR="00F916B0">
        <w:t>&lt; 500</w:t>
      </w:r>
      <w:r w:rsidRPr="0059433B">
        <w:t xml:space="preserve">, </w:t>
      </w:r>
      <w:r w:rsidR="00F916B0">
        <w:t>&lt; 500</w:t>
      </w:r>
      <w:r w:rsidRPr="0059433B">
        <w:t xml:space="preserve">, and </w:t>
      </w:r>
      <w:r w:rsidR="00F916B0">
        <w:t>&lt; 500</w:t>
      </w:r>
      <w:r w:rsidR="00F916B0" w:rsidRPr="0059433B">
        <w:t xml:space="preserve"> </w:t>
      </w:r>
      <w:r w:rsidRPr="0059433B">
        <w:t xml:space="preserve">treatment-eligible patients in Years 1, 2, 3, 4, 5, and 6 (compared to </w:t>
      </w:r>
      <w:r w:rsidR="00F916B0">
        <w:t>&lt; 500</w:t>
      </w:r>
      <w:r w:rsidRPr="0059433B">
        <w:t xml:space="preserve">, </w:t>
      </w:r>
      <w:r w:rsidR="00F916B0">
        <w:t>&lt; 500</w:t>
      </w:r>
      <w:r w:rsidRPr="0059433B">
        <w:t xml:space="preserve">, </w:t>
      </w:r>
      <w:r w:rsidR="00F916B0">
        <w:t>&lt; 500</w:t>
      </w:r>
      <w:r w:rsidRPr="0059433B">
        <w:t xml:space="preserve">, </w:t>
      </w:r>
      <w:r w:rsidR="00F916B0">
        <w:t>&lt; 500</w:t>
      </w:r>
      <w:r w:rsidRPr="0059433B">
        <w:t xml:space="preserve">, </w:t>
      </w:r>
      <w:r w:rsidR="00F916B0">
        <w:t>&lt; 500</w:t>
      </w:r>
      <w:r w:rsidRPr="0059433B">
        <w:t xml:space="preserve"> and </w:t>
      </w:r>
      <w:r w:rsidR="00F916B0">
        <w:t>&lt; 500</w:t>
      </w:r>
      <w:r w:rsidRPr="0059433B">
        <w:t xml:space="preserve"> patients in the original submission). Note, these figures refer to treatment-eligible patients, and not treated patients, with the difference being due to uptake rates.</w:t>
      </w:r>
    </w:p>
    <w:p w14:paraId="5C5BF3FC" w14:textId="621999C9" w:rsidR="00230CBC" w:rsidRPr="0059433B" w:rsidRDefault="00230CBC" w:rsidP="00230CBC">
      <w:pPr>
        <w:pStyle w:val="COMexecsumnumberedpara"/>
      </w:pPr>
      <w:r w:rsidRPr="0059433B">
        <w:rPr>
          <w:snapToGrid/>
        </w:rPr>
        <w:t xml:space="preserve">Regarding </w:t>
      </w:r>
      <w:r w:rsidRPr="0059433B">
        <w:t>uptake rates, the pre-PBAC response noted the higher rates of uptake proposed by DUSC in sensitivity analyses (</w:t>
      </w:r>
      <w:r w:rsidRPr="0059433B">
        <w:fldChar w:fldCharType="begin" w:fldLock="1"/>
      </w:r>
      <w:r w:rsidRPr="0059433B">
        <w:instrText xml:space="preserve"> REF _Ref132583442 \h </w:instrText>
      </w:r>
      <w:r w:rsidRPr="0059433B">
        <w:fldChar w:fldCharType="separate"/>
      </w:r>
      <w:r w:rsidR="00042B2E" w:rsidRPr="0059433B">
        <w:t>Table 16</w:t>
      </w:r>
      <w:r w:rsidRPr="0059433B">
        <w:fldChar w:fldCharType="end"/>
      </w:r>
      <w:r w:rsidRPr="0059433B">
        <w:t>).</w:t>
      </w:r>
      <w:r w:rsidR="00F45F60" w:rsidRPr="0059433B">
        <w:t xml:space="preserve"> </w:t>
      </w:r>
      <w:r w:rsidRPr="0059433B">
        <w:t xml:space="preserve">The pre-PBAC response stated that while the DUSC proposed higher rates of uptake in the prevalent population based on assumption, the rates of uptake in the original submission were based on observations from countries where patisiran has </w:t>
      </w:r>
      <w:proofErr w:type="gramStart"/>
      <w:r w:rsidRPr="0059433B">
        <w:t>been reimbursed</w:t>
      </w:r>
      <w:proofErr w:type="gramEnd"/>
      <w:r w:rsidRPr="0059433B">
        <w:t>. The sponsor also stated it was open to a budget cap.</w:t>
      </w:r>
      <w:r w:rsidR="00F45F60" w:rsidRPr="0059433B">
        <w:t xml:space="preserve"> </w:t>
      </w:r>
      <w:r w:rsidRPr="0059433B">
        <w:t>The pre-PBAC response did not revise the uptake rates assumed in the submission.</w:t>
      </w:r>
    </w:p>
    <w:p w14:paraId="4EABE7D5" w14:textId="3AF41821" w:rsidR="00230CBC" w:rsidRPr="0059433B" w:rsidRDefault="00230CBC" w:rsidP="00230CBC">
      <w:pPr>
        <w:pStyle w:val="COMexecsumnumberedpara"/>
      </w:pPr>
      <w:r w:rsidRPr="0059433B">
        <w:t xml:space="preserve">The PBAC noted that </w:t>
      </w:r>
      <w:proofErr w:type="gramStart"/>
      <w:r w:rsidRPr="0059433B">
        <w:t>several</w:t>
      </w:r>
      <w:proofErr w:type="gramEnd"/>
      <w:r w:rsidRPr="0059433B">
        <w:t xml:space="preserve"> concerns about the financial estimates had been raised by the commentary and DUSC advice.</w:t>
      </w:r>
      <w:r w:rsidR="00F45F60" w:rsidRPr="0059433B">
        <w:t xml:space="preserve"> </w:t>
      </w:r>
      <w:r w:rsidRPr="0059433B">
        <w:t xml:space="preserve">The PBAC agreed with the DUSC that uptake rates </w:t>
      </w:r>
      <w:proofErr w:type="gramStart"/>
      <w:r w:rsidRPr="0059433B">
        <w:t>appeared to be</w:t>
      </w:r>
      <w:proofErr w:type="gramEnd"/>
      <w:r w:rsidRPr="0059433B">
        <w:t xml:space="preserve"> inappropriately low in the submission.</w:t>
      </w:r>
      <w:r w:rsidR="00F45F60" w:rsidRPr="0059433B">
        <w:t xml:space="preserve"> </w:t>
      </w:r>
      <w:r w:rsidRPr="0059433B">
        <w:t xml:space="preserve">The PBAC noted the DUSC sensitivity analyses proposed uptake rates of </w:t>
      </w:r>
      <w:r w:rsidR="00274291" w:rsidRPr="00296EFE">
        <w:rPr>
          <w:color w:val="000000"/>
          <w:spacing w:val="-130"/>
          <w:w w:val="15"/>
          <w:shd w:val="solid" w:color="000000" w:fill="000000"/>
          <w14:textFill>
            <w14:solidFill>
              <w14:srgbClr w14:val="000000">
                <w14:alpha w14:val="100000"/>
              </w14:srgbClr>
            </w14:solidFill>
          </w14:textFill>
        </w:rPr>
        <w:t>|</w:t>
      </w:r>
      <w:r w:rsidR="00274291" w:rsidRPr="00AE5881">
        <w:rPr>
          <w:color w:val="000000"/>
          <w:w w:val="15"/>
          <w:shd w:val="solid" w:color="000000" w:fill="000000"/>
          <w14:textFill>
            <w14:solidFill>
              <w14:srgbClr w14:val="000000">
                <w14:alpha w14:val="100000"/>
              </w14:srgbClr>
            </w14:solidFill>
          </w14:textFill>
        </w:rPr>
        <w:t xml:space="preserve">  |</w:t>
      </w:r>
      <w:r w:rsidRPr="0059433B">
        <w:t xml:space="preserve">% to </w:t>
      </w:r>
      <w:r w:rsidR="00274291" w:rsidRPr="00296EFE">
        <w:rPr>
          <w:color w:val="000000"/>
          <w:spacing w:val="-130"/>
          <w:w w:val="15"/>
          <w:shd w:val="solid" w:color="000000" w:fill="000000"/>
          <w14:textFill>
            <w14:solidFill>
              <w14:srgbClr w14:val="000000">
                <w14:alpha w14:val="100000"/>
              </w14:srgbClr>
            </w14:solidFill>
          </w14:textFill>
        </w:rPr>
        <w:t>|</w:t>
      </w:r>
      <w:r w:rsidR="00274291" w:rsidRPr="00AE5881">
        <w:rPr>
          <w:color w:val="000000"/>
          <w:w w:val="15"/>
          <w:shd w:val="solid" w:color="000000" w:fill="000000"/>
          <w14:textFill>
            <w14:solidFill>
              <w14:srgbClr w14:val="000000">
                <w14:alpha w14:val="100000"/>
              </w14:srgbClr>
            </w14:solidFill>
          </w14:textFill>
        </w:rPr>
        <w:t xml:space="preserve">  |</w:t>
      </w:r>
      <w:r w:rsidRPr="0059433B">
        <w:t>%, which appeared more likely.</w:t>
      </w:r>
    </w:p>
    <w:p w14:paraId="3A544B7F" w14:textId="3F27625C" w:rsidR="00230CBC" w:rsidRPr="0059433B" w:rsidRDefault="00230CBC" w:rsidP="00230CBC">
      <w:pPr>
        <w:pStyle w:val="COMtablefigcaption"/>
        <w:rPr>
          <w:b w:val="0"/>
        </w:rPr>
      </w:pPr>
      <w:bookmarkStart w:id="86" w:name="_Ref142315051"/>
      <w:r w:rsidRPr="0059433B">
        <w:lastRenderedPageBreak/>
        <w:t xml:space="preserve">Table </w:t>
      </w:r>
      <w:fldSimple w:instr=" SEQ Table \* ARABIC " w:fldLock="1">
        <w:r w:rsidR="00042B2E" w:rsidRPr="0059433B">
          <w:t>17</w:t>
        </w:r>
      </w:fldSimple>
      <w:bookmarkEnd w:id="86"/>
      <w:r w:rsidRPr="0059433B">
        <w:t>: Revised patient estimates based on data from the Australian Amyloidosis Network</w:t>
      </w:r>
    </w:p>
    <w:tbl>
      <w:tblPr>
        <w:tblStyle w:val="TableGrid"/>
        <w:tblW w:w="4980" w:type="pct"/>
        <w:tblLook w:val="04A0" w:firstRow="1" w:lastRow="0" w:firstColumn="1" w:lastColumn="0" w:noHBand="0" w:noVBand="1"/>
        <w:tblCaption w:val="Table 17: Revised patient estimates based on data from the Australian Amyloidosis Network"/>
      </w:tblPr>
      <w:tblGrid>
        <w:gridCol w:w="2445"/>
        <w:gridCol w:w="1181"/>
        <w:gridCol w:w="1299"/>
        <w:gridCol w:w="782"/>
        <w:gridCol w:w="938"/>
        <w:gridCol w:w="1037"/>
        <w:gridCol w:w="1299"/>
      </w:tblGrid>
      <w:tr w:rsidR="00230CBC" w:rsidRPr="0059433B" w14:paraId="2D564D05" w14:textId="77777777" w:rsidTr="009944F6">
        <w:tc>
          <w:tcPr>
            <w:tcW w:w="5000" w:type="pct"/>
            <w:gridSpan w:val="7"/>
            <w:shd w:val="clear" w:color="auto" w:fill="auto"/>
            <w:vAlign w:val="center"/>
          </w:tcPr>
          <w:p w14:paraId="4EE11E5A" w14:textId="77777777" w:rsidR="00230CBC" w:rsidRPr="0059433B" w:rsidRDefault="00230CBC" w:rsidP="009944F6">
            <w:pPr>
              <w:pStyle w:val="COMTableheadingrow"/>
              <w:rPr>
                <w:lang w:val="en-AU"/>
              </w:rPr>
            </w:pPr>
            <w:r w:rsidRPr="0059433B">
              <w:rPr>
                <w:lang w:val="en-AU"/>
              </w:rPr>
              <w:t>Prevalent patient population</w:t>
            </w:r>
          </w:p>
        </w:tc>
      </w:tr>
      <w:tr w:rsidR="00230CBC" w:rsidRPr="0059433B" w14:paraId="46D0EA1B" w14:textId="77777777" w:rsidTr="00C5774C">
        <w:tc>
          <w:tcPr>
            <w:tcW w:w="1362" w:type="pct"/>
            <w:vAlign w:val="center"/>
          </w:tcPr>
          <w:p w14:paraId="62D588FD" w14:textId="77777777" w:rsidR="00230CBC" w:rsidRPr="0059433B" w:rsidRDefault="00230CBC" w:rsidP="009944F6">
            <w:pPr>
              <w:pStyle w:val="COMTabletext"/>
            </w:pPr>
            <w:r w:rsidRPr="0059433B">
              <w:t>PND score</w:t>
            </w:r>
          </w:p>
        </w:tc>
        <w:tc>
          <w:tcPr>
            <w:tcW w:w="658" w:type="pct"/>
            <w:vAlign w:val="center"/>
          </w:tcPr>
          <w:p w14:paraId="34F53963" w14:textId="77777777" w:rsidR="00230CBC" w:rsidRPr="0059433B" w:rsidRDefault="00230CBC" w:rsidP="009944F6">
            <w:pPr>
              <w:pStyle w:val="COMTabletext"/>
            </w:pPr>
            <w:r w:rsidRPr="0059433B">
              <w:t>Number of patients</w:t>
            </w:r>
          </w:p>
        </w:tc>
        <w:tc>
          <w:tcPr>
            <w:tcW w:w="723" w:type="pct"/>
            <w:vAlign w:val="center"/>
          </w:tcPr>
          <w:p w14:paraId="3EA75EE3" w14:textId="77777777" w:rsidR="00230CBC" w:rsidRPr="0059433B" w:rsidRDefault="00230CBC" w:rsidP="009944F6">
            <w:pPr>
              <w:pStyle w:val="COMTabletext"/>
            </w:pPr>
            <w:r w:rsidRPr="0059433B">
              <w:t>Estimated patients*</w:t>
            </w:r>
          </w:p>
        </w:tc>
        <w:tc>
          <w:tcPr>
            <w:tcW w:w="435" w:type="pct"/>
            <w:vAlign w:val="center"/>
          </w:tcPr>
          <w:p w14:paraId="35EFEEBA" w14:textId="77777777" w:rsidR="00230CBC" w:rsidRPr="0059433B" w:rsidRDefault="00230CBC" w:rsidP="009944F6">
            <w:pPr>
              <w:pStyle w:val="COMTabletext"/>
            </w:pPr>
            <w:r w:rsidRPr="0059433B">
              <w:t xml:space="preserve">Treated </w:t>
            </w:r>
          </w:p>
        </w:tc>
        <w:tc>
          <w:tcPr>
            <w:tcW w:w="522" w:type="pct"/>
            <w:vAlign w:val="center"/>
          </w:tcPr>
          <w:p w14:paraId="50A61B41" w14:textId="77777777" w:rsidR="00230CBC" w:rsidRPr="0059433B" w:rsidRDefault="00230CBC" w:rsidP="009944F6">
            <w:pPr>
              <w:pStyle w:val="COMTabletext"/>
            </w:pPr>
            <w:r w:rsidRPr="0059433B">
              <w:t>Untreated</w:t>
            </w:r>
          </w:p>
        </w:tc>
        <w:tc>
          <w:tcPr>
            <w:tcW w:w="577" w:type="pct"/>
            <w:vAlign w:val="center"/>
          </w:tcPr>
          <w:p w14:paraId="0F70639C" w14:textId="77777777" w:rsidR="00230CBC" w:rsidRPr="0059433B" w:rsidRDefault="00230CBC" w:rsidP="009944F6">
            <w:pPr>
              <w:pStyle w:val="COMTabletext"/>
            </w:pPr>
            <w:r w:rsidRPr="0059433B">
              <w:t>Distribution</w:t>
            </w:r>
          </w:p>
        </w:tc>
        <w:tc>
          <w:tcPr>
            <w:tcW w:w="722" w:type="pct"/>
            <w:vAlign w:val="center"/>
          </w:tcPr>
          <w:p w14:paraId="65AA06BA" w14:textId="77777777" w:rsidR="00230CBC" w:rsidRPr="0059433B" w:rsidRDefault="00230CBC" w:rsidP="009944F6">
            <w:pPr>
              <w:pStyle w:val="COMTabletext"/>
            </w:pPr>
            <w:r w:rsidRPr="0059433B">
              <w:t>Incident distribution</w:t>
            </w:r>
          </w:p>
        </w:tc>
      </w:tr>
      <w:tr w:rsidR="00230CBC" w:rsidRPr="0059433B" w14:paraId="5241160D" w14:textId="77777777" w:rsidTr="00C5774C">
        <w:tc>
          <w:tcPr>
            <w:tcW w:w="1362" w:type="pct"/>
            <w:vAlign w:val="center"/>
          </w:tcPr>
          <w:p w14:paraId="57B1F429" w14:textId="77777777" w:rsidR="00230CBC" w:rsidRPr="0059433B" w:rsidRDefault="00230CBC" w:rsidP="009944F6">
            <w:pPr>
              <w:pStyle w:val="COMTabletext"/>
            </w:pPr>
            <w:r w:rsidRPr="0059433B">
              <w:t>0</w:t>
            </w:r>
          </w:p>
        </w:tc>
        <w:tc>
          <w:tcPr>
            <w:tcW w:w="658" w:type="pct"/>
            <w:vAlign w:val="center"/>
          </w:tcPr>
          <w:p w14:paraId="60F0A761" w14:textId="194EDA24" w:rsidR="00230CBC" w:rsidRPr="0059433B" w:rsidRDefault="00230CBC" w:rsidP="009944F6">
            <w:pPr>
              <w:pStyle w:val="COMTabletext"/>
            </w:pPr>
            <w:r w:rsidRPr="002C4DC0">
              <w:t>59</w:t>
            </w:r>
          </w:p>
        </w:tc>
        <w:tc>
          <w:tcPr>
            <w:tcW w:w="723" w:type="pct"/>
            <w:vAlign w:val="center"/>
          </w:tcPr>
          <w:p w14:paraId="0B520FF4" w14:textId="0113653C" w:rsidR="00230CBC" w:rsidRPr="0059433B" w:rsidRDefault="00230CBC" w:rsidP="009944F6">
            <w:pPr>
              <w:pStyle w:val="COMTabletext"/>
            </w:pPr>
            <w:r w:rsidRPr="002C4DC0">
              <w:t>68</w:t>
            </w:r>
          </w:p>
        </w:tc>
        <w:tc>
          <w:tcPr>
            <w:tcW w:w="435" w:type="pct"/>
            <w:vAlign w:val="center"/>
          </w:tcPr>
          <w:p w14:paraId="663AC3B4" w14:textId="601F4D37" w:rsidR="00230CBC" w:rsidRPr="0059433B" w:rsidRDefault="00230CBC" w:rsidP="009944F6">
            <w:pPr>
              <w:pStyle w:val="COMTabletext"/>
            </w:pPr>
            <w:r w:rsidRPr="002C4DC0">
              <w:t>4</w:t>
            </w:r>
          </w:p>
        </w:tc>
        <w:tc>
          <w:tcPr>
            <w:tcW w:w="522" w:type="pct"/>
            <w:vAlign w:val="center"/>
          </w:tcPr>
          <w:p w14:paraId="7772B5D7" w14:textId="2BE22D72" w:rsidR="00230CBC" w:rsidRPr="0059433B" w:rsidRDefault="00230CBC" w:rsidP="009944F6">
            <w:pPr>
              <w:pStyle w:val="COMTabletext"/>
            </w:pPr>
            <w:r w:rsidRPr="002C4DC0">
              <w:t>64</w:t>
            </w:r>
          </w:p>
        </w:tc>
        <w:tc>
          <w:tcPr>
            <w:tcW w:w="577" w:type="pct"/>
            <w:vAlign w:val="center"/>
          </w:tcPr>
          <w:p w14:paraId="06B6F710" w14:textId="77777777" w:rsidR="00230CBC" w:rsidRPr="0059433B" w:rsidRDefault="00230CBC" w:rsidP="009944F6">
            <w:pPr>
              <w:pStyle w:val="COMTabletext"/>
            </w:pPr>
            <w:r w:rsidRPr="0059433B">
              <w:t>52.21%</w:t>
            </w:r>
          </w:p>
        </w:tc>
        <w:tc>
          <w:tcPr>
            <w:tcW w:w="722" w:type="pct"/>
            <w:vAlign w:val="center"/>
          </w:tcPr>
          <w:p w14:paraId="3430E154" w14:textId="77777777" w:rsidR="00230CBC" w:rsidRPr="0059433B" w:rsidRDefault="00230CBC" w:rsidP="009944F6">
            <w:pPr>
              <w:pStyle w:val="COMTabletext"/>
            </w:pPr>
            <w:r w:rsidRPr="0059433B">
              <w:t>67.05%</w:t>
            </w:r>
          </w:p>
        </w:tc>
      </w:tr>
      <w:tr w:rsidR="00230CBC" w:rsidRPr="0059433B" w14:paraId="402A30CD" w14:textId="77777777" w:rsidTr="00C5774C">
        <w:tc>
          <w:tcPr>
            <w:tcW w:w="1362" w:type="pct"/>
            <w:vAlign w:val="center"/>
          </w:tcPr>
          <w:p w14:paraId="25F7D5F4" w14:textId="77777777" w:rsidR="00230CBC" w:rsidRPr="0059433B" w:rsidRDefault="00230CBC" w:rsidP="009944F6">
            <w:pPr>
              <w:pStyle w:val="COMTabletext"/>
            </w:pPr>
            <w:r w:rsidRPr="0059433B">
              <w:t>1</w:t>
            </w:r>
          </w:p>
        </w:tc>
        <w:tc>
          <w:tcPr>
            <w:tcW w:w="658" w:type="pct"/>
            <w:vAlign w:val="center"/>
          </w:tcPr>
          <w:p w14:paraId="2FD7B454" w14:textId="1EF63406" w:rsidR="00230CBC" w:rsidRPr="0059433B" w:rsidRDefault="00230CBC" w:rsidP="009944F6">
            <w:pPr>
              <w:pStyle w:val="COMTabletext"/>
            </w:pPr>
            <w:r w:rsidRPr="002C4DC0">
              <w:t>29</w:t>
            </w:r>
          </w:p>
        </w:tc>
        <w:tc>
          <w:tcPr>
            <w:tcW w:w="723" w:type="pct"/>
            <w:vAlign w:val="center"/>
          </w:tcPr>
          <w:p w14:paraId="012DC752" w14:textId="66369A33" w:rsidR="00230CBC" w:rsidRPr="0059433B" w:rsidRDefault="00230CBC" w:rsidP="009944F6">
            <w:pPr>
              <w:pStyle w:val="COMTabletext"/>
            </w:pPr>
            <w:r w:rsidRPr="002C4DC0">
              <w:t>33</w:t>
            </w:r>
          </w:p>
        </w:tc>
        <w:tc>
          <w:tcPr>
            <w:tcW w:w="435" w:type="pct"/>
            <w:vMerge w:val="restart"/>
            <w:vAlign w:val="center"/>
          </w:tcPr>
          <w:p w14:paraId="54444F3B" w14:textId="57C6966E" w:rsidR="00230CBC" w:rsidRPr="0059433B" w:rsidRDefault="00230CBC" w:rsidP="009944F6">
            <w:pPr>
              <w:pStyle w:val="COMTabletext"/>
            </w:pPr>
            <w:r w:rsidRPr="002C4DC0">
              <w:t>19</w:t>
            </w:r>
          </w:p>
        </w:tc>
        <w:tc>
          <w:tcPr>
            <w:tcW w:w="522" w:type="pct"/>
            <w:vMerge w:val="restart"/>
            <w:vAlign w:val="center"/>
          </w:tcPr>
          <w:p w14:paraId="5BA07E59" w14:textId="7885D61F" w:rsidR="00230CBC" w:rsidRPr="0059433B" w:rsidRDefault="00230CBC" w:rsidP="009944F6">
            <w:pPr>
              <w:pStyle w:val="COMTabletext"/>
            </w:pPr>
            <w:r w:rsidRPr="002C4DC0">
              <w:t>29</w:t>
            </w:r>
          </w:p>
        </w:tc>
        <w:tc>
          <w:tcPr>
            <w:tcW w:w="577" w:type="pct"/>
            <w:vAlign w:val="center"/>
          </w:tcPr>
          <w:p w14:paraId="371C0190" w14:textId="77777777" w:rsidR="00230CBC" w:rsidRPr="0059433B" w:rsidRDefault="00230CBC" w:rsidP="009944F6">
            <w:pPr>
              <w:pStyle w:val="COMTabletext"/>
            </w:pPr>
            <w:r w:rsidRPr="0059433B">
              <w:t>25.66%</w:t>
            </w:r>
          </w:p>
        </w:tc>
        <w:tc>
          <w:tcPr>
            <w:tcW w:w="722" w:type="pct"/>
            <w:vAlign w:val="center"/>
          </w:tcPr>
          <w:p w14:paraId="4874B400" w14:textId="77777777" w:rsidR="00230CBC" w:rsidRPr="0059433B" w:rsidRDefault="00230CBC" w:rsidP="009944F6">
            <w:pPr>
              <w:pStyle w:val="COMTabletext"/>
            </w:pPr>
            <w:r w:rsidRPr="0059433B">
              <w:t>32.95%</w:t>
            </w:r>
          </w:p>
        </w:tc>
      </w:tr>
      <w:tr w:rsidR="00230CBC" w:rsidRPr="0059433B" w14:paraId="6663DFD1" w14:textId="77777777" w:rsidTr="00C5774C">
        <w:tc>
          <w:tcPr>
            <w:tcW w:w="1362" w:type="pct"/>
            <w:vAlign w:val="center"/>
          </w:tcPr>
          <w:p w14:paraId="2D9F0948" w14:textId="77777777" w:rsidR="00230CBC" w:rsidRPr="0059433B" w:rsidRDefault="00230CBC" w:rsidP="009944F6">
            <w:pPr>
              <w:pStyle w:val="COMTabletext"/>
            </w:pPr>
            <w:r w:rsidRPr="0059433B">
              <w:t>2</w:t>
            </w:r>
          </w:p>
        </w:tc>
        <w:tc>
          <w:tcPr>
            <w:tcW w:w="658" w:type="pct"/>
            <w:vAlign w:val="center"/>
          </w:tcPr>
          <w:p w14:paraId="4933DCB5" w14:textId="41744D23" w:rsidR="00230CBC" w:rsidRPr="0059433B" w:rsidRDefault="00230CBC" w:rsidP="009944F6">
            <w:pPr>
              <w:pStyle w:val="COMTabletext"/>
            </w:pPr>
            <w:r w:rsidRPr="002C4DC0">
              <w:t>13</w:t>
            </w:r>
          </w:p>
        </w:tc>
        <w:tc>
          <w:tcPr>
            <w:tcW w:w="723" w:type="pct"/>
            <w:vAlign w:val="center"/>
          </w:tcPr>
          <w:p w14:paraId="65A6E584" w14:textId="25C00485" w:rsidR="00230CBC" w:rsidRPr="0059433B" w:rsidRDefault="00230CBC" w:rsidP="009944F6">
            <w:pPr>
              <w:pStyle w:val="COMTabletext"/>
            </w:pPr>
            <w:r w:rsidRPr="002C4DC0">
              <w:t>15</w:t>
            </w:r>
          </w:p>
        </w:tc>
        <w:tc>
          <w:tcPr>
            <w:tcW w:w="435" w:type="pct"/>
            <w:vMerge/>
            <w:vAlign w:val="center"/>
          </w:tcPr>
          <w:p w14:paraId="4EBFEA05" w14:textId="77777777" w:rsidR="00230CBC" w:rsidRPr="0059433B" w:rsidRDefault="00230CBC" w:rsidP="009944F6">
            <w:pPr>
              <w:pStyle w:val="COMTabletext"/>
            </w:pPr>
          </w:p>
        </w:tc>
        <w:tc>
          <w:tcPr>
            <w:tcW w:w="522" w:type="pct"/>
            <w:vMerge/>
            <w:vAlign w:val="center"/>
          </w:tcPr>
          <w:p w14:paraId="33819F54" w14:textId="77777777" w:rsidR="00230CBC" w:rsidRPr="0059433B" w:rsidRDefault="00230CBC" w:rsidP="009944F6">
            <w:pPr>
              <w:pStyle w:val="COMTabletext"/>
            </w:pPr>
          </w:p>
        </w:tc>
        <w:tc>
          <w:tcPr>
            <w:tcW w:w="577" w:type="pct"/>
            <w:vAlign w:val="center"/>
          </w:tcPr>
          <w:p w14:paraId="0ECA275F" w14:textId="77777777" w:rsidR="00230CBC" w:rsidRPr="0059433B" w:rsidRDefault="00230CBC" w:rsidP="009944F6">
            <w:pPr>
              <w:pStyle w:val="COMTabletext"/>
            </w:pPr>
            <w:r w:rsidRPr="0059433B">
              <w:t>11.50%</w:t>
            </w:r>
          </w:p>
        </w:tc>
        <w:tc>
          <w:tcPr>
            <w:tcW w:w="722" w:type="pct"/>
            <w:vMerge w:val="restart"/>
            <w:vAlign w:val="center"/>
          </w:tcPr>
          <w:p w14:paraId="7C55106B" w14:textId="77777777" w:rsidR="00230CBC" w:rsidRPr="0059433B" w:rsidRDefault="00230CBC" w:rsidP="009944F6">
            <w:pPr>
              <w:pStyle w:val="COMTabletext"/>
            </w:pPr>
            <w:r w:rsidRPr="0059433B">
              <w:t xml:space="preserve">Incident distribution </w:t>
            </w:r>
            <w:proofErr w:type="gramStart"/>
            <w:r w:rsidRPr="0059433B">
              <w:t>is calculated</w:t>
            </w:r>
            <w:proofErr w:type="gramEnd"/>
            <w:r w:rsidRPr="0059433B">
              <w:t xml:space="preserve"> as the proportion of PND 0 or I patients divided by the sum of PND 0 and I patients.</w:t>
            </w:r>
          </w:p>
        </w:tc>
      </w:tr>
      <w:tr w:rsidR="00230CBC" w:rsidRPr="0059433B" w14:paraId="3251C81A" w14:textId="77777777" w:rsidTr="00C5774C">
        <w:tc>
          <w:tcPr>
            <w:tcW w:w="1362" w:type="pct"/>
            <w:vAlign w:val="center"/>
          </w:tcPr>
          <w:p w14:paraId="208E3403" w14:textId="77777777" w:rsidR="00230CBC" w:rsidRPr="0059433B" w:rsidRDefault="00230CBC" w:rsidP="009944F6">
            <w:pPr>
              <w:pStyle w:val="COMTabletext"/>
            </w:pPr>
            <w:r w:rsidRPr="0059433B">
              <w:t>3A</w:t>
            </w:r>
          </w:p>
        </w:tc>
        <w:tc>
          <w:tcPr>
            <w:tcW w:w="658" w:type="pct"/>
            <w:vAlign w:val="center"/>
          </w:tcPr>
          <w:p w14:paraId="0A6E1DD3" w14:textId="527A1CC2" w:rsidR="00230CBC" w:rsidRPr="0059433B" w:rsidRDefault="00230CBC" w:rsidP="009944F6">
            <w:pPr>
              <w:pStyle w:val="COMTabletext"/>
            </w:pPr>
            <w:r w:rsidRPr="002C4DC0">
              <w:t>4</w:t>
            </w:r>
          </w:p>
        </w:tc>
        <w:tc>
          <w:tcPr>
            <w:tcW w:w="723" w:type="pct"/>
            <w:vAlign w:val="center"/>
          </w:tcPr>
          <w:p w14:paraId="3D7AED1D" w14:textId="31AE3264" w:rsidR="00230CBC" w:rsidRPr="0059433B" w:rsidRDefault="00230CBC" w:rsidP="009944F6">
            <w:pPr>
              <w:pStyle w:val="COMTabletext"/>
            </w:pPr>
            <w:r w:rsidRPr="002C4DC0">
              <w:t>5</w:t>
            </w:r>
          </w:p>
        </w:tc>
        <w:tc>
          <w:tcPr>
            <w:tcW w:w="435" w:type="pct"/>
            <w:vAlign w:val="center"/>
          </w:tcPr>
          <w:p w14:paraId="2FE733A0" w14:textId="02D00019" w:rsidR="00230CBC" w:rsidRPr="0059433B" w:rsidRDefault="00230CBC" w:rsidP="009944F6">
            <w:pPr>
              <w:pStyle w:val="COMTabletext"/>
            </w:pPr>
            <w:r w:rsidRPr="002C4DC0">
              <w:t>2</w:t>
            </w:r>
          </w:p>
        </w:tc>
        <w:tc>
          <w:tcPr>
            <w:tcW w:w="522" w:type="pct"/>
            <w:vAlign w:val="center"/>
          </w:tcPr>
          <w:p w14:paraId="53B43C8B" w14:textId="00A0636D" w:rsidR="00230CBC" w:rsidRPr="0059433B" w:rsidRDefault="00230CBC" w:rsidP="009944F6">
            <w:pPr>
              <w:pStyle w:val="COMTabletext"/>
            </w:pPr>
            <w:r w:rsidRPr="002C4DC0">
              <w:t>3</w:t>
            </w:r>
          </w:p>
        </w:tc>
        <w:tc>
          <w:tcPr>
            <w:tcW w:w="577" w:type="pct"/>
            <w:vAlign w:val="center"/>
          </w:tcPr>
          <w:p w14:paraId="44837BE9" w14:textId="77777777" w:rsidR="00230CBC" w:rsidRPr="0059433B" w:rsidRDefault="00230CBC" w:rsidP="009944F6">
            <w:pPr>
              <w:pStyle w:val="COMTabletext"/>
            </w:pPr>
            <w:r w:rsidRPr="0059433B">
              <w:t>3.54%</w:t>
            </w:r>
          </w:p>
        </w:tc>
        <w:tc>
          <w:tcPr>
            <w:tcW w:w="722" w:type="pct"/>
            <w:vMerge/>
            <w:vAlign w:val="bottom"/>
          </w:tcPr>
          <w:p w14:paraId="03356434" w14:textId="77777777" w:rsidR="00230CBC" w:rsidRPr="0059433B" w:rsidRDefault="00230CBC" w:rsidP="009944F6">
            <w:pPr>
              <w:pStyle w:val="COMTabletext"/>
            </w:pPr>
          </w:p>
        </w:tc>
      </w:tr>
      <w:tr w:rsidR="00230CBC" w:rsidRPr="0059433B" w14:paraId="31D8D6A9" w14:textId="77777777" w:rsidTr="00C5774C">
        <w:tc>
          <w:tcPr>
            <w:tcW w:w="1362" w:type="pct"/>
            <w:vAlign w:val="center"/>
          </w:tcPr>
          <w:p w14:paraId="0676638B" w14:textId="77777777" w:rsidR="00230CBC" w:rsidRPr="0059433B" w:rsidRDefault="00230CBC" w:rsidP="009944F6">
            <w:pPr>
              <w:pStyle w:val="COMTabletext"/>
            </w:pPr>
            <w:r w:rsidRPr="0059433B">
              <w:t>3B</w:t>
            </w:r>
          </w:p>
        </w:tc>
        <w:tc>
          <w:tcPr>
            <w:tcW w:w="658" w:type="pct"/>
            <w:vAlign w:val="center"/>
          </w:tcPr>
          <w:p w14:paraId="06D58AAA" w14:textId="241303C0" w:rsidR="00230CBC" w:rsidRPr="0059433B" w:rsidRDefault="00230CBC" w:rsidP="009944F6">
            <w:pPr>
              <w:pStyle w:val="COMTabletext"/>
            </w:pPr>
            <w:r w:rsidRPr="002C4DC0">
              <w:t>7</w:t>
            </w:r>
          </w:p>
        </w:tc>
        <w:tc>
          <w:tcPr>
            <w:tcW w:w="723" w:type="pct"/>
            <w:vAlign w:val="center"/>
          </w:tcPr>
          <w:p w14:paraId="493553F4" w14:textId="08839B3D" w:rsidR="00230CBC" w:rsidRPr="0059433B" w:rsidRDefault="00230CBC" w:rsidP="009944F6">
            <w:pPr>
              <w:pStyle w:val="COMTabletext"/>
            </w:pPr>
            <w:r w:rsidRPr="002C4DC0">
              <w:t>8</w:t>
            </w:r>
          </w:p>
        </w:tc>
        <w:tc>
          <w:tcPr>
            <w:tcW w:w="435" w:type="pct"/>
            <w:vAlign w:val="center"/>
          </w:tcPr>
          <w:p w14:paraId="1DE29A53" w14:textId="3BE72639" w:rsidR="00230CBC" w:rsidRPr="0059433B" w:rsidRDefault="00230CBC" w:rsidP="009944F6">
            <w:pPr>
              <w:pStyle w:val="COMTabletext"/>
            </w:pPr>
            <w:r w:rsidRPr="002C4DC0">
              <w:t>0</w:t>
            </w:r>
          </w:p>
        </w:tc>
        <w:tc>
          <w:tcPr>
            <w:tcW w:w="522" w:type="pct"/>
            <w:vAlign w:val="center"/>
          </w:tcPr>
          <w:p w14:paraId="19471E19" w14:textId="2DB23D99" w:rsidR="00230CBC" w:rsidRPr="0059433B" w:rsidRDefault="00230CBC" w:rsidP="009944F6">
            <w:pPr>
              <w:pStyle w:val="COMTabletext"/>
            </w:pPr>
            <w:r w:rsidRPr="002C4DC0">
              <w:t>8</w:t>
            </w:r>
          </w:p>
        </w:tc>
        <w:tc>
          <w:tcPr>
            <w:tcW w:w="577" w:type="pct"/>
            <w:vAlign w:val="center"/>
          </w:tcPr>
          <w:p w14:paraId="585A648C" w14:textId="77777777" w:rsidR="00230CBC" w:rsidRPr="0059433B" w:rsidRDefault="00230CBC" w:rsidP="009944F6">
            <w:pPr>
              <w:pStyle w:val="COMTabletext"/>
            </w:pPr>
            <w:r w:rsidRPr="0059433B">
              <w:t>6.19%</w:t>
            </w:r>
          </w:p>
        </w:tc>
        <w:tc>
          <w:tcPr>
            <w:tcW w:w="722" w:type="pct"/>
            <w:vMerge/>
            <w:vAlign w:val="bottom"/>
          </w:tcPr>
          <w:p w14:paraId="1ED022EE" w14:textId="77777777" w:rsidR="00230CBC" w:rsidRPr="0059433B" w:rsidRDefault="00230CBC" w:rsidP="009944F6">
            <w:pPr>
              <w:pStyle w:val="COMTabletext"/>
            </w:pPr>
          </w:p>
        </w:tc>
      </w:tr>
      <w:tr w:rsidR="00230CBC" w:rsidRPr="0059433B" w14:paraId="225CEA7F" w14:textId="77777777" w:rsidTr="00C5774C">
        <w:tc>
          <w:tcPr>
            <w:tcW w:w="1362" w:type="pct"/>
            <w:vAlign w:val="center"/>
          </w:tcPr>
          <w:p w14:paraId="66AFCED5" w14:textId="77777777" w:rsidR="00230CBC" w:rsidRPr="0059433B" w:rsidRDefault="00230CBC" w:rsidP="009944F6">
            <w:pPr>
              <w:pStyle w:val="COMTabletext"/>
            </w:pPr>
            <w:r w:rsidRPr="0059433B">
              <w:t>4</w:t>
            </w:r>
          </w:p>
        </w:tc>
        <w:tc>
          <w:tcPr>
            <w:tcW w:w="658" w:type="pct"/>
            <w:vAlign w:val="center"/>
          </w:tcPr>
          <w:p w14:paraId="019EBF7D" w14:textId="29F1F37F" w:rsidR="00230CBC" w:rsidRPr="0059433B" w:rsidRDefault="00230CBC" w:rsidP="009944F6">
            <w:pPr>
              <w:pStyle w:val="COMTabletext"/>
            </w:pPr>
            <w:r w:rsidRPr="002C4DC0">
              <w:t>1</w:t>
            </w:r>
          </w:p>
        </w:tc>
        <w:tc>
          <w:tcPr>
            <w:tcW w:w="723" w:type="pct"/>
            <w:vAlign w:val="center"/>
          </w:tcPr>
          <w:p w14:paraId="4224C66C" w14:textId="42170B9B" w:rsidR="00230CBC" w:rsidRPr="0059433B" w:rsidRDefault="00230CBC" w:rsidP="009944F6">
            <w:pPr>
              <w:pStyle w:val="COMTabletext"/>
            </w:pPr>
            <w:r w:rsidRPr="002C4DC0">
              <w:t>1</w:t>
            </w:r>
          </w:p>
        </w:tc>
        <w:tc>
          <w:tcPr>
            <w:tcW w:w="435" w:type="pct"/>
            <w:vAlign w:val="center"/>
          </w:tcPr>
          <w:p w14:paraId="17DCF6ED" w14:textId="09250331" w:rsidR="00230CBC" w:rsidRPr="0059433B" w:rsidRDefault="00230CBC" w:rsidP="009944F6">
            <w:pPr>
              <w:pStyle w:val="COMTabletext"/>
            </w:pPr>
            <w:r w:rsidRPr="002C4DC0">
              <w:t>0</w:t>
            </w:r>
          </w:p>
        </w:tc>
        <w:tc>
          <w:tcPr>
            <w:tcW w:w="522" w:type="pct"/>
            <w:vAlign w:val="center"/>
          </w:tcPr>
          <w:p w14:paraId="12F9B14D" w14:textId="6BF82605" w:rsidR="00230CBC" w:rsidRPr="0059433B" w:rsidRDefault="00230CBC" w:rsidP="009944F6">
            <w:pPr>
              <w:pStyle w:val="COMTabletext"/>
            </w:pPr>
            <w:r w:rsidRPr="002C4DC0">
              <w:t>1</w:t>
            </w:r>
          </w:p>
        </w:tc>
        <w:tc>
          <w:tcPr>
            <w:tcW w:w="577" w:type="pct"/>
            <w:vAlign w:val="center"/>
          </w:tcPr>
          <w:p w14:paraId="10138A3A" w14:textId="77777777" w:rsidR="00230CBC" w:rsidRPr="0059433B" w:rsidRDefault="00230CBC" w:rsidP="009944F6">
            <w:pPr>
              <w:pStyle w:val="COMTabletext"/>
            </w:pPr>
            <w:r w:rsidRPr="0059433B">
              <w:t>0.88%</w:t>
            </w:r>
          </w:p>
        </w:tc>
        <w:tc>
          <w:tcPr>
            <w:tcW w:w="722" w:type="pct"/>
            <w:vMerge/>
            <w:vAlign w:val="bottom"/>
          </w:tcPr>
          <w:p w14:paraId="58AA8FD6" w14:textId="77777777" w:rsidR="00230CBC" w:rsidRPr="0059433B" w:rsidRDefault="00230CBC" w:rsidP="009944F6">
            <w:pPr>
              <w:pStyle w:val="COMTabletext"/>
            </w:pPr>
          </w:p>
        </w:tc>
      </w:tr>
      <w:tr w:rsidR="00230CBC" w:rsidRPr="0059433B" w14:paraId="74C031FC" w14:textId="77777777" w:rsidTr="00C5774C">
        <w:tc>
          <w:tcPr>
            <w:tcW w:w="1362" w:type="pct"/>
            <w:vAlign w:val="center"/>
          </w:tcPr>
          <w:p w14:paraId="619CD73C" w14:textId="77777777" w:rsidR="00230CBC" w:rsidRPr="0059433B" w:rsidRDefault="00230CBC" w:rsidP="009944F6">
            <w:pPr>
              <w:pStyle w:val="COMTabletext"/>
            </w:pPr>
            <w:r w:rsidRPr="0059433B">
              <w:t>Unknown PND score</w:t>
            </w:r>
          </w:p>
        </w:tc>
        <w:tc>
          <w:tcPr>
            <w:tcW w:w="658" w:type="pct"/>
            <w:vAlign w:val="center"/>
          </w:tcPr>
          <w:p w14:paraId="58FA157A" w14:textId="29D78900" w:rsidR="00230CBC" w:rsidRPr="0059433B" w:rsidRDefault="00230CBC" w:rsidP="009944F6">
            <w:pPr>
              <w:pStyle w:val="COMTabletext"/>
            </w:pPr>
            <w:r w:rsidRPr="002C4DC0">
              <w:t>17</w:t>
            </w:r>
          </w:p>
        </w:tc>
        <w:tc>
          <w:tcPr>
            <w:tcW w:w="723" w:type="pct"/>
            <w:vAlign w:val="center"/>
          </w:tcPr>
          <w:p w14:paraId="0D16CCC1" w14:textId="77777777" w:rsidR="00230CBC" w:rsidRPr="0059433B" w:rsidRDefault="00230CBC" w:rsidP="009944F6">
            <w:pPr>
              <w:pStyle w:val="COMTabletext"/>
            </w:pPr>
            <w:r w:rsidRPr="0059433B">
              <w:t>NA</w:t>
            </w:r>
          </w:p>
        </w:tc>
        <w:tc>
          <w:tcPr>
            <w:tcW w:w="435" w:type="pct"/>
            <w:vAlign w:val="center"/>
          </w:tcPr>
          <w:p w14:paraId="3EB9BD03" w14:textId="77777777" w:rsidR="00230CBC" w:rsidRPr="0059433B" w:rsidRDefault="00230CBC" w:rsidP="009944F6">
            <w:pPr>
              <w:pStyle w:val="COMTabletext"/>
            </w:pPr>
            <w:r w:rsidRPr="0059433B">
              <w:t>NA</w:t>
            </w:r>
          </w:p>
        </w:tc>
        <w:tc>
          <w:tcPr>
            <w:tcW w:w="522" w:type="pct"/>
            <w:vAlign w:val="center"/>
          </w:tcPr>
          <w:p w14:paraId="7694FF11" w14:textId="77777777" w:rsidR="00230CBC" w:rsidRPr="0059433B" w:rsidRDefault="00230CBC" w:rsidP="009944F6">
            <w:pPr>
              <w:pStyle w:val="COMTabletext"/>
            </w:pPr>
            <w:r w:rsidRPr="0059433B">
              <w:t>NA</w:t>
            </w:r>
          </w:p>
        </w:tc>
        <w:tc>
          <w:tcPr>
            <w:tcW w:w="577" w:type="pct"/>
            <w:vAlign w:val="center"/>
          </w:tcPr>
          <w:p w14:paraId="4D0A2D5B" w14:textId="77777777" w:rsidR="00230CBC" w:rsidRPr="0059433B" w:rsidRDefault="00230CBC" w:rsidP="009944F6">
            <w:pPr>
              <w:pStyle w:val="COMTabletext"/>
            </w:pPr>
          </w:p>
        </w:tc>
        <w:tc>
          <w:tcPr>
            <w:tcW w:w="722" w:type="pct"/>
            <w:vMerge/>
            <w:vAlign w:val="bottom"/>
          </w:tcPr>
          <w:p w14:paraId="1A7AD168" w14:textId="77777777" w:rsidR="00230CBC" w:rsidRPr="0059433B" w:rsidRDefault="00230CBC" w:rsidP="009944F6">
            <w:pPr>
              <w:pStyle w:val="COMTabletext"/>
            </w:pPr>
          </w:p>
        </w:tc>
      </w:tr>
      <w:tr w:rsidR="00230CBC" w:rsidRPr="0059433B" w14:paraId="720C299C" w14:textId="77777777" w:rsidTr="00C5774C">
        <w:tc>
          <w:tcPr>
            <w:tcW w:w="1362" w:type="pct"/>
            <w:vAlign w:val="center"/>
          </w:tcPr>
          <w:p w14:paraId="0C4A7B06" w14:textId="77777777" w:rsidR="00230CBC" w:rsidRPr="0059433B" w:rsidRDefault="00230CBC" w:rsidP="009944F6">
            <w:pPr>
              <w:pStyle w:val="COMTabletext"/>
            </w:pPr>
            <w:r w:rsidRPr="0059433B">
              <w:t>Total</w:t>
            </w:r>
          </w:p>
        </w:tc>
        <w:tc>
          <w:tcPr>
            <w:tcW w:w="658" w:type="pct"/>
            <w:vAlign w:val="center"/>
          </w:tcPr>
          <w:p w14:paraId="205E4D01" w14:textId="4CAF9027" w:rsidR="00230CBC" w:rsidRPr="0059433B" w:rsidRDefault="00230CBC" w:rsidP="009944F6">
            <w:pPr>
              <w:pStyle w:val="COMTabletext"/>
            </w:pPr>
            <w:r w:rsidRPr="002C4DC0">
              <w:t>130</w:t>
            </w:r>
          </w:p>
        </w:tc>
        <w:tc>
          <w:tcPr>
            <w:tcW w:w="723" w:type="pct"/>
            <w:vAlign w:val="center"/>
          </w:tcPr>
          <w:p w14:paraId="5CBCDF33" w14:textId="063A0921" w:rsidR="00230CBC" w:rsidRPr="0059433B" w:rsidRDefault="00230CBC" w:rsidP="009944F6">
            <w:pPr>
              <w:pStyle w:val="COMTabletext"/>
            </w:pPr>
            <w:r w:rsidRPr="002C4DC0">
              <w:t>130</w:t>
            </w:r>
          </w:p>
        </w:tc>
        <w:tc>
          <w:tcPr>
            <w:tcW w:w="435" w:type="pct"/>
            <w:vAlign w:val="center"/>
          </w:tcPr>
          <w:p w14:paraId="54CB9E70" w14:textId="7B7CEC1C" w:rsidR="00230CBC" w:rsidRPr="0059433B" w:rsidRDefault="00230CBC" w:rsidP="009944F6">
            <w:pPr>
              <w:pStyle w:val="COMTabletext"/>
            </w:pPr>
            <w:r w:rsidRPr="002C4DC0">
              <w:t>25</w:t>
            </w:r>
          </w:p>
        </w:tc>
        <w:tc>
          <w:tcPr>
            <w:tcW w:w="522" w:type="pct"/>
            <w:vAlign w:val="center"/>
          </w:tcPr>
          <w:p w14:paraId="228A12A5" w14:textId="027AE610" w:rsidR="00230CBC" w:rsidRPr="0059433B" w:rsidRDefault="00230CBC" w:rsidP="009944F6">
            <w:pPr>
              <w:pStyle w:val="COMTabletext"/>
            </w:pPr>
            <w:r w:rsidRPr="002C4DC0">
              <w:t>105</w:t>
            </w:r>
          </w:p>
        </w:tc>
        <w:tc>
          <w:tcPr>
            <w:tcW w:w="577" w:type="pct"/>
            <w:vAlign w:val="center"/>
          </w:tcPr>
          <w:p w14:paraId="25FA0342" w14:textId="77777777" w:rsidR="00230CBC" w:rsidRPr="0059433B" w:rsidRDefault="00230CBC" w:rsidP="009944F6">
            <w:pPr>
              <w:pStyle w:val="COMTabletext"/>
            </w:pPr>
          </w:p>
        </w:tc>
        <w:tc>
          <w:tcPr>
            <w:tcW w:w="722" w:type="pct"/>
            <w:vMerge/>
            <w:vAlign w:val="center"/>
          </w:tcPr>
          <w:p w14:paraId="035BC11D" w14:textId="77777777" w:rsidR="00230CBC" w:rsidRPr="0059433B" w:rsidRDefault="00230CBC" w:rsidP="009944F6">
            <w:pPr>
              <w:pStyle w:val="COMTabletext"/>
            </w:pPr>
          </w:p>
        </w:tc>
      </w:tr>
      <w:tr w:rsidR="00230CBC" w:rsidRPr="0059433B" w14:paraId="1C358E08" w14:textId="77777777" w:rsidTr="00C5774C">
        <w:tc>
          <w:tcPr>
            <w:tcW w:w="1362" w:type="pct"/>
            <w:vAlign w:val="center"/>
          </w:tcPr>
          <w:p w14:paraId="57A528BA" w14:textId="77777777" w:rsidR="00230CBC" w:rsidRPr="0059433B" w:rsidRDefault="00230CBC" w:rsidP="009944F6">
            <w:pPr>
              <w:pStyle w:val="COMTabletext"/>
            </w:pPr>
            <w:r w:rsidRPr="0059433B">
              <w:t>Total patisiran-eligible patients</w:t>
            </w:r>
          </w:p>
        </w:tc>
        <w:tc>
          <w:tcPr>
            <w:tcW w:w="658" w:type="pct"/>
            <w:vAlign w:val="center"/>
          </w:tcPr>
          <w:p w14:paraId="76184680" w14:textId="3FD898E7" w:rsidR="00230CBC" w:rsidRPr="0059433B" w:rsidRDefault="00230CBC" w:rsidP="009944F6">
            <w:pPr>
              <w:pStyle w:val="COMTabletext"/>
            </w:pPr>
            <w:r w:rsidRPr="002C4DC0">
              <w:t>40</w:t>
            </w:r>
          </w:p>
        </w:tc>
        <w:tc>
          <w:tcPr>
            <w:tcW w:w="2980" w:type="pct"/>
            <w:gridSpan w:val="5"/>
            <w:vAlign w:val="center"/>
          </w:tcPr>
          <w:p w14:paraId="1C55A206" w14:textId="77777777" w:rsidR="00230CBC" w:rsidRPr="0059433B" w:rsidRDefault="00230CBC" w:rsidP="009944F6">
            <w:pPr>
              <w:pStyle w:val="COMTabletext"/>
            </w:pPr>
            <w:r w:rsidRPr="0059433B">
              <w:t>Sum of untreated patients in PND I, II, IIIA, and IIIB (bolded in untreated column)</w:t>
            </w:r>
          </w:p>
        </w:tc>
      </w:tr>
      <w:tr w:rsidR="00230CBC" w:rsidRPr="0059433B" w14:paraId="2558FD4C" w14:textId="77777777" w:rsidTr="009944F6">
        <w:tc>
          <w:tcPr>
            <w:tcW w:w="5000" w:type="pct"/>
            <w:gridSpan w:val="7"/>
            <w:shd w:val="clear" w:color="auto" w:fill="auto"/>
            <w:vAlign w:val="center"/>
          </w:tcPr>
          <w:p w14:paraId="4D96982E" w14:textId="77777777" w:rsidR="00230CBC" w:rsidRPr="0059433B" w:rsidRDefault="00230CBC" w:rsidP="009944F6">
            <w:pPr>
              <w:pStyle w:val="COMTableheadingrow"/>
              <w:rPr>
                <w:lang w:val="en-AU"/>
              </w:rPr>
            </w:pPr>
            <w:r w:rsidRPr="0059433B">
              <w:rPr>
                <w:lang w:val="en-AU"/>
              </w:rPr>
              <w:t>Incident patient population</w:t>
            </w:r>
          </w:p>
        </w:tc>
      </w:tr>
      <w:tr w:rsidR="00230CBC" w:rsidRPr="0059433B" w14:paraId="0C93669B" w14:textId="77777777" w:rsidTr="00C5774C">
        <w:tc>
          <w:tcPr>
            <w:tcW w:w="1362" w:type="pct"/>
          </w:tcPr>
          <w:p w14:paraId="61FA0541" w14:textId="77777777" w:rsidR="00230CBC" w:rsidRPr="0059433B" w:rsidRDefault="00230CBC" w:rsidP="009944F6">
            <w:pPr>
              <w:pStyle w:val="COMTabletext"/>
            </w:pPr>
            <w:r w:rsidRPr="0059433B">
              <w:t>Known PND 0 progressors in next 5 years</w:t>
            </w:r>
          </w:p>
        </w:tc>
        <w:tc>
          <w:tcPr>
            <w:tcW w:w="3638" w:type="pct"/>
            <w:gridSpan w:val="6"/>
          </w:tcPr>
          <w:p w14:paraId="4FA874BD" w14:textId="77777777" w:rsidR="00230CBC" w:rsidRPr="0059433B" w:rsidRDefault="00230CBC" w:rsidP="009944F6">
            <w:pPr>
              <w:pStyle w:val="COMTabletext"/>
            </w:pPr>
            <w:r w:rsidRPr="0059433B">
              <w:t>16</w:t>
            </w:r>
          </w:p>
        </w:tc>
      </w:tr>
      <w:tr w:rsidR="00230CBC" w:rsidRPr="0059433B" w14:paraId="526239EA" w14:textId="77777777" w:rsidTr="00C5774C">
        <w:tc>
          <w:tcPr>
            <w:tcW w:w="1362" w:type="pct"/>
          </w:tcPr>
          <w:p w14:paraId="0DD40A06" w14:textId="77777777" w:rsidR="00230CBC" w:rsidRPr="0059433B" w:rsidRDefault="00230CBC" w:rsidP="009944F6">
            <w:pPr>
              <w:pStyle w:val="COMTabletext"/>
            </w:pPr>
            <w:r w:rsidRPr="0059433B">
              <w:t>Current PND 0 annual progressors</w:t>
            </w:r>
          </w:p>
        </w:tc>
        <w:tc>
          <w:tcPr>
            <w:tcW w:w="3638" w:type="pct"/>
            <w:gridSpan w:val="6"/>
          </w:tcPr>
          <w:p w14:paraId="1A91471F" w14:textId="77777777" w:rsidR="00230CBC" w:rsidRPr="0059433B" w:rsidRDefault="00230CBC" w:rsidP="009944F6">
            <w:pPr>
              <w:pStyle w:val="COMTabletext"/>
            </w:pPr>
            <w:r w:rsidRPr="0059433B">
              <w:t>3.2 (16 patients over 5 years = 3.2 per year)</w:t>
            </w:r>
          </w:p>
        </w:tc>
      </w:tr>
      <w:tr w:rsidR="00230CBC" w:rsidRPr="0059433B" w14:paraId="3F075250" w14:textId="77777777" w:rsidTr="00C5774C">
        <w:tc>
          <w:tcPr>
            <w:tcW w:w="1362" w:type="pct"/>
          </w:tcPr>
          <w:p w14:paraId="1D54B50E" w14:textId="77777777" w:rsidR="00230CBC" w:rsidRPr="0059433B" w:rsidRDefault="00230CBC" w:rsidP="009944F6">
            <w:pPr>
              <w:pStyle w:val="COMTabletext"/>
            </w:pPr>
            <w:r w:rsidRPr="0059433B">
              <w:t>Estimated annual new incident patients</w:t>
            </w:r>
          </w:p>
        </w:tc>
        <w:tc>
          <w:tcPr>
            <w:tcW w:w="3638" w:type="pct"/>
            <w:gridSpan w:val="6"/>
          </w:tcPr>
          <w:p w14:paraId="55B294E7" w14:textId="77777777" w:rsidR="00230CBC" w:rsidRPr="0059433B" w:rsidRDefault="00230CBC" w:rsidP="009944F6">
            <w:pPr>
              <w:pStyle w:val="COMTabletext"/>
            </w:pPr>
            <w:r w:rsidRPr="0059433B">
              <w:t>10</w:t>
            </w:r>
          </w:p>
        </w:tc>
      </w:tr>
      <w:tr w:rsidR="00230CBC" w:rsidRPr="0059433B" w14:paraId="71A1436B" w14:textId="77777777" w:rsidTr="00C5774C">
        <w:tc>
          <w:tcPr>
            <w:tcW w:w="1362" w:type="pct"/>
          </w:tcPr>
          <w:p w14:paraId="16ED8C39" w14:textId="77777777" w:rsidR="00230CBC" w:rsidRPr="0059433B" w:rsidRDefault="00230CBC" w:rsidP="009944F6">
            <w:pPr>
              <w:pStyle w:val="COMTabletext"/>
            </w:pPr>
            <w:r w:rsidRPr="0059433B">
              <w:t>Incident patients at PND 0**</w:t>
            </w:r>
          </w:p>
        </w:tc>
        <w:tc>
          <w:tcPr>
            <w:tcW w:w="3638" w:type="pct"/>
            <w:gridSpan w:val="6"/>
          </w:tcPr>
          <w:p w14:paraId="32293349" w14:textId="77777777" w:rsidR="00230CBC" w:rsidRPr="0059433B" w:rsidRDefault="00230CBC" w:rsidP="009944F6">
            <w:pPr>
              <w:pStyle w:val="COMTabletext"/>
            </w:pPr>
            <w:r w:rsidRPr="0059433B">
              <w:t>6.7</w:t>
            </w:r>
          </w:p>
        </w:tc>
      </w:tr>
      <w:tr w:rsidR="00230CBC" w:rsidRPr="0059433B" w14:paraId="0F456CB0" w14:textId="77777777" w:rsidTr="00C5774C">
        <w:tc>
          <w:tcPr>
            <w:tcW w:w="1362" w:type="pct"/>
          </w:tcPr>
          <w:p w14:paraId="52A46026" w14:textId="77777777" w:rsidR="00230CBC" w:rsidRPr="0059433B" w:rsidRDefault="00230CBC" w:rsidP="009944F6">
            <w:pPr>
              <w:pStyle w:val="COMTabletext"/>
            </w:pPr>
            <w:r w:rsidRPr="0059433B">
              <w:t>Incident patients at PND 1**</w:t>
            </w:r>
          </w:p>
        </w:tc>
        <w:tc>
          <w:tcPr>
            <w:tcW w:w="3638" w:type="pct"/>
            <w:gridSpan w:val="6"/>
          </w:tcPr>
          <w:p w14:paraId="07096A73" w14:textId="77777777" w:rsidR="00230CBC" w:rsidRPr="0059433B" w:rsidRDefault="00230CBC" w:rsidP="009944F6">
            <w:pPr>
              <w:pStyle w:val="COMTabletext"/>
            </w:pPr>
            <w:r w:rsidRPr="0059433B">
              <w:t>3.3</w:t>
            </w:r>
          </w:p>
        </w:tc>
      </w:tr>
    </w:tbl>
    <w:p w14:paraId="20A78DD6" w14:textId="77777777" w:rsidR="00F126D4" w:rsidRPr="0059433B" w:rsidRDefault="00230CBC" w:rsidP="00891170">
      <w:pPr>
        <w:pStyle w:val="COMTablefooter"/>
      </w:pPr>
      <w:r w:rsidRPr="0059433B">
        <w:t>PND, polyneuropathy disability.</w:t>
      </w:r>
    </w:p>
    <w:p w14:paraId="2BE0FDA0" w14:textId="77777777" w:rsidR="00F126D4" w:rsidRPr="0059433B" w:rsidRDefault="00230CBC" w:rsidP="00891170">
      <w:pPr>
        <w:pStyle w:val="COMTablefooter"/>
      </w:pPr>
      <w:r w:rsidRPr="0059433B">
        <w:t>*Including redistributed patients with unknown PND score based on current distribution.</w:t>
      </w:r>
    </w:p>
    <w:p w14:paraId="7E671D7F" w14:textId="56F90FD3" w:rsidR="00230CBC" w:rsidRPr="0059433B" w:rsidRDefault="00230CBC" w:rsidP="00891170">
      <w:pPr>
        <w:pStyle w:val="COMTablefooter"/>
      </w:pPr>
      <w:r w:rsidRPr="0059433B">
        <w:t>**Based on incident distribution column of table.</w:t>
      </w:r>
    </w:p>
    <w:p w14:paraId="797811FE" w14:textId="7B8297B8" w:rsidR="00D32534" w:rsidRPr="00D32534" w:rsidRDefault="00230CBC" w:rsidP="002C4DC0">
      <w:pPr>
        <w:pStyle w:val="COMTablefooter"/>
      </w:pPr>
      <w:r w:rsidRPr="0059433B">
        <w:t>Source: Pre-PBAC response.</w:t>
      </w:r>
    </w:p>
    <w:p w14:paraId="0BE62637" w14:textId="77777777" w:rsidR="00230CBC" w:rsidRPr="0059433B" w:rsidRDefault="00230CBC" w:rsidP="00230CBC">
      <w:pPr>
        <w:pStyle w:val="COMH2-non-numbered"/>
      </w:pPr>
      <w:r w:rsidRPr="0059433B">
        <w:t>Quality Use of Medicines</w:t>
      </w:r>
      <w:bookmarkEnd w:id="83"/>
      <w:bookmarkEnd w:id="84"/>
      <w:bookmarkEnd w:id="85"/>
    </w:p>
    <w:p w14:paraId="1754B50B" w14:textId="436E43A7" w:rsidR="00230CBC" w:rsidRPr="0059433B" w:rsidRDefault="00230CBC" w:rsidP="00230CBC">
      <w:pPr>
        <w:pStyle w:val="COMexecsumnumberedpara"/>
      </w:pPr>
      <w:r w:rsidRPr="0059433B">
        <w:t xml:space="preserve">No quality use of medicines issues were raised in the submission, and no activities to support the quality use of medicines </w:t>
      </w:r>
      <w:proofErr w:type="gramStart"/>
      <w:r w:rsidRPr="0059433B">
        <w:t>were proposed</w:t>
      </w:r>
      <w:proofErr w:type="gramEnd"/>
      <w:r w:rsidRPr="0059433B">
        <w:t>.</w:t>
      </w:r>
      <w:r w:rsidR="00A66278" w:rsidRPr="0059433B">
        <w:t xml:space="preserve"> </w:t>
      </w:r>
      <w:r w:rsidRPr="0059433B">
        <w:t xml:space="preserve">The DUSC considered that as patisiran was a first-in-class treatment, additional surveillance and education should </w:t>
      </w:r>
      <w:proofErr w:type="gramStart"/>
      <w:r w:rsidRPr="0059433B">
        <w:t>be provided</w:t>
      </w:r>
      <w:proofErr w:type="gramEnd"/>
      <w:r w:rsidRPr="0059433B">
        <w:t>, and that current management guidelines should be revised.</w:t>
      </w:r>
    </w:p>
    <w:p w14:paraId="27B22F27" w14:textId="77777777" w:rsidR="00230CBC" w:rsidRPr="0059433B" w:rsidRDefault="00230CBC" w:rsidP="00230CBC">
      <w:pPr>
        <w:pStyle w:val="COMH2-non-numbered"/>
      </w:pPr>
      <w:bookmarkStart w:id="87" w:name="_Toc22897649"/>
      <w:bookmarkStart w:id="88" w:name="_Toc107927635"/>
      <w:bookmarkStart w:id="89" w:name="_Toc135226814"/>
      <w:r w:rsidRPr="0059433B">
        <w:t>Financial Management – Risk Sharing Arrangements</w:t>
      </w:r>
      <w:bookmarkEnd w:id="87"/>
      <w:bookmarkEnd w:id="88"/>
      <w:bookmarkEnd w:id="89"/>
    </w:p>
    <w:p w14:paraId="79C7C1EF" w14:textId="77777777" w:rsidR="00230CBC" w:rsidRPr="0059433B" w:rsidRDefault="00230CBC" w:rsidP="00230CBC">
      <w:pPr>
        <w:pStyle w:val="COMexecsumnumberedpara"/>
      </w:pPr>
      <w:r w:rsidRPr="0059433B">
        <w:t xml:space="preserve">No risk-sharing arrangements </w:t>
      </w:r>
      <w:proofErr w:type="gramStart"/>
      <w:r w:rsidRPr="0059433B">
        <w:t>were proposed</w:t>
      </w:r>
      <w:proofErr w:type="gramEnd"/>
      <w:r w:rsidRPr="0059433B">
        <w:t>.</w:t>
      </w:r>
    </w:p>
    <w:p w14:paraId="1288D2CA" w14:textId="1157D4EE" w:rsidR="00230CBC" w:rsidRPr="0059433B" w:rsidRDefault="00230CBC" w:rsidP="0078463B">
      <w:pPr>
        <w:pStyle w:val="3-BodyText"/>
        <w:ind w:firstLine="0"/>
        <w:rPr>
          <w:iCs/>
          <w:color w:val="0066FF"/>
        </w:rPr>
      </w:pPr>
      <w:bookmarkStart w:id="90" w:name="_Toc22897650"/>
      <w:bookmarkStart w:id="91" w:name="_Toc107927636"/>
      <w:r w:rsidRPr="0059433B">
        <w:rPr>
          <w:i/>
        </w:rPr>
        <w:t>For more detail on PBAC’s view, see section 7 PBAC outcome.</w:t>
      </w:r>
      <w:bookmarkEnd w:id="90"/>
      <w:bookmarkEnd w:id="91"/>
    </w:p>
    <w:p w14:paraId="260B46AF" w14:textId="77777777" w:rsidR="00230CBC" w:rsidRPr="0059433B" w:rsidRDefault="00230CBC" w:rsidP="00230CBC">
      <w:pPr>
        <w:pStyle w:val="COMH1numbered"/>
      </w:pPr>
      <w:bookmarkStart w:id="92" w:name="_Hlk76381249"/>
      <w:bookmarkStart w:id="93" w:name="_Hlk76377955"/>
      <w:r w:rsidRPr="0059433B">
        <w:t>PBAC Outcome</w:t>
      </w:r>
    </w:p>
    <w:p w14:paraId="176190EE" w14:textId="09E6AA30" w:rsidR="00F126D4" w:rsidRPr="0059433B" w:rsidRDefault="00230CBC" w:rsidP="00CD319F">
      <w:pPr>
        <w:pStyle w:val="COMexecsumnumberedpara"/>
        <w:numPr>
          <w:ilvl w:val="1"/>
          <w:numId w:val="32"/>
        </w:numPr>
      </w:pPr>
      <w:bookmarkStart w:id="94" w:name="_Hlk111543188"/>
      <w:r w:rsidRPr="0059433B">
        <w:t>The PBAC did not recommend patisiran for treatment of patients with hATTR with polyneuropathy.</w:t>
      </w:r>
      <w:r w:rsidR="00A66278" w:rsidRPr="0059433B">
        <w:t xml:space="preserve"> </w:t>
      </w:r>
      <w:r w:rsidRPr="0059433B">
        <w:t xml:space="preserve">The PBAC considered there was a high unmet need in the requested patient population, and that efficacy and safety of patisiran compared with BSC had </w:t>
      </w:r>
      <w:proofErr w:type="gramStart"/>
      <w:r w:rsidRPr="0059433B">
        <w:t>been demonstrated</w:t>
      </w:r>
      <w:proofErr w:type="gramEnd"/>
      <w:r w:rsidRPr="0059433B">
        <w:t xml:space="preserve"> by the clinical evidence, although there was a limited duration of randomised evidence.</w:t>
      </w:r>
      <w:r w:rsidR="00A66278" w:rsidRPr="0059433B">
        <w:t xml:space="preserve"> </w:t>
      </w:r>
      <w:r w:rsidRPr="0059433B">
        <w:t>The PBAC considered that the submission had not demonstrated patisiran</w:t>
      </w:r>
      <w:r w:rsidR="00383501" w:rsidRPr="0059433B">
        <w:t xml:space="preserve"> is cost</w:t>
      </w:r>
      <w:r w:rsidR="00B16440" w:rsidRPr="0059433B">
        <w:noBreakHyphen/>
      </w:r>
      <w:r w:rsidR="00383501" w:rsidRPr="0059433B">
        <w:t>effective</w:t>
      </w:r>
      <w:r w:rsidRPr="0059433B">
        <w:t>.</w:t>
      </w:r>
    </w:p>
    <w:p w14:paraId="2B339009" w14:textId="7B76CB48" w:rsidR="00230CBC" w:rsidRPr="0059433B" w:rsidRDefault="00230CBC" w:rsidP="00230CBC">
      <w:pPr>
        <w:pStyle w:val="COMexecsumnumberedpara"/>
      </w:pPr>
      <w:r w:rsidRPr="0059433B">
        <w:lastRenderedPageBreak/>
        <w:t xml:space="preserve">The primary reason for this outcome was due to the </w:t>
      </w:r>
      <w:r w:rsidR="00EC3F0E" w:rsidRPr="0059433B">
        <w:t>economic evaluation</w:t>
      </w:r>
      <w:r w:rsidRPr="0059433B">
        <w:t xml:space="preserve"> presented.</w:t>
      </w:r>
    </w:p>
    <w:p w14:paraId="7D3E1910" w14:textId="77777777" w:rsidR="00F126D4" w:rsidRPr="0059433B" w:rsidRDefault="00230CBC" w:rsidP="00230CBC">
      <w:pPr>
        <w:pStyle w:val="COMexecsumnumberedpara"/>
      </w:pPr>
      <w:r w:rsidRPr="0059433B">
        <w:t>The PBAC noted the input from individuals and organisations and acknowledged there was a high unmet need for PBS subsidised treatment for this condition.</w:t>
      </w:r>
    </w:p>
    <w:p w14:paraId="1AB3576D" w14:textId="1501B309" w:rsidR="00230CBC" w:rsidRPr="0059433B" w:rsidRDefault="00230CBC" w:rsidP="00230CBC">
      <w:pPr>
        <w:pStyle w:val="COMexecsumnumberedpara"/>
        <w:rPr>
          <w:iCs/>
          <w:snapToGrid/>
        </w:rPr>
      </w:pPr>
      <w:r w:rsidRPr="0059433B">
        <w:rPr>
          <w:iCs/>
          <w:snapToGrid/>
        </w:rPr>
        <w:t>The PBAC considered the submission’s nomination of BSC as the main comparator was appropriate.</w:t>
      </w:r>
    </w:p>
    <w:p w14:paraId="6D2DB42E" w14:textId="55202384" w:rsidR="00230CBC" w:rsidRPr="0059433B" w:rsidRDefault="00230CBC" w:rsidP="00230CBC">
      <w:pPr>
        <w:pStyle w:val="COMexecsumnumberedpara"/>
        <w:rPr>
          <w:rFonts w:ascii="Times New Roman" w:hAnsi="Times New Roman" w:cs="Times New Roman"/>
          <w:sz w:val="20"/>
          <w:szCs w:val="20"/>
        </w:rPr>
      </w:pPr>
      <w:r w:rsidRPr="0059433B">
        <w:t>The PBAC noted that the primary clinical evidence supporting the submission was APOLLO, a randomised, double blind, placebo controlled multicentre trial</w:t>
      </w:r>
      <w:r w:rsidRPr="0059433B">
        <w:rPr>
          <w:snapToGrid/>
        </w:rPr>
        <w:t xml:space="preserve"> in patients with hATTR amyloidosis with polyneuropathy (n=225).</w:t>
      </w:r>
      <w:r w:rsidR="00A66278" w:rsidRPr="0059433B">
        <w:rPr>
          <w:snapToGrid/>
        </w:rPr>
        <w:t xml:space="preserve"> </w:t>
      </w:r>
      <w:r w:rsidRPr="0059433B">
        <w:t>The submission also presented supportive evidence from a phase 2 multiple ascending dose study (ALN-TTR02-002) and associated open label extension study (ALN-TTR02-003), as well as interim results from an ongoing global open label extension study (Global OLE, ALN-TTR02-006). Patients who completed studies ALN-TTR02-003 or the APOLLO trial were eligible to continue into the Global OLE study. The PBAC noted the APOLLO trial had demonstrated clinically meaningful improvements for patisiran compared with placebo, including the primary endpoint (neurological impairment, mNIS+7); and secondary endpoints (Health-related quality of life (Norfolk QoL-DN), weakness (NIS</w:t>
      </w:r>
      <w:r w:rsidRPr="0059433B">
        <w:noBreakHyphen/>
        <w:t>W), disability (R-ODS), 10-MWT, mBMI, autonomic symptoms (COMPASS-31)</w:t>
      </w:r>
      <w:r w:rsidR="009926F6" w:rsidRPr="0059433B">
        <w:t>)</w:t>
      </w:r>
      <w:r w:rsidRPr="0059433B">
        <w:t>.</w:t>
      </w:r>
      <w:r w:rsidR="00A66278" w:rsidRPr="0059433B">
        <w:t xml:space="preserve"> </w:t>
      </w:r>
      <w:r w:rsidR="00451648" w:rsidRPr="0059433B">
        <w:rPr>
          <w:iCs/>
        </w:rPr>
        <w:t xml:space="preserve">The PBAC noted that a significant improvement in overall survival had not </w:t>
      </w:r>
      <w:proofErr w:type="gramStart"/>
      <w:r w:rsidR="00451648" w:rsidRPr="0059433B">
        <w:rPr>
          <w:iCs/>
        </w:rPr>
        <w:t>been demonstrated</w:t>
      </w:r>
      <w:proofErr w:type="gramEnd"/>
      <w:r w:rsidR="00451648" w:rsidRPr="0059433B">
        <w:rPr>
          <w:iCs/>
        </w:rPr>
        <w:t xml:space="preserve"> in APOLLO, however considered there was a trend suggestive of improvement.</w:t>
      </w:r>
    </w:p>
    <w:p w14:paraId="0D6642C6" w14:textId="778D3621" w:rsidR="00230CBC" w:rsidRPr="0059433B" w:rsidRDefault="00230CBC" w:rsidP="00230CBC">
      <w:pPr>
        <w:pStyle w:val="COMexecsumnumberedpara"/>
      </w:pPr>
      <w:bookmarkStart w:id="95" w:name="_Hlk76376200"/>
      <w:r w:rsidRPr="0059433B">
        <w:rPr>
          <w:iCs/>
        </w:rPr>
        <w:t>The</w:t>
      </w:r>
      <w:r w:rsidRPr="0059433B">
        <w:t xml:space="preserve"> PBAC considered that the claim of superior comparative efficacy of patisiran compared with BSC was reasonable based on the primary and secondary outcomes in APOLLO over the 18 month trial period (</w:t>
      </w:r>
      <w:r w:rsidRPr="0059433B">
        <w:fldChar w:fldCharType="begin" w:fldLock="1"/>
      </w:r>
      <w:r w:rsidRPr="0059433B">
        <w:instrText xml:space="preserve"> REF _Ref132619792 \h  \* MERGEFORMAT </w:instrText>
      </w:r>
      <w:r w:rsidRPr="0059433B">
        <w:fldChar w:fldCharType="separate"/>
      </w:r>
      <w:r w:rsidR="00042B2E" w:rsidRPr="0059433B">
        <w:t>Table 5</w:t>
      </w:r>
      <w:r w:rsidRPr="0059433B">
        <w:fldChar w:fldCharType="end"/>
      </w:r>
      <w:r w:rsidRPr="0059433B">
        <w:t xml:space="preserve">, </w:t>
      </w:r>
      <w:r w:rsidRPr="0059433B">
        <w:fldChar w:fldCharType="begin" w:fldLock="1"/>
      </w:r>
      <w:r w:rsidRPr="0059433B">
        <w:instrText xml:space="preserve"> REF _Ref132622181 \h  \* MERGEFORMAT </w:instrText>
      </w:r>
      <w:r w:rsidRPr="0059433B">
        <w:fldChar w:fldCharType="separate"/>
      </w:r>
      <w:r w:rsidR="00042B2E" w:rsidRPr="0059433B">
        <w:t>Table 6</w:t>
      </w:r>
      <w:r w:rsidRPr="0059433B">
        <w:fldChar w:fldCharType="end"/>
      </w:r>
      <w:r w:rsidRPr="0059433B">
        <w:t xml:space="preserve">), </w:t>
      </w:r>
      <w:r w:rsidRPr="0059433B">
        <w:rPr>
          <w:rFonts w:eastAsia="Calibri"/>
          <w:iCs/>
        </w:rPr>
        <w:t>however the magnitude and duration of benefit remained uncertain</w:t>
      </w:r>
      <w:r w:rsidRPr="0059433B">
        <w:t>.</w:t>
      </w:r>
      <w:r w:rsidR="00A66278" w:rsidRPr="0059433B">
        <w:t xml:space="preserve"> </w:t>
      </w:r>
      <w:r w:rsidRPr="0059433B">
        <w:t>The PBAC considered that the g</w:t>
      </w:r>
      <w:r w:rsidRPr="0059433B">
        <w:rPr>
          <w:rFonts w:eastAsia="Calibri"/>
          <w:iCs/>
        </w:rPr>
        <w:t>lobal OLE study was supportive of ongoing benefit on efficacy endpoints (</w:t>
      </w:r>
      <w:r w:rsidRPr="0059433B">
        <w:rPr>
          <w:rFonts w:eastAsia="Calibri"/>
          <w:iCs/>
        </w:rPr>
        <w:fldChar w:fldCharType="begin" w:fldLock="1"/>
      </w:r>
      <w:r w:rsidRPr="0059433B">
        <w:rPr>
          <w:rFonts w:eastAsia="Calibri"/>
          <w:iCs/>
        </w:rPr>
        <w:instrText xml:space="preserve"> REF _Ref132627343 \h  \* MERGEFORMAT </w:instrText>
      </w:r>
      <w:r w:rsidRPr="0059433B">
        <w:rPr>
          <w:rFonts w:eastAsia="Calibri"/>
          <w:iCs/>
        </w:rPr>
      </w:r>
      <w:r w:rsidRPr="0059433B">
        <w:rPr>
          <w:rFonts w:eastAsia="Calibri"/>
          <w:iCs/>
        </w:rPr>
        <w:fldChar w:fldCharType="separate"/>
      </w:r>
      <w:r w:rsidR="00042B2E" w:rsidRPr="0059433B">
        <w:t>Figure 1</w:t>
      </w:r>
      <w:r w:rsidRPr="0059433B">
        <w:rPr>
          <w:rFonts w:eastAsia="Calibri"/>
          <w:iCs/>
        </w:rPr>
        <w:fldChar w:fldCharType="end"/>
      </w:r>
      <w:r w:rsidRPr="0059433B">
        <w:rPr>
          <w:rFonts w:eastAsia="Calibri"/>
          <w:iCs/>
        </w:rPr>
        <w:t xml:space="preserve">, </w:t>
      </w:r>
      <w:r w:rsidRPr="0059433B">
        <w:rPr>
          <w:rFonts w:eastAsia="Calibri"/>
          <w:iCs/>
        </w:rPr>
        <w:fldChar w:fldCharType="begin" w:fldLock="1"/>
      </w:r>
      <w:r w:rsidRPr="0059433B">
        <w:rPr>
          <w:rFonts w:eastAsia="Calibri"/>
          <w:iCs/>
        </w:rPr>
        <w:instrText xml:space="preserve"> REF _Ref132627567 \h  \* MERGEFORMAT </w:instrText>
      </w:r>
      <w:r w:rsidRPr="0059433B">
        <w:rPr>
          <w:rFonts w:eastAsia="Calibri"/>
          <w:iCs/>
        </w:rPr>
      </w:r>
      <w:r w:rsidRPr="0059433B">
        <w:rPr>
          <w:rFonts w:eastAsia="Calibri"/>
          <w:iCs/>
        </w:rPr>
        <w:fldChar w:fldCharType="separate"/>
      </w:r>
      <w:r w:rsidR="00042B2E" w:rsidRPr="0059433B">
        <w:t>Figure 2</w:t>
      </w:r>
      <w:r w:rsidRPr="0059433B">
        <w:rPr>
          <w:rFonts w:eastAsia="Calibri"/>
          <w:iCs/>
        </w:rPr>
        <w:fldChar w:fldCharType="end"/>
      </w:r>
      <w:r w:rsidRPr="0059433B">
        <w:rPr>
          <w:rFonts w:eastAsia="Calibri"/>
          <w:iCs/>
        </w:rPr>
        <w:t xml:space="preserve">, </w:t>
      </w:r>
      <w:r w:rsidRPr="0059433B">
        <w:rPr>
          <w:rFonts w:eastAsia="Calibri"/>
          <w:iCs/>
        </w:rPr>
        <w:fldChar w:fldCharType="begin" w:fldLock="1"/>
      </w:r>
      <w:r w:rsidRPr="0059433B">
        <w:rPr>
          <w:rFonts w:eastAsia="Calibri"/>
          <w:iCs/>
        </w:rPr>
        <w:instrText xml:space="preserve"> REF _Ref132627583 \h  \* MERGEFORMAT </w:instrText>
      </w:r>
      <w:r w:rsidRPr="0059433B">
        <w:rPr>
          <w:rFonts w:eastAsia="Calibri"/>
          <w:iCs/>
        </w:rPr>
      </w:r>
      <w:r w:rsidRPr="0059433B">
        <w:rPr>
          <w:rFonts w:eastAsia="Calibri"/>
          <w:iCs/>
        </w:rPr>
        <w:fldChar w:fldCharType="separate"/>
      </w:r>
      <w:r w:rsidR="00042B2E" w:rsidRPr="0059433B">
        <w:t>Figure 3</w:t>
      </w:r>
      <w:r w:rsidRPr="0059433B">
        <w:rPr>
          <w:rFonts w:eastAsia="Calibri"/>
          <w:iCs/>
        </w:rPr>
        <w:fldChar w:fldCharType="end"/>
      </w:r>
      <w:r w:rsidRPr="0059433B">
        <w:rPr>
          <w:rFonts w:eastAsia="Calibri"/>
          <w:iCs/>
        </w:rPr>
        <w:t>)</w:t>
      </w:r>
      <w:r w:rsidRPr="0059433B">
        <w:rPr>
          <w:iCs/>
        </w:rPr>
        <w:t>.</w:t>
      </w:r>
      <w:r w:rsidR="00A66278" w:rsidRPr="0059433B">
        <w:rPr>
          <w:iCs/>
        </w:rPr>
        <w:t xml:space="preserve"> </w:t>
      </w:r>
      <w:r w:rsidRPr="0059433B">
        <w:rPr>
          <w:rFonts w:eastAsia="Calibri"/>
          <w:iCs/>
        </w:rPr>
        <w:t xml:space="preserve">The PBAC considered that the </w:t>
      </w:r>
      <w:r w:rsidR="003C644E" w:rsidRPr="0059433B">
        <w:rPr>
          <w:rFonts w:eastAsia="Calibri"/>
          <w:iCs/>
        </w:rPr>
        <w:t>long-term</w:t>
      </w:r>
      <w:r w:rsidRPr="0059433B">
        <w:rPr>
          <w:rFonts w:eastAsia="Calibri"/>
          <w:iCs/>
        </w:rPr>
        <w:t xml:space="preserve"> safety of patisiran was uncertain due to the limited duration of follow-up to date</w:t>
      </w:r>
      <w:r w:rsidRPr="0059433B">
        <w:t xml:space="preserve"> and the claim of non-inferior comparative safety of patisiran compared with BSC </w:t>
      </w:r>
      <w:proofErr w:type="gramStart"/>
      <w:r w:rsidRPr="0059433B">
        <w:t>was not adequately supported</w:t>
      </w:r>
      <w:proofErr w:type="gramEnd"/>
      <w:r w:rsidRPr="0059433B">
        <w:t xml:space="preserve"> by the data.</w:t>
      </w:r>
      <w:bookmarkEnd w:id="95"/>
    </w:p>
    <w:p w14:paraId="72D6316E" w14:textId="0E403A9A" w:rsidR="00230CBC" w:rsidRPr="0059433B" w:rsidRDefault="00230CBC" w:rsidP="00230CBC">
      <w:pPr>
        <w:pStyle w:val="COMexecsumnumberedpara"/>
      </w:pPr>
      <w:r w:rsidRPr="0059433B">
        <w:t>The PBAC considered the ICER estimated in the submission was high and uncertain. The PBAC noted ESC’s concerns regarding robustness of the survival data</w:t>
      </w:r>
      <w:r w:rsidR="00383501" w:rsidRPr="0059433B">
        <w:t>,</w:t>
      </w:r>
      <w:r w:rsidRPr="0059433B">
        <w:t xml:space="preserve"> extrapolation methods, </w:t>
      </w:r>
      <w:r w:rsidR="00383501" w:rsidRPr="0059433B">
        <w:t>and</w:t>
      </w:r>
      <w:r w:rsidRPr="0059433B">
        <w:t xml:space="preserve"> application of treatment-related utility increments and decrements.</w:t>
      </w:r>
    </w:p>
    <w:p w14:paraId="0C2E6F27" w14:textId="252B3D8E" w:rsidR="00F126D4" w:rsidRPr="0059433B" w:rsidRDefault="00230CBC" w:rsidP="00230CBC">
      <w:pPr>
        <w:pStyle w:val="COMexecsumnumberedpara"/>
        <w:rPr>
          <w:rFonts w:ascii="Calibri" w:hAnsi="Calibri"/>
          <w:snapToGrid/>
          <w:shd w:val="clear" w:color="auto" w:fill="FFFFFF"/>
        </w:rPr>
      </w:pPr>
      <w:r w:rsidRPr="0059433B">
        <w:rPr>
          <w:rFonts w:ascii="Calibri" w:hAnsi="Calibri"/>
          <w:snapToGrid/>
          <w:shd w:val="clear" w:color="auto" w:fill="FFFFFF"/>
        </w:rPr>
        <w:t xml:space="preserve">The PBAC noted that the submission applied a utility increment of 0.0029 each month for patients remaining on treatment with patisiran, and a utility decrement of 0.0092 each month for patients not receiving treatment with patisiran. The application of the treatment-related utility increments and decrements resulted in health state utilities for each PND score that differed </w:t>
      </w:r>
      <w:proofErr w:type="gramStart"/>
      <w:r w:rsidRPr="0059433B">
        <w:rPr>
          <w:rFonts w:ascii="Calibri" w:hAnsi="Calibri"/>
          <w:snapToGrid/>
          <w:shd w:val="clear" w:color="auto" w:fill="FFFFFF"/>
        </w:rPr>
        <w:t>substantially from</w:t>
      </w:r>
      <w:proofErr w:type="gramEnd"/>
      <w:r w:rsidRPr="0059433B">
        <w:rPr>
          <w:rFonts w:ascii="Calibri" w:hAnsi="Calibri"/>
          <w:snapToGrid/>
          <w:shd w:val="clear" w:color="auto" w:fill="FFFFFF"/>
        </w:rPr>
        <w:t xml:space="preserve"> the estimated average health state </w:t>
      </w:r>
      <w:r w:rsidRPr="0059433B">
        <w:rPr>
          <w:rFonts w:ascii="Calibri" w:hAnsi="Calibri"/>
          <w:snapToGrid/>
          <w:shd w:val="clear" w:color="auto" w:fill="FFFFFF"/>
        </w:rPr>
        <w:lastRenderedPageBreak/>
        <w:t>utilities derived in the MMRM regression analysis</w:t>
      </w:r>
      <w:r w:rsidR="008551A5" w:rsidRPr="0059433B">
        <w:rPr>
          <w:rFonts w:ascii="Calibri" w:hAnsi="Calibri"/>
          <w:snapToGrid/>
          <w:shd w:val="clear" w:color="auto" w:fill="FFFFFF"/>
        </w:rPr>
        <w:t>.</w:t>
      </w:r>
      <w:r w:rsidR="00A66278" w:rsidRPr="0059433B">
        <w:rPr>
          <w:rFonts w:ascii="Calibri" w:hAnsi="Calibri"/>
          <w:snapToGrid/>
          <w:shd w:val="clear" w:color="auto" w:fill="FFFFFF"/>
        </w:rPr>
        <w:t xml:space="preserve"> </w:t>
      </w:r>
      <w:r w:rsidR="008551A5" w:rsidRPr="0059433B">
        <w:rPr>
          <w:rFonts w:ascii="Calibri" w:hAnsi="Calibri"/>
          <w:snapToGrid/>
          <w:shd w:val="clear" w:color="auto" w:fill="FFFFFF"/>
        </w:rPr>
        <w:t xml:space="preserve">Furthermore, </w:t>
      </w:r>
      <w:r w:rsidRPr="0059433B">
        <w:rPr>
          <w:rFonts w:ascii="Calibri" w:hAnsi="Calibri"/>
          <w:snapToGrid/>
          <w:shd w:val="clear" w:color="auto" w:fill="FFFFFF"/>
        </w:rPr>
        <w:t xml:space="preserve">the adjusted health state utilities were able to exceed the average health state utilities of adjacent PND health </w:t>
      </w:r>
      <w:r w:rsidR="00E82C1A" w:rsidRPr="0059433B">
        <w:rPr>
          <w:rFonts w:ascii="Calibri" w:hAnsi="Calibri"/>
          <w:snapToGrid/>
          <w:shd w:val="clear" w:color="auto" w:fill="FFFFFF"/>
        </w:rPr>
        <w:t>states and</w:t>
      </w:r>
      <w:r w:rsidRPr="0059433B">
        <w:rPr>
          <w:rFonts w:ascii="Calibri" w:hAnsi="Calibri"/>
          <w:snapToGrid/>
          <w:shd w:val="clear" w:color="auto" w:fill="FFFFFF"/>
        </w:rPr>
        <w:t xml:space="preserve"> were able to fall below -0.5 (see </w:t>
      </w:r>
      <w:r w:rsidRPr="0059433B">
        <w:rPr>
          <w:rFonts w:ascii="Calibri" w:hAnsi="Calibri"/>
          <w:snapToGrid/>
          <w:shd w:val="clear" w:color="auto" w:fill="FFFFFF"/>
        </w:rPr>
        <w:fldChar w:fldCharType="begin" w:fldLock="1"/>
      </w:r>
      <w:r w:rsidRPr="0059433B">
        <w:rPr>
          <w:rFonts w:ascii="Calibri" w:hAnsi="Calibri"/>
          <w:snapToGrid/>
          <w:shd w:val="clear" w:color="auto" w:fill="FFFFFF"/>
        </w:rPr>
        <w:instrText xml:space="preserve"> REF _Ref132584021 \h  \* MERGEFORMAT </w:instrText>
      </w:r>
      <w:r w:rsidRPr="0059433B">
        <w:rPr>
          <w:rFonts w:ascii="Calibri" w:hAnsi="Calibri"/>
          <w:snapToGrid/>
          <w:shd w:val="clear" w:color="auto" w:fill="FFFFFF"/>
        </w:rPr>
      </w:r>
      <w:r w:rsidRPr="0059433B">
        <w:rPr>
          <w:rFonts w:ascii="Calibri" w:hAnsi="Calibri"/>
          <w:snapToGrid/>
          <w:shd w:val="clear" w:color="auto" w:fill="FFFFFF"/>
        </w:rPr>
        <w:fldChar w:fldCharType="separate"/>
      </w:r>
      <w:r w:rsidR="00042B2E" w:rsidRPr="0059433B">
        <w:rPr>
          <w:rFonts w:ascii="Calibri" w:hAnsi="Calibri"/>
          <w:snapToGrid/>
          <w:shd w:val="clear" w:color="auto" w:fill="FFFFFF"/>
        </w:rPr>
        <w:t>Table 10</w:t>
      </w:r>
      <w:r w:rsidRPr="0059433B">
        <w:rPr>
          <w:rFonts w:ascii="Calibri" w:hAnsi="Calibri"/>
          <w:snapToGrid/>
          <w:shd w:val="clear" w:color="auto" w:fill="FFFFFF"/>
        </w:rPr>
        <w:fldChar w:fldCharType="end"/>
      </w:r>
      <w:r w:rsidRPr="0059433B">
        <w:rPr>
          <w:rFonts w:ascii="Calibri" w:hAnsi="Calibri"/>
          <w:snapToGrid/>
          <w:shd w:val="clear" w:color="auto" w:fill="FFFFFF"/>
        </w:rPr>
        <w:t>).</w:t>
      </w:r>
      <w:r w:rsidR="00A66278" w:rsidRPr="0059433B">
        <w:rPr>
          <w:rFonts w:ascii="Calibri" w:hAnsi="Calibri"/>
          <w:snapToGrid/>
          <w:shd w:val="clear" w:color="auto" w:fill="FFFFFF"/>
        </w:rPr>
        <w:t xml:space="preserve"> </w:t>
      </w:r>
      <w:r w:rsidRPr="0059433B">
        <w:rPr>
          <w:rFonts w:ascii="Calibri" w:hAnsi="Calibri"/>
          <w:snapToGrid/>
          <w:shd w:val="clear" w:color="auto" w:fill="FFFFFF"/>
        </w:rPr>
        <w:t xml:space="preserve">Removal of this increment/decrement resulted in an ICER of </w:t>
      </w:r>
      <w:r w:rsidR="007B05CF" w:rsidRPr="007B05CF">
        <w:rPr>
          <w:rFonts w:ascii="Calibri" w:hAnsi="Calibri"/>
          <w:snapToGrid/>
          <w:shd w:val="clear" w:color="auto" w:fill="FFFFFF"/>
        </w:rPr>
        <w:t>$755,000</w:t>
      </w:r>
      <w:r w:rsidR="00204E7C">
        <w:rPr>
          <w:rFonts w:ascii="Calibri" w:hAnsi="Calibri"/>
          <w:snapToGrid/>
          <w:shd w:val="clear" w:color="auto" w:fill="FFFFFF"/>
        </w:rPr>
        <w:t> </w:t>
      </w:r>
      <w:r w:rsidR="007B05CF" w:rsidRPr="007B05CF">
        <w:rPr>
          <w:rFonts w:ascii="Calibri" w:hAnsi="Calibri"/>
          <w:snapToGrid/>
          <w:shd w:val="clear" w:color="auto" w:fill="FFFFFF"/>
        </w:rPr>
        <w:t>to</w:t>
      </w:r>
      <w:r w:rsidR="00204E7C">
        <w:rPr>
          <w:rFonts w:ascii="Calibri" w:hAnsi="Calibri"/>
          <w:snapToGrid/>
          <w:shd w:val="clear" w:color="auto" w:fill="FFFFFF"/>
        </w:rPr>
        <w:t> </w:t>
      </w:r>
      <w:r w:rsidR="007B05CF" w:rsidRPr="007B05CF">
        <w:rPr>
          <w:rFonts w:ascii="Calibri" w:hAnsi="Calibri"/>
          <w:snapToGrid/>
          <w:shd w:val="clear" w:color="auto" w:fill="FFFFFF"/>
        </w:rPr>
        <w:t>&lt;</w:t>
      </w:r>
      <w:r w:rsidR="00204E7C">
        <w:rPr>
          <w:rFonts w:ascii="Calibri" w:hAnsi="Calibri"/>
          <w:snapToGrid/>
          <w:shd w:val="clear" w:color="auto" w:fill="FFFFFF"/>
        </w:rPr>
        <w:t> </w:t>
      </w:r>
      <w:r w:rsidR="007B05CF" w:rsidRPr="007B05CF">
        <w:rPr>
          <w:rFonts w:ascii="Calibri" w:hAnsi="Calibri"/>
          <w:snapToGrid/>
          <w:shd w:val="clear" w:color="auto" w:fill="FFFFFF"/>
        </w:rPr>
        <w:t>$855,000</w:t>
      </w:r>
      <w:r w:rsidR="007B05CF">
        <w:rPr>
          <w:rFonts w:ascii="Calibri" w:hAnsi="Calibri"/>
          <w:snapToGrid/>
          <w:shd w:val="clear" w:color="auto" w:fill="FFFFFF"/>
        </w:rPr>
        <w:t xml:space="preserve"> </w:t>
      </w:r>
      <w:r w:rsidRPr="0059433B">
        <w:rPr>
          <w:rFonts w:ascii="Calibri" w:hAnsi="Calibri"/>
          <w:snapToGrid/>
          <w:shd w:val="clear" w:color="auto" w:fill="FFFFFF"/>
        </w:rPr>
        <w:t xml:space="preserve">per QALY gained compared with </w:t>
      </w:r>
      <w:r w:rsidR="007B05CF" w:rsidRPr="007B05CF">
        <w:rPr>
          <w:rFonts w:ascii="Calibri" w:hAnsi="Calibri"/>
          <w:snapToGrid/>
          <w:shd w:val="clear" w:color="auto" w:fill="FFFFFF"/>
        </w:rPr>
        <w:t>$255,000</w:t>
      </w:r>
      <w:r w:rsidR="00204E7C">
        <w:rPr>
          <w:rFonts w:ascii="Calibri" w:hAnsi="Calibri"/>
          <w:snapToGrid/>
          <w:shd w:val="clear" w:color="auto" w:fill="FFFFFF"/>
        </w:rPr>
        <w:t> </w:t>
      </w:r>
      <w:r w:rsidR="007B05CF" w:rsidRPr="007B05CF">
        <w:rPr>
          <w:rFonts w:ascii="Calibri" w:hAnsi="Calibri"/>
          <w:snapToGrid/>
          <w:shd w:val="clear" w:color="auto" w:fill="FFFFFF"/>
        </w:rPr>
        <w:t>to</w:t>
      </w:r>
      <w:r w:rsidR="00204E7C">
        <w:rPr>
          <w:rFonts w:ascii="Calibri" w:hAnsi="Calibri"/>
          <w:snapToGrid/>
          <w:shd w:val="clear" w:color="auto" w:fill="FFFFFF"/>
        </w:rPr>
        <w:t> </w:t>
      </w:r>
      <w:r w:rsidR="007B05CF" w:rsidRPr="007B05CF">
        <w:rPr>
          <w:rFonts w:ascii="Calibri" w:hAnsi="Calibri"/>
          <w:snapToGrid/>
          <w:shd w:val="clear" w:color="auto" w:fill="FFFFFF"/>
        </w:rPr>
        <w:t>&lt;</w:t>
      </w:r>
      <w:r w:rsidR="00204E7C">
        <w:rPr>
          <w:rFonts w:ascii="Calibri" w:hAnsi="Calibri"/>
          <w:snapToGrid/>
          <w:shd w:val="clear" w:color="auto" w:fill="FFFFFF"/>
        </w:rPr>
        <w:t> </w:t>
      </w:r>
      <w:r w:rsidR="007B05CF" w:rsidRPr="007B05CF">
        <w:rPr>
          <w:rFonts w:ascii="Calibri" w:hAnsi="Calibri"/>
          <w:snapToGrid/>
          <w:shd w:val="clear" w:color="auto" w:fill="FFFFFF"/>
        </w:rPr>
        <w:t>$355,000</w:t>
      </w:r>
      <w:r w:rsidR="007B05CF">
        <w:rPr>
          <w:rFonts w:ascii="Calibri" w:hAnsi="Calibri"/>
          <w:snapToGrid/>
          <w:shd w:val="clear" w:color="auto" w:fill="FFFFFF"/>
        </w:rPr>
        <w:t xml:space="preserve"> </w:t>
      </w:r>
      <w:r w:rsidRPr="0059433B">
        <w:rPr>
          <w:rFonts w:ascii="Calibri" w:hAnsi="Calibri"/>
          <w:snapToGrid/>
          <w:shd w:val="clear" w:color="auto" w:fill="FFFFFF"/>
        </w:rPr>
        <w:t>per QALY gained in the base case</w:t>
      </w:r>
      <w:r w:rsidR="00B16440" w:rsidRPr="0059433B">
        <w:rPr>
          <w:rFonts w:ascii="Calibri" w:hAnsi="Calibri"/>
          <w:snapToGrid/>
          <w:shd w:val="clear" w:color="auto" w:fill="FFFFFF"/>
        </w:rPr>
        <w:t xml:space="preserve"> (</w:t>
      </w:r>
      <w:r w:rsidR="00B16440" w:rsidRPr="0059433B">
        <w:t>excluding anniversary price reductions)</w:t>
      </w:r>
      <w:r w:rsidRPr="0059433B">
        <w:rPr>
          <w:rFonts w:ascii="Calibri" w:hAnsi="Calibri"/>
          <w:snapToGrid/>
          <w:shd w:val="clear" w:color="auto" w:fill="FFFFFF"/>
        </w:rPr>
        <w:t>.</w:t>
      </w:r>
    </w:p>
    <w:p w14:paraId="4B66BD14" w14:textId="2F6A456B" w:rsidR="00230CBC" w:rsidRPr="0059433B" w:rsidRDefault="00230CBC" w:rsidP="00F27B5E">
      <w:pPr>
        <w:pStyle w:val="COMexecsumnumberedpara"/>
      </w:pPr>
      <w:bookmarkStart w:id="96" w:name="_Ref142375967"/>
      <w:r w:rsidRPr="0059433B">
        <w:rPr>
          <w:shd w:val="clear" w:color="auto" w:fill="FFFFFF"/>
        </w:rPr>
        <w:t>The PBAC considered that the incremental QALY gain estimated by the submission was highly uncertain, however accepted the arguments in the pre</w:t>
      </w:r>
      <w:r w:rsidRPr="0059433B">
        <w:rPr>
          <w:shd w:val="clear" w:color="auto" w:fill="FFFFFF"/>
        </w:rPr>
        <w:noBreakHyphen/>
        <w:t xml:space="preserve">PBAC response that the definition of health states based on PND score did not adequately capture the full impact of the condition (paragraph </w:t>
      </w:r>
      <w:r w:rsidRPr="0059433B">
        <w:rPr>
          <w:shd w:val="clear" w:color="auto" w:fill="FFFFFF"/>
        </w:rPr>
        <w:fldChar w:fldCharType="begin" w:fldLock="1"/>
      </w:r>
      <w:r w:rsidRPr="0059433B">
        <w:rPr>
          <w:shd w:val="clear" w:color="auto" w:fill="FFFFFF"/>
        </w:rPr>
        <w:instrText xml:space="preserve"> REF _Ref142322736 \r \h </w:instrText>
      </w:r>
      <w:r w:rsidRPr="0059433B">
        <w:rPr>
          <w:shd w:val="clear" w:color="auto" w:fill="FFFFFF"/>
        </w:rPr>
      </w:r>
      <w:r w:rsidRPr="0059433B">
        <w:rPr>
          <w:shd w:val="clear" w:color="auto" w:fill="FFFFFF"/>
        </w:rPr>
        <w:fldChar w:fldCharType="separate"/>
      </w:r>
      <w:r w:rsidR="00042B2E" w:rsidRPr="0059433B">
        <w:rPr>
          <w:shd w:val="clear" w:color="auto" w:fill="FFFFFF"/>
        </w:rPr>
        <w:t>6.8</w:t>
      </w:r>
      <w:r w:rsidR="00965874">
        <w:rPr>
          <w:shd w:val="clear" w:color="auto" w:fill="FFFFFF"/>
        </w:rPr>
        <w:t>0</w:t>
      </w:r>
      <w:r w:rsidRPr="0059433B">
        <w:rPr>
          <w:shd w:val="clear" w:color="auto" w:fill="FFFFFF"/>
        </w:rPr>
        <w:fldChar w:fldCharType="end"/>
      </w:r>
      <w:r w:rsidRPr="0059433B">
        <w:rPr>
          <w:shd w:val="clear" w:color="auto" w:fill="FFFFFF"/>
        </w:rPr>
        <w:t>).</w:t>
      </w:r>
      <w:r w:rsidR="00A66278" w:rsidRPr="0059433B">
        <w:rPr>
          <w:shd w:val="clear" w:color="auto" w:fill="FFFFFF"/>
        </w:rPr>
        <w:t xml:space="preserve"> </w:t>
      </w:r>
      <w:r w:rsidRPr="0059433B">
        <w:rPr>
          <w:shd w:val="clear" w:color="auto" w:fill="FFFFFF"/>
        </w:rPr>
        <w:t>The PBAC considered that the submission’s approach resulted in an overly optimistic estimate of incremental QALY</w:t>
      </w:r>
      <w:r w:rsidR="00A81526" w:rsidRPr="0059433B">
        <w:rPr>
          <w:shd w:val="clear" w:color="auto" w:fill="FFFFFF"/>
        </w:rPr>
        <w:t xml:space="preserve"> gain</w:t>
      </w:r>
      <w:r w:rsidRPr="0059433B">
        <w:rPr>
          <w:shd w:val="clear" w:color="auto" w:fill="FFFFFF"/>
        </w:rPr>
        <w:t>, but in the context of a rare disease and significant unmet need, the submission’s approach would be acceptable if the t</w:t>
      </w:r>
      <w:r w:rsidRPr="0059433B">
        <w:t xml:space="preserve">reatment-related utility increment/decrements were halved as proposed during the evaluation and </w:t>
      </w:r>
      <w:r w:rsidRPr="0059433B">
        <w:rPr>
          <w:shd w:val="clear" w:color="auto" w:fill="FFFFFF"/>
        </w:rPr>
        <w:t xml:space="preserve">the other matters discussed in paragraph </w:t>
      </w:r>
      <w:r w:rsidR="00B71B78" w:rsidRPr="0059433B">
        <w:rPr>
          <w:shd w:val="clear" w:color="auto" w:fill="FFFFFF"/>
        </w:rPr>
        <w:fldChar w:fldCharType="begin" w:fldLock="1"/>
      </w:r>
      <w:r w:rsidR="00B71B78" w:rsidRPr="0059433B">
        <w:rPr>
          <w:shd w:val="clear" w:color="auto" w:fill="FFFFFF"/>
        </w:rPr>
        <w:instrText xml:space="preserve"> REF _Ref142376062 \r \h </w:instrText>
      </w:r>
      <w:r w:rsidR="00B71B78" w:rsidRPr="0059433B">
        <w:rPr>
          <w:shd w:val="clear" w:color="auto" w:fill="FFFFFF"/>
        </w:rPr>
      </w:r>
      <w:r w:rsidR="00B71B78" w:rsidRPr="0059433B">
        <w:rPr>
          <w:shd w:val="clear" w:color="auto" w:fill="FFFFFF"/>
        </w:rPr>
        <w:fldChar w:fldCharType="separate"/>
      </w:r>
      <w:r w:rsidR="00042B2E" w:rsidRPr="0059433B">
        <w:rPr>
          <w:shd w:val="clear" w:color="auto" w:fill="FFFFFF"/>
        </w:rPr>
        <w:t>7.11</w:t>
      </w:r>
      <w:r w:rsidR="00B71B78" w:rsidRPr="0059433B">
        <w:rPr>
          <w:shd w:val="clear" w:color="auto" w:fill="FFFFFF"/>
        </w:rPr>
        <w:fldChar w:fldCharType="end"/>
      </w:r>
      <w:r w:rsidR="00B71B78" w:rsidRPr="0059433B">
        <w:rPr>
          <w:shd w:val="clear" w:color="auto" w:fill="FFFFFF"/>
        </w:rPr>
        <w:t xml:space="preserve"> </w:t>
      </w:r>
      <w:r w:rsidRPr="0059433B">
        <w:rPr>
          <w:shd w:val="clear" w:color="auto" w:fill="FFFFFF"/>
        </w:rPr>
        <w:t>were addressed.</w:t>
      </w:r>
      <w:bookmarkEnd w:id="96"/>
      <w:r w:rsidR="00321D3A" w:rsidRPr="0059433B">
        <w:rPr>
          <w:shd w:val="clear" w:color="auto" w:fill="FFFFFF"/>
        </w:rPr>
        <w:t xml:space="preserve"> The PBAC noted </w:t>
      </w:r>
      <w:r w:rsidR="00B16440" w:rsidRPr="0059433B">
        <w:rPr>
          <w:shd w:val="clear" w:color="auto" w:fill="FFFFFF"/>
        </w:rPr>
        <w:t>that halving th</w:t>
      </w:r>
      <w:r w:rsidR="00321D3A" w:rsidRPr="0059433B">
        <w:rPr>
          <w:shd w:val="clear" w:color="auto" w:fill="FFFFFF"/>
        </w:rPr>
        <w:t>e</w:t>
      </w:r>
      <w:r w:rsidR="00B16440" w:rsidRPr="0059433B">
        <w:rPr>
          <w:shd w:val="clear" w:color="auto" w:fill="FFFFFF"/>
        </w:rPr>
        <w:t>se</w:t>
      </w:r>
      <w:r w:rsidR="00321D3A" w:rsidRPr="0059433B">
        <w:rPr>
          <w:shd w:val="clear" w:color="auto" w:fill="FFFFFF"/>
        </w:rPr>
        <w:t xml:space="preserve"> increments/decrements resulted in an ICER of </w:t>
      </w:r>
      <w:r w:rsidR="007B05CF" w:rsidRPr="007B05CF">
        <w:rPr>
          <w:iCs/>
        </w:rPr>
        <w:t>$355,000</w:t>
      </w:r>
      <w:r w:rsidR="00204E7C">
        <w:t> </w:t>
      </w:r>
      <w:r w:rsidR="007B05CF" w:rsidRPr="007B05CF">
        <w:rPr>
          <w:iCs/>
        </w:rPr>
        <w:t>to</w:t>
      </w:r>
      <w:r w:rsidR="00204E7C">
        <w:rPr>
          <w:iCs/>
        </w:rPr>
        <w:t> </w:t>
      </w:r>
      <w:r w:rsidR="007B05CF" w:rsidRPr="007B05CF">
        <w:rPr>
          <w:iCs/>
        </w:rPr>
        <w:t>&lt;</w:t>
      </w:r>
      <w:r w:rsidR="00204E7C">
        <w:rPr>
          <w:iCs/>
        </w:rPr>
        <w:t> </w:t>
      </w:r>
      <w:r w:rsidR="007B05CF" w:rsidRPr="007B05CF">
        <w:rPr>
          <w:iCs/>
        </w:rPr>
        <w:t>$455,000</w:t>
      </w:r>
      <w:r w:rsidR="007B05CF">
        <w:rPr>
          <w:iCs/>
        </w:rPr>
        <w:t xml:space="preserve"> </w:t>
      </w:r>
      <w:r w:rsidR="00321D3A" w:rsidRPr="0059433B">
        <w:rPr>
          <w:shd w:val="clear" w:color="auto" w:fill="FFFFFF"/>
        </w:rPr>
        <w:t>per QALY gained (</w:t>
      </w:r>
      <w:r w:rsidR="00321D3A" w:rsidRPr="0059433B">
        <w:rPr>
          <w:shd w:val="clear" w:color="auto" w:fill="FFFFFF"/>
        </w:rPr>
        <w:fldChar w:fldCharType="begin" w:fldLock="1"/>
      </w:r>
      <w:r w:rsidR="00321D3A" w:rsidRPr="0059433B">
        <w:rPr>
          <w:shd w:val="clear" w:color="auto" w:fill="FFFFFF"/>
        </w:rPr>
        <w:instrText xml:space="preserve"> REF _Ref132583366 \h </w:instrText>
      </w:r>
      <w:r w:rsidR="00321D3A" w:rsidRPr="0059433B">
        <w:rPr>
          <w:shd w:val="clear" w:color="auto" w:fill="FFFFFF"/>
        </w:rPr>
      </w:r>
      <w:r w:rsidR="00321D3A" w:rsidRPr="0059433B">
        <w:rPr>
          <w:shd w:val="clear" w:color="auto" w:fill="FFFFFF"/>
        </w:rPr>
        <w:fldChar w:fldCharType="separate"/>
      </w:r>
      <w:r w:rsidR="00042B2E" w:rsidRPr="0059433B">
        <w:t>Table 13</w:t>
      </w:r>
      <w:r w:rsidR="00321D3A" w:rsidRPr="0059433B">
        <w:rPr>
          <w:shd w:val="clear" w:color="auto" w:fill="FFFFFF"/>
        </w:rPr>
        <w:fldChar w:fldCharType="end"/>
      </w:r>
      <w:r w:rsidR="00B16440" w:rsidRPr="0059433B">
        <w:rPr>
          <w:shd w:val="clear" w:color="auto" w:fill="FFFFFF"/>
        </w:rPr>
        <w:t xml:space="preserve">; </w:t>
      </w:r>
      <w:r w:rsidR="00B16440" w:rsidRPr="0059433B">
        <w:t>excluding anniversary price reductions</w:t>
      </w:r>
      <w:r w:rsidR="00B16440" w:rsidRPr="0059433B">
        <w:rPr>
          <w:shd w:val="clear" w:color="auto" w:fill="FFFFFF"/>
        </w:rPr>
        <w:t>)</w:t>
      </w:r>
      <w:r w:rsidR="00321D3A" w:rsidRPr="0059433B">
        <w:rPr>
          <w:shd w:val="clear" w:color="auto" w:fill="FFFFFF"/>
        </w:rPr>
        <w:t>.</w:t>
      </w:r>
    </w:p>
    <w:p w14:paraId="3F708ED8" w14:textId="537014FA" w:rsidR="00230CBC" w:rsidRPr="0059433B" w:rsidRDefault="00230CBC" w:rsidP="00230CBC">
      <w:pPr>
        <w:pStyle w:val="COMexecsumnumberedpara"/>
      </w:pPr>
      <w:r w:rsidRPr="0059433B">
        <w:t xml:space="preserve">The PBAC noted that the submission provided a sensitivity analysis incorporating the impact of carer disutilities as discussed in paragraph </w:t>
      </w:r>
      <w:r w:rsidRPr="0059433B">
        <w:fldChar w:fldCharType="begin" w:fldLock="1"/>
      </w:r>
      <w:r w:rsidRPr="0059433B">
        <w:instrText xml:space="preserve"> REF _Ref142323094 \r \h </w:instrText>
      </w:r>
      <w:r w:rsidRPr="0059433B">
        <w:fldChar w:fldCharType="separate"/>
      </w:r>
      <w:r w:rsidR="00042B2E" w:rsidRPr="0059433B">
        <w:t>6.</w:t>
      </w:r>
      <w:r w:rsidR="000C05F6">
        <w:t>78</w:t>
      </w:r>
      <w:r w:rsidRPr="0059433B">
        <w:fldChar w:fldCharType="end"/>
      </w:r>
      <w:r w:rsidRPr="0059433B">
        <w:t>.</w:t>
      </w:r>
      <w:r w:rsidR="00A66278" w:rsidRPr="0059433B">
        <w:t xml:space="preserve"> </w:t>
      </w:r>
      <w:r w:rsidRPr="0059433B">
        <w:t xml:space="preserve">The PBAC noted that disease progression has a significant impact on </w:t>
      </w:r>
      <w:r w:rsidR="00E82C1A" w:rsidRPr="0059433B">
        <w:t>caregivers and</w:t>
      </w:r>
      <w:r w:rsidRPr="0059433B">
        <w:t xml:space="preserve"> considered the sensitivity analysis was informative (</w:t>
      </w:r>
      <w:r w:rsidRPr="0059433B">
        <w:fldChar w:fldCharType="begin" w:fldLock="1"/>
      </w:r>
      <w:r w:rsidRPr="0059433B">
        <w:instrText xml:space="preserve"> REF _Ref132583366 \h  \* MERGEFORMAT </w:instrText>
      </w:r>
      <w:r w:rsidRPr="0059433B">
        <w:fldChar w:fldCharType="separate"/>
      </w:r>
      <w:r w:rsidR="00042B2E" w:rsidRPr="0059433B">
        <w:t>Table 13</w:t>
      </w:r>
      <w:r w:rsidRPr="0059433B">
        <w:fldChar w:fldCharType="end"/>
      </w:r>
      <w:r w:rsidRPr="0059433B">
        <w:t>).</w:t>
      </w:r>
    </w:p>
    <w:p w14:paraId="5E366BB8" w14:textId="27541EE3" w:rsidR="00F126D4" w:rsidRPr="0059433B" w:rsidRDefault="00230CBC" w:rsidP="00230CBC">
      <w:pPr>
        <w:pStyle w:val="COMexecsumnumberedpara"/>
      </w:pPr>
      <w:bookmarkStart w:id="97" w:name="_Ref142376062"/>
      <w:r w:rsidRPr="0059433B">
        <w:t>Notwithstanding the remaining uncertainties with the economic model, but noting</w:t>
      </w:r>
      <w:r w:rsidRPr="0059433B">
        <w:rPr>
          <w:iCs/>
        </w:rPr>
        <w:t xml:space="preserve"> the high unmet clinical need</w:t>
      </w:r>
      <w:r w:rsidR="00512F3E" w:rsidRPr="0059433B">
        <w:rPr>
          <w:iCs/>
        </w:rPr>
        <w:t xml:space="preserve"> in this rare disease</w:t>
      </w:r>
      <w:r w:rsidRPr="0059433B">
        <w:rPr>
          <w:iCs/>
        </w:rPr>
        <w:t xml:space="preserve">, the PBAC foreshadowed that use of a respecified model would be appropriate in a resubmission </w:t>
      </w:r>
      <w:r w:rsidRPr="0059433B">
        <w:t>if (i) the anniversary price reductions were removed (see paragraph</w:t>
      </w:r>
      <w:r w:rsidR="00B71B78" w:rsidRPr="0059433B">
        <w:t xml:space="preserve"> </w:t>
      </w:r>
      <w:r w:rsidR="00B71B78" w:rsidRPr="0059433B">
        <w:fldChar w:fldCharType="begin" w:fldLock="1"/>
      </w:r>
      <w:r w:rsidR="00B71B78" w:rsidRPr="0059433B">
        <w:instrText xml:space="preserve"> REF _Ref142375947 \r \h </w:instrText>
      </w:r>
      <w:r w:rsidR="00B71B78" w:rsidRPr="0059433B">
        <w:fldChar w:fldCharType="separate"/>
      </w:r>
      <w:r w:rsidR="00042B2E" w:rsidRPr="0059433B">
        <w:t>6.6</w:t>
      </w:r>
      <w:r w:rsidR="00E7110A">
        <w:t>4</w:t>
      </w:r>
      <w:r w:rsidR="00B71B78" w:rsidRPr="0059433B">
        <w:fldChar w:fldCharType="end"/>
      </w:r>
      <w:r w:rsidR="00B71B78" w:rsidRPr="0059433B">
        <w:t>)</w:t>
      </w:r>
      <w:r w:rsidRPr="0059433B">
        <w:t xml:space="preserve">; (ii) the treatment-related utility increments and decrements were </w:t>
      </w:r>
      <w:r w:rsidR="00B71B78" w:rsidRPr="0059433B">
        <w:t>halved</w:t>
      </w:r>
      <w:r w:rsidRPr="0059433B">
        <w:t xml:space="preserve"> (see paragraph </w:t>
      </w:r>
      <w:r w:rsidR="00B71B78" w:rsidRPr="0059433B">
        <w:fldChar w:fldCharType="begin" w:fldLock="1"/>
      </w:r>
      <w:r w:rsidR="00B71B78" w:rsidRPr="0059433B">
        <w:instrText xml:space="preserve"> REF _Ref142375967 \r \h </w:instrText>
      </w:r>
      <w:r w:rsidR="00B71B78" w:rsidRPr="0059433B">
        <w:fldChar w:fldCharType="separate"/>
      </w:r>
      <w:r w:rsidR="00042B2E" w:rsidRPr="0059433B">
        <w:t>7.9</w:t>
      </w:r>
      <w:r w:rsidR="00B71B78" w:rsidRPr="0059433B">
        <w:fldChar w:fldCharType="end"/>
      </w:r>
      <w:r w:rsidRPr="0059433B">
        <w:t xml:space="preserve">); </w:t>
      </w:r>
      <w:r w:rsidR="000A0DE6" w:rsidRPr="0059433B">
        <w:t xml:space="preserve">and </w:t>
      </w:r>
      <w:r w:rsidRPr="0059433B">
        <w:t>(iii) the ICER was in the range $220,000-$250,000/QALY.</w:t>
      </w:r>
      <w:bookmarkEnd w:id="97"/>
    </w:p>
    <w:p w14:paraId="29F32099" w14:textId="57E88F65" w:rsidR="00230CBC" w:rsidRPr="0059433B" w:rsidRDefault="00230CBC" w:rsidP="00230CBC">
      <w:pPr>
        <w:pStyle w:val="COMexecsumnumberedpara"/>
      </w:pPr>
      <w:bookmarkStart w:id="98" w:name="_Ref142376755"/>
      <w:r w:rsidRPr="0059433B">
        <w:t xml:space="preserve">With regard to the utilisation estimates, the PBAC considered that the patient population was underestimated by the submission as discussed in </w:t>
      </w:r>
      <w:r w:rsidRPr="0059433B">
        <w:fldChar w:fldCharType="begin" w:fldLock="1"/>
      </w:r>
      <w:r w:rsidRPr="0059433B">
        <w:instrText xml:space="preserve"> REF _Ref142060326 \r \h </w:instrText>
      </w:r>
      <w:r w:rsidRPr="0059433B">
        <w:fldChar w:fldCharType="separate"/>
      </w:r>
      <w:r w:rsidR="00042B2E" w:rsidRPr="0059433B">
        <w:t>6.92</w:t>
      </w:r>
      <w:r w:rsidRPr="0059433B">
        <w:fldChar w:fldCharType="end"/>
      </w:r>
      <w:r w:rsidRPr="0059433B">
        <w:t xml:space="preserve"> and </w:t>
      </w:r>
      <w:r w:rsidRPr="0059433B">
        <w:fldChar w:fldCharType="begin" w:fldLock="1"/>
      </w:r>
      <w:r w:rsidRPr="0059433B">
        <w:instrText xml:space="preserve"> REF _Ref132583404 \h </w:instrText>
      </w:r>
      <w:r w:rsidRPr="0059433B">
        <w:fldChar w:fldCharType="separate"/>
      </w:r>
      <w:r w:rsidR="00042B2E" w:rsidRPr="0059433B">
        <w:t>Table 15</w:t>
      </w:r>
      <w:r w:rsidRPr="0059433B">
        <w:fldChar w:fldCharType="end"/>
      </w:r>
      <w:r w:rsidRPr="0059433B">
        <w:t>.</w:t>
      </w:r>
      <w:r w:rsidR="00A66278" w:rsidRPr="0059433B">
        <w:t xml:space="preserve"> </w:t>
      </w:r>
      <w:r w:rsidRPr="0059433B">
        <w:t xml:space="preserve">The PBAC considered that the revised estimates provided by the pre-PBAC response addressed these concerns, and that additional uncertainty could </w:t>
      </w:r>
      <w:proofErr w:type="gramStart"/>
      <w:r w:rsidRPr="0059433B">
        <w:t>be addressed</w:t>
      </w:r>
      <w:proofErr w:type="gramEnd"/>
      <w:r w:rsidRPr="0059433B">
        <w:t xml:space="preserve"> by a risk sharing arrangement which assumed </w:t>
      </w:r>
      <w:r w:rsidR="00B94620" w:rsidRPr="00296EFE">
        <w:rPr>
          <w:color w:val="000000"/>
          <w:spacing w:val="-130"/>
          <w:w w:val="15"/>
          <w:shd w:val="solid" w:color="000000" w:fill="000000"/>
          <w14:textFill>
            <w14:solidFill>
              <w14:srgbClr w14:val="000000">
                <w14:alpha w14:val="100000"/>
              </w14:srgbClr>
            </w14:solidFill>
          </w14:textFill>
        </w:rPr>
        <w:t>|</w:t>
      </w:r>
      <w:r w:rsidR="00B94620" w:rsidRPr="00AE5881">
        <w:rPr>
          <w:color w:val="000000"/>
          <w:w w:val="15"/>
          <w:shd w:val="solid" w:color="000000" w:fill="000000"/>
          <w14:textFill>
            <w14:solidFill>
              <w14:srgbClr w14:val="000000">
                <w14:alpha w14:val="100000"/>
              </w14:srgbClr>
            </w14:solidFill>
          </w14:textFill>
        </w:rPr>
        <w:t xml:space="preserve">  </w:t>
      </w:r>
      <w:r w:rsidR="00B94620" w:rsidRPr="00296EFE">
        <w:rPr>
          <w:color w:val="000000"/>
          <w:spacing w:val="-69"/>
          <w:w w:val="15"/>
          <w:shd w:val="solid" w:color="000000" w:fill="000000"/>
          <w14:textFill>
            <w14:solidFill>
              <w14:srgbClr w14:val="000000">
                <w14:alpha w14:val="100000"/>
              </w14:srgbClr>
            </w14:solidFill>
          </w14:textFill>
        </w:rPr>
        <w:t>|</w:t>
      </w:r>
      <w:r w:rsidRPr="0059433B">
        <w:t>% rebate for expenditure above agreed caps.</w:t>
      </w:r>
      <w:r w:rsidR="00A66278" w:rsidRPr="0059433B">
        <w:t xml:space="preserve"> </w:t>
      </w:r>
      <w:r w:rsidRPr="0059433B">
        <w:t xml:space="preserve">The PBAC noted that the financial estimates would need to be updated to account for the additional fees and mark-ups associated with private hospital supply </w:t>
      </w:r>
      <w:r w:rsidR="00B71B78" w:rsidRPr="0059433B">
        <w:t xml:space="preserve">(see paragraph </w:t>
      </w:r>
      <w:r w:rsidR="00B71B78" w:rsidRPr="0059433B">
        <w:fldChar w:fldCharType="begin" w:fldLock="1"/>
      </w:r>
      <w:r w:rsidR="00B71B78" w:rsidRPr="0059433B">
        <w:instrText xml:space="preserve"> REF _Ref142376127 \r \h </w:instrText>
      </w:r>
      <w:r w:rsidR="00B71B78" w:rsidRPr="0059433B">
        <w:fldChar w:fldCharType="separate"/>
      </w:r>
      <w:r w:rsidR="00042B2E" w:rsidRPr="0059433B">
        <w:t>3.3</w:t>
      </w:r>
      <w:r w:rsidR="00B71B78" w:rsidRPr="0059433B">
        <w:fldChar w:fldCharType="end"/>
      </w:r>
      <w:r w:rsidR="00B71B78" w:rsidRPr="0059433B">
        <w:t xml:space="preserve">) </w:t>
      </w:r>
      <w:r w:rsidRPr="0059433B">
        <w:t>of patisiran for a proportion of patients treated under the proposed listing (proportion to be estimated and justified by the resubmission)</w:t>
      </w:r>
      <w:r w:rsidR="00B71B78" w:rsidRPr="0059433B">
        <w:t>.</w:t>
      </w:r>
      <w:bookmarkEnd w:id="98"/>
    </w:p>
    <w:p w14:paraId="6F366878" w14:textId="37BA2085" w:rsidR="00230CBC" w:rsidRPr="0059433B" w:rsidRDefault="00230CBC" w:rsidP="00230CBC">
      <w:pPr>
        <w:pStyle w:val="COMexecsumnumberedpara"/>
        <w:rPr>
          <w:color w:val="0066FF"/>
        </w:rPr>
      </w:pPr>
      <w:bookmarkStart w:id="99" w:name="_Ref142376701"/>
      <w:r w:rsidRPr="0059433B">
        <w:lastRenderedPageBreak/>
        <w:t xml:space="preserve">The PBAC considered </w:t>
      </w:r>
      <w:r w:rsidR="00CD7A24" w:rsidRPr="0059433B">
        <w:t xml:space="preserve">the </w:t>
      </w:r>
      <w:r w:rsidR="00556A86" w:rsidRPr="0059433B">
        <w:t>E</w:t>
      </w:r>
      <w:r w:rsidR="00CD7A24" w:rsidRPr="0059433B">
        <w:t xml:space="preserve">arly </w:t>
      </w:r>
      <w:r w:rsidR="00556A86" w:rsidRPr="0059433B">
        <w:t>R</w:t>
      </w:r>
      <w:r w:rsidR="00CD7A24" w:rsidRPr="0059433B">
        <w:t>esolution resubmission</w:t>
      </w:r>
      <w:r w:rsidRPr="0059433B">
        <w:t xml:space="preserve"> should include a proposal to address the uncertain cost-effectiveness of patisiran including consideration of how patisiran is likely to </w:t>
      </w:r>
      <w:proofErr w:type="gramStart"/>
      <w:r w:rsidRPr="0059433B">
        <w:t>be used</w:t>
      </w:r>
      <w:proofErr w:type="gramEnd"/>
      <w:r w:rsidRPr="0059433B">
        <w:t xml:space="preserve"> in clinical practice</w:t>
      </w:r>
      <w:r w:rsidR="00D456F5" w:rsidRPr="0059433B">
        <w:t>.</w:t>
      </w:r>
      <w:r w:rsidR="00A66278" w:rsidRPr="0059433B">
        <w:t xml:space="preserve"> </w:t>
      </w:r>
      <w:r w:rsidR="00D456F5" w:rsidRPr="0059433B">
        <w:t xml:space="preserve">The resubmission </w:t>
      </w:r>
      <w:r w:rsidRPr="0059433B">
        <w:t xml:space="preserve">should include a Risk Sharing Arrangement that includes a rebate above the financial expenditure caps (which the submission proposed), and also includes a </w:t>
      </w:r>
      <w:r w:rsidR="00536818" w:rsidRPr="0059433B">
        <w:t>Managed Access Program (</w:t>
      </w:r>
      <w:r w:rsidRPr="0059433B">
        <w:t>MAP</w:t>
      </w:r>
      <w:r w:rsidR="00536818" w:rsidRPr="0059433B">
        <w:t>)</w:t>
      </w:r>
      <w:r w:rsidRPr="0059433B">
        <w:t xml:space="preserve"> which</w:t>
      </w:r>
      <w:r w:rsidR="002C436F" w:rsidRPr="0059433B">
        <w:t xml:space="preserve"> addresses key uncertainties in the economic model</w:t>
      </w:r>
      <w:r w:rsidR="00536818" w:rsidRPr="0059433B">
        <w:t xml:space="preserve"> including the </w:t>
      </w:r>
      <w:r w:rsidR="00E82C1A" w:rsidRPr="0059433B">
        <w:t>longer-term</w:t>
      </w:r>
      <w:r w:rsidR="00536818" w:rsidRPr="0059433B">
        <w:t xml:space="preserve"> clinical outcomes</w:t>
      </w:r>
      <w:r w:rsidRPr="0059433B">
        <w:t>.</w:t>
      </w:r>
      <w:r w:rsidR="00A66278" w:rsidRPr="0059433B">
        <w:t xml:space="preserve"> </w:t>
      </w:r>
      <w:r w:rsidRPr="0059433B">
        <w:t>The PBAC advised that the sponsor</w:t>
      </w:r>
      <w:r w:rsidR="00536818" w:rsidRPr="0059433B">
        <w:t>’s</w:t>
      </w:r>
      <w:r w:rsidRPr="0059433B">
        <w:t xml:space="preserve"> proposal </w:t>
      </w:r>
      <w:r w:rsidR="00536818" w:rsidRPr="0059433B">
        <w:t>sh</w:t>
      </w:r>
      <w:r w:rsidRPr="0059433B">
        <w:t xml:space="preserve">ould define how </w:t>
      </w:r>
      <w:r w:rsidR="002C436F" w:rsidRPr="0059433B">
        <w:t>the additional</w:t>
      </w:r>
      <w:r w:rsidRPr="0059433B">
        <w:t xml:space="preserve"> data could </w:t>
      </w:r>
      <w:proofErr w:type="gramStart"/>
      <w:r w:rsidRPr="0059433B">
        <w:t xml:space="preserve">be </w:t>
      </w:r>
      <w:r w:rsidR="00536818" w:rsidRPr="0059433B">
        <w:t>incorporated</w:t>
      </w:r>
      <w:proofErr w:type="gramEnd"/>
      <w:r w:rsidRPr="0059433B">
        <w:t xml:space="preserve"> in the economic model in the future to </w:t>
      </w:r>
      <w:r w:rsidR="00536818" w:rsidRPr="0059433B">
        <w:t xml:space="preserve">better </w:t>
      </w:r>
      <w:r w:rsidRPr="0059433B">
        <w:t xml:space="preserve">assess the cost-effectiveness of patisiran. </w:t>
      </w:r>
      <w:r w:rsidR="00512F3E" w:rsidRPr="0059433B">
        <w:t>The PBAC considered that the proposal should focus on clinical outcomes that have a significant effect on cost effectiveness in the submission's economic model, such as survival and PND score.</w:t>
      </w:r>
      <w:r w:rsidR="00A66278" w:rsidRPr="0059433B">
        <w:t xml:space="preserve"> </w:t>
      </w:r>
      <w:r w:rsidRPr="0059433B">
        <w:t>The PBAC considered this reassessment of cost-effectiveness should occur within 3 to 5</w:t>
      </w:r>
      <w:r w:rsidR="00C66247">
        <w:t> </w:t>
      </w:r>
      <w:r w:rsidRPr="0059433B">
        <w:t>years after PBS listing</w:t>
      </w:r>
      <w:r w:rsidR="00B71B78" w:rsidRPr="0059433B">
        <w:t>.</w:t>
      </w:r>
      <w:bookmarkEnd w:id="99"/>
    </w:p>
    <w:p w14:paraId="34E83464" w14:textId="68AE84EC" w:rsidR="00556A86" w:rsidRPr="0059433B" w:rsidRDefault="00556A86" w:rsidP="000A0DE6">
      <w:pPr>
        <w:pStyle w:val="COMexecsumnumberedpara"/>
        <w:rPr>
          <w:color w:val="0066FF"/>
        </w:rPr>
      </w:pPr>
      <w:r w:rsidRPr="0059433B">
        <w:t xml:space="preserve">The PBAC considered it would be valuable to seek input from the AAN regarding the data that could feasibly </w:t>
      </w:r>
      <w:proofErr w:type="gramStart"/>
      <w:r w:rsidRPr="0059433B">
        <w:t>be collected</w:t>
      </w:r>
      <w:proofErr w:type="gramEnd"/>
      <w:r w:rsidRPr="0059433B">
        <w:t xml:space="preserve"> as part of a MAP.</w:t>
      </w:r>
    </w:p>
    <w:p w14:paraId="26A47EC3" w14:textId="2B69E525" w:rsidR="000A0DE6" w:rsidRPr="0059433B" w:rsidRDefault="000A0DE6" w:rsidP="000A0DE6">
      <w:pPr>
        <w:pStyle w:val="COMexecsumnumberedpara"/>
        <w:rPr>
          <w:color w:val="0066FF"/>
        </w:rPr>
      </w:pPr>
      <w:bookmarkStart w:id="100" w:name="_Ref142472327"/>
      <w:r w:rsidRPr="0059433B">
        <w:rPr>
          <w:iCs/>
        </w:rPr>
        <w:t xml:space="preserve">The PBAC considered that updated information from </w:t>
      </w:r>
      <w:r w:rsidR="00672BBD" w:rsidRPr="0059433B">
        <w:rPr>
          <w:iCs/>
        </w:rPr>
        <w:t xml:space="preserve">ongoing global clinical trials may be informative regarding long term effects of patisiran and could </w:t>
      </w:r>
      <w:proofErr w:type="gramStart"/>
      <w:r w:rsidR="00672BBD" w:rsidRPr="0059433B">
        <w:rPr>
          <w:iCs/>
        </w:rPr>
        <w:t>be proposed</w:t>
      </w:r>
      <w:proofErr w:type="gramEnd"/>
      <w:r w:rsidR="00672BBD" w:rsidRPr="0059433B">
        <w:rPr>
          <w:iCs/>
        </w:rPr>
        <w:t xml:space="preserve"> for consideration in a MAP.</w:t>
      </w:r>
      <w:r w:rsidR="00A66278" w:rsidRPr="0059433B">
        <w:rPr>
          <w:iCs/>
        </w:rPr>
        <w:t xml:space="preserve"> </w:t>
      </w:r>
      <w:r w:rsidR="00672BBD" w:rsidRPr="0059433B">
        <w:rPr>
          <w:iCs/>
        </w:rPr>
        <w:t xml:space="preserve">It </w:t>
      </w:r>
      <w:proofErr w:type="gramStart"/>
      <w:r w:rsidR="00672BBD" w:rsidRPr="0059433B">
        <w:rPr>
          <w:iCs/>
        </w:rPr>
        <w:t>was noted</w:t>
      </w:r>
      <w:proofErr w:type="gramEnd"/>
      <w:r w:rsidR="00672BBD" w:rsidRPr="0059433B">
        <w:rPr>
          <w:iCs/>
        </w:rPr>
        <w:t xml:space="preserve"> that for the Global OLE study </w:t>
      </w:r>
      <w:r w:rsidR="00672BBD" w:rsidRPr="0059433B">
        <w:t xml:space="preserve">(N=211), </w:t>
      </w:r>
      <w:r w:rsidR="00672BBD" w:rsidRPr="0059433B">
        <w:rPr>
          <w:iCs/>
        </w:rPr>
        <w:t xml:space="preserve">the </w:t>
      </w:r>
      <w:r w:rsidRPr="0059433B">
        <w:t>most recent data cut provided in the submission was from January 2021 at which time 70% of patients were ongoing in the trial (148 of 211).</w:t>
      </w:r>
      <w:bookmarkEnd w:id="100"/>
    </w:p>
    <w:p w14:paraId="768E281A" w14:textId="77777777" w:rsidR="00F126D4" w:rsidRPr="0059433B" w:rsidRDefault="00230CBC" w:rsidP="00230CBC">
      <w:pPr>
        <w:pStyle w:val="COMexecsumnumberedpara"/>
      </w:pPr>
      <w:r w:rsidRPr="0059433B">
        <w:t xml:space="preserve">The PBAC considered the outstanding issues could </w:t>
      </w:r>
      <w:proofErr w:type="gramStart"/>
      <w:r w:rsidRPr="0059433B">
        <w:t>be resolved</w:t>
      </w:r>
      <w:proofErr w:type="gramEnd"/>
      <w:r w:rsidRPr="0059433B">
        <w:t xml:space="preserve"> in a simple resubmission for patisiran. The PBAC also considered patisiran addresses a high and urgent unmet clinical need and </w:t>
      </w:r>
      <w:proofErr w:type="gramStart"/>
      <w:r w:rsidRPr="0059433B">
        <w:t>was expected</w:t>
      </w:r>
      <w:proofErr w:type="gramEnd"/>
      <w:r w:rsidRPr="0059433B">
        <w:t xml:space="preserve"> to provide a substantial and clinically relevant improvement in efficacy/reduction of toxicity, over any alternative therapies. Therefore, the PBAC considered an early resolution pathway would be acceptable. If the sponsor accepts this pathway, the following changes may address these outstanding issues without requiring further re-evaluation.</w:t>
      </w:r>
    </w:p>
    <w:p w14:paraId="514A239F" w14:textId="77777777" w:rsidR="00F126D4" w:rsidRPr="0059433B" w:rsidRDefault="00230CBC" w:rsidP="00230CBC">
      <w:pPr>
        <w:pStyle w:val="ListParagraph"/>
        <w:widowControl w:val="0"/>
        <w:numPr>
          <w:ilvl w:val="0"/>
          <w:numId w:val="12"/>
        </w:numPr>
        <w:spacing w:after="160"/>
        <w:ind w:left="1134" w:hanging="425"/>
      </w:pPr>
      <w:r w:rsidRPr="0059433B">
        <w:t xml:space="preserve">Revision of inputs in the economic model outlined in paragraph </w:t>
      </w:r>
      <w:r w:rsidR="00983397" w:rsidRPr="0059433B">
        <w:fldChar w:fldCharType="begin" w:fldLock="1"/>
      </w:r>
      <w:r w:rsidR="00983397" w:rsidRPr="0059433B">
        <w:instrText xml:space="preserve"> REF _Ref142376062 \r \h </w:instrText>
      </w:r>
      <w:r w:rsidR="00983397" w:rsidRPr="0059433B">
        <w:fldChar w:fldCharType="separate"/>
      </w:r>
      <w:r w:rsidR="00042B2E" w:rsidRPr="0059433B">
        <w:t>7.11</w:t>
      </w:r>
      <w:r w:rsidR="00983397" w:rsidRPr="0059433B">
        <w:fldChar w:fldCharType="end"/>
      </w:r>
      <w:r w:rsidRPr="0059433B">
        <w:t>.</w:t>
      </w:r>
    </w:p>
    <w:p w14:paraId="1886F336" w14:textId="77777777" w:rsidR="00F126D4" w:rsidRPr="0059433B" w:rsidRDefault="00230CBC" w:rsidP="00230CBC">
      <w:pPr>
        <w:pStyle w:val="ListParagraph"/>
        <w:widowControl w:val="0"/>
        <w:numPr>
          <w:ilvl w:val="0"/>
          <w:numId w:val="12"/>
        </w:numPr>
        <w:spacing w:after="160"/>
        <w:ind w:left="1134" w:hanging="425"/>
      </w:pPr>
      <w:r w:rsidRPr="0059433B">
        <w:t xml:space="preserve">Revision of the financial estimates as discussed in paragraph </w:t>
      </w:r>
      <w:r w:rsidR="00983397" w:rsidRPr="0059433B">
        <w:fldChar w:fldCharType="begin" w:fldLock="1"/>
      </w:r>
      <w:r w:rsidR="00983397" w:rsidRPr="0059433B">
        <w:instrText xml:space="preserve"> REF _Ref142376755 \r \h </w:instrText>
      </w:r>
      <w:r w:rsidR="00983397" w:rsidRPr="0059433B">
        <w:fldChar w:fldCharType="separate"/>
      </w:r>
      <w:r w:rsidR="00042B2E" w:rsidRPr="0059433B">
        <w:t>7.12</w:t>
      </w:r>
      <w:r w:rsidR="00983397" w:rsidRPr="0059433B">
        <w:fldChar w:fldCharType="end"/>
      </w:r>
      <w:r w:rsidRPr="0059433B">
        <w:t xml:space="preserve"> and recalculation of the financial implications using the revised patisiran price.</w:t>
      </w:r>
    </w:p>
    <w:p w14:paraId="021FE67D" w14:textId="24457ADB" w:rsidR="00F07E6E" w:rsidRPr="0059433B" w:rsidRDefault="00F07E6E" w:rsidP="00F07E6E">
      <w:pPr>
        <w:pStyle w:val="ListParagraph"/>
        <w:widowControl w:val="0"/>
        <w:numPr>
          <w:ilvl w:val="0"/>
          <w:numId w:val="12"/>
        </w:numPr>
        <w:spacing w:after="160"/>
        <w:ind w:left="1134" w:hanging="425"/>
      </w:pPr>
      <w:r w:rsidRPr="0059433B">
        <w:t xml:space="preserve">Submit a proposal for a managed access program (MAP) to address PBAC’s concern regarding </w:t>
      </w:r>
      <w:r w:rsidR="00536818" w:rsidRPr="0059433B">
        <w:t>the uncertain cost-effectiveness</w:t>
      </w:r>
      <w:r w:rsidRPr="0059433B">
        <w:t xml:space="preserve"> as discussed in paragraphs </w:t>
      </w:r>
      <w:r w:rsidRPr="0059433B">
        <w:fldChar w:fldCharType="begin" w:fldLock="1"/>
      </w:r>
      <w:r w:rsidRPr="0059433B">
        <w:instrText xml:space="preserve"> REF _Ref142376701 \r \h </w:instrText>
      </w:r>
      <w:r w:rsidRPr="0059433B">
        <w:fldChar w:fldCharType="separate"/>
      </w:r>
      <w:r w:rsidR="00042B2E" w:rsidRPr="0059433B">
        <w:t>7.13</w:t>
      </w:r>
      <w:r w:rsidRPr="0059433B">
        <w:fldChar w:fldCharType="end"/>
      </w:r>
      <w:r w:rsidRPr="0059433B">
        <w:t xml:space="preserve"> to</w:t>
      </w:r>
      <w:r w:rsidR="00672BBD" w:rsidRPr="0059433B">
        <w:t xml:space="preserve"> </w:t>
      </w:r>
      <w:r w:rsidR="00672BBD" w:rsidRPr="0059433B">
        <w:fldChar w:fldCharType="begin" w:fldLock="1"/>
      </w:r>
      <w:r w:rsidR="00672BBD" w:rsidRPr="0059433B">
        <w:instrText xml:space="preserve"> REF _Ref142472327 \r \h </w:instrText>
      </w:r>
      <w:r w:rsidR="00672BBD" w:rsidRPr="0059433B">
        <w:fldChar w:fldCharType="separate"/>
      </w:r>
      <w:r w:rsidR="00042B2E" w:rsidRPr="0059433B">
        <w:t>7.15</w:t>
      </w:r>
      <w:r w:rsidR="00672BBD" w:rsidRPr="0059433B">
        <w:fldChar w:fldCharType="end"/>
      </w:r>
      <w:r w:rsidR="00672BBD" w:rsidRPr="0059433B">
        <w:t>)</w:t>
      </w:r>
      <w:r w:rsidRPr="0059433B">
        <w:t>.</w:t>
      </w:r>
    </w:p>
    <w:p w14:paraId="45F3B487" w14:textId="77777777" w:rsidR="00230CBC" w:rsidRPr="0059433B" w:rsidRDefault="00230CBC" w:rsidP="00230CBC">
      <w:pPr>
        <w:pStyle w:val="ExecSumBodyText"/>
        <w:numPr>
          <w:ilvl w:val="1"/>
          <w:numId w:val="1"/>
        </w:numPr>
      </w:pPr>
      <w:r w:rsidRPr="0059433B">
        <w:t xml:space="preserve">The early resolution resubmission must be lodged by week </w:t>
      </w:r>
      <w:proofErr w:type="gramStart"/>
      <w:r w:rsidRPr="0059433B">
        <w:t>7</w:t>
      </w:r>
      <w:proofErr w:type="gramEnd"/>
      <w:r w:rsidRPr="0059433B">
        <w:t xml:space="preserve"> of the current PBAC cycle or the next cycle. If the issues cannot </w:t>
      </w:r>
      <w:proofErr w:type="gramStart"/>
      <w:r w:rsidRPr="0059433B">
        <w:t>be addressed</w:t>
      </w:r>
      <w:proofErr w:type="gramEnd"/>
      <w:r w:rsidRPr="0059433B">
        <w:t xml:space="preserve"> by the sponsor in a simple resubmission and the early resolution timing is not acceptable, a standard re-entry pathway is available.</w:t>
      </w:r>
    </w:p>
    <w:bookmarkEnd w:id="94"/>
    <w:p w14:paraId="316182B3" w14:textId="21018292" w:rsidR="00230CBC" w:rsidRPr="0059433B" w:rsidRDefault="00230CBC" w:rsidP="00F27B5E">
      <w:pPr>
        <w:pStyle w:val="COMexecsumnumberedpara"/>
        <w:widowControl w:val="0"/>
        <w:numPr>
          <w:ilvl w:val="1"/>
          <w:numId w:val="26"/>
        </w:numPr>
      </w:pPr>
      <w:r w:rsidRPr="0059433B">
        <w:lastRenderedPageBreak/>
        <w:t>The PBAC gave the following advice with regard to the restriction</w:t>
      </w:r>
      <w:r w:rsidR="00E57E59" w:rsidRPr="0059433B">
        <w:t>:</w:t>
      </w:r>
    </w:p>
    <w:p w14:paraId="04DFD6D6" w14:textId="0EEA624F" w:rsidR="00230CBC" w:rsidRPr="0059433B" w:rsidRDefault="00230CBC" w:rsidP="00230CBC">
      <w:pPr>
        <w:pStyle w:val="ListParagraph"/>
        <w:widowControl w:val="0"/>
        <w:numPr>
          <w:ilvl w:val="0"/>
          <w:numId w:val="12"/>
        </w:numPr>
        <w:spacing w:after="160"/>
        <w:ind w:left="1134" w:hanging="425"/>
      </w:pPr>
      <w:r w:rsidRPr="0059433B">
        <w:t xml:space="preserve">The proposed restriction is </w:t>
      </w:r>
      <w:proofErr w:type="gramStart"/>
      <w:r w:rsidRPr="0059433B">
        <w:t>generally consistent</w:t>
      </w:r>
      <w:proofErr w:type="gramEnd"/>
      <w:r w:rsidRPr="0059433B">
        <w:t xml:space="preserve"> with the eligibility criteria for the pivotal patisiran study (APOLLO), although the trial also excluded patients with a previous liver transplant, and patients with New York Heart Association (NYHA) heart failure classification of &gt;2.</w:t>
      </w:r>
      <w:r w:rsidR="00A66278" w:rsidRPr="0059433B">
        <w:t xml:space="preserve"> </w:t>
      </w:r>
      <w:r w:rsidRPr="0059433B">
        <w:t xml:space="preserve">The PBAC considered the proposed restriction should include these criteria for consistency with the trial population (see paragraph </w:t>
      </w:r>
      <w:r w:rsidRPr="0059433B">
        <w:fldChar w:fldCharType="begin" w:fldLock="1"/>
      </w:r>
      <w:r w:rsidRPr="0059433B">
        <w:instrText xml:space="preserve"> REF _Ref142312312 \r \h  \* MERGEFORMAT </w:instrText>
      </w:r>
      <w:r w:rsidRPr="0059433B">
        <w:fldChar w:fldCharType="separate"/>
      </w:r>
      <w:r w:rsidR="00042B2E" w:rsidRPr="0059433B">
        <w:t>3.13</w:t>
      </w:r>
      <w:r w:rsidRPr="0059433B">
        <w:fldChar w:fldCharType="end"/>
      </w:r>
      <w:r w:rsidRPr="0059433B">
        <w:t>).</w:t>
      </w:r>
    </w:p>
    <w:p w14:paraId="38978ED5" w14:textId="77777777" w:rsidR="00F126D4" w:rsidRPr="0059433B" w:rsidRDefault="00230CBC" w:rsidP="00230CBC">
      <w:pPr>
        <w:pStyle w:val="ListParagraph"/>
        <w:widowControl w:val="0"/>
        <w:numPr>
          <w:ilvl w:val="0"/>
          <w:numId w:val="12"/>
        </w:numPr>
        <w:spacing w:after="160"/>
        <w:ind w:left="1134" w:hanging="425"/>
      </w:pPr>
      <w:r w:rsidRPr="0059433B">
        <w:t xml:space="preserve">Treatment with patisiran should </w:t>
      </w:r>
      <w:proofErr w:type="gramStart"/>
      <w:r w:rsidRPr="0059433B">
        <w:t>be initiated</w:t>
      </w:r>
      <w:proofErr w:type="gramEnd"/>
      <w:r w:rsidRPr="0059433B">
        <w:t xml:space="preserve"> by neurologists </w:t>
      </w:r>
      <w:r w:rsidR="00E57E59" w:rsidRPr="0059433B">
        <w:t xml:space="preserve">or by clinicians experienced in the treatment of amyloid with neurologist input </w:t>
      </w:r>
      <w:r w:rsidRPr="0059433B">
        <w:t>to ensure correct diagnosis.</w:t>
      </w:r>
    </w:p>
    <w:p w14:paraId="5DD83293" w14:textId="4C3E0421" w:rsidR="00230CBC" w:rsidRPr="0059433B" w:rsidRDefault="00230CBC" w:rsidP="00230CBC">
      <w:pPr>
        <w:pStyle w:val="ListParagraph"/>
        <w:widowControl w:val="0"/>
        <w:numPr>
          <w:ilvl w:val="0"/>
          <w:numId w:val="12"/>
        </w:numPr>
        <w:spacing w:after="160"/>
        <w:ind w:left="1134" w:hanging="425"/>
      </w:pPr>
      <w:r w:rsidRPr="0059433B">
        <w:t xml:space="preserve">It is unclear whether access to patisiran should </w:t>
      </w:r>
      <w:proofErr w:type="gramStart"/>
      <w:r w:rsidRPr="0059433B">
        <w:t>be limited</w:t>
      </w:r>
      <w:proofErr w:type="gramEnd"/>
      <w:r w:rsidRPr="0059433B">
        <w:t xml:space="preserve"> to clinical centres that are affiliated with the AAN.</w:t>
      </w:r>
      <w:r w:rsidR="00A66278" w:rsidRPr="0059433B">
        <w:t xml:space="preserve"> </w:t>
      </w:r>
      <w:r w:rsidRPr="0059433B">
        <w:t xml:space="preserve">The sponsor </w:t>
      </w:r>
      <w:proofErr w:type="gramStart"/>
      <w:r w:rsidRPr="0059433B">
        <w:t>is asked</w:t>
      </w:r>
      <w:proofErr w:type="gramEnd"/>
      <w:r w:rsidRPr="0059433B">
        <w:t xml:space="preserve"> to address this matter as part of the proposed MAP </w:t>
      </w:r>
      <w:r w:rsidR="00E82C1A" w:rsidRPr="0059433B">
        <w:t>proposal and</w:t>
      </w:r>
      <w:r w:rsidRPr="0059433B">
        <w:t xml:space="preserve"> add this information to the proposed restriction if applicable.</w:t>
      </w:r>
    </w:p>
    <w:p w14:paraId="4A19228B" w14:textId="77777777" w:rsidR="00230CBC" w:rsidRPr="0059433B" w:rsidRDefault="00230CBC" w:rsidP="00230CBC">
      <w:pPr>
        <w:pStyle w:val="ListParagraph"/>
        <w:widowControl w:val="0"/>
        <w:numPr>
          <w:ilvl w:val="0"/>
          <w:numId w:val="12"/>
        </w:numPr>
        <w:spacing w:after="160"/>
        <w:ind w:left="1134" w:hanging="425"/>
      </w:pPr>
      <w:r w:rsidRPr="0059433B">
        <w:t>The restriction should specify relevant information in the prescriber instructions concerning the clinical staging scales relevant to determining eligibility and ongoing treatment benefit.</w:t>
      </w:r>
    </w:p>
    <w:p w14:paraId="1197CA8E" w14:textId="71FD4F45" w:rsidR="00230CBC" w:rsidRPr="0059433B" w:rsidRDefault="00230CBC" w:rsidP="000A0DE6">
      <w:pPr>
        <w:pStyle w:val="ListParagraph"/>
        <w:widowControl w:val="0"/>
        <w:numPr>
          <w:ilvl w:val="0"/>
          <w:numId w:val="12"/>
        </w:numPr>
        <w:spacing w:after="160"/>
        <w:ind w:left="1134" w:hanging="425"/>
      </w:pPr>
      <w:r w:rsidRPr="0059433B">
        <w:t xml:space="preserve">A grandfather restriction will </w:t>
      </w:r>
      <w:proofErr w:type="gramStart"/>
      <w:r w:rsidRPr="0059433B">
        <w:t>be required</w:t>
      </w:r>
      <w:proofErr w:type="gramEnd"/>
      <w:r w:rsidRPr="0059433B">
        <w:t xml:space="preserve"> (see paragraph </w:t>
      </w:r>
      <w:r w:rsidRPr="0059433B">
        <w:fldChar w:fldCharType="begin" w:fldLock="1"/>
      </w:r>
      <w:r w:rsidRPr="0059433B">
        <w:instrText xml:space="preserve"> REF _Ref142312251 \r \h  \* MERGEFORMAT </w:instrText>
      </w:r>
      <w:r w:rsidRPr="0059433B">
        <w:fldChar w:fldCharType="separate"/>
      </w:r>
      <w:r w:rsidR="00042B2E" w:rsidRPr="0059433B">
        <w:t>3.11</w:t>
      </w:r>
      <w:r w:rsidRPr="0059433B">
        <w:fldChar w:fldCharType="end"/>
      </w:r>
      <w:r w:rsidRPr="0059433B">
        <w:t>)</w:t>
      </w:r>
    </w:p>
    <w:p w14:paraId="60CACEC9" w14:textId="77777777" w:rsidR="00F126D4" w:rsidRPr="0059433B" w:rsidRDefault="00230CBC" w:rsidP="00F27B5E">
      <w:pPr>
        <w:pStyle w:val="COMexecsumnumberedpara"/>
        <w:rPr>
          <w:bCs/>
        </w:rPr>
      </w:pPr>
      <w:r w:rsidRPr="0059433B">
        <w:rPr>
          <w:bCs/>
        </w:rPr>
        <w:t>The PBAC noted that this submission is eligible for an Independent Review.</w:t>
      </w:r>
    </w:p>
    <w:p w14:paraId="16721213" w14:textId="294F4305" w:rsidR="00230CBC" w:rsidRPr="0059433B" w:rsidRDefault="00230CBC" w:rsidP="00230CBC">
      <w:pPr>
        <w:spacing w:before="240"/>
        <w:rPr>
          <w:rFonts w:asciiTheme="minorHAnsi" w:hAnsiTheme="minorHAnsi"/>
          <w:b/>
          <w:bCs/>
          <w:snapToGrid w:val="0"/>
        </w:rPr>
      </w:pPr>
      <w:r w:rsidRPr="0059433B">
        <w:rPr>
          <w:rFonts w:asciiTheme="minorHAnsi" w:hAnsiTheme="minorHAnsi"/>
          <w:b/>
          <w:bCs/>
          <w:snapToGrid w:val="0"/>
        </w:rPr>
        <w:t>Outcome:</w:t>
      </w:r>
    </w:p>
    <w:p w14:paraId="49DC9233" w14:textId="722F02E3" w:rsidR="00F126D4" w:rsidRDefault="00230CBC" w:rsidP="00230CBC">
      <w:pPr>
        <w:rPr>
          <w:rFonts w:asciiTheme="minorHAnsi" w:hAnsiTheme="minorHAnsi"/>
          <w:bCs/>
          <w:snapToGrid w:val="0"/>
        </w:rPr>
      </w:pPr>
      <w:r w:rsidRPr="0059433B">
        <w:rPr>
          <w:rFonts w:asciiTheme="minorHAnsi" w:hAnsiTheme="minorHAnsi"/>
          <w:bCs/>
          <w:snapToGrid w:val="0"/>
        </w:rPr>
        <w:t>Not recommended</w:t>
      </w:r>
    </w:p>
    <w:p w14:paraId="6AA018E9" w14:textId="421EAF64" w:rsidR="002A37AD" w:rsidRDefault="002A37AD" w:rsidP="00204E7C">
      <w:pPr>
        <w:pStyle w:val="COMH1numbered"/>
        <w:rPr>
          <w:bCs/>
          <w:lang w:val="en-GB"/>
        </w:rPr>
      </w:pPr>
      <w:r w:rsidRPr="00C07617">
        <w:t>Context for Decision</w:t>
      </w:r>
    </w:p>
    <w:p w14:paraId="1AE89690" w14:textId="77777777" w:rsidR="002A37AD" w:rsidRPr="007129F2" w:rsidRDefault="002A37AD" w:rsidP="00204E7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E4C5B6" w14:textId="366BA6E9" w:rsidR="002A37AD" w:rsidRPr="00C07617" w:rsidRDefault="002A37AD" w:rsidP="00204E7C">
      <w:pPr>
        <w:pStyle w:val="COMH1numbered"/>
      </w:pPr>
      <w:r>
        <w:t>Sponsor’s Comment</w:t>
      </w:r>
    </w:p>
    <w:p w14:paraId="63E99095" w14:textId="002DCEE7" w:rsidR="00D82049" w:rsidRDefault="002A37AD" w:rsidP="00204E7C">
      <w:pPr>
        <w:spacing w:after="120"/>
        <w:ind w:left="426" w:firstLine="294"/>
        <w:rPr>
          <w:rFonts w:asciiTheme="minorHAnsi" w:hAnsiTheme="minorHAnsi"/>
          <w:bCs/>
        </w:rPr>
      </w:pPr>
      <w:r w:rsidRPr="00C07617">
        <w:rPr>
          <w:rFonts w:asciiTheme="minorHAnsi" w:hAnsiTheme="minorHAnsi"/>
          <w:bCs/>
        </w:rPr>
        <w:t>The sponsor had no comment.</w:t>
      </w:r>
    </w:p>
    <w:p w14:paraId="78672811" w14:textId="77777777" w:rsidR="00D82049" w:rsidRDefault="00D82049">
      <w:pPr>
        <w:spacing w:after="160" w:line="259" w:lineRule="auto"/>
        <w:jc w:val="left"/>
        <w:rPr>
          <w:rFonts w:asciiTheme="minorHAnsi" w:hAnsiTheme="minorHAnsi"/>
          <w:bCs/>
        </w:rPr>
      </w:pPr>
      <w:r>
        <w:rPr>
          <w:rFonts w:asciiTheme="minorHAnsi" w:hAnsiTheme="minorHAnsi"/>
          <w:bCs/>
        </w:rPr>
        <w:br w:type="page"/>
      </w:r>
    </w:p>
    <w:p w14:paraId="0508FB06" w14:textId="77777777" w:rsidR="00D82049" w:rsidRPr="008A255E" w:rsidRDefault="00D82049" w:rsidP="00B80329">
      <w:pPr>
        <w:pStyle w:val="1-MainHeading"/>
        <w:rPr>
          <w:color w:val="FF0000"/>
          <w:sz w:val="28"/>
          <w:szCs w:val="28"/>
        </w:rPr>
      </w:pPr>
      <w:r w:rsidRPr="008A255E">
        <w:rPr>
          <w:color w:val="FF0000"/>
          <w:sz w:val="28"/>
          <w:szCs w:val="28"/>
        </w:rPr>
        <w:lastRenderedPageBreak/>
        <w:t xml:space="preserve">Addendum to the July 2023 PBAC PSD: </w:t>
      </w:r>
    </w:p>
    <w:bookmarkEnd w:id="1"/>
    <w:p w14:paraId="3385B697" w14:textId="77777777" w:rsidR="00D82049" w:rsidRPr="00936C32" w:rsidRDefault="00D82049" w:rsidP="00D82049">
      <w:pPr>
        <w:pStyle w:val="COMH1-non-numbered"/>
      </w:pPr>
      <w:r w:rsidRPr="00936C32">
        <w:t>7.01</w:t>
      </w:r>
      <w:r w:rsidRPr="00936C32">
        <w:tab/>
        <w:t>PATISIRAN,</w:t>
      </w:r>
      <w:r w:rsidRPr="00936C32">
        <w:br/>
        <w:t>Solution concentrate for I.V. infusion 10 mg in 5 mL,</w:t>
      </w:r>
      <w:r w:rsidRPr="00936C32">
        <w:br/>
        <w:t>Onpattro®,</w:t>
      </w:r>
      <w:r w:rsidRPr="00936C32">
        <w:br/>
        <w:t>Alnylam Australia Pty Ltd</w:t>
      </w:r>
    </w:p>
    <w:p w14:paraId="2BBA9506" w14:textId="77777777" w:rsidR="00D82049" w:rsidRPr="00936C32" w:rsidRDefault="00D82049" w:rsidP="00D82049">
      <w:pPr>
        <w:pStyle w:val="COMH1numbered"/>
      </w:pPr>
      <w:r w:rsidRPr="00936C32">
        <w:t>Background</w:t>
      </w:r>
    </w:p>
    <w:p w14:paraId="2FF3DCAD" w14:textId="5B129CF9" w:rsidR="00D82049" w:rsidRPr="00936C32" w:rsidRDefault="00D82049" w:rsidP="00CD319F">
      <w:pPr>
        <w:pStyle w:val="COMexecsumnumberedpara"/>
        <w:numPr>
          <w:ilvl w:val="1"/>
          <w:numId w:val="33"/>
        </w:numPr>
      </w:pPr>
      <w:r w:rsidRPr="00936C32">
        <w:t>The early resolution resubmission requested a Section 100 (Highly Specialised Drugs Program) Authority Required (Written) listing for patisiran for the treatment of hATTR</w:t>
      </w:r>
      <w:r>
        <w:t xml:space="preserve"> </w:t>
      </w:r>
      <w:r w:rsidRPr="00936C32">
        <w:t xml:space="preserve">amyloidosis in adult patients with stage 1 or stage 2 polyneuropathy. Patisiran </w:t>
      </w:r>
      <w:proofErr w:type="gramStart"/>
      <w:r w:rsidRPr="00936C32">
        <w:t>was considered</w:t>
      </w:r>
      <w:proofErr w:type="gramEnd"/>
      <w:r w:rsidRPr="00936C32">
        <w:t xml:space="preserve"> by the PBAC and not recommended for PBS listing at the July 2023 meeting. The PBAC </w:t>
      </w:r>
      <w:bookmarkStart w:id="101" w:name="_Hlk120866835"/>
      <w:r w:rsidRPr="00936C32">
        <w:t xml:space="preserve">considered there was a high unmet need in the requested patient population, and that efficacy and safety of patisiran compared with BSC had </w:t>
      </w:r>
      <w:proofErr w:type="gramStart"/>
      <w:r w:rsidRPr="00936C32">
        <w:t>been demonstrated</w:t>
      </w:r>
      <w:proofErr w:type="gramEnd"/>
      <w:r w:rsidRPr="00936C32">
        <w:t xml:space="preserve"> by the clinical evidence, although there was a limited duration of randomised evidence. The PBAC considered that the submission had not demonstrated patisiran was cost</w:t>
      </w:r>
      <w:r w:rsidRPr="00936C32">
        <w:noBreakHyphen/>
        <w:t>effective.</w:t>
      </w:r>
      <w:bookmarkEnd w:id="101"/>
      <w:r w:rsidR="009B0FC8">
        <w:t xml:space="preserve"> </w:t>
      </w:r>
      <w:r w:rsidRPr="00936C32">
        <w:t xml:space="preserve">The PBAC considered that the outstanding issues could </w:t>
      </w:r>
      <w:proofErr w:type="gramStart"/>
      <w:r w:rsidRPr="00936C32">
        <w:t>be addressed</w:t>
      </w:r>
      <w:proofErr w:type="gramEnd"/>
      <w:r w:rsidRPr="00936C32">
        <w:t xml:space="preserve"> using the early resolution pathway if the matters were addressed as outlined in </w:t>
      </w:r>
      <w:r w:rsidRPr="00936C32">
        <w:fldChar w:fldCharType="begin" w:fldLock="1"/>
      </w:r>
      <w:r w:rsidRPr="00936C32">
        <w:instrText xml:space="preserve"> REF _Ref146064139 \h </w:instrText>
      </w:r>
      <w:r w:rsidRPr="00936C32">
        <w:fldChar w:fldCharType="separate"/>
      </w:r>
      <w:r w:rsidRPr="00936C32">
        <w:t>Table 18</w:t>
      </w:r>
      <w:r w:rsidRPr="00936C32">
        <w:fldChar w:fldCharType="end"/>
      </w:r>
      <w:r w:rsidRPr="00936C32">
        <w:t xml:space="preserve">. A summary of the resubmission’s approach to these matters </w:t>
      </w:r>
      <w:proofErr w:type="gramStart"/>
      <w:r w:rsidRPr="00936C32">
        <w:t>is also provided</w:t>
      </w:r>
      <w:proofErr w:type="gramEnd"/>
      <w:r w:rsidRPr="00936C32">
        <w:t xml:space="preserve"> in </w:t>
      </w:r>
      <w:r w:rsidRPr="00936C32">
        <w:fldChar w:fldCharType="begin" w:fldLock="1"/>
      </w:r>
      <w:r w:rsidRPr="00936C32">
        <w:instrText xml:space="preserve"> REF _Ref146064139 \h </w:instrText>
      </w:r>
      <w:r w:rsidRPr="00936C32">
        <w:fldChar w:fldCharType="separate"/>
      </w:r>
      <w:r w:rsidRPr="00936C32">
        <w:t>Table 18</w:t>
      </w:r>
      <w:r w:rsidRPr="00936C32">
        <w:fldChar w:fldCharType="end"/>
      </w:r>
      <w:r w:rsidRPr="00936C32">
        <w:t>.</w:t>
      </w:r>
    </w:p>
    <w:p w14:paraId="396595FD" w14:textId="52756C2C" w:rsidR="00D82049" w:rsidRPr="00936C32" w:rsidRDefault="00D82049" w:rsidP="00D82049">
      <w:pPr>
        <w:pStyle w:val="COMtablefigcaption"/>
      </w:pPr>
      <w:bookmarkStart w:id="102" w:name="_Ref146064139"/>
      <w:r w:rsidRPr="00936C32">
        <w:lastRenderedPageBreak/>
        <w:t xml:space="preserve">Table </w:t>
      </w:r>
      <w:fldSimple w:instr=" SEQ Table \* ARABIC " w:fldLock="1">
        <w:r w:rsidRPr="00936C32">
          <w:t>18</w:t>
        </w:r>
      </w:fldSimple>
      <w:bookmarkEnd w:id="102"/>
      <w:r w:rsidRPr="00936C32">
        <w:t xml:space="preserve">: Issues to be addressed (July 2023 PBAC </w:t>
      </w:r>
      <w:r w:rsidR="001D463B">
        <w:t>PSD</w:t>
      </w:r>
      <w:r w:rsidRPr="00936C32">
        <w:t>)</w:t>
      </w:r>
    </w:p>
    <w:tbl>
      <w:tblPr>
        <w:tblStyle w:val="TableGrid"/>
        <w:tblW w:w="0" w:type="auto"/>
        <w:tblLook w:val="04A0" w:firstRow="1" w:lastRow="0" w:firstColumn="1" w:lastColumn="0" w:noHBand="0" w:noVBand="1"/>
      </w:tblPr>
      <w:tblGrid>
        <w:gridCol w:w="308"/>
        <w:gridCol w:w="3669"/>
        <w:gridCol w:w="5040"/>
      </w:tblGrid>
      <w:tr w:rsidR="00D82049" w:rsidRPr="00936C32" w14:paraId="00A73B62" w14:textId="77777777" w:rsidTr="001E76E0">
        <w:trPr>
          <w:trHeight w:val="20"/>
        </w:trPr>
        <w:tc>
          <w:tcPr>
            <w:tcW w:w="0" w:type="auto"/>
            <w:gridSpan w:val="2"/>
          </w:tcPr>
          <w:p w14:paraId="0937ED25" w14:textId="77777777" w:rsidR="00D82049" w:rsidRPr="00936C32" w:rsidRDefault="00D82049" w:rsidP="001E76E0">
            <w:pPr>
              <w:pStyle w:val="COMTabletext"/>
              <w:rPr>
                <w:b/>
                <w:bCs w:val="0"/>
                <w:szCs w:val="20"/>
              </w:rPr>
            </w:pPr>
            <w:r w:rsidRPr="00936C32">
              <w:rPr>
                <w:b/>
                <w:bCs w:val="0"/>
                <w:szCs w:val="20"/>
              </w:rPr>
              <w:t>Matter of Concern</w:t>
            </w:r>
          </w:p>
        </w:tc>
        <w:tc>
          <w:tcPr>
            <w:tcW w:w="0" w:type="auto"/>
          </w:tcPr>
          <w:p w14:paraId="41915CF0" w14:textId="77777777" w:rsidR="00D82049" w:rsidRPr="00936C32" w:rsidRDefault="00D82049" w:rsidP="001E76E0">
            <w:pPr>
              <w:pStyle w:val="COMTabletext"/>
              <w:rPr>
                <w:b/>
                <w:bCs w:val="0"/>
                <w:szCs w:val="20"/>
              </w:rPr>
            </w:pPr>
            <w:r w:rsidRPr="00936C32">
              <w:rPr>
                <w:b/>
                <w:bCs w:val="0"/>
                <w:szCs w:val="20"/>
              </w:rPr>
              <w:t>Resubmission</w:t>
            </w:r>
          </w:p>
        </w:tc>
      </w:tr>
      <w:tr w:rsidR="00D82049" w:rsidRPr="00936C32" w14:paraId="025D88C8" w14:textId="77777777" w:rsidTr="001E76E0">
        <w:trPr>
          <w:trHeight w:val="20"/>
        </w:trPr>
        <w:tc>
          <w:tcPr>
            <w:tcW w:w="0" w:type="auto"/>
            <w:gridSpan w:val="3"/>
          </w:tcPr>
          <w:p w14:paraId="2A9DCA10" w14:textId="7DC3A727" w:rsidR="00D82049" w:rsidRPr="00936C32" w:rsidRDefault="00D82049" w:rsidP="001E76E0">
            <w:pPr>
              <w:pStyle w:val="COMTabletext"/>
              <w:rPr>
                <w:b/>
                <w:bCs w:val="0"/>
                <w:szCs w:val="20"/>
              </w:rPr>
            </w:pPr>
            <w:r w:rsidRPr="00936C32">
              <w:rPr>
                <w:b/>
                <w:bCs w:val="0"/>
                <w:szCs w:val="20"/>
              </w:rPr>
              <w:t>Matters Raised by PBAC (</w:t>
            </w:r>
            <w:r w:rsidR="001D463B">
              <w:rPr>
                <w:b/>
                <w:bCs w:val="0"/>
                <w:szCs w:val="20"/>
              </w:rPr>
              <w:t>PSD</w:t>
            </w:r>
            <w:r w:rsidRPr="00936C32">
              <w:rPr>
                <w:b/>
                <w:bCs w:val="0"/>
                <w:szCs w:val="20"/>
              </w:rPr>
              <w:t>, para 7.16)</w:t>
            </w:r>
          </w:p>
        </w:tc>
      </w:tr>
      <w:tr w:rsidR="00D82049" w:rsidRPr="00936C32" w14:paraId="3ADE5407" w14:textId="77777777" w:rsidTr="001E76E0">
        <w:trPr>
          <w:trHeight w:val="20"/>
        </w:trPr>
        <w:tc>
          <w:tcPr>
            <w:tcW w:w="0" w:type="auto"/>
          </w:tcPr>
          <w:p w14:paraId="59550BC7" w14:textId="77777777" w:rsidR="00D82049" w:rsidRPr="00936C32" w:rsidRDefault="00D82049" w:rsidP="001E76E0">
            <w:pPr>
              <w:pStyle w:val="COMTabletext"/>
              <w:rPr>
                <w:szCs w:val="20"/>
              </w:rPr>
            </w:pPr>
            <w:r w:rsidRPr="00936C32">
              <w:rPr>
                <w:szCs w:val="20"/>
              </w:rPr>
              <w:t>1</w:t>
            </w:r>
          </w:p>
        </w:tc>
        <w:tc>
          <w:tcPr>
            <w:tcW w:w="0" w:type="auto"/>
          </w:tcPr>
          <w:p w14:paraId="2EB1AC72" w14:textId="77777777" w:rsidR="00D82049" w:rsidRPr="00936C32" w:rsidRDefault="00D82049" w:rsidP="001E76E0">
            <w:pPr>
              <w:pStyle w:val="COMTabletext"/>
              <w:rPr>
                <w:szCs w:val="20"/>
              </w:rPr>
            </w:pPr>
            <w:r w:rsidRPr="00936C32">
              <w:rPr>
                <w:szCs w:val="20"/>
              </w:rPr>
              <w:t>Revision of inputs in the economic model outlined in paragraph 7.11.</w:t>
            </w:r>
          </w:p>
          <w:p w14:paraId="71316DB9" w14:textId="77777777" w:rsidR="00D82049" w:rsidRPr="00936C32" w:rsidRDefault="00D82049" w:rsidP="00D82049">
            <w:pPr>
              <w:pStyle w:val="COMTabletext"/>
              <w:numPr>
                <w:ilvl w:val="0"/>
                <w:numId w:val="17"/>
              </w:numPr>
              <w:ind w:left="711" w:hanging="351"/>
              <w:rPr>
                <w:szCs w:val="20"/>
              </w:rPr>
            </w:pPr>
            <w:r w:rsidRPr="00936C32">
              <w:rPr>
                <w:szCs w:val="20"/>
              </w:rPr>
              <w:t xml:space="preserve">Remove anniversary price reductions. </w:t>
            </w:r>
          </w:p>
          <w:p w14:paraId="104B4A05" w14:textId="77777777" w:rsidR="00D82049" w:rsidRPr="00936C32" w:rsidRDefault="00D82049" w:rsidP="00D82049">
            <w:pPr>
              <w:pStyle w:val="COMTabletext"/>
              <w:numPr>
                <w:ilvl w:val="0"/>
                <w:numId w:val="17"/>
              </w:numPr>
              <w:ind w:left="711" w:hanging="351"/>
              <w:rPr>
                <w:szCs w:val="20"/>
              </w:rPr>
            </w:pPr>
            <w:r w:rsidRPr="00936C32">
              <w:rPr>
                <w:szCs w:val="20"/>
              </w:rPr>
              <w:t>Halve the treatment-related utility increments and decrements.</w:t>
            </w:r>
          </w:p>
          <w:p w14:paraId="33636660" w14:textId="2CF86277" w:rsidR="00D82049" w:rsidRPr="00936C32" w:rsidRDefault="00D82049" w:rsidP="00D82049">
            <w:pPr>
              <w:pStyle w:val="COMTabletext"/>
              <w:numPr>
                <w:ilvl w:val="0"/>
                <w:numId w:val="17"/>
              </w:numPr>
              <w:ind w:left="711" w:hanging="351"/>
              <w:rPr>
                <w:szCs w:val="20"/>
              </w:rPr>
            </w:pPr>
            <w:r w:rsidRPr="00936C32">
              <w:rPr>
                <w:szCs w:val="20"/>
              </w:rPr>
              <w:t xml:space="preserve">ICER in the range </w:t>
            </w:r>
            <w:r w:rsidRPr="00AE5881">
              <w:rPr>
                <w:szCs w:val="20"/>
              </w:rPr>
              <w:t>$220,000-$250,000</w:t>
            </w:r>
            <w:r w:rsidRPr="00936C32">
              <w:rPr>
                <w:szCs w:val="20"/>
              </w:rPr>
              <w:t>/QALY.</w:t>
            </w:r>
          </w:p>
        </w:tc>
        <w:tc>
          <w:tcPr>
            <w:tcW w:w="0" w:type="auto"/>
          </w:tcPr>
          <w:p w14:paraId="075B526F" w14:textId="129CB9BB" w:rsidR="00D82049" w:rsidRPr="00936C32" w:rsidRDefault="00D82049" w:rsidP="001E76E0">
            <w:pPr>
              <w:pStyle w:val="COMTabletext"/>
              <w:rPr>
                <w:szCs w:val="20"/>
              </w:rPr>
            </w:pPr>
            <w:r w:rsidRPr="00936C32">
              <w:rPr>
                <w:szCs w:val="20"/>
              </w:rPr>
              <w:t xml:space="preserve">The resubmission proposed a revised base case which removed the anniversary price </w:t>
            </w:r>
            <w:r w:rsidR="00724E12" w:rsidRPr="00936C32">
              <w:rPr>
                <w:szCs w:val="20"/>
              </w:rPr>
              <w:t>reductions but</w:t>
            </w:r>
            <w:r w:rsidRPr="00936C32">
              <w:rPr>
                <w:szCs w:val="20"/>
              </w:rPr>
              <w:t xml:space="preserve"> did not amend the utility increments/decrements. The ICER in the resubmission base case was $</w:t>
            </w:r>
            <w:r w:rsidR="00923B9F" w:rsidRPr="00923B9F">
              <w:rPr>
                <w:color w:val="000000"/>
                <w:spacing w:val="49"/>
                <w:szCs w:val="20"/>
                <w:shd w:val="solid" w:color="000000" w:fill="000000"/>
                <w:fitText w:val="318" w:id="-1136813056"/>
                <w14:textFill>
                  <w14:solidFill>
                    <w14:srgbClr w14:val="000000">
                      <w14:alpha w14:val="100000"/>
                    </w14:srgbClr>
                  </w14:solidFill>
                </w14:textFill>
              </w:rPr>
              <w:t>|||</w:t>
            </w:r>
            <w:r w:rsidR="00923B9F" w:rsidRPr="00923B9F">
              <w:rPr>
                <w:color w:val="000000"/>
                <w:spacing w:val="1"/>
                <w:szCs w:val="20"/>
                <w:shd w:val="solid" w:color="000000" w:fill="000000"/>
                <w:fitText w:val="318" w:id="-1136813056"/>
                <w14:textFill>
                  <w14:solidFill>
                    <w14:srgbClr w14:val="000000">
                      <w14:alpha w14:val="100000"/>
                    </w14:srgbClr>
                  </w14:solidFill>
                </w14:textFill>
              </w:rPr>
              <w:t>|</w:t>
            </w:r>
            <w:r w:rsidR="00683D4D" w:rsidRPr="003F4735">
              <w:rPr>
                <w:szCs w:val="20"/>
                <w:vertAlign w:val="superscript"/>
              </w:rPr>
              <w:t>1</w:t>
            </w:r>
            <w:r w:rsidRPr="00936C32">
              <w:rPr>
                <w:szCs w:val="20"/>
              </w:rPr>
              <w:t>/QALY.</w:t>
            </w:r>
          </w:p>
          <w:p w14:paraId="557632D5" w14:textId="77777777" w:rsidR="00D82049" w:rsidRPr="00936C32" w:rsidRDefault="00D82049" w:rsidP="001E76E0">
            <w:pPr>
              <w:pStyle w:val="COMTabletext"/>
              <w:rPr>
                <w:szCs w:val="20"/>
              </w:rPr>
            </w:pPr>
          </w:p>
          <w:p w14:paraId="3288EC4C" w14:textId="5C4B0DAE" w:rsidR="00D82049" w:rsidRPr="00936C32" w:rsidRDefault="00D82049" w:rsidP="001E76E0">
            <w:pPr>
              <w:pStyle w:val="COMTabletext"/>
              <w:rPr>
                <w:szCs w:val="20"/>
              </w:rPr>
            </w:pPr>
            <w:r w:rsidRPr="00936C32">
              <w:rPr>
                <w:szCs w:val="20"/>
              </w:rPr>
              <w:t>The resubmission proposed an effective price for patisiran (AEMP=$</w:t>
            </w:r>
            <w:r w:rsidR="00923B9F" w:rsidRPr="00923B9F">
              <w:rPr>
                <w:color w:val="000000"/>
                <w:spacing w:val="49"/>
                <w:szCs w:val="20"/>
                <w:shd w:val="solid" w:color="000000" w:fill="000000"/>
                <w:fitText w:val="318" w:id="-1136813055"/>
                <w14:textFill>
                  <w14:solidFill>
                    <w14:srgbClr w14:val="000000">
                      <w14:alpha w14:val="100000"/>
                    </w14:srgbClr>
                  </w14:solidFill>
                </w14:textFill>
              </w:rPr>
              <w:t>|||</w:t>
            </w:r>
            <w:r w:rsidR="00923B9F" w:rsidRPr="00923B9F">
              <w:rPr>
                <w:color w:val="000000"/>
                <w:spacing w:val="1"/>
                <w:szCs w:val="20"/>
                <w:shd w:val="solid" w:color="000000" w:fill="000000"/>
                <w:fitText w:val="318" w:id="-1136813055"/>
                <w14:textFill>
                  <w14:solidFill>
                    <w14:srgbClr w14:val="000000">
                      <w14:alpha w14:val="100000"/>
                    </w14:srgbClr>
                  </w14:solidFill>
                </w14:textFill>
              </w:rPr>
              <w:t>|</w:t>
            </w:r>
            <w:r w:rsidRPr="00936C32">
              <w:rPr>
                <w:szCs w:val="20"/>
              </w:rPr>
              <w:t xml:space="preserve"> per 10 mg vial) that was </w:t>
            </w:r>
            <w:r w:rsidR="00923B9F" w:rsidRPr="00923B9F">
              <w:rPr>
                <w:color w:val="000000"/>
                <w:spacing w:val="49"/>
                <w:szCs w:val="20"/>
                <w:shd w:val="solid" w:color="000000" w:fill="000000"/>
                <w:fitText w:val="318" w:id="-1136813054"/>
                <w14:textFill>
                  <w14:solidFill>
                    <w14:srgbClr w14:val="000000">
                      <w14:alpha w14:val="100000"/>
                    </w14:srgbClr>
                  </w14:solidFill>
                </w14:textFill>
              </w:rPr>
              <w:t>|||</w:t>
            </w:r>
            <w:r w:rsidR="00923B9F" w:rsidRPr="00923B9F">
              <w:rPr>
                <w:color w:val="000000"/>
                <w:spacing w:val="1"/>
                <w:szCs w:val="20"/>
                <w:shd w:val="solid" w:color="000000" w:fill="000000"/>
                <w:fitText w:val="318" w:id="-1136813054"/>
                <w14:textFill>
                  <w14:solidFill>
                    <w14:srgbClr w14:val="000000">
                      <w14:alpha w14:val="100000"/>
                    </w14:srgbClr>
                  </w14:solidFill>
                </w14:textFill>
              </w:rPr>
              <w:t>|</w:t>
            </w:r>
            <w:r w:rsidRPr="00936C32">
              <w:rPr>
                <w:szCs w:val="20"/>
              </w:rPr>
              <w:t>% lower than the July 2023 price (AEMP= $</w:t>
            </w:r>
            <w:r w:rsidR="00923B9F" w:rsidRPr="00923B9F">
              <w:rPr>
                <w:color w:val="000000"/>
                <w:spacing w:val="55"/>
                <w:szCs w:val="20"/>
                <w:shd w:val="solid" w:color="000000" w:fill="000000"/>
                <w:fitText w:val="337" w:id="-1136813053"/>
                <w14:textFill>
                  <w14:solidFill>
                    <w14:srgbClr w14:val="000000">
                      <w14:alpha w14:val="100000"/>
                    </w14:srgbClr>
                  </w14:solidFill>
                </w14:textFill>
              </w:rPr>
              <w:t>|||</w:t>
            </w:r>
            <w:r w:rsidR="00923B9F" w:rsidRPr="00923B9F">
              <w:rPr>
                <w:color w:val="000000"/>
                <w:spacing w:val="2"/>
                <w:szCs w:val="20"/>
                <w:shd w:val="solid" w:color="000000" w:fill="000000"/>
                <w:fitText w:val="337" w:id="-1136813053"/>
                <w14:textFill>
                  <w14:solidFill>
                    <w14:srgbClr w14:val="000000">
                      <w14:alpha w14:val="100000"/>
                    </w14:srgbClr>
                  </w14:solidFill>
                </w14:textFill>
              </w:rPr>
              <w:t>|</w:t>
            </w:r>
            <w:r w:rsidRPr="00936C32">
              <w:rPr>
                <w:szCs w:val="20"/>
              </w:rPr>
              <w:t xml:space="preserve"> per 10 mg vial).</w:t>
            </w:r>
          </w:p>
          <w:p w14:paraId="49DDEE0F" w14:textId="77777777" w:rsidR="00D82049" w:rsidRPr="00936C32" w:rsidRDefault="00D82049" w:rsidP="001E76E0">
            <w:pPr>
              <w:pStyle w:val="COMTabletext"/>
              <w:rPr>
                <w:szCs w:val="20"/>
              </w:rPr>
            </w:pPr>
          </w:p>
          <w:p w14:paraId="6202961B" w14:textId="77777777" w:rsidR="00D82049" w:rsidRPr="00936C32" w:rsidRDefault="00D82049" w:rsidP="001E76E0">
            <w:pPr>
              <w:pStyle w:val="COMTabletext"/>
              <w:rPr>
                <w:szCs w:val="20"/>
              </w:rPr>
            </w:pPr>
            <w:r w:rsidRPr="00936C32">
              <w:rPr>
                <w:szCs w:val="20"/>
              </w:rPr>
              <w:t xml:space="preserve">The resubmission did not accept the rationale for halving of the treatment-related utility increments and decrements but provided a sensitivity analysis which assumed a 20% reduction in utility increments/decrements, see </w:t>
            </w:r>
            <w:r w:rsidRPr="00936C32">
              <w:rPr>
                <w:szCs w:val="20"/>
              </w:rPr>
              <w:fldChar w:fldCharType="begin" w:fldLock="1"/>
            </w:r>
            <w:r w:rsidRPr="00936C32">
              <w:rPr>
                <w:szCs w:val="20"/>
              </w:rPr>
              <w:instrText xml:space="preserve"> REF _Ref146057623 \h </w:instrText>
            </w:r>
            <w:r w:rsidRPr="00936C32">
              <w:rPr>
                <w:szCs w:val="20"/>
              </w:rPr>
            </w:r>
            <w:r w:rsidRPr="00936C32">
              <w:rPr>
                <w:szCs w:val="20"/>
              </w:rPr>
              <w:fldChar w:fldCharType="separate"/>
            </w:r>
            <w:r w:rsidRPr="00936C32">
              <w:t>Table 19</w:t>
            </w:r>
            <w:r w:rsidRPr="00936C32">
              <w:rPr>
                <w:szCs w:val="20"/>
              </w:rPr>
              <w:fldChar w:fldCharType="end"/>
            </w:r>
            <w:r w:rsidRPr="00936C32">
              <w:rPr>
                <w:szCs w:val="20"/>
              </w:rPr>
              <w:t>.</w:t>
            </w:r>
          </w:p>
          <w:p w14:paraId="18456FCA" w14:textId="77777777" w:rsidR="00D82049" w:rsidRPr="00936C32" w:rsidRDefault="00D82049" w:rsidP="001E76E0">
            <w:pPr>
              <w:pStyle w:val="COMTabletext"/>
              <w:rPr>
                <w:szCs w:val="20"/>
              </w:rPr>
            </w:pPr>
          </w:p>
        </w:tc>
      </w:tr>
      <w:tr w:rsidR="00D82049" w:rsidRPr="00936C32" w14:paraId="7534B61F" w14:textId="77777777" w:rsidTr="001E76E0">
        <w:trPr>
          <w:trHeight w:val="20"/>
        </w:trPr>
        <w:tc>
          <w:tcPr>
            <w:tcW w:w="0" w:type="auto"/>
          </w:tcPr>
          <w:p w14:paraId="7E4A5A7E" w14:textId="77777777" w:rsidR="00D82049" w:rsidRPr="00936C32" w:rsidRDefault="00D82049" w:rsidP="001E76E0">
            <w:pPr>
              <w:pStyle w:val="COMTabletext"/>
              <w:rPr>
                <w:szCs w:val="20"/>
              </w:rPr>
            </w:pPr>
            <w:r w:rsidRPr="00936C32">
              <w:rPr>
                <w:szCs w:val="20"/>
              </w:rPr>
              <w:t>2</w:t>
            </w:r>
          </w:p>
        </w:tc>
        <w:tc>
          <w:tcPr>
            <w:tcW w:w="0" w:type="auto"/>
          </w:tcPr>
          <w:p w14:paraId="057E9EB2" w14:textId="77777777" w:rsidR="00D82049" w:rsidRPr="00936C32" w:rsidRDefault="00D82049" w:rsidP="001E76E0">
            <w:pPr>
              <w:pStyle w:val="COMTabletext"/>
              <w:rPr>
                <w:szCs w:val="20"/>
              </w:rPr>
            </w:pPr>
            <w:r w:rsidRPr="00936C32">
              <w:rPr>
                <w:szCs w:val="20"/>
              </w:rPr>
              <w:t>Revision of the financial estimates as discussed in paragraph 7.12 and recalculation using the revised patisiran price.</w:t>
            </w:r>
          </w:p>
          <w:p w14:paraId="659ABD25" w14:textId="77777777" w:rsidR="00D82049" w:rsidRPr="00936C32" w:rsidRDefault="00D82049" w:rsidP="00D82049">
            <w:pPr>
              <w:pStyle w:val="COMTabletext"/>
              <w:numPr>
                <w:ilvl w:val="0"/>
                <w:numId w:val="18"/>
              </w:numPr>
              <w:ind w:left="711" w:hanging="351"/>
              <w:rPr>
                <w:szCs w:val="20"/>
              </w:rPr>
            </w:pPr>
            <w:r w:rsidRPr="00936C32">
              <w:rPr>
                <w:szCs w:val="20"/>
              </w:rPr>
              <w:t xml:space="preserve">PBAC considered the submission estimates </w:t>
            </w:r>
            <w:proofErr w:type="gramStart"/>
            <w:r w:rsidRPr="00936C32">
              <w:rPr>
                <w:szCs w:val="20"/>
              </w:rPr>
              <w:t>were underestimated</w:t>
            </w:r>
            <w:proofErr w:type="gramEnd"/>
            <w:r w:rsidRPr="00936C32">
              <w:rPr>
                <w:szCs w:val="20"/>
              </w:rPr>
              <w:t xml:space="preserve"> b</w:t>
            </w:r>
            <w:r w:rsidRPr="00936C32">
              <w:t>ut</w:t>
            </w:r>
            <w:r w:rsidRPr="00936C32">
              <w:rPr>
                <w:szCs w:val="20"/>
              </w:rPr>
              <w:t xml:space="preserve"> these concerns were addressed by the pre-PBAC response.</w:t>
            </w:r>
          </w:p>
          <w:p w14:paraId="7C573444" w14:textId="099B7DF3" w:rsidR="00D82049" w:rsidRPr="00936C32" w:rsidRDefault="00D82049" w:rsidP="00D82049">
            <w:pPr>
              <w:pStyle w:val="COMTabletext"/>
              <w:numPr>
                <w:ilvl w:val="0"/>
                <w:numId w:val="18"/>
              </w:numPr>
              <w:ind w:left="711" w:hanging="351"/>
              <w:rPr>
                <w:szCs w:val="20"/>
              </w:rPr>
            </w:pPr>
            <w:r w:rsidRPr="00936C32">
              <w:rPr>
                <w:szCs w:val="20"/>
              </w:rPr>
              <w:t xml:space="preserve">Additional uncertainty could </w:t>
            </w:r>
            <w:proofErr w:type="gramStart"/>
            <w:r w:rsidRPr="00936C32">
              <w:rPr>
                <w:szCs w:val="20"/>
              </w:rPr>
              <w:t>be addressed</w:t>
            </w:r>
            <w:proofErr w:type="gramEnd"/>
            <w:r w:rsidRPr="00936C32">
              <w:rPr>
                <w:szCs w:val="20"/>
              </w:rPr>
              <w:t xml:space="preserve"> by a risk sharing arrangement which assumed </w:t>
            </w:r>
            <w:r w:rsidR="00923B9F" w:rsidRPr="00923B9F">
              <w:rPr>
                <w:color w:val="000000"/>
                <w:szCs w:val="20"/>
                <w:shd w:val="solid" w:color="000000" w:fill="000000"/>
                <w14:textFill>
                  <w14:solidFill>
                    <w14:srgbClr w14:val="000000">
                      <w14:alpha w14:val="100000"/>
                    </w14:srgbClr>
                  </w14:solidFill>
                </w14:textFill>
              </w:rPr>
              <w:t>|</w:t>
            </w:r>
            <w:r w:rsidRPr="00936C32">
              <w:rPr>
                <w:szCs w:val="20"/>
              </w:rPr>
              <w:t xml:space="preserve">% rebate for expenditure above caps. </w:t>
            </w:r>
          </w:p>
          <w:p w14:paraId="387D1043" w14:textId="77777777" w:rsidR="00D82049" w:rsidRPr="00936C32" w:rsidRDefault="00D82049" w:rsidP="001E76E0">
            <w:pPr>
              <w:pStyle w:val="COMTabletext"/>
              <w:ind w:left="1080"/>
              <w:rPr>
                <w:szCs w:val="20"/>
              </w:rPr>
            </w:pPr>
          </w:p>
        </w:tc>
        <w:tc>
          <w:tcPr>
            <w:tcW w:w="0" w:type="auto"/>
          </w:tcPr>
          <w:p w14:paraId="30E5A20C" w14:textId="02266D35" w:rsidR="00D82049" w:rsidRPr="00936C32" w:rsidRDefault="00D82049" w:rsidP="001E76E0">
            <w:pPr>
              <w:pStyle w:val="COMTabletext"/>
              <w:rPr>
                <w:szCs w:val="20"/>
              </w:rPr>
            </w:pPr>
            <w:r w:rsidRPr="00936C32">
              <w:rPr>
                <w:szCs w:val="20"/>
              </w:rPr>
              <w:t>The resubmission provided revised estimates (</w:t>
            </w:r>
            <w:r w:rsidRPr="00936C32">
              <w:rPr>
                <w:szCs w:val="20"/>
              </w:rPr>
              <w:fldChar w:fldCharType="begin" w:fldLock="1"/>
            </w:r>
            <w:r w:rsidRPr="00936C32">
              <w:rPr>
                <w:szCs w:val="20"/>
              </w:rPr>
              <w:instrText xml:space="preserve"> REF _Ref146058406 \h  \* MERGEFORMAT </w:instrText>
            </w:r>
            <w:r w:rsidRPr="00936C32">
              <w:rPr>
                <w:szCs w:val="20"/>
              </w:rPr>
            </w:r>
            <w:r w:rsidRPr="00936C32">
              <w:rPr>
                <w:szCs w:val="20"/>
              </w:rPr>
              <w:fldChar w:fldCharType="separate"/>
            </w:r>
            <w:r w:rsidRPr="00936C32">
              <w:t>Table 20</w:t>
            </w:r>
            <w:r w:rsidRPr="00936C32">
              <w:rPr>
                <w:szCs w:val="20"/>
              </w:rPr>
              <w:fldChar w:fldCharType="end"/>
            </w:r>
            <w:r w:rsidRPr="00936C32">
              <w:rPr>
                <w:szCs w:val="20"/>
              </w:rPr>
              <w:t xml:space="preserve">). The resubmission estimated up to </w:t>
            </w:r>
            <w:r w:rsidR="00923B9F" w:rsidRPr="00923B9F">
              <w:rPr>
                <w:color w:val="000000"/>
                <w:spacing w:val="55"/>
                <w:szCs w:val="20"/>
                <w:shd w:val="solid" w:color="000000" w:fill="000000"/>
                <w:fitText w:val="337" w:id="-1136813052"/>
                <w14:textFill>
                  <w14:solidFill>
                    <w14:srgbClr w14:val="000000">
                      <w14:alpha w14:val="100000"/>
                    </w14:srgbClr>
                  </w14:solidFill>
                </w14:textFill>
              </w:rPr>
              <w:t>|||</w:t>
            </w:r>
            <w:r w:rsidR="00923B9F" w:rsidRPr="00923B9F">
              <w:rPr>
                <w:color w:val="000000"/>
                <w:spacing w:val="2"/>
                <w:szCs w:val="20"/>
                <w:shd w:val="solid" w:color="000000" w:fill="000000"/>
                <w:fitText w:val="337" w:id="-1136813052"/>
                <w14:textFill>
                  <w14:solidFill>
                    <w14:srgbClr w14:val="000000">
                      <w14:alpha w14:val="100000"/>
                    </w14:srgbClr>
                  </w14:solidFill>
                </w14:textFill>
              </w:rPr>
              <w:t>|</w:t>
            </w:r>
            <w:r w:rsidR="00683D4D" w:rsidRPr="003F4735">
              <w:rPr>
                <w:szCs w:val="20"/>
                <w:vertAlign w:val="superscript"/>
              </w:rPr>
              <w:t>2</w:t>
            </w:r>
            <w:r w:rsidRPr="00936C32">
              <w:rPr>
                <w:szCs w:val="20"/>
              </w:rPr>
              <w:t xml:space="preserve"> eligible patients, which was similar to the pre-PBAC response (up to </w:t>
            </w:r>
            <w:r w:rsidR="00923B9F" w:rsidRPr="00923B9F">
              <w:rPr>
                <w:color w:val="000000"/>
                <w:spacing w:val="55"/>
                <w:szCs w:val="20"/>
                <w:shd w:val="solid" w:color="000000" w:fill="000000"/>
                <w:fitText w:val="337" w:id="-1136813051"/>
                <w14:textFill>
                  <w14:solidFill>
                    <w14:srgbClr w14:val="000000">
                      <w14:alpha w14:val="100000"/>
                    </w14:srgbClr>
                  </w14:solidFill>
                </w14:textFill>
              </w:rPr>
              <w:t>|||</w:t>
            </w:r>
            <w:r w:rsidR="00923B9F" w:rsidRPr="00923B9F">
              <w:rPr>
                <w:color w:val="000000"/>
                <w:spacing w:val="2"/>
                <w:szCs w:val="20"/>
                <w:shd w:val="solid" w:color="000000" w:fill="000000"/>
                <w:fitText w:val="337" w:id="-1136813051"/>
                <w14:textFill>
                  <w14:solidFill>
                    <w14:srgbClr w14:val="000000">
                      <w14:alpha w14:val="100000"/>
                    </w14:srgbClr>
                  </w14:solidFill>
                </w14:textFill>
              </w:rPr>
              <w:t>|</w:t>
            </w:r>
            <w:r w:rsidR="00683D4D" w:rsidRPr="001E76E0">
              <w:rPr>
                <w:szCs w:val="20"/>
                <w:vertAlign w:val="superscript"/>
              </w:rPr>
              <w:t>2</w:t>
            </w:r>
            <w:r w:rsidRPr="00936C32">
              <w:rPr>
                <w:szCs w:val="20"/>
              </w:rPr>
              <w:t xml:space="preserve"> patients). The resubmission stated the difference was due to updated ABS data, rounding and an adjustment to incident patients in Year 1.</w:t>
            </w:r>
          </w:p>
          <w:p w14:paraId="748679AD" w14:textId="77777777" w:rsidR="00D82049" w:rsidRPr="00936C32" w:rsidRDefault="00D82049" w:rsidP="001E76E0">
            <w:pPr>
              <w:pStyle w:val="COMTabletext"/>
              <w:rPr>
                <w:szCs w:val="20"/>
              </w:rPr>
            </w:pPr>
          </w:p>
          <w:p w14:paraId="65F6E173" w14:textId="724097A7" w:rsidR="00D82049" w:rsidRPr="00936C32" w:rsidRDefault="00D82049" w:rsidP="001E76E0">
            <w:pPr>
              <w:pStyle w:val="COMTabletext"/>
              <w:rPr>
                <w:szCs w:val="20"/>
              </w:rPr>
            </w:pPr>
            <w:r w:rsidRPr="00936C32">
              <w:rPr>
                <w:szCs w:val="20"/>
              </w:rPr>
              <w:t xml:space="preserve">The resubmission estimated up to </w:t>
            </w:r>
            <w:r w:rsidR="00923B9F" w:rsidRPr="00923B9F">
              <w:rPr>
                <w:color w:val="000000"/>
                <w:spacing w:val="49"/>
                <w:szCs w:val="20"/>
                <w:shd w:val="solid" w:color="000000" w:fill="000000"/>
                <w:fitText w:val="318" w:id="-1136813050"/>
                <w14:textFill>
                  <w14:solidFill>
                    <w14:srgbClr w14:val="000000">
                      <w14:alpha w14:val="100000"/>
                    </w14:srgbClr>
                  </w14:solidFill>
                </w14:textFill>
              </w:rPr>
              <w:t>|||</w:t>
            </w:r>
            <w:r w:rsidR="00923B9F" w:rsidRPr="00923B9F">
              <w:rPr>
                <w:color w:val="000000"/>
                <w:spacing w:val="1"/>
                <w:szCs w:val="20"/>
                <w:shd w:val="solid" w:color="000000" w:fill="000000"/>
                <w:fitText w:val="318" w:id="-1136813050"/>
                <w14:textFill>
                  <w14:solidFill>
                    <w14:srgbClr w14:val="000000">
                      <w14:alpha w14:val="100000"/>
                    </w14:srgbClr>
                  </w14:solidFill>
                </w14:textFill>
              </w:rPr>
              <w:t>|</w:t>
            </w:r>
            <w:r w:rsidR="00683D4D" w:rsidRPr="001E76E0">
              <w:rPr>
                <w:szCs w:val="20"/>
                <w:vertAlign w:val="superscript"/>
              </w:rPr>
              <w:t>2</w:t>
            </w:r>
            <w:r w:rsidRPr="00936C32">
              <w:rPr>
                <w:szCs w:val="20"/>
              </w:rPr>
              <w:t xml:space="preserve"> patients treated (in year 6), and between </w:t>
            </w:r>
            <w:r w:rsidR="00923B9F" w:rsidRPr="00923B9F">
              <w:rPr>
                <w:color w:val="000000"/>
                <w:spacing w:val="55"/>
                <w:szCs w:val="20"/>
                <w:shd w:val="solid" w:color="000000" w:fill="000000"/>
                <w:fitText w:val="337" w:id="-1136813049"/>
                <w14:textFill>
                  <w14:solidFill>
                    <w14:srgbClr w14:val="000000">
                      <w14:alpha w14:val="100000"/>
                    </w14:srgbClr>
                  </w14:solidFill>
                </w14:textFill>
              </w:rPr>
              <w:t>|||</w:t>
            </w:r>
            <w:r w:rsidR="00923B9F" w:rsidRPr="00923B9F">
              <w:rPr>
                <w:color w:val="000000"/>
                <w:spacing w:val="2"/>
                <w:szCs w:val="20"/>
                <w:shd w:val="solid" w:color="000000" w:fill="000000"/>
                <w:fitText w:val="337" w:id="-1136813049"/>
                <w14:textFill>
                  <w14:solidFill>
                    <w14:srgbClr w14:val="000000">
                      <w14:alpha w14:val="100000"/>
                    </w14:srgbClr>
                  </w14:solidFill>
                </w14:textFill>
              </w:rPr>
              <w:t>|</w:t>
            </w:r>
            <w:r w:rsidR="00AE5881" w:rsidRPr="003F4735">
              <w:rPr>
                <w:szCs w:val="20"/>
                <w:vertAlign w:val="superscript"/>
              </w:rPr>
              <w:t>3</w:t>
            </w:r>
            <w:r w:rsidRPr="00936C32">
              <w:rPr>
                <w:szCs w:val="20"/>
              </w:rPr>
              <w:t xml:space="preserve"> and </w:t>
            </w:r>
            <w:r w:rsidR="00923B9F" w:rsidRPr="00923B9F">
              <w:rPr>
                <w:color w:val="000000"/>
                <w:spacing w:val="49"/>
                <w:szCs w:val="20"/>
                <w:shd w:val="solid" w:color="000000" w:fill="000000"/>
                <w:fitText w:val="318" w:id="-1136813048"/>
                <w14:textFill>
                  <w14:solidFill>
                    <w14:srgbClr w14:val="000000">
                      <w14:alpha w14:val="100000"/>
                    </w14:srgbClr>
                  </w14:solidFill>
                </w14:textFill>
              </w:rPr>
              <w:t>|||</w:t>
            </w:r>
            <w:r w:rsidR="00923B9F" w:rsidRPr="00923B9F">
              <w:rPr>
                <w:color w:val="000000"/>
                <w:spacing w:val="1"/>
                <w:szCs w:val="20"/>
                <w:shd w:val="solid" w:color="000000" w:fill="000000"/>
                <w:fitText w:val="318" w:id="-1136813048"/>
                <w14:textFill>
                  <w14:solidFill>
                    <w14:srgbClr w14:val="000000">
                      <w14:alpha w14:val="100000"/>
                    </w14:srgbClr>
                  </w14:solidFill>
                </w14:textFill>
              </w:rPr>
              <w:t>|</w:t>
            </w:r>
            <w:r w:rsidR="00AE5881" w:rsidRPr="00F373FE">
              <w:rPr>
                <w:szCs w:val="20"/>
                <w:vertAlign w:val="superscript"/>
              </w:rPr>
              <w:t>3</w:t>
            </w:r>
            <w:r w:rsidRPr="00936C32">
              <w:rPr>
                <w:szCs w:val="20"/>
              </w:rPr>
              <w:t xml:space="preserve"> vials per year.</w:t>
            </w:r>
          </w:p>
          <w:p w14:paraId="4B33DF81" w14:textId="77777777" w:rsidR="00D82049" w:rsidRPr="00936C32" w:rsidRDefault="00D82049" w:rsidP="001E76E0">
            <w:pPr>
              <w:pStyle w:val="COMTabletext"/>
              <w:rPr>
                <w:szCs w:val="20"/>
              </w:rPr>
            </w:pPr>
          </w:p>
          <w:p w14:paraId="201232D4" w14:textId="741CE08F" w:rsidR="00D82049" w:rsidRPr="00936C32" w:rsidRDefault="00D82049" w:rsidP="001E76E0">
            <w:pPr>
              <w:pStyle w:val="COMTabletext"/>
              <w:rPr>
                <w:szCs w:val="20"/>
              </w:rPr>
            </w:pPr>
            <w:r w:rsidRPr="00936C32">
              <w:rPr>
                <w:szCs w:val="20"/>
              </w:rPr>
              <w:t xml:space="preserve">The resubmission proposed a cap threshold based on a vial consumption of </w:t>
            </w:r>
            <w:r w:rsidR="00923B9F" w:rsidRPr="00923B9F">
              <w:rPr>
                <w:color w:val="000000"/>
                <w:spacing w:val="49"/>
                <w:szCs w:val="20"/>
                <w:shd w:val="solid" w:color="000000" w:fill="000000"/>
                <w:fitText w:val="318" w:id="-1136813047"/>
                <w14:textFill>
                  <w14:solidFill>
                    <w14:srgbClr w14:val="000000">
                      <w14:alpha w14:val="100000"/>
                    </w14:srgbClr>
                  </w14:solidFill>
                </w14:textFill>
              </w:rPr>
              <w:t>|||</w:t>
            </w:r>
            <w:r w:rsidR="00923B9F" w:rsidRPr="00923B9F">
              <w:rPr>
                <w:color w:val="000000"/>
                <w:spacing w:val="1"/>
                <w:szCs w:val="20"/>
                <w:shd w:val="solid" w:color="000000" w:fill="000000"/>
                <w:fitText w:val="318" w:id="-1136813047"/>
                <w14:textFill>
                  <w14:solidFill>
                    <w14:srgbClr w14:val="000000">
                      <w14:alpha w14:val="100000"/>
                    </w14:srgbClr>
                  </w14:solidFill>
                </w14:textFill>
              </w:rPr>
              <w:t>|</w:t>
            </w:r>
            <w:r w:rsidR="00AE5881" w:rsidRPr="00F373FE">
              <w:rPr>
                <w:szCs w:val="20"/>
                <w:vertAlign w:val="superscript"/>
              </w:rPr>
              <w:t>3</w:t>
            </w:r>
            <w:r w:rsidRPr="00936C32">
              <w:rPr>
                <w:szCs w:val="20"/>
              </w:rPr>
              <w:t xml:space="preserve"> vials per calendar year (corresponding to </w:t>
            </w:r>
            <w:r w:rsidR="00923B9F" w:rsidRPr="00923B9F">
              <w:rPr>
                <w:color w:val="000000"/>
                <w:spacing w:val="49"/>
                <w:szCs w:val="20"/>
                <w:shd w:val="solid" w:color="000000" w:fill="000000"/>
                <w:fitText w:val="318" w:id="-1136813046"/>
                <w14:textFill>
                  <w14:solidFill>
                    <w14:srgbClr w14:val="000000">
                      <w14:alpha w14:val="100000"/>
                    </w14:srgbClr>
                  </w14:solidFill>
                </w14:textFill>
              </w:rPr>
              <w:t>|||</w:t>
            </w:r>
            <w:r w:rsidR="00923B9F" w:rsidRPr="00923B9F">
              <w:rPr>
                <w:color w:val="000000"/>
                <w:spacing w:val="1"/>
                <w:szCs w:val="20"/>
                <w:shd w:val="solid" w:color="000000" w:fill="000000"/>
                <w:fitText w:val="318" w:id="-1136813046"/>
                <w14:textFill>
                  <w14:solidFill>
                    <w14:srgbClr w14:val="000000">
                      <w14:alpha w14:val="100000"/>
                    </w14:srgbClr>
                  </w14:solidFill>
                </w14:textFill>
              </w:rPr>
              <w:t>|</w:t>
            </w:r>
            <w:r w:rsidR="00AE5881" w:rsidRPr="003F4735">
              <w:rPr>
                <w:szCs w:val="20"/>
                <w:vertAlign w:val="superscript"/>
              </w:rPr>
              <w:t>2</w:t>
            </w:r>
            <w:r w:rsidRPr="00936C32">
              <w:rPr>
                <w:szCs w:val="20"/>
              </w:rPr>
              <w:t xml:space="preserve"> patients treated, with 40.11 vials per patient).</w:t>
            </w:r>
            <w:r w:rsidR="009B0FC8">
              <w:rPr>
                <w:szCs w:val="20"/>
              </w:rPr>
              <w:t xml:space="preserve"> </w:t>
            </w:r>
            <w:r w:rsidRPr="00936C32">
              <w:rPr>
                <w:szCs w:val="20"/>
              </w:rPr>
              <w:t>Above this volume, the proposed post-rebate price was $</w:t>
            </w:r>
            <w:r w:rsidR="00923B9F" w:rsidRPr="00923B9F">
              <w:rPr>
                <w:color w:val="000000"/>
                <w:spacing w:val="49"/>
                <w:szCs w:val="20"/>
                <w:shd w:val="solid" w:color="000000" w:fill="000000"/>
                <w:fitText w:val="318" w:id="-1136813045"/>
                <w14:textFill>
                  <w14:solidFill>
                    <w14:srgbClr w14:val="000000">
                      <w14:alpha w14:val="100000"/>
                    </w14:srgbClr>
                  </w14:solidFill>
                </w14:textFill>
              </w:rPr>
              <w:t>|||</w:t>
            </w:r>
            <w:r w:rsidR="00923B9F" w:rsidRPr="00923B9F">
              <w:rPr>
                <w:color w:val="000000"/>
                <w:spacing w:val="1"/>
                <w:szCs w:val="20"/>
                <w:shd w:val="solid" w:color="000000" w:fill="000000"/>
                <w:fitText w:val="318" w:id="-1136813045"/>
                <w14:textFill>
                  <w14:solidFill>
                    <w14:srgbClr w14:val="000000">
                      <w14:alpha w14:val="100000"/>
                    </w14:srgbClr>
                  </w14:solidFill>
                </w14:textFill>
              </w:rPr>
              <w:t>|</w:t>
            </w:r>
            <w:r w:rsidRPr="00936C32">
              <w:rPr>
                <w:szCs w:val="20"/>
              </w:rPr>
              <w:t xml:space="preserve"> per vial (reflects approx. </w:t>
            </w:r>
            <w:r w:rsidR="00923B9F" w:rsidRPr="00923B9F">
              <w:rPr>
                <w:color w:val="000000"/>
                <w:spacing w:val="55"/>
                <w:szCs w:val="20"/>
                <w:shd w:val="solid" w:color="000000" w:fill="000000"/>
                <w:fitText w:val="337" w:id="-1136813044"/>
                <w14:textFill>
                  <w14:solidFill>
                    <w14:srgbClr w14:val="000000">
                      <w14:alpha w14:val="100000"/>
                    </w14:srgbClr>
                  </w14:solidFill>
                </w14:textFill>
              </w:rPr>
              <w:t>|||</w:t>
            </w:r>
            <w:r w:rsidR="00923B9F" w:rsidRPr="00923B9F">
              <w:rPr>
                <w:color w:val="000000"/>
                <w:spacing w:val="2"/>
                <w:szCs w:val="20"/>
                <w:shd w:val="solid" w:color="000000" w:fill="000000"/>
                <w:fitText w:val="337" w:id="-1136813044"/>
                <w14:textFill>
                  <w14:solidFill>
                    <w14:srgbClr w14:val="000000">
                      <w14:alpha w14:val="100000"/>
                    </w14:srgbClr>
                  </w14:solidFill>
                </w14:textFill>
              </w:rPr>
              <w:t>|</w:t>
            </w:r>
            <w:r w:rsidRPr="00936C32">
              <w:rPr>
                <w:szCs w:val="20"/>
              </w:rPr>
              <w:t xml:space="preserve">% rebate above the cap). </w:t>
            </w:r>
          </w:p>
        </w:tc>
      </w:tr>
      <w:tr w:rsidR="00D82049" w:rsidRPr="00936C32" w14:paraId="1229DD71" w14:textId="77777777" w:rsidTr="001E76E0">
        <w:trPr>
          <w:trHeight w:val="20"/>
        </w:trPr>
        <w:tc>
          <w:tcPr>
            <w:tcW w:w="0" w:type="auto"/>
          </w:tcPr>
          <w:p w14:paraId="023BAB91" w14:textId="77777777" w:rsidR="00D82049" w:rsidRPr="00936C32" w:rsidRDefault="00D82049" w:rsidP="001E76E0">
            <w:pPr>
              <w:pStyle w:val="COMTabletext"/>
              <w:rPr>
                <w:szCs w:val="20"/>
              </w:rPr>
            </w:pPr>
            <w:r w:rsidRPr="00936C32">
              <w:rPr>
                <w:szCs w:val="20"/>
              </w:rPr>
              <w:t>3</w:t>
            </w:r>
          </w:p>
        </w:tc>
        <w:tc>
          <w:tcPr>
            <w:tcW w:w="0" w:type="auto"/>
          </w:tcPr>
          <w:p w14:paraId="46318728" w14:textId="77777777" w:rsidR="00D82049" w:rsidRPr="00936C32" w:rsidRDefault="00D82049" w:rsidP="001E76E0">
            <w:pPr>
              <w:pStyle w:val="COMTabletext"/>
              <w:rPr>
                <w:szCs w:val="20"/>
              </w:rPr>
            </w:pPr>
            <w:r w:rsidRPr="00936C32">
              <w:rPr>
                <w:szCs w:val="20"/>
              </w:rPr>
              <w:t>Submit a proposal for a managed access program (MAP) to address PBAC’s concern regarding the uncertain cost-effectiveness as discussed in paragraphs 7.13 to 7.15.</w:t>
            </w:r>
          </w:p>
          <w:p w14:paraId="751AED2F" w14:textId="77777777" w:rsidR="00D82049" w:rsidRPr="00936C32" w:rsidRDefault="00D82049" w:rsidP="001E76E0">
            <w:pPr>
              <w:pStyle w:val="COMTabletext"/>
              <w:rPr>
                <w:szCs w:val="20"/>
              </w:rPr>
            </w:pPr>
          </w:p>
        </w:tc>
        <w:tc>
          <w:tcPr>
            <w:tcW w:w="0" w:type="auto"/>
          </w:tcPr>
          <w:p w14:paraId="250A2B3F" w14:textId="77777777" w:rsidR="00D82049" w:rsidRPr="00936C32" w:rsidRDefault="00D82049" w:rsidP="001E76E0">
            <w:pPr>
              <w:pStyle w:val="COMTabletext"/>
              <w:rPr>
                <w:rFonts w:cstheme="minorHAnsi"/>
                <w:szCs w:val="20"/>
              </w:rPr>
            </w:pPr>
            <w:r w:rsidRPr="00936C32">
              <w:rPr>
                <w:rFonts w:cstheme="minorHAnsi"/>
                <w:szCs w:val="20"/>
              </w:rPr>
              <w:t xml:space="preserve">The resubmission noted the request for a MAP and </w:t>
            </w:r>
            <w:r w:rsidRPr="00936C32">
              <w:rPr>
                <w:szCs w:val="20"/>
              </w:rPr>
              <w:t>proposed that a future reassessment of patisiran could incorporate data from the patisiran Global open-label extension (OLE) study and from the ConTTRibute Global observational study.</w:t>
            </w:r>
          </w:p>
        </w:tc>
      </w:tr>
      <w:tr w:rsidR="00D82049" w:rsidRPr="00936C32" w14:paraId="16CEDCE8" w14:textId="77777777" w:rsidTr="001E76E0">
        <w:trPr>
          <w:trHeight w:val="20"/>
        </w:trPr>
        <w:tc>
          <w:tcPr>
            <w:tcW w:w="0" w:type="auto"/>
          </w:tcPr>
          <w:p w14:paraId="6B20EB73" w14:textId="77777777" w:rsidR="00D82049" w:rsidRPr="00936C32" w:rsidRDefault="00D82049" w:rsidP="001E76E0">
            <w:pPr>
              <w:pStyle w:val="COMTabletext"/>
              <w:rPr>
                <w:szCs w:val="20"/>
              </w:rPr>
            </w:pPr>
            <w:r w:rsidRPr="00936C32">
              <w:rPr>
                <w:szCs w:val="20"/>
              </w:rPr>
              <w:t>4</w:t>
            </w:r>
          </w:p>
        </w:tc>
        <w:tc>
          <w:tcPr>
            <w:tcW w:w="0" w:type="auto"/>
          </w:tcPr>
          <w:p w14:paraId="68F58BD8" w14:textId="77777777" w:rsidR="00D82049" w:rsidRPr="00936C32" w:rsidRDefault="00D82049" w:rsidP="001E76E0">
            <w:pPr>
              <w:pStyle w:val="COMTabletext"/>
              <w:rPr>
                <w:szCs w:val="20"/>
              </w:rPr>
            </w:pPr>
            <w:r w:rsidRPr="00936C32">
              <w:rPr>
                <w:szCs w:val="20"/>
              </w:rPr>
              <w:t>Update restriction, as outlined in paragraph 7.18</w:t>
            </w:r>
          </w:p>
        </w:tc>
        <w:tc>
          <w:tcPr>
            <w:tcW w:w="0" w:type="auto"/>
          </w:tcPr>
          <w:p w14:paraId="2F02BB0E" w14:textId="77777777" w:rsidR="00D82049" w:rsidRPr="00936C32" w:rsidRDefault="00D82049" w:rsidP="001E76E0">
            <w:pPr>
              <w:pStyle w:val="COMTabletext"/>
              <w:rPr>
                <w:rFonts w:cstheme="minorHAnsi"/>
                <w:szCs w:val="20"/>
              </w:rPr>
            </w:pPr>
            <w:r w:rsidRPr="00936C32">
              <w:rPr>
                <w:rFonts w:cstheme="minorHAnsi"/>
                <w:szCs w:val="20"/>
              </w:rPr>
              <w:t xml:space="preserve">The resubmission provided updated restriction criteria, however </w:t>
            </w:r>
            <w:proofErr w:type="gramStart"/>
            <w:r w:rsidRPr="00936C32">
              <w:rPr>
                <w:rFonts w:cstheme="minorHAnsi"/>
                <w:szCs w:val="20"/>
              </w:rPr>
              <w:t>some of</w:t>
            </w:r>
            <w:proofErr w:type="gramEnd"/>
            <w:r w:rsidRPr="00936C32">
              <w:rPr>
                <w:rFonts w:cstheme="minorHAnsi"/>
                <w:szCs w:val="20"/>
              </w:rPr>
              <w:t xml:space="preserve"> the PBAC’s concerns were not addressed.</w:t>
            </w:r>
          </w:p>
        </w:tc>
      </w:tr>
    </w:tbl>
    <w:p w14:paraId="392D000B" w14:textId="77777777" w:rsidR="00683D4D" w:rsidRPr="009A6D58" w:rsidRDefault="00683D4D" w:rsidP="00683D4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E677580" w14:textId="721DB90E" w:rsidR="00683D4D" w:rsidRPr="009A6D58" w:rsidRDefault="00683D4D" w:rsidP="00683D4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83D4D">
        <w:rPr>
          <w:rFonts w:ascii="Arial Narrow" w:hAnsi="Arial Narrow"/>
          <w:i/>
          <w:sz w:val="18"/>
          <w:szCs w:val="18"/>
        </w:rPr>
        <w:t>155,000 to &lt; $255,000</w:t>
      </w:r>
    </w:p>
    <w:p w14:paraId="32135843" w14:textId="4490A2CD" w:rsidR="00683D4D" w:rsidRDefault="00683D4D" w:rsidP="00683D4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83D4D">
        <w:rPr>
          <w:rFonts w:ascii="Arial Narrow" w:hAnsi="Arial Narrow"/>
          <w:i/>
          <w:sz w:val="18"/>
          <w:szCs w:val="18"/>
        </w:rPr>
        <w:t>&lt; 500</w:t>
      </w:r>
    </w:p>
    <w:p w14:paraId="7BC26FE8" w14:textId="3147FCAB" w:rsidR="00D341A9" w:rsidRDefault="00AE5881" w:rsidP="00683D4D">
      <w:pPr>
        <w:rPr>
          <w:rFonts w:ascii="Arial Narrow" w:hAnsi="Arial Narrow"/>
          <w:i/>
          <w:sz w:val="18"/>
          <w:szCs w:val="18"/>
        </w:rPr>
      </w:pPr>
      <w:r w:rsidRPr="003F4735">
        <w:rPr>
          <w:rFonts w:ascii="Arial Narrow" w:hAnsi="Arial Narrow"/>
          <w:i/>
          <w:sz w:val="18"/>
          <w:szCs w:val="18"/>
          <w:vertAlign w:val="superscript"/>
        </w:rPr>
        <w:t>3</w:t>
      </w:r>
      <w:r>
        <w:rPr>
          <w:rFonts w:ascii="Arial Narrow" w:hAnsi="Arial Narrow"/>
          <w:i/>
          <w:sz w:val="18"/>
          <w:szCs w:val="18"/>
          <w:vertAlign w:val="superscript"/>
        </w:rPr>
        <w:t xml:space="preserve"> </w:t>
      </w:r>
      <w:r w:rsidRPr="00AE5881">
        <w:rPr>
          <w:rFonts w:ascii="Arial Narrow" w:hAnsi="Arial Narrow"/>
          <w:i/>
          <w:sz w:val="18"/>
          <w:szCs w:val="18"/>
        </w:rPr>
        <w:t>500 to &lt; 5,000</w:t>
      </w:r>
    </w:p>
    <w:p w14:paraId="31B5055D" w14:textId="77777777" w:rsidR="00D341A9" w:rsidRDefault="00D341A9">
      <w:pPr>
        <w:spacing w:after="160" w:line="259" w:lineRule="auto"/>
        <w:jc w:val="left"/>
        <w:rPr>
          <w:rFonts w:ascii="Arial Narrow" w:hAnsi="Arial Narrow"/>
          <w:i/>
          <w:sz w:val="18"/>
          <w:szCs w:val="18"/>
        </w:rPr>
      </w:pPr>
      <w:r>
        <w:rPr>
          <w:rFonts w:ascii="Arial Narrow" w:hAnsi="Arial Narrow"/>
          <w:i/>
          <w:sz w:val="18"/>
          <w:szCs w:val="18"/>
        </w:rPr>
        <w:br w:type="page"/>
      </w:r>
    </w:p>
    <w:p w14:paraId="0B89672E" w14:textId="77777777" w:rsidR="00AE5881" w:rsidRPr="009A6D58" w:rsidRDefault="00AE5881" w:rsidP="00683D4D">
      <w:pPr>
        <w:rPr>
          <w:rFonts w:ascii="Arial Narrow" w:hAnsi="Arial Narrow"/>
          <w:i/>
          <w:sz w:val="18"/>
          <w:szCs w:val="18"/>
        </w:rPr>
      </w:pPr>
    </w:p>
    <w:p w14:paraId="18FD7B70" w14:textId="3CEC152C" w:rsidR="00D82049" w:rsidRPr="00936C32" w:rsidRDefault="00D82049" w:rsidP="00D82049">
      <w:pPr>
        <w:pStyle w:val="2-SectionHeading"/>
        <w:numPr>
          <w:ilvl w:val="0"/>
          <w:numId w:val="1"/>
        </w:numPr>
        <w:snapToGrid/>
      </w:pPr>
      <w:r w:rsidRPr="00936C32">
        <w:t xml:space="preserve">Requested listing </w:t>
      </w:r>
    </w:p>
    <w:p w14:paraId="4F753248" w14:textId="12DFC191" w:rsidR="00D82049" w:rsidRPr="00CD319F" w:rsidRDefault="00D82049" w:rsidP="00CD319F">
      <w:pPr>
        <w:pStyle w:val="COMexecsumnumberedpara"/>
        <w:numPr>
          <w:ilvl w:val="1"/>
          <w:numId w:val="34"/>
        </w:numPr>
        <w:rPr>
          <w:iCs/>
        </w:rPr>
      </w:pPr>
      <w:r w:rsidRPr="00936C32">
        <w:t>Secretariat additions are in italic and deletions in strikethrough.</w:t>
      </w:r>
      <w:r w:rsidR="009B0FC8">
        <w:t xml:space="preserve">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707"/>
        <w:gridCol w:w="2306"/>
        <w:gridCol w:w="812"/>
        <w:gridCol w:w="1416"/>
        <w:gridCol w:w="1418"/>
      </w:tblGrid>
      <w:tr w:rsidR="00D82049" w:rsidRPr="00936C32" w14:paraId="2D4535C8" w14:textId="77777777" w:rsidTr="001E76E0">
        <w:trPr>
          <w:cantSplit/>
          <w:trHeight w:val="20"/>
        </w:trPr>
        <w:tc>
          <w:tcPr>
            <w:tcW w:w="1384" w:type="pct"/>
            <w:vAlign w:val="center"/>
          </w:tcPr>
          <w:p w14:paraId="5E16CFA4" w14:textId="77777777" w:rsidR="00D82049" w:rsidRPr="00936C32" w:rsidRDefault="00D82049" w:rsidP="001E76E0">
            <w:pPr>
              <w:keepNext/>
              <w:keepLines/>
              <w:rPr>
                <w:rFonts w:ascii="Arial Narrow" w:hAnsi="Arial Narrow"/>
                <w:b/>
                <w:bCs/>
                <w:sz w:val="20"/>
                <w:szCs w:val="20"/>
              </w:rPr>
            </w:pPr>
            <w:r w:rsidRPr="00936C32">
              <w:rPr>
                <w:rFonts w:ascii="Arial Narrow" w:hAnsi="Arial Narrow"/>
                <w:b/>
                <w:bCs/>
                <w:sz w:val="20"/>
                <w:szCs w:val="20"/>
              </w:rPr>
              <w:t>MEDICINAL PRODUCT</w:t>
            </w:r>
          </w:p>
          <w:p w14:paraId="2C28BE77" w14:textId="77777777" w:rsidR="00D82049" w:rsidRPr="00936C32" w:rsidRDefault="00D82049" w:rsidP="001E76E0">
            <w:pPr>
              <w:keepNext/>
              <w:keepLines/>
              <w:rPr>
                <w:rFonts w:ascii="Arial Narrow" w:hAnsi="Arial Narrow"/>
                <w:b/>
                <w:sz w:val="20"/>
                <w:szCs w:val="20"/>
              </w:rPr>
            </w:pPr>
            <w:r w:rsidRPr="00936C32">
              <w:rPr>
                <w:rFonts w:ascii="Arial Narrow" w:hAnsi="Arial Narrow"/>
                <w:b/>
                <w:bCs/>
                <w:sz w:val="20"/>
                <w:szCs w:val="20"/>
              </w:rPr>
              <w:t>medicinal product pack</w:t>
            </w:r>
          </w:p>
        </w:tc>
        <w:tc>
          <w:tcPr>
            <w:tcW w:w="384" w:type="pct"/>
          </w:tcPr>
          <w:p w14:paraId="321FA6AF" w14:textId="77777777" w:rsidR="00D82049" w:rsidRPr="00936C32" w:rsidRDefault="00D82049" w:rsidP="001E76E0">
            <w:pPr>
              <w:pStyle w:val="COMTabletext"/>
              <w:rPr>
                <w:b/>
                <w:bCs w:val="0"/>
                <w:szCs w:val="20"/>
              </w:rPr>
            </w:pPr>
            <w:r w:rsidRPr="00936C32">
              <w:rPr>
                <w:rFonts w:cs="Arial"/>
                <w:b/>
                <w:szCs w:val="20"/>
              </w:rPr>
              <w:t>PBS item code</w:t>
            </w:r>
          </w:p>
        </w:tc>
        <w:tc>
          <w:tcPr>
            <w:tcW w:w="1252" w:type="pct"/>
          </w:tcPr>
          <w:p w14:paraId="034A5E0C" w14:textId="77777777" w:rsidR="00D82049" w:rsidRPr="00936C32" w:rsidRDefault="00D82049" w:rsidP="001E76E0">
            <w:pPr>
              <w:keepNext/>
              <w:keepLines/>
              <w:jc w:val="center"/>
              <w:rPr>
                <w:rFonts w:ascii="Arial Narrow" w:hAnsi="Arial Narrow"/>
                <w:b/>
                <w:sz w:val="20"/>
                <w:szCs w:val="20"/>
              </w:rPr>
            </w:pPr>
            <w:r w:rsidRPr="00936C32">
              <w:rPr>
                <w:rFonts w:ascii="Arial Narrow" w:hAnsi="Arial Narrow"/>
                <w:b/>
                <w:sz w:val="20"/>
                <w:szCs w:val="20"/>
              </w:rPr>
              <w:t>Dispensed Price for Max. Qty</w:t>
            </w:r>
          </w:p>
        </w:tc>
        <w:tc>
          <w:tcPr>
            <w:tcW w:w="441" w:type="pct"/>
          </w:tcPr>
          <w:p w14:paraId="57069700" w14:textId="77777777" w:rsidR="00D82049" w:rsidRPr="00936C32" w:rsidRDefault="00D82049" w:rsidP="001E76E0">
            <w:pPr>
              <w:keepNext/>
              <w:keepLines/>
              <w:jc w:val="center"/>
              <w:rPr>
                <w:rFonts w:ascii="Arial Narrow" w:hAnsi="Arial Narrow"/>
                <w:b/>
                <w:sz w:val="20"/>
                <w:szCs w:val="20"/>
              </w:rPr>
            </w:pPr>
            <w:r w:rsidRPr="00936C32">
              <w:rPr>
                <w:rFonts w:ascii="Arial Narrow" w:hAnsi="Arial Narrow"/>
                <w:b/>
                <w:sz w:val="20"/>
                <w:szCs w:val="20"/>
              </w:rPr>
              <w:t>Max. qty units</w:t>
            </w:r>
          </w:p>
        </w:tc>
        <w:tc>
          <w:tcPr>
            <w:tcW w:w="769" w:type="pct"/>
            <w:vAlign w:val="center"/>
          </w:tcPr>
          <w:p w14:paraId="32DBAE06" w14:textId="77777777" w:rsidR="00D82049" w:rsidRPr="00936C32" w:rsidRDefault="00D82049" w:rsidP="001E76E0">
            <w:pPr>
              <w:keepNext/>
              <w:keepLines/>
              <w:jc w:val="center"/>
              <w:rPr>
                <w:rFonts w:ascii="Arial Narrow" w:hAnsi="Arial Narrow"/>
                <w:b/>
                <w:sz w:val="20"/>
                <w:szCs w:val="20"/>
              </w:rPr>
            </w:pPr>
            <w:r w:rsidRPr="00936C32">
              <w:rPr>
                <w:rFonts w:ascii="Arial Narrow" w:hAnsi="Arial Narrow"/>
                <w:b/>
                <w:sz w:val="20"/>
                <w:szCs w:val="20"/>
              </w:rPr>
              <w:t>№.of</w:t>
            </w:r>
          </w:p>
          <w:p w14:paraId="30AFF08D" w14:textId="77777777" w:rsidR="00D82049" w:rsidRPr="00936C32" w:rsidRDefault="00D82049" w:rsidP="001E76E0">
            <w:pPr>
              <w:keepNext/>
              <w:keepLines/>
              <w:jc w:val="center"/>
              <w:rPr>
                <w:rFonts w:ascii="Arial Narrow" w:hAnsi="Arial Narrow"/>
                <w:b/>
                <w:sz w:val="20"/>
                <w:szCs w:val="20"/>
              </w:rPr>
            </w:pPr>
            <w:r w:rsidRPr="00936C32">
              <w:rPr>
                <w:rFonts w:ascii="Arial Narrow" w:hAnsi="Arial Narrow"/>
                <w:b/>
                <w:sz w:val="20"/>
                <w:szCs w:val="20"/>
              </w:rPr>
              <w:t>Rpts</w:t>
            </w:r>
          </w:p>
        </w:tc>
        <w:tc>
          <w:tcPr>
            <w:tcW w:w="770" w:type="pct"/>
            <w:vAlign w:val="center"/>
          </w:tcPr>
          <w:p w14:paraId="68AC18ED" w14:textId="77777777" w:rsidR="00D82049" w:rsidRPr="00936C32" w:rsidRDefault="00D82049" w:rsidP="001E76E0">
            <w:pPr>
              <w:keepNext/>
              <w:keepLines/>
              <w:rPr>
                <w:rFonts w:ascii="Arial Narrow" w:hAnsi="Arial Narrow"/>
                <w:b/>
                <w:sz w:val="20"/>
                <w:szCs w:val="20"/>
              </w:rPr>
            </w:pPr>
            <w:r w:rsidRPr="00936C32">
              <w:rPr>
                <w:rFonts w:ascii="Arial Narrow" w:hAnsi="Arial Narrow"/>
                <w:b/>
                <w:sz w:val="20"/>
                <w:szCs w:val="20"/>
              </w:rPr>
              <w:t>Available brands</w:t>
            </w:r>
          </w:p>
        </w:tc>
      </w:tr>
      <w:tr w:rsidR="00D82049" w:rsidRPr="00936C32" w14:paraId="033AC1D9" w14:textId="77777777" w:rsidTr="001E76E0">
        <w:trPr>
          <w:cantSplit/>
          <w:trHeight w:val="20"/>
        </w:trPr>
        <w:tc>
          <w:tcPr>
            <w:tcW w:w="5000" w:type="pct"/>
            <w:gridSpan w:val="6"/>
            <w:vAlign w:val="center"/>
          </w:tcPr>
          <w:p w14:paraId="532D12E5" w14:textId="77777777" w:rsidR="00D82049" w:rsidRPr="00936C32" w:rsidRDefault="00D82049" w:rsidP="001E76E0">
            <w:pPr>
              <w:pStyle w:val="COMTabletext"/>
              <w:rPr>
                <w:rFonts w:cs="Arial"/>
                <w:szCs w:val="20"/>
              </w:rPr>
            </w:pPr>
            <w:r w:rsidRPr="00936C32">
              <w:rPr>
                <w:szCs w:val="20"/>
              </w:rPr>
              <w:t>PATISIRAN</w:t>
            </w:r>
          </w:p>
        </w:tc>
      </w:tr>
      <w:tr w:rsidR="00D82049" w:rsidRPr="00936C32" w14:paraId="53C4D646" w14:textId="77777777" w:rsidTr="001E76E0">
        <w:trPr>
          <w:cantSplit/>
          <w:trHeight w:val="20"/>
        </w:trPr>
        <w:tc>
          <w:tcPr>
            <w:tcW w:w="1384" w:type="pct"/>
          </w:tcPr>
          <w:p w14:paraId="002B4F78" w14:textId="77777777" w:rsidR="00D82049" w:rsidRPr="00936C32" w:rsidRDefault="00D82049" w:rsidP="001E76E0">
            <w:pPr>
              <w:pStyle w:val="COMTabletext"/>
              <w:keepLines/>
              <w:rPr>
                <w:color w:val="0066FF"/>
                <w:szCs w:val="20"/>
              </w:rPr>
            </w:pPr>
            <w:r w:rsidRPr="00936C32">
              <w:rPr>
                <w:szCs w:val="20"/>
              </w:rPr>
              <w:t xml:space="preserve">10 mg (5 mL) vial for complex IV infusion, </w:t>
            </w:r>
            <w:proofErr w:type="gramStart"/>
            <w:r w:rsidRPr="00936C32">
              <w:rPr>
                <w:szCs w:val="20"/>
              </w:rPr>
              <w:t>1</w:t>
            </w:r>
            <w:proofErr w:type="gramEnd"/>
          </w:p>
        </w:tc>
        <w:tc>
          <w:tcPr>
            <w:tcW w:w="384" w:type="pct"/>
          </w:tcPr>
          <w:p w14:paraId="18945377" w14:textId="77777777" w:rsidR="00D82049" w:rsidRPr="00936C32" w:rsidRDefault="00D82049" w:rsidP="001E76E0">
            <w:pPr>
              <w:pStyle w:val="COMTabletext"/>
              <w:jc w:val="center"/>
              <w:rPr>
                <w:iCs/>
                <w:szCs w:val="20"/>
              </w:rPr>
            </w:pPr>
            <w:r w:rsidRPr="00936C32">
              <w:rPr>
                <w:iCs/>
                <w:szCs w:val="20"/>
              </w:rPr>
              <w:t>NEW</w:t>
            </w:r>
          </w:p>
          <w:p w14:paraId="0D52AE6E" w14:textId="77777777" w:rsidR="00D82049" w:rsidRDefault="00D82049" w:rsidP="001E76E0">
            <w:pPr>
              <w:pStyle w:val="COMTabletext"/>
              <w:jc w:val="center"/>
              <w:rPr>
                <w:iCs/>
                <w:szCs w:val="20"/>
              </w:rPr>
            </w:pPr>
          </w:p>
          <w:p w14:paraId="37FA7001" w14:textId="77777777" w:rsidR="00D82049" w:rsidRDefault="00D82049" w:rsidP="001E76E0">
            <w:pPr>
              <w:pStyle w:val="COMTabletext"/>
              <w:jc w:val="center"/>
              <w:rPr>
                <w:iCs/>
                <w:szCs w:val="20"/>
              </w:rPr>
            </w:pPr>
          </w:p>
          <w:p w14:paraId="1DA79920" w14:textId="77777777" w:rsidR="00D82049" w:rsidRPr="00936C32" w:rsidRDefault="00D82049" w:rsidP="001E76E0">
            <w:pPr>
              <w:pStyle w:val="COMTabletext"/>
              <w:jc w:val="center"/>
              <w:rPr>
                <w:iCs/>
                <w:szCs w:val="20"/>
              </w:rPr>
            </w:pPr>
            <w:r w:rsidRPr="00936C32">
              <w:rPr>
                <w:iCs/>
                <w:szCs w:val="20"/>
              </w:rPr>
              <w:t>NEW</w:t>
            </w:r>
          </w:p>
        </w:tc>
        <w:tc>
          <w:tcPr>
            <w:tcW w:w="1252" w:type="pct"/>
          </w:tcPr>
          <w:p w14:paraId="41AA3465" w14:textId="77777777" w:rsidR="00D82049" w:rsidRPr="00936C32" w:rsidRDefault="00D82049" w:rsidP="001E76E0">
            <w:pPr>
              <w:pStyle w:val="COMTabletext"/>
              <w:jc w:val="center"/>
            </w:pPr>
            <w:r w:rsidRPr="00936C32">
              <w:t xml:space="preserve">Public: </w:t>
            </w:r>
          </w:p>
          <w:p w14:paraId="39A8E361" w14:textId="66D01A07" w:rsidR="00D82049" w:rsidRPr="00936C32" w:rsidRDefault="00D82049" w:rsidP="001E76E0">
            <w:pPr>
              <w:pStyle w:val="COMTabletext"/>
              <w:jc w:val="center"/>
              <w:rPr>
                <w:szCs w:val="20"/>
              </w:rPr>
            </w:pPr>
            <w:r w:rsidRPr="00936C32">
              <w:t>$</w:t>
            </w:r>
            <w:r w:rsidR="00923B9F" w:rsidRPr="00923B9F">
              <w:rPr>
                <w:rFonts w:hint="eastAsia"/>
                <w:color w:val="000000"/>
                <w:w w:val="25"/>
                <w:shd w:val="solid" w:color="000000" w:fill="000000"/>
                <w:fitText w:val="112" w:id="-1136813043"/>
                <w14:textFill>
                  <w14:solidFill>
                    <w14:srgbClr w14:val="000000">
                      <w14:alpha w14:val="100000"/>
                    </w14:srgbClr>
                  </w14:solidFill>
                </w14:textFill>
              </w:rPr>
              <w:t xml:space="preserve">　</w:t>
            </w:r>
            <w:r w:rsidR="00923B9F" w:rsidRPr="00923B9F">
              <w:rPr>
                <w:color w:val="000000"/>
                <w:w w:val="25"/>
                <w:shd w:val="solid" w:color="000000" w:fill="000000"/>
                <w:fitText w:val="112" w:id="-1136813043"/>
                <w14:textFill>
                  <w14:solidFill>
                    <w14:srgbClr w14:val="000000">
                      <w14:alpha w14:val="100000"/>
                    </w14:srgbClr>
                  </w14:solidFill>
                </w14:textFill>
              </w:rPr>
              <w:t>|</w:t>
            </w:r>
            <w:r w:rsidR="00923B9F" w:rsidRPr="00923B9F">
              <w:rPr>
                <w:rFonts w:hint="eastAsia"/>
                <w:color w:val="000000"/>
                <w:spacing w:val="1"/>
                <w:w w:val="25"/>
                <w:shd w:val="solid" w:color="000000" w:fill="000000"/>
                <w:fitText w:val="112" w:id="-1136813043"/>
                <w14:textFill>
                  <w14:solidFill>
                    <w14:srgbClr w14:val="000000">
                      <w14:alpha w14:val="100000"/>
                    </w14:srgbClr>
                  </w14:solidFill>
                </w14:textFill>
              </w:rPr>
              <w:t xml:space="preserve">　</w:t>
            </w:r>
            <w:r w:rsidRPr="00936C32">
              <w:rPr>
                <w:szCs w:val="20"/>
              </w:rPr>
              <w:t xml:space="preserve"> published price</w:t>
            </w:r>
          </w:p>
          <w:p w14:paraId="1F27CE2B" w14:textId="62C214E4" w:rsidR="00D82049" w:rsidRPr="00936C32" w:rsidRDefault="00D82049" w:rsidP="001E76E0">
            <w:pPr>
              <w:pStyle w:val="COMTabletext"/>
              <w:jc w:val="center"/>
              <w:rPr>
                <w:szCs w:val="20"/>
              </w:rPr>
            </w:pPr>
            <w:r w:rsidRPr="00936C32">
              <w:rPr>
                <w:szCs w:val="20"/>
              </w:rPr>
              <w:t>$</w:t>
            </w:r>
            <w:r w:rsidR="00923B9F" w:rsidRPr="00923B9F">
              <w:rPr>
                <w:rFonts w:hint="eastAsia"/>
                <w:color w:val="000000"/>
                <w:w w:val="21"/>
                <w:szCs w:val="20"/>
                <w:shd w:val="solid" w:color="000000" w:fill="000000"/>
                <w:fitText w:val="94" w:id="-1136813042"/>
                <w14:textFill>
                  <w14:solidFill>
                    <w14:srgbClr w14:val="000000">
                      <w14:alpha w14:val="100000"/>
                    </w14:srgbClr>
                  </w14:solidFill>
                </w14:textFill>
              </w:rPr>
              <w:t xml:space="preserve">　</w:t>
            </w:r>
            <w:r w:rsidR="00923B9F" w:rsidRPr="00923B9F">
              <w:rPr>
                <w:color w:val="000000"/>
                <w:w w:val="21"/>
                <w:szCs w:val="20"/>
                <w:shd w:val="solid" w:color="000000" w:fill="000000"/>
                <w:fitText w:val="94" w:id="-1136813042"/>
                <w14:textFill>
                  <w14:solidFill>
                    <w14:srgbClr w14:val="000000">
                      <w14:alpha w14:val="100000"/>
                    </w14:srgbClr>
                  </w14:solidFill>
                </w14:textFill>
              </w:rPr>
              <w:t>|</w:t>
            </w:r>
            <w:r w:rsidR="00923B9F" w:rsidRPr="00923B9F">
              <w:rPr>
                <w:rFonts w:hint="eastAsia"/>
                <w:color w:val="000000"/>
                <w:spacing w:val="3"/>
                <w:w w:val="21"/>
                <w:szCs w:val="20"/>
                <w:shd w:val="solid" w:color="000000" w:fill="000000"/>
                <w:fitText w:val="94" w:id="-1136813042"/>
                <w14:textFill>
                  <w14:solidFill>
                    <w14:srgbClr w14:val="000000">
                      <w14:alpha w14:val="100000"/>
                    </w14:srgbClr>
                  </w14:solidFill>
                </w14:textFill>
              </w:rPr>
              <w:t xml:space="preserve">　</w:t>
            </w:r>
            <w:r w:rsidRPr="00936C32">
              <w:rPr>
                <w:szCs w:val="20"/>
              </w:rPr>
              <w:t xml:space="preserve"> effective price</w:t>
            </w:r>
          </w:p>
          <w:p w14:paraId="551CF780" w14:textId="77777777" w:rsidR="00D82049" w:rsidRPr="00936C32" w:rsidRDefault="00D82049" w:rsidP="001E76E0">
            <w:pPr>
              <w:pStyle w:val="COMTabletext"/>
              <w:jc w:val="center"/>
              <w:rPr>
                <w:szCs w:val="20"/>
              </w:rPr>
            </w:pPr>
            <w:r w:rsidRPr="00936C32">
              <w:rPr>
                <w:szCs w:val="20"/>
              </w:rPr>
              <w:t>Private</w:t>
            </w:r>
          </w:p>
          <w:p w14:paraId="534FC5F6" w14:textId="0F47A9AB" w:rsidR="00D82049" w:rsidRPr="00936C32" w:rsidRDefault="00D82049" w:rsidP="001E76E0">
            <w:pPr>
              <w:pStyle w:val="COMTabletext"/>
              <w:jc w:val="center"/>
              <w:rPr>
                <w:szCs w:val="20"/>
              </w:rPr>
            </w:pPr>
            <w:r w:rsidRPr="00936C32">
              <w:t>$</w:t>
            </w:r>
            <w:r w:rsidR="00923B9F" w:rsidRPr="00923B9F">
              <w:rPr>
                <w:rFonts w:hint="eastAsia"/>
                <w:color w:val="000000"/>
                <w:w w:val="25"/>
                <w:shd w:val="solid" w:color="000000" w:fill="000000"/>
                <w:fitText w:val="112" w:id="-1136813041"/>
                <w14:textFill>
                  <w14:solidFill>
                    <w14:srgbClr w14:val="000000">
                      <w14:alpha w14:val="100000"/>
                    </w14:srgbClr>
                  </w14:solidFill>
                </w14:textFill>
              </w:rPr>
              <w:t xml:space="preserve">　</w:t>
            </w:r>
            <w:r w:rsidR="00923B9F" w:rsidRPr="00923B9F">
              <w:rPr>
                <w:color w:val="000000"/>
                <w:w w:val="25"/>
                <w:shd w:val="solid" w:color="000000" w:fill="000000"/>
                <w:fitText w:val="112" w:id="-1136813041"/>
                <w14:textFill>
                  <w14:solidFill>
                    <w14:srgbClr w14:val="000000">
                      <w14:alpha w14:val="100000"/>
                    </w14:srgbClr>
                  </w14:solidFill>
                </w14:textFill>
              </w:rPr>
              <w:t>|</w:t>
            </w:r>
            <w:r w:rsidR="00923B9F" w:rsidRPr="00923B9F">
              <w:rPr>
                <w:rFonts w:hint="eastAsia"/>
                <w:color w:val="000000"/>
                <w:spacing w:val="1"/>
                <w:w w:val="25"/>
                <w:shd w:val="solid" w:color="000000" w:fill="000000"/>
                <w:fitText w:val="112" w:id="-1136813041"/>
                <w14:textFill>
                  <w14:solidFill>
                    <w14:srgbClr w14:val="000000">
                      <w14:alpha w14:val="100000"/>
                    </w14:srgbClr>
                  </w14:solidFill>
                </w14:textFill>
              </w:rPr>
              <w:t xml:space="preserve">　</w:t>
            </w:r>
            <w:r w:rsidRPr="00936C32">
              <w:rPr>
                <w:szCs w:val="20"/>
              </w:rPr>
              <w:t xml:space="preserve"> published price</w:t>
            </w:r>
          </w:p>
          <w:p w14:paraId="366A4DC0" w14:textId="5024B1A6" w:rsidR="00D82049" w:rsidRPr="00936C32" w:rsidRDefault="00D82049" w:rsidP="001E76E0">
            <w:pPr>
              <w:pStyle w:val="COMTabletext"/>
              <w:jc w:val="center"/>
              <w:rPr>
                <w:szCs w:val="20"/>
              </w:rPr>
            </w:pPr>
            <w:r w:rsidRPr="00936C32">
              <w:rPr>
                <w:szCs w:val="20"/>
              </w:rPr>
              <w:t>$</w:t>
            </w:r>
            <w:r w:rsidR="00923B9F" w:rsidRPr="00923B9F">
              <w:rPr>
                <w:rFonts w:hint="eastAsia"/>
                <w:color w:val="000000"/>
                <w:w w:val="21"/>
                <w:szCs w:val="20"/>
                <w:shd w:val="solid" w:color="000000" w:fill="000000"/>
                <w:fitText w:val="94" w:id="-1136813040"/>
                <w14:textFill>
                  <w14:solidFill>
                    <w14:srgbClr w14:val="000000">
                      <w14:alpha w14:val="100000"/>
                    </w14:srgbClr>
                  </w14:solidFill>
                </w14:textFill>
              </w:rPr>
              <w:t xml:space="preserve">　</w:t>
            </w:r>
            <w:r w:rsidR="00923B9F" w:rsidRPr="00923B9F">
              <w:rPr>
                <w:color w:val="000000"/>
                <w:w w:val="21"/>
                <w:szCs w:val="20"/>
                <w:shd w:val="solid" w:color="000000" w:fill="000000"/>
                <w:fitText w:val="94" w:id="-1136813040"/>
                <w14:textFill>
                  <w14:solidFill>
                    <w14:srgbClr w14:val="000000">
                      <w14:alpha w14:val="100000"/>
                    </w14:srgbClr>
                  </w14:solidFill>
                </w14:textFill>
              </w:rPr>
              <w:t>|</w:t>
            </w:r>
            <w:r w:rsidR="00923B9F" w:rsidRPr="00923B9F">
              <w:rPr>
                <w:rFonts w:hint="eastAsia"/>
                <w:color w:val="000000"/>
                <w:spacing w:val="3"/>
                <w:w w:val="21"/>
                <w:szCs w:val="20"/>
                <w:shd w:val="solid" w:color="000000" w:fill="000000"/>
                <w:fitText w:val="94" w:id="-1136813040"/>
                <w14:textFill>
                  <w14:solidFill>
                    <w14:srgbClr w14:val="000000">
                      <w14:alpha w14:val="100000"/>
                    </w14:srgbClr>
                  </w14:solidFill>
                </w14:textFill>
              </w:rPr>
              <w:t xml:space="preserve">　</w:t>
            </w:r>
            <w:r w:rsidRPr="00936C32">
              <w:rPr>
                <w:szCs w:val="20"/>
              </w:rPr>
              <w:t xml:space="preserve"> effective price</w:t>
            </w:r>
          </w:p>
        </w:tc>
        <w:tc>
          <w:tcPr>
            <w:tcW w:w="441" w:type="pct"/>
          </w:tcPr>
          <w:p w14:paraId="2735A15C" w14:textId="77777777" w:rsidR="00D82049" w:rsidRPr="00936C32" w:rsidRDefault="00D82049" w:rsidP="001E76E0">
            <w:pPr>
              <w:keepNext/>
              <w:keepLines/>
              <w:jc w:val="center"/>
              <w:rPr>
                <w:rFonts w:ascii="Arial Narrow" w:hAnsi="Arial Narrow"/>
                <w:sz w:val="20"/>
                <w:szCs w:val="20"/>
              </w:rPr>
            </w:pPr>
            <w:r w:rsidRPr="00936C32">
              <w:rPr>
                <w:rFonts w:ascii="Arial Narrow" w:hAnsi="Arial Narrow"/>
                <w:sz w:val="20"/>
                <w:szCs w:val="20"/>
              </w:rPr>
              <w:t>3</w:t>
            </w:r>
          </w:p>
        </w:tc>
        <w:tc>
          <w:tcPr>
            <w:tcW w:w="769" w:type="pct"/>
          </w:tcPr>
          <w:p w14:paraId="4F7BFB65" w14:textId="77777777" w:rsidR="00D82049" w:rsidRPr="00936C32" w:rsidRDefault="00D82049" w:rsidP="001E76E0">
            <w:pPr>
              <w:keepNext/>
              <w:keepLines/>
              <w:jc w:val="center"/>
              <w:rPr>
                <w:rFonts w:ascii="Arial Narrow" w:hAnsi="Arial Narrow"/>
                <w:sz w:val="20"/>
                <w:szCs w:val="20"/>
              </w:rPr>
            </w:pPr>
            <w:r w:rsidRPr="00936C32">
              <w:rPr>
                <w:rFonts w:ascii="Arial Narrow" w:hAnsi="Arial Narrow"/>
                <w:sz w:val="20"/>
                <w:szCs w:val="20"/>
              </w:rPr>
              <w:t>7</w:t>
            </w:r>
          </w:p>
        </w:tc>
        <w:tc>
          <w:tcPr>
            <w:tcW w:w="770" w:type="pct"/>
          </w:tcPr>
          <w:p w14:paraId="62683BA3" w14:textId="77777777" w:rsidR="00D82049" w:rsidRPr="00936C32" w:rsidRDefault="00D82049" w:rsidP="001E76E0">
            <w:pPr>
              <w:keepNext/>
              <w:keepLines/>
              <w:jc w:val="center"/>
              <w:rPr>
                <w:rFonts w:ascii="Arial Narrow" w:hAnsi="Arial Narrow"/>
                <w:color w:val="0066FF"/>
                <w:sz w:val="20"/>
                <w:szCs w:val="20"/>
              </w:rPr>
            </w:pPr>
            <w:r w:rsidRPr="00936C32">
              <w:rPr>
                <w:rFonts w:ascii="Arial Narrow" w:hAnsi="Arial Narrow"/>
                <w:sz w:val="20"/>
                <w:szCs w:val="20"/>
              </w:rPr>
              <w:t>Onpattro</w:t>
            </w:r>
          </w:p>
        </w:tc>
      </w:tr>
      <w:tr w:rsidR="00D82049" w:rsidRPr="00936C32" w14:paraId="66F87110" w14:textId="77777777" w:rsidTr="001E76E0">
        <w:tblPrEx>
          <w:tblCellMar>
            <w:top w:w="15" w:type="dxa"/>
            <w:bottom w:w="15" w:type="dxa"/>
          </w:tblCellMar>
          <w:tblLook w:val="04A0" w:firstRow="1" w:lastRow="0" w:firstColumn="1" w:lastColumn="0" w:noHBand="0" w:noVBand="1"/>
        </w:tblPrEx>
        <w:trPr>
          <w:cantSplit/>
          <w:trHeight w:val="20"/>
        </w:trPr>
        <w:tc>
          <w:tcPr>
            <w:tcW w:w="5000" w:type="pct"/>
            <w:gridSpan w:val="6"/>
          </w:tcPr>
          <w:p w14:paraId="415D1126" w14:textId="77777777" w:rsidR="00D82049" w:rsidRPr="00936C32" w:rsidRDefault="00D82049" w:rsidP="001E76E0">
            <w:pPr>
              <w:pStyle w:val="COMTabletext"/>
              <w:keepLines/>
              <w:rPr>
                <w:szCs w:val="20"/>
              </w:rPr>
            </w:pPr>
            <w:r w:rsidRPr="00936C32">
              <w:rPr>
                <w:b/>
                <w:szCs w:val="20"/>
              </w:rPr>
              <w:t xml:space="preserve">Category / Program: </w:t>
            </w:r>
            <w:r w:rsidRPr="00936C32">
              <w:rPr>
                <w:b/>
                <w:szCs w:val="20"/>
              </w:rPr>
              <w:tab/>
            </w:r>
            <w:r w:rsidRPr="00936C32">
              <w:rPr>
                <w:szCs w:val="20"/>
              </w:rPr>
              <w:t>Section 100 HSD – Public Hospital</w:t>
            </w:r>
          </w:p>
          <w:p w14:paraId="2A67B0DA" w14:textId="77777777" w:rsidR="00D82049" w:rsidRPr="00936C32" w:rsidRDefault="00D82049" w:rsidP="001E76E0">
            <w:pPr>
              <w:pStyle w:val="COMTabletext"/>
              <w:keepLines/>
              <w:rPr>
                <w:szCs w:val="20"/>
              </w:rPr>
            </w:pPr>
            <w:r w:rsidRPr="00936C32">
              <w:rPr>
                <w:szCs w:val="20"/>
              </w:rPr>
              <w:tab/>
            </w:r>
            <w:r w:rsidRPr="00936C32">
              <w:rPr>
                <w:szCs w:val="20"/>
              </w:rPr>
              <w:tab/>
            </w:r>
            <w:r w:rsidRPr="00936C32">
              <w:rPr>
                <w:szCs w:val="20"/>
              </w:rPr>
              <w:tab/>
              <w:t>Section 100 HSD – Private Hospital</w:t>
            </w:r>
          </w:p>
        </w:tc>
      </w:tr>
      <w:tr w:rsidR="00D82049" w:rsidRPr="00936C32" w14:paraId="477329BC" w14:textId="77777777" w:rsidTr="001E76E0">
        <w:tblPrEx>
          <w:tblCellMar>
            <w:top w:w="15" w:type="dxa"/>
            <w:bottom w:w="15" w:type="dxa"/>
          </w:tblCellMar>
          <w:tblLook w:val="04A0" w:firstRow="1" w:lastRow="0" w:firstColumn="1" w:lastColumn="0" w:noHBand="0" w:noVBand="1"/>
        </w:tblPrEx>
        <w:trPr>
          <w:cantSplit/>
          <w:trHeight w:val="20"/>
        </w:trPr>
        <w:tc>
          <w:tcPr>
            <w:tcW w:w="5000" w:type="pct"/>
            <w:gridSpan w:val="6"/>
          </w:tcPr>
          <w:p w14:paraId="641652CB" w14:textId="77777777" w:rsidR="00D82049" w:rsidRPr="00936C32" w:rsidRDefault="00D82049" w:rsidP="001E76E0">
            <w:pPr>
              <w:pStyle w:val="COMTabletext"/>
              <w:keepLines/>
              <w:rPr>
                <w:b/>
                <w:szCs w:val="20"/>
              </w:rPr>
            </w:pPr>
            <w:r w:rsidRPr="00936C32">
              <w:rPr>
                <w:b/>
              </w:rPr>
              <w:t xml:space="preserve">Prescriber type: </w:t>
            </w:r>
            <w:r w:rsidRPr="00936C32">
              <w:fldChar w:fldCharType="begin" w:fldLock="1">
                <w:ffData>
                  <w:name w:val=""/>
                  <w:enabled/>
                  <w:calcOnExit w:val="0"/>
                  <w:checkBox>
                    <w:sizeAuto/>
                    <w:default w:val="1"/>
                  </w:checkBox>
                </w:ffData>
              </w:fldChar>
            </w:r>
            <w:r w:rsidRPr="00936C32">
              <w:instrText xml:space="preserve"> FORMCHECKBOX </w:instrText>
            </w:r>
            <w:r w:rsidR="00867C25">
              <w:fldChar w:fldCharType="separate"/>
            </w:r>
            <w:r w:rsidRPr="00936C32">
              <w:fldChar w:fldCharType="end"/>
            </w:r>
            <w:r w:rsidRPr="00936C32">
              <w:t>Medical Practitioners</w:t>
            </w:r>
          </w:p>
        </w:tc>
      </w:tr>
    </w:tbl>
    <w:tbl>
      <w:tblPr>
        <w:tblStyle w:val="TableGrid1"/>
        <w:tblW w:w="5106" w:type="pct"/>
        <w:tblLook w:val="04A0" w:firstRow="1" w:lastRow="0" w:firstColumn="1" w:lastColumn="0" w:noHBand="0" w:noVBand="1"/>
      </w:tblPr>
      <w:tblGrid>
        <w:gridCol w:w="1696"/>
        <w:gridCol w:w="7512"/>
      </w:tblGrid>
      <w:tr w:rsidR="00D82049" w:rsidRPr="00936C32" w14:paraId="7F45104B" w14:textId="77777777" w:rsidTr="001E76E0">
        <w:trPr>
          <w:trHeight w:val="136"/>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4F208" w14:textId="77777777" w:rsidR="00D82049" w:rsidRPr="00936C32" w:rsidRDefault="00D82049" w:rsidP="001E76E0">
            <w:pPr>
              <w:pStyle w:val="TableLeft"/>
              <w:keepNext/>
              <w:jc w:val="left"/>
              <w:rPr>
                <w:rFonts w:ascii="Arial Narrow" w:hAnsi="Arial Narrow"/>
                <w:sz w:val="20"/>
                <w:szCs w:val="20"/>
                <w:lang w:val="en-AU"/>
              </w:rPr>
            </w:pPr>
            <w:r w:rsidRPr="00936C32">
              <w:rPr>
                <w:rFonts w:ascii="Arial Narrow" w:hAnsi="Arial Narrow" w:cs="Arial"/>
                <w:b/>
                <w:sz w:val="20"/>
                <w:szCs w:val="20"/>
                <w:lang w:val="en-AU"/>
              </w:rPr>
              <w:t>Condition: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5E37D" w14:textId="77777777" w:rsidR="00D82049" w:rsidRPr="00936C32" w:rsidRDefault="00D82049" w:rsidP="001E76E0">
            <w:pPr>
              <w:keepNext/>
              <w:rPr>
                <w:rFonts w:ascii="Arial Narrow" w:hAnsi="Arial Narrow"/>
                <w:sz w:val="20"/>
                <w:szCs w:val="20"/>
                <w:lang w:val="en-AU"/>
              </w:rPr>
            </w:pPr>
            <w:r w:rsidRPr="00936C32">
              <w:rPr>
                <w:rFonts w:ascii="Arial Narrow" w:hAnsi="Arial Narrow"/>
                <w:sz w:val="20"/>
                <w:szCs w:val="20"/>
                <w:lang w:val="en-AU"/>
              </w:rPr>
              <w:t>Hereditary transthyretin amyloidosis with polyneuropathy.</w:t>
            </w:r>
          </w:p>
        </w:tc>
      </w:tr>
      <w:tr w:rsidR="00D82049" w:rsidRPr="00936C32" w14:paraId="0EF163CE" w14:textId="77777777" w:rsidTr="001E76E0">
        <w:trPr>
          <w:trHeight w:val="158"/>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EFDF1" w14:textId="77777777" w:rsidR="00D82049" w:rsidRPr="00936C32" w:rsidRDefault="00D82049" w:rsidP="001E76E0">
            <w:pPr>
              <w:pStyle w:val="TableLeft"/>
              <w:keepNext/>
              <w:jc w:val="left"/>
              <w:rPr>
                <w:rFonts w:ascii="Arial Narrow" w:hAnsi="Arial Narrow"/>
                <w:sz w:val="20"/>
                <w:szCs w:val="20"/>
                <w:lang w:val="en-AU"/>
              </w:rPr>
            </w:pPr>
            <w:r w:rsidRPr="00936C32">
              <w:rPr>
                <w:rFonts w:ascii="Arial Narrow" w:hAnsi="Arial Narrow" w:cs="Arial"/>
                <w:b/>
                <w:sz w:val="20"/>
                <w:szCs w:val="20"/>
                <w:lang w:val="en-AU"/>
              </w:rPr>
              <w:t>PBS indication: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0C138" w14:textId="77777777" w:rsidR="00D82049" w:rsidRPr="00936C32" w:rsidRDefault="00D82049" w:rsidP="001E76E0">
            <w:pPr>
              <w:keepNext/>
              <w:rPr>
                <w:rFonts w:ascii="Arial Narrow" w:hAnsi="Arial Narrow"/>
                <w:sz w:val="20"/>
                <w:szCs w:val="20"/>
                <w:lang w:val="en-AU"/>
              </w:rPr>
            </w:pPr>
            <w:r w:rsidRPr="00936C32">
              <w:rPr>
                <w:rFonts w:ascii="Arial Narrow" w:hAnsi="Arial Narrow"/>
                <w:sz w:val="20"/>
                <w:szCs w:val="20"/>
                <w:lang w:val="en-AU"/>
              </w:rPr>
              <w:t>Hereditary transthyretin amyloidosis in adult patients with stage 1 or stage 2 polyneuropathy</w:t>
            </w:r>
          </w:p>
        </w:tc>
      </w:tr>
      <w:tr w:rsidR="00D82049" w:rsidRPr="00936C32" w14:paraId="0725C2D7" w14:textId="77777777" w:rsidTr="001E76E0">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E7CDF"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Restriction: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96934" w14:textId="77777777" w:rsidR="00D82049" w:rsidRPr="00936C32" w:rsidRDefault="00D82049" w:rsidP="001E76E0">
            <w:pPr>
              <w:keepNext/>
              <w:rPr>
                <w:rFonts w:ascii="Arial Narrow" w:hAnsi="Arial Narrow"/>
                <w:sz w:val="20"/>
                <w:szCs w:val="20"/>
                <w:lang w:val="en-AU"/>
              </w:rPr>
            </w:pPr>
            <w:r w:rsidRPr="00936C32">
              <w:rPr>
                <w:rFonts w:ascii="Arial Narrow" w:hAnsi="Arial Narrow"/>
                <w:sz w:val="20"/>
                <w:szCs w:val="20"/>
              </w:rPr>
              <w:fldChar w:fldCharType="begin" w:fldLock="1">
                <w:ffData>
                  <w:name w:val=""/>
                  <w:enabled/>
                  <w:calcOnExit w:val="0"/>
                  <w:checkBox>
                    <w:sizeAuto/>
                    <w:default w:val="1"/>
                  </w:checkBox>
                </w:ffData>
              </w:fldChar>
            </w:r>
            <w:r w:rsidRPr="00936C32">
              <w:rPr>
                <w:rFonts w:ascii="Arial Narrow" w:hAnsi="Arial Narrow"/>
                <w:sz w:val="20"/>
                <w:szCs w:val="20"/>
                <w:lang w:val="en-AU"/>
              </w:rPr>
              <w:instrText xml:space="preserve"> FORMCHECKBOX </w:instrText>
            </w:r>
            <w:r w:rsidR="00867C25">
              <w:rPr>
                <w:rFonts w:ascii="Arial Narrow" w:hAnsi="Arial Narrow"/>
                <w:sz w:val="20"/>
                <w:szCs w:val="20"/>
              </w:rPr>
            </w:r>
            <w:r w:rsidR="00867C25">
              <w:rPr>
                <w:rFonts w:ascii="Arial Narrow" w:hAnsi="Arial Narrow"/>
                <w:sz w:val="20"/>
                <w:szCs w:val="20"/>
              </w:rPr>
              <w:fldChar w:fldCharType="separate"/>
            </w:r>
            <w:r w:rsidRPr="00936C32">
              <w:rPr>
                <w:rFonts w:ascii="Arial Narrow" w:hAnsi="Arial Narrow"/>
                <w:sz w:val="20"/>
                <w:szCs w:val="20"/>
              </w:rPr>
              <w:fldChar w:fldCharType="end"/>
            </w:r>
            <w:r w:rsidRPr="00936C32">
              <w:rPr>
                <w:rFonts w:ascii="Arial Narrow" w:hAnsi="Arial Narrow"/>
                <w:sz w:val="20"/>
                <w:szCs w:val="20"/>
                <w:lang w:val="en-AU"/>
              </w:rPr>
              <w:t>Authority Required - In Writing</w:t>
            </w:r>
          </w:p>
        </w:tc>
      </w:tr>
      <w:tr w:rsidR="00D82049" w:rsidRPr="00936C32" w14:paraId="59387199" w14:textId="77777777" w:rsidTr="001E76E0">
        <w:trPr>
          <w:trHeight w:val="209"/>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06881" w14:textId="77777777" w:rsidR="00D82049" w:rsidRPr="00936C32" w:rsidRDefault="00D82049" w:rsidP="001E76E0">
            <w:pPr>
              <w:keepNext/>
              <w:rPr>
                <w:rFonts w:ascii="Arial Narrow" w:hAnsi="Arial Narrow"/>
                <w:i/>
                <w:sz w:val="20"/>
                <w:szCs w:val="20"/>
                <w:lang w:val="en-AU"/>
              </w:rPr>
            </w:pPr>
            <w:r w:rsidRPr="00936C32">
              <w:rPr>
                <w:rFonts w:ascii="Arial Narrow" w:hAnsi="Arial Narrow"/>
                <w:b/>
                <w:sz w:val="20"/>
                <w:szCs w:val="20"/>
                <w:lang w:val="en-AU"/>
              </w:rPr>
              <w:t>Treatment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5F1C1" w14:textId="77777777" w:rsidR="00D82049" w:rsidRPr="00936C32" w:rsidRDefault="00D82049" w:rsidP="001E76E0">
            <w:pPr>
              <w:keepNext/>
              <w:rPr>
                <w:rFonts w:ascii="Arial Narrow" w:hAnsi="Arial Narrow"/>
                <w:sz w:val="20"/>
                <w:szCs w:val="20"/>
                <w:lang w:val="en-AU"/>
              </w:rPr>
            </w:pPr>
            <w:r w:rsidRPr="00936C32">
              <w:rPr>
                <w:rFonts w:ascii="Arial Narrow" w:hAnsi="Arial Narrow"/>
                <w:sz w:val="20"/>
                <w:szCs w:val="20"/>
                <w:lang w:val="en-AU"/>
              </w:rPr>
              <w:t xml:space="preserve">Must </w:t>
            </w:r>
            <w:proofErr w:type="gramStart"/>
            <w:r w:rsidRPr="00936C32">
              <w:rPr>
                <w:rFonts w:ascii="Arial Narrow" w:hAnsi="Arial Narrow"/>
                <w:sz w:val="20"/>
                <w:szCs w:val="20"/>
                <w:lang w:val="en-AU"/>
              </w:rPr>
              <w:t>be treated</w:t>
            </w:r>
            <w:proofErr w:type="gramEnd"/>
            <w:r w:rsidRPr="00936C32">
              <w:rPr>
                <w:rFonts w:ascii="Arial Narrow" w:hAnsi="Arial Narrow"/>
                <w:sz w:val="20"/>
                <w:szCs w:val="20"/>
                <w:lang w:val="en-AU"/>
              </w:rPr>
              <w:t xml:space="preserve"> by a consultant physician with experience in the management of amyloid disorders.</w:t>
            </w:r>
          </w:p>
        </w:tc>
      </w:tr>
      <w:tr w:rsidR="00D82049" w:rsidRPr="00936C32" w14:paraId="291D9D4D" w14:textId="77777777" w:rsidTr="001E76E0">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6AD76B"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Treatment phase:</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D6FFBC"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Initiating treatment</w:t>
            </w:r>
          </w:p>
        </w:tc>
      </w:tr>
      <w:tr w:rsidR="00D82049" w:rsidRPr="00936C32" w14:paraId="18D1B477" w14:textId="77777777" w:rsidTr="001E76E0">
        <w:trPr>
          <w:trHeight w:val="1118"/>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849D1" w14:textId="77777777" w:rsidR="00D82049" w:rsidRPr="00936C32" w:rsidRDefault="00D82049" w:rsidP="001E76E0">
            <w:pPr>
              <w:keepNext/>
              <w:rPr>
                <w:rFonts w:ascii="Arial Narrow" w:hAnsi="Arial Narrow"/>
                <w:sz w:val="20"/>
                <w:szCs w:val="20"/>
                <w:lang w:val="en-AU"/>
              </w:rPr>
            </w:pPr>
            <w:r w:rsidRPr="00936C32">
              <w:rPr>
                <w:rFonts w:ascii="Arial Narrow" w:hAnsi="Arial Narrow"/>
                <w:b/>
                <w:sz w:val="20"/>
                <w:szCs w:val="20"/>
                <w:lang w:val="en-AU"/>
              </w:rPr>
              <w:t>Clinical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4D5A1" w14:textId="77777777" w:rsidR="00D82049" w:rsidRPr="00936C32" w:rsidRDefault="00D82049" w:rsidP="001E76E0">
            <w:pPr>
              <w:pStyle w:val="ListParagraph"/>
              <w:keepNext/>
              <w:numPr>
                <w:ilvl w:val="0"/>
                <w:numId w:val="7"/>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condition must be hereditary transthyretin amyloidosis confirmed by genetic testing; and</w:t>
            </w:r>
          </w:p>
          <w:p w14:paraId="52A46152" w14:textId="77777777" w:rsidR="00D82049" w:rsidRPr="00936C32" w:rsidRDefault="00D82049" w:rsidP="001E76E0">
            <w:pPr>
              <w:pStyle w:val="ListParagraph"/>
              <w:keepNext/>
              <w:numPr>
                <w:ilvl w:val="0"/>
                <w:numId w:val="7"/>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have a PND score description of I, II, IIIA, or IIIB or the patient must have an FAP stage description of 1 or 2.</w:t>
            </w:r>
          </w:p>
          <w:p w14:paraId="07366CD8" w14:textId="77777777" w:rsidR="00D82049" w:rsidRPr="00936C32" w:rsidRDefault="00D82049" w:rsidP="001E76E0">
            <w:pPr>
              <w:pStyle w:val="ListParagraph"/>
              <w:keepNext/>
              <w:numPr>
                <w:ilvl w:val="0"/>
                <w:numId w:val="7"/>
              </w:numPr>
              <w:spacing w:after="60"/>
              <w:ind w:left="360"/>
              <w:contextualSpacing/>
              <w:rPr>
                <w:rFonts w:ascii="Arial Narrow" w:hAnsi="Arial Narrow"/>
                <w:sz w:val="20"/>
                <w:szCs w:val="20"/>
                <w:lang w:val="en-AU"/>
              </w:rPr>
            </w:pPr>
            <w:r w:rsidRPr="00936C32">
              <w:rPr>
                <w:rFonts w:ascii="Arial Narrow" w:hAnsi="Arial Narrow"/>
                <w:sz w:val="20"/>
                <w:szCs w:val="20"/>
                <w:lang w:val="en-AU"/>
              </w:rPr>
              <w:t>Patient must not have previously undergone a liver transplant.</w:t>
            </w:r>
          </w:p>
          <w:p w14:paraId="4DFA5D14" w14:textId="77777777" w:rsidR="00D82049" w:rsidRPr="00936C32" w:rsidRDefault="00D82049" w:rsidP="001E76E0">
            <w:pPr>
              <w:pStyle w:val="ListParagraph"/>
              <w:keepNext/>
              <w:numPr>
                <w:ilvl w:val="0"/>
                <w:numId w:val="7"/>
              </w:numPr>
              <w:spacing w:after="0"/>
              <w:ind w:left="360"/>
              <w:contextualSpacing/>
              <w:rPr>
                <w:rFonts w:ascii="Arial Narrow" w:hAnsi="Arial Narrow"/>
                <w:sz w:val="20"/>
                <w:szCs w:val="20"/>
                <w:lang w:val="en-AU"/>
              </w:rPr>
            </w:pPr>
            <w:r w:rsidRPr="00936C32">
              <w:rPr>
                <w:rFonts w:ascii="Arial Narrow" w:hAnsi="Arial Narrow"/>
                <w:sz w:val="20"/>
                <w:szCs w:val="20"/>
                <w:lang w:val="en-AU"/>
              </w:rPr>
              <w:t>Patient must not exhibit heart failure symptoms (defined as New York Heart Association [NYHA] class III or IV).</w:t>
            </w:r>
          </w:p>
        </w:tc>
      </w:tr>
      <w:tr w:rsidR="00D82049" w:rsidRPr="00936C32" w14:paraId="2035DB90" w14:textId="77777777" w:rsidTr="001E76E0">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F7CC" w14:textId="03280FB7" w:rsidR="00D82049" w:rsidRPr="00936C32" w:rsidRDefault="00D82049" w:rsidP="001E76E0">
            <w:pPr>
              <w:rPr>
                <w:rFonts w:ascii="Arial Narrow" w:hAnsi="Arial Narrow"/>
                <w:b/>
                <w:i/>
                <w:iCs/>
                <w:sz w:val="20"/>
                <w:szCs w:val="20"/>
                <w:lang w:val="en-AU"/>
              </w:rPr>
            </w:pPr>
            <w:r w:rsidRPr="00936C32">
              <w:rPr>
                <w:rFonts w:ascii="Arial Narrow" w:hAnsi="Arial Narrow"/>
                <w:b/>
                <w:i/>
                <w:iCs/>
                <w:sz w:val="20"/>
                <w:szCs w:val="20"/>
                <w:lang w:val="en-AU"/>
              </w:rPr>
              <w:t>Prescriber Instruction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31A4A" w14:textId="77777777" w:rsidR="00D82049" w:rsidRPr="00936C32" w:rsidRDefault="00D82049" w:rsidP="001E76E0">
            <w:pPr>
              <w:pStyle w:val="COMtablefigcaption"/>
              <w:keepNext w:val="0"/>
              <w:rPr>
                <w:szCs w:val="20"/>
                <w:lang w:val="en-AU"/>
              </w:rPr>
            </w:pPr>
            <w:r w:rsidRPr="00936C32">
              <w:rPr>
                <w:szCs w:val="20"/>
                <w:lang w:val="en-AU"/>
              </w:rPr>
              <w:t xml:space="preserve">Clinical staging scales relevant to clinical criteria </w:t>
            </w:r>
            <w:r w:rsidRPr="00936C32">
              <w:rPr>
                <w:rStyle w:val="FootnoteReference"/>
                <w:szCs w:val="20"/>
                <w:lang w:val="en-AU"/>
              </w:rPr>
              <w:footnoteReference w:id="9"/>
            </w:r>
          </w:p>
          <w:tbl>
            <w:tblPr>
              <w:tblStyle w:val="Submissionstandard"/>
              <w:tblW w:w="0" w:type="auto"/>
              <w:tblLook w:val="04A0" w:firstRow="1" w:lastRow="0" w:firstColumn="1" w:lastColumn="0" w:noHBand="0" w:noVBand="1"/>
            </w:tblPr>
            <w:tblGrid>
              <w:gridCol w:w="818"/>
              <w:gridCol w:w="1480"/>
              <w:gridCol w:w="992"/>
              <w:gridCol w:w="3712"/>
            </w:tblGrid>
            <w:tr w:rsidR="00D82049" w:rsidRPr="00936C32" w14:paraId="1DB2E415" w14:textId="77777777" w:rsidTr="001E76E0">
              <w:trPr>
                <w:cnfStyle w:val="100000000000" w:firstRow="1" w:lastRow="0" w:firstColumn="0" w:lastColumn="0" w:oddVBand="0" w:evenVBand="0" w:oddHBand="0" w:evenHBand="0" w:firstRowFirstColumn="0" w:firstRowLastColumn="0" w:lastRowFirstColumn="0" w:lastRowLastColumn="0"/>
              </w:trPr>
              <w:tc>
                <w:tcPr>
                  <w:tcW w:w="22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343FCF" w14:textId="77777777" w:rsidR="00D82049" w:rsidRPr="00936C32" w:rsidRDefault="00D82049" w:rsidP="001E76E0">
                  <w:pPr>
                    <w:pStyle w:val="COMTableheadingrow"/>
                    <w:keepNext w:val="0"/>
                    <w:rPr>
                      <w:b/>
                      <w:bCs/>
                      <w:szCs w:val="20"/>
                      <w:lang w:val="en-AU"/>
                    </w:rPr>
                  </w:pPr>
                  <w:r w:rsidRPr="00936C32">
                    <w:rPr>
                      <w:b/>
                      <w:bCs/>
                      <w:szCs w:val="20"/>
                      <w:lang w:val="en-AU"/>
                    </w:rPr>
                    <w:t>Familial Amyloid Polyneuropathy (FAP) stage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80A124" w14:textId="77777777" w:rsidR="00D82049" w:rsidRPr="00936C32" w:rsidRDefault="00D82049" w:rsidP="001E76E0">
                  <w:pPr>
                    <w:pStyle w:val="COMTableheadingrow"/>
                    <w:keepNext w:val="0"/>
                    <w:rPr>
                      <w:b/>
                      <w:bCs/>
                      <w:szCs w:val="20"/>
                      <w:lang w:val="en-AU"/>
                    </w:rPr>
                  </w:pPr>
                  <w:r w:rsidRPr="00936C32">
                    <w:rPr>
                      <w:b/>
                      <w:bCs/>
                      <w:szCs w:val="20"/>
                      <w:lang w:val="en-AU"/>
                    </w:rPr>
                    <w:t>Polyneuropathy Disability (PND) Score</w:t>
                  </w:r>
                </w:p>
              </w:tc>
            </w:tr>
            <w:tr w:rsidR="00D82049" w:rsidRPr="00936C32" w14:paraId="7BD84290" w14:textId="77777777" w:rsidTr="001E76E0">
              <w:tc>
                <w:tcPr>
                  <w:tcW w:w="818" w:type="dxa"/>
                  <w:tcBorders>
                    <w:top w:val="single" w:sz="4" w:space="0" w:color="auto"/>
                    <w:left w:val="single" w:sz="4" w:space="0" w:color="auto"/>
                    <w:bottom w:val="single" w:sz="4" w:space="0" w:color="auto"/>
                    <w:right w:val="single" w:sz="4" w:space="0" w:color="auto"/>
                  </w:tcBorders>
                </w:tcPr>
                <w:p w14:paraId="72E4B2CC" w14:textId="77777777" w:rsidR="00D82049" w:rsidRPr="00936C32" w:rsidRDefault="00D82049" w:rsidP="001E76E0">
                  <w:pPr>
                    <w:pStyle w:val="COMTabletext"/>
                    <w:keepNext w:val="0"/>
                    <w:rPr>
                      <w:szCs w:val="20"/>
                      <w:lang w:val="en-AU"/>
                    </w:rPr>
                  </w:pPr>
                  <w:r w:rsidRPr="00936C32">
                    <w:rPr>
                      <w:szCs w:val="20"/>
                      <w:lang w:val="en-AU"/>
                    </w:rPr>
                    <w:t>Stage 0</w:t>
                  </w:r>
                </w:p>
              </w:tc>
              <w:tc>
                <w:tcPr>
                  <w:tcW w:w="1480" w:type="dxa"/>
                  <w:tcBorders>
                    <w:top w:val="single" w:sz="4" w:space="0" w:color="auto"/>
                    <w:left w:val="single" w:sz="4" w:space="0" w:color="auto"/>
                    <w:bottom w:val="single" w:sz="4" w:space="0" w:color="auto"/>
                    <w:right w:val="single" w:sz="4" w:space="0" w:color="auto"/>
                  </w:tcBorders>
                </w:tcPr>
                <w:p w14:paraId="4AAC2CA7" w14:textId="77777777" w:rsidR="00D82049" w:rsidRPr="00936C32" w:rsidRDefault="00D82049" w:rsidP="001E76E0">
                  <w:pPr>
                    <w:pStyle w:val="COMTabletext"/>
                    <w:keepNext w:val="0"/>
                    <w:rPr>
                      <w:szCs w:val="20"/>
                      <w:lang w:val="en-AU"/>
                    </w:rPr>
                  </w:pPr>
                  <w:r w:rsidRPr="00936C32">
                    <w:rPr>
                      <w:szCs w:val="20"/>
                      <w:lang w:val="en-AU"/>
                    </w:rPr>
                    <w:t>No symptoms</w:t>
                  </w:r>
                </w:p>
              </w:tc>
              <w:tc>
                <w:tcPr>
                  <w:tcW w:w="992" w:type="dxa"/>
                  <w:tcBorders>
                    <w:top w:val="single" w:sz="4" w:space="0" w:color="auto"/>
                    <w:left w:val="single" w:sz="4" w:space="0" w:color="auto"/>
                    <w:bottom w:val="single" w:sz="4" w:space="0" w:color="auto"/>
                    <w:right w:val="single" w:sz="4" w:space="0" w:color="auto"/>
                  </w:tcBorders>
                  <w:vAlign w:val="center"/>
                </w:tcPr>
                <w:p w14:paraId="4A39D5EA" w14:textId="77777777" w:rsidR="00D82049" w:rsidRPr="00936C32" w:rsidRDefault="00D82049" w:rsidP="001E76E0">
                  <w:pPr>
                    <w:pStyle w:val="COMTabletext"/>
                    <w:keepNext w:val="0"/>
                    <w:rPr>
                      <w:szCs w:val="20"/>
                      <w:lang w:val="en-AU"/>
                    </w:rPr>
                  </w:pPr>
                  <w:r w:rsidRPr="00936C32">
                    <w:rPr>
                      <w:szCs w:val="20"/>
                      <w:lang w:val="en-AU"/>
                    </w:rPr>
                    <w:t>Stage 0</w:t>
                  </w:r>
                </w:p>
              </w:tc>
              <w:tc>
                <w:tcPr>
                  <w:tcW w:w="3712" w:type="dxa"/>
                  <w:tcBorders>
                    <w:top w:val="single" w:sz="4" w:space="0" w:color="auto"/>
                    <w:left w:val="single" w:sz="4" w:space="0" w:color="auto"/>
                    <w:bottom w:val="single" w:sz="4" w:space="0" w:color="auto"/>
                    <w:right w:val="single" w:sz="4" w:space="0" w:color="auto"/>
                  </w:tcBorders>
                </w:tcPr>
                <w:p w14:paraId="27D04448" w14:textId="77777777" w:rsidR="00D82049" w:rsidRPr="00936C32" w:rsidRDefault="00D82049" w:rsidP="001E76E0">
                  <w:pPr>
                    <w:pStyle w:val="COMTabletext"/>
                    <w:keepNext w:val="0"/>
                    <w:rPr>
                      <w:szCs w:val="20"/>
                      <w:lang w:val="en-AU"/>
                    </w:rPr>
                  </w:pPr>
                  <w:r w:rsidRPr="00936C32">
                    <w:rPr>
                      <w:szCs w:val="20"/>
                      <w:lang w:val="en-AU"/>
                    </w:rPr>
                    <w:t>No symptoms</w:t>
                  </w:r>
                </w:p>
              </w:tc>
            </w:tr>
            <w:tr w:rsidR="00D82049" w:rsidRPr="00936C32" w14:paraId="1157F0D7" w14:textId="77777777" w:rsidTr="001E76E0">
              <w:tc>
                <w:tcPr>
                  <w:tcW w:w="818" w:type="dxa"/>
                  <w:tcBorders>
                    <w:top w:val="single" w:sz="4" w:space="0" w:color="auto"/>
                    <w:left w:val="single" w:sz="4" w:space="0" w:color="auto"/>
                    <w:bottom w:val="single" w:sz="4" w:space="0" w:color="auto"/>
                    <w:right w:val="single" w:sz="4" w:space="0" w:color="auto"/>
                  </w:tcBorders>
                </w:tcPr>
                <w:p w14:paraId="327E884C" w14:textId="77777777" w:rsidR="00D82049" w:rsidRPr="00936C32" w:rsidRDefault="00D82049" w:rsidP="001E76E0">
                  <w:pPr>
                    <w:pStyle w:val="COMTabletext"/>
                    <w:keepNext w:val="0"/>
                    <w:rPr>
                      <w:szCs w:val="20"/>
                      <w:lang w:val="en-AU"/>
                    </w:rPr>
                  </w:pPr>
                  <w:r w:rsidRPr="00936C32">
                    <w:rPr>
                      <w:szCs w:val="20"/>
                      <w:lang w:val="en-AU"/>
                    </w:rPr>
                    <w:t>Stage 1</w:t>
                  </w:r>
                </w:p>
              </w:tc>
              <w:tc>
                <w:tcPr>
                  <w:tcW w:w="1480" w:type="dxa"/>
                  <w:tcBorders>
                    <w:top w:val="single" w:sz="4" w:space="0" w:color="auto"/>
                    <w:left w:val="single" w:sz="4" w:space="0" w:color="auto"/>
                    <w:bottom w:val="single" w:sz="4" w:space="0" w:color="auto"/>
                    <w:right w:val="single" w:sz="4" w:space="0" w:color="auto"/>
                  </w:tcBorders>
                </w:tcPr>
                <w:p w14:paraId="3B3F9A5C" w14:textId="77777777" w:rsidR="00D82049" w:rsidRPr="00936C32" w:rsidRDefault="00D82049" w:rsidP="001E76E0">
                  <w:pPr>
                    <w:pStyle w:val="COMTabletext"/>
                    <w:keepNext w:val="0"/>
                    <w:rPr>
                      <w:szCs w:val="20"/>
                      <w:lang w:val="en-AU"/>
                    </w:rPr>
                  </w:pPr>
                  <w:r w:rsidRPr="00936C32">
                    <w:rPr>
                      <w:szCs w:val="20"/>
                      <w:lang w:val="en-AU"/>
                    </w:rPr>
                    <w:t>Unimpaired ambulation</w:t>
                  </w:r>
                </w:p>
              </w:tc>
              <w:tc>
                <w:tcPr>
                  <w:tcW w:w="992" w:type="dxa"/>
                  <w:tcBorders>
                    <w:top w:val="single" w:sz="4" w:space="0" w:color="auto"/>
                    <w:left w:val="single" w:sz="4" w:space="0" w:color="auto"/>
                    <w:bottom w:val="single" w:sz="4" w:space="0" w:color="auto"/>
                    <w:right w:val="single" w:sz="4" w:space="0" w:color="auto"/>
                  </w:tcBorders>
                  <w:vAlign w:val="center"/>
                </w:tcPr>
                <w:p w14:paraId="12119198" w14:textId="77777777" w:rsidR="00D82049" w:rsidRPr="00936C32" w:rsidRDefault="00D82049" w:rsidP="001E76E0">
                  <w:pPr>
                    <w:pStyle w:val="COMTabletext"/>
                    <w:keepNext w:val="0"/>
                    <w:rPr>
                      <w:szCs w:val="20"/>
                      <w:lang w:val="en-AU"/>
                    </w:rPr>
                  </w:pPr>
                  <w:r w:rsidRPr="00936C32">
                    <w:rPr>
                      <w:szCs w:val="20"/>
                      <w:lang w:val="en-AU"/>
                    </w:rPr>
                    <w:t>Stage I</w:t>
                  </w:r>
                </w:p>
              </w:tc>
              <w:tc>
                <w:tcPr>
                  <w:tcW w:w="3712" w:type="dxa"/>
                  <w:tcBorders>
                    <w:top w:val="single" w:sz="4" w:space="0" w:color="auto"/>
                    <w:left w:val="single" w:sz="4" w:space="0" w:color="auto"/>
                    <w:bottom w:val="single" w:sz="4" w:space="0" w:color="auto"/>
                    <w:right w:val="single" w:sz="4" w:space="0" w:color="auto"/>
                  </w:tcBorders>
                </w:tcPr>
                <w:p w14:paraId="470B2359" w14:textId="77777777" w:rsidR="00D82049" w:rsidRPr="00936C32" w:rsidRDefault="00D82049" w:rsidP="001E76E0">
                  <w:pPr>
                    <w:pStyle w:val="COMTabletext"/>
                    <w:keepNext w:val="0"/>
                    <w:rPr>
                      <w:szCs w:val="20"/>
                      <w:lang w:val="en-AU"/>
                    </w:rPr>
                  </w:pPr>
                  <w:r w:rsidRPr="00936C32">
                    <w:rPr>
                      <w:szCs w:val="20"/>
                      <w:lang w:val="en-AU"/>
                    </w:rPr>
                    <w:t>Sensory disturbances but preserved walking capability</w:t>
                  </w:r>
                </w:p>
              </w:tc>
            </w:tr>
            <w:tr w:rsidR="00D82049" w:rsidRPr="00936C32" w14:paraId="1D7DD374" w14:textId="77777777" w:rsidTr="001E76E0">
              <w:tc>
                <w:tcPr>
                  <w:tcW w:w="818" w:type="dxa"/>
                  <w:vMerge w:val="restart"/>
                  <w:tcBorders>
                    <w:top w:val="single" w:sz="4" w:space="0" w:color="auto"/>
                    <w:left w:val="single" w:sz="4" w:space="0" w:color="auto"/>
                    <w:right w:val="single" w:sz="4" w:space="0" w:color="auto"/>
                  </w:tcBorders>
                  <w:vAlign w:val="center"/>
                </w:tcPr>
                <w:p w14:paraId="75BF23F8" w14:textId="77777777" w:rsidR="00D82049" w:rsidRPr="00936C32" w:rsidRDefault="00D82049" w:rsidP="001E76E0">
                  <w:pPr>
                    <w:pStyle w:val="COMTabletext"/>
                    <w:keepNext w:val="0"/>
                    <w:rPr>
                      <w:szCs w:val="20"/>
                      <w:lang w:val="en-AU"/>
                    </w:rPr>
                  </w:pPr>
                  <w:r w:rsidRPr="00936C32">
                    <w:rPr>
                      <w:szCs w:val="20"/>
                      <w:lang w:val="en-AU"/>
                    </w:rPr>
                    <w:t>Stage 2</w:t>
                  </w:r>
                </w:p>
              </w:tc>
              <w:tc>
                <w:tcPr>
                  <w:tcW w:w="1480" w:type="dxa"/>
                  <w:vMerge w:val="restart"/>
                  <w:tcBorders>
                    <w:top w:val="single" w:sz="4" w:space="0" w:color="auto"/>
                    <w:left w:val="single" w:sz="4" w:space="0" w:color="auto"/>
                    <w:right w:val="single" w:sz="4" w:space="0" w:color="auto"/>
                  </w:tcBorders>
                  <w:vAlign w:val="center"/>
                </w:tcPr>
                <w:p w14:paraId="40D3E651" w14:textId="77777777" w:rsidR="00D82049" w:rsidRPr="00936C32" w:rsidRDefault="00D82049" w:rsidP="001E76E0">
                  <w:pPr>
                    <w:pStyle w:val="COMTabletext"/>
                    <w:keepNext w:val="0"/>
                    <w:rPr>
                      <w:szCs w:val="20"/>
                      <w:lang w:val="en-AU"/>
                    </w:rPr>
                  </w:pPr>
                  <w:r w:rsidRPr="00936C32">
                    <w:rPr>
                      <w:szCs w:val="20"/>
                      <w:lang w:val="en-AU"/>
                    </w:rPr>
                    <w:t>Assistance with ambulation required</w:t>
                  </w:r>
                </w:p>
              </w:tc>
              <w:tc>
                <w:tcPr>
                  <w:tcW w:w="992" w:type="dxa"/>
                  <w:tcBorders>
                    <w:top w:val="single" w:sz="4" w:space="0" w:color="auto"/>
                    <w:left w:val="single" w:sz="4" w:space="0" w:color="auto"/>
                    <w:bottom w:val="single" w:sz="4" w:space="0" w:color="auto"/>
                    <w:right w:val="single" w:sz="4" w:space="0" w:color="auto"/>
                  </w:tcBorders>
                  <w:vAlign w:val="center"/>
                </w:tcPr>
                <w:p w14:paraId="1C3789C5" w14:textId="77777777" w:rsidR="00D82049" w:rsidRPr="00936C32" w:rsidRDefault="00D82049" w:rsidP="001E76E0">
                  <w:pPr>
                    <w:pStyle w:val="COMTabletext"/>
                    <w:keepNext w:val="0"/>
                    <w:rPr>
                      <w:szCs w:val="20"/>
                      <w:lang w:val="en-AU"/>
                    </w:rPr>
                  </w:pPr>
                  <w:r w:rsidRPr="00936C32">
                    <w:rPr>
                      <w:szCs w:val="20"/>
                      <w:lang w:val="en-AU"/>
                    </w:rPr>
                    <w:t>Stage II</w:t>
                  </w:r>
                </w:p>
              </w:tc>
              <w:tc>
                <w:tcPr>
                  <w:tcW w:w="3712" w:type="dxa"/>
                  <w:tcBorders>
                    <w:top w:val="single" w:sz="4" w:space="0" w:color="auto"/>
                    <w:left w:val="single" w:sz="4" w:space="0" w:color="auto"/>
                    <w:bottom w:val="single" w:sz="4" w:space="0" w:color="auto"/>
                    <w:right w:val="single" w:sz="4" w:space="0" w:color="auto"/>
                  </w:tcBorders>
                </w:tcPr>
                <w:p w14:paraId="19AD03F7" w14:textId="77777777" w:rsidR="00D82049" w:rsidRPr="00936C32" w:rsidRDefault="00D82049" w:rsidP="001E76E0">
                  <w:pPr>
                    <w:pStyle w:val="COMTabletext"/>
                    <w:keepNext w:val="0"/>
                    <w:rPr>
                      <w:szCs w:val="20"/>
                      <w:lang w:val="en-AU"/>
                    </w:rPr>
                  </w:pPr>
                  <w:r w:rsidRPr="00936C32">
                    <w:rPr>
                      <w:szCs w:val="20"/>
                      <w:lang w:val="en-AU"/>
                    </w:rPr>
                    <w:t>Impaired walking capacity but able to walk without stick or crutches</w:t>
                  </w:r>
                </w:p>
              </w:tc>
            </w:tr>
            <w:tr w:rsidR="00D82049" w:rsidRPr="00936C32" w14:paraId="65857D69" w14:textId="77777777" w:rsidTr="001E76E0">
              <w:tc>
                <w:tcPr>
                  <w:tcW w:w="818" w:type="dxa"/>
                  <w:vMerge/>
                  <w:tcBorders>
                    <w:left w:val="single" w:sz="4" w:space="0" w:color="auto"/>
                    <w:right w:val="single" w:sz="4" w:space="0" w:color="auto"/>
                  </w:tcBorders>
                </w:tcPr>
                <w:p w14:paraId="7F25CFDF" w14:textId="77777777" w:rsidR="00D82049" w:rsidRPr="00936C32" w:rsidRDefault="00D82049" w:rsidP="001E76E0">
                  <w:pPr>
                    <w:pStyle w:val="COMTabletext"/>
                    <w:keepNext w:val="0"/>
                    <w:rPr>
                      <w:szCs w:val="20"/>
                      <w:lang w:val="en-AU"/>
                    </w:rPr>
                  </w:pPr>
                </w:p>
              </w:tc>
              <w:tc>
                <w:tcPr>
                  <w:tcW w:w="1480" w:type="dxa"/>
                  <w:vMerge/>
                  <w:tcBorders>
                    <w:left w:val="single" w:sz="4" w:space="0" w:color="auto"/>
                    <w:right w:val="single" w:sz="4" w:space="0" w:color="auto"/>
                  </w:tcBorders>
                </w:tcPr>
                <w:p w14:paraId="68A489D5" w14:textId="77777777" w:rsidR="00D82049" w:rsidRPr="00936C32" w:rsidRDefault="00D82049" w:rsidP="001E76E0">
                  <w:pPr>
                    <w:pStyle w:val="COMTabletext"/>
                    <w:keepNext w:val="0"/>
                    <w:rPr>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0B4898E8" w14:textId="77777777" w:rsidR="00D82049" w:rsidRPr="00936C32" w:rsidRDefault="00D82049" w:rsidP="001E76E0">
                  <w:pPr>
                    <w:pStyle w:val="COMTabletext"/>
                    <w:keepNext w:val="0"/>
                    <w:rPr>
                      <w:szCs w:val="20"/>
                      <w:lang w:val="en-AU"/>
                    </w:rPr>
                  </w:pPr>
                  <w:r w:rsidRPr="00936C32">
                    <w:rPr>
                      <w:szCs w:val="20"/>
                      <w:lang w:val="en-AU"/>
                    </w:rPr>
                    <w:t>Stage IIIA</w:t>
                  </w:r>
                </w:p>
              </w:tc>
              <w:tc>
                <w:tcPr>
                  <w:tcW w:w="3712" w:type="dxa"/>
                  <w:tcBorders>
                    <w:top w:val="single" w:sz="4" w:space="0" w:color="auto"/>
                    <w:left w:val="single" w:sz="4" w:space="0" w:color="auto"/>
                    <w:bottom w:val="single" w:sz="4" w:space="0" w:color="auto"/>
                    <w:right w:val="single" w:sz="4" w:space="0" w:color="auto"/>
                  </w:tcBorders>
                </w:tcPr>
                <w:p w14:paraId="7B1EBEAA" w14:textId="77777777" w:rsidR="00D82049" w:rsidRPr="00936C32" w:rsidRDefault="00D82049" w:rsidP="001E76E0">
                  <w:pPr>
                    <w:pStyle w:val="COMTabletext"/>
                    <w:keepNext w:val="0"/>
                    <w:rPr>
                      <w:szCs w:val="20"/>
                      <w:lang w:val="en-AU"/>
                    </w:rPr>
                  </w:pPr>
                  <w:r w:rsidRPr="00936C32">
                    <w:rPr>
                      <w:szCs w:val="20"/>
                      <w:lang w:val="en-AU"/>
                    </w:rPr>
                    <w:t>Walking with help of one stick or crutch</w:t>
                  </w:r>
                </w:p>
              </w:tc>
            </w:tr>
            <w:tr w:rsidR="00D82049" w:rsidRPr="00936C32" w14:paraId="3C2C084C" w14:textId="77777777" w:rsidTr="001E76E0">
              <w:tc>
                <w:tcPr>
                  <w:tcW w:w="818" w:type="dxa"/>
                  <w:vMerge/>
                  <w:tcBorders>
                    <w:left w:val="single" w:sz="4" w:space="0" w:color="auto"/>
                    <w:bottom w:val="single" w:sz="4" w:space="0" w:color="auto"/>
                    <w:right w:val="single" w:sz="4" w:space="0" w:color="auto"/>
                  </w:tcBorders>
                </w:tcPr>
                <w:p w14:paraId="4D291683" w14:textId="77777777" w:rsidR="00D82049" w:rsidRPr="00936C32" w:rsidRDefault="00D82049" w:rsidP="001E76E0">
                  <w:pPr>
                    <w:pStyle w:val="COMTabletext"/>
                    <w:keepNext w:val="0"/>
                    <w:rPr>
                      <w:szCs w:val="20"/>
                      <w:lang w:val="en-AU"/>
                    </w:rPr>
                  </w:pPr>
                </w:p>
              </w:tc>
              <w:tc>
                <w:tcPr>
                  <w:tcW w:w="1480" w:type="dxa"/>
                  <w:vMerge/>
                  <w:tcBorders>
                    <w:left w:val="single" w:sz="4" w:space="0" w:color="auto"/>
                    <w:bottom w:val="single" w:sz="4" w:space="0" w:color="auto"/>
                    <w:right w:val="single" w:sz="4" w:space="0" w:color="auto"/>
                  </w:tcBorders>
                </w:tcPr>
                <w:p w14:paraId="3C51729C" w14:textId="77777777" w:rsidR="00D82049" w:rsidRPr="00936C32" w:rsidRDefault="00D82049" w:rsidP="001E76E0">
                  <w:pPr>
                    <w:pStyle w:val="COMTabletext"/>
                    <w:keepNext w:val="0"/>
                    <w:rPr>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1BA6AE67" w14:textId="77777777" w:rsidR="00D82049" w:rsidRPr="00936C32" w:rsidRDefault="00D82049" w:rsidP="001E76E0">
                  <w:pPr>
                    <w:pStyle w:val="COMTabletext"/>
                    <w:keepNext w:val="0"/>
                    <w:rPr>
                      <w:szCs w:val="20"/>
                      <w:lang w:val="en-AU"/>
                    </w:rPr>
                  </w:pPr>
                  <w:r w:rsidRPr="00936C32">
                    <w:rPr>
                      <w:szCs w:val="20"/>
                      <w:lang w:val="en-AU"/>
                    </w:rPr>
                    <w:t>Stage IIIB</w:t>
                  </w:r>
                </w:p>
              </w:tc>
              <w:tc>
                <w:tcPr>
                  <w:tcW w:w="3712" w:type="dxa"/>
                  <w:tcBorders>
                    <w:top w:val="single" w:sz="4" w:space="0" w:color="auto"/>
                    <w:left w:val="single" w:sz="4" w:space="0" w:color="auto"/>
                    <w:bottom w:val="single" w:sz="4" w:space="0" w:color="auto"/>
                    <w:right w:val="single" w:sz="4" w:space="0" w:color="auto"/>
                  </w:tcBorders>
                </w:tcPr>
                <w:p w14:paraId="647D7630" w14:textId="77777777" w:rsidR="00D82049" w:rsidRPr="00936C32" w:rsidRDefault="00D82049" w:rsidP="001E76E0">
                  <w:pPr>
                    <w:pStyle w:val="COMTabletext"/>
                    <w:keepNext w:val="0"/>
                    <w:rPr>
                      <w:szCs w:val="20"/>
                      <w:lang w:val="en-AU"/>
                    </w:rPr>
                  </w:pPr>
                  <w:r w:rsidRPr="00936C32">
                    <w:rPr>
                      <w:szCs w:val="20"/>
                      <w:lang w:val="en-AU"/>
                    </w:rPr>
                    <w:t>Walking with help of two sticks or crutches</w:t>
                  </w:r>
                </w:p>
              </w:tc>
            </w:tr>
            <w:tr w:rsidR="00D82049" w:rsidRPr="00936C32" w14:paraId="7E1D2A2B" w14:textId="77777777" w:rsidTr="001E76E0">
              <w:trPr>
                <w:trHeight w:val="70"/>
              </w:trPr>
              <w:tc>
                <w:tcPr>
                  <w:tcW w:w="818" w:type="dxa"/>
                  <w:tcBorders>
                    <w:top w:val="single" w:sz="4" w:space="0" w:color="auto"/>
                    <w:left w:val="single" w:sz="4" w:space="0" w:color="auto"/>
                    <w:bottom w:val="single" w:sz="4" w:space="0" w:color="auto"/>
                    <w:right w:val="single" w:sz="4" w:space="0" w:color="auto"/>
                  </w:tcBorders>
                </w:tcPr>
                <w:p w14:paraId="004724EE" w14:textId="77777777" w:rsidR="00D82049" w:rsidRPr="00936C32" w:rsidRDefault="00D82049" w:rsidP="001E76E0">
                  <w:pPr>
                    <w:pStyle w:val="COMTabletext"/>
                    <w:keepNext w:val="0"/>
                    <w:rPr>
                      <w:szCs w:val="20"/>
                      <w:lang w:val="en-AU"/>
                    </w:rPr>
                  </w:pPr>
                  <w:r w:rsidRPr="00936C32">
                    <w:rPr>
                      <w:szCs w:val="20"/>
                      <w:lang w:val="en-AU"/>
                    </w:rPr>
                    <w:t>Stage 3</w:t>
                  </w:r>
                </w:p>
              </w:tc>
              <w:tc>
                <w:tcPr>
                  <w:tcW w:w="1480" w:type="dxa"/>
                  <w:tcBorders>
                    <w:top w:val="single" w:sz="4" w:space="0" w:color="auto"/>
                    <w:left w:val="single" w:sz="4" w:space="0" w:color="auto"/>
                    <w:bottom w:val="single" w:sz="4" w:space="0" w:color="auto"/>
                    <w:right w:val="single" w:sz="4" w:space="0" w:color="auto"/>
                  </w:tcBorders>
                </w:tcPr>
                <w:p w14:paraId="44605F5B" w14:textId="77777777" w:rsidR="00D82049" w:rsidRPr="00936C32" w:rsidRDefault="00D82049" w:rsidP="001E76E0">
                  <w:pPr>
                    <w:pStyle w:val="COMTabletext"/>
                    <w:keepNext w:val="0"/>
                    <w:rPr>
                      <w:szCs w:val="20"/>
                      <w:lang w:val="en-AU"/>
                    </w:rPr>
                  </w:pPr>
                  <w:r w:rsidRPr="00936C32">
                    <w:rPr>
                      <w:szCs w:val="20"/>
                      <w:lang w:val="en-AU"/>
                    </w:rPr>
                    <w:t>Wheelchair-bound or bedridden</w:t>
                  </w:r>
                </w:p>
              </w:tc>
              <w:tc>
                <w:tcPr>
                  <w:tcW w:w="992" w:type="dxa"/>
                  <w:tcBorders>
                    <w:top w:val="single" w:sz="4" w:space="0" w:color="auto"/>
                    <w:left w:val="single" w:sz="4" w:space="0" w:color="auto"/>
                    <w:bottom w:val="single" w:sz="4" w:space="0" w:color="auto"/>
                    <w:right w:val="single" w:sz="4" w:space="0" w:color="auto"/>
                  </w:tcBorders>
                  <w:vAlign w:val="center"/>
                </w:tcPr>
                <w:p w14:paraId="4036F5EF" w14:textId="77777777" w:rsidR="00D82049" w:rsidRPr="00936C32" w:rsidRDefault="00D82049" w:rsidP="001E76E0">
                  <w:pPr>
                    <w:pStyle w:val="COMTabletext"/>
                    <w:keepNext w:val="0"/>
                    <w:rPr>
                      <w:szCs w:val="20"/>
                      <w:lang w:val="en-AU"/>
                    </w:rPr>
                  </w:pPr>
                  <w:r w:rsidRPr="00936C32">
                    <w:rPr>
                      <w:szCs w:val="20"/>
                      <w:lang w:val="en-AU"/>
                    </w:rPr>
                    <w:t>Stage IV</w:t>
                  </w:r>
                </w:p>
              </w:tc>
              <w:tc>
                <w:tcPr>
                  <w:tcW w:w="3712" w:type="dxa"/>
                  <w:tcBorders>
                    <w:top w:val="single" w:sz="4" w:space="0" w:color="auto"/>
                    <w:left w:val="single" w:sz="4" w:space="0" w:color="auto"/>
                    <w:bottom w:val="single" w:sz="4" w:space="0" w:color="auto"/>
                    <w:right w:val="single" w:sz="4" w:space="0" w:color="auto"/>
                  </w:tcBorders>
                </w:tcPr>
                <w:p w14:paraId="1785ABD1" w14:textId="77777777" w:rsidR="00D82049" w:rsidRPr="00936C32" w:rsidRDefault="00D82049" w:rsidP="001E76E0">
                  <w:pPr>
                    <w:pStyle w:val="COMTabletext"/>
                    <w:keepNext w:val="0"/>
                    <w:rPr>
                      <w:szCs w:val="20"/>
                      <w:lang w:val="en-AU"/>
                    </w:rPr>
                  </w:pPr>
                  <w:r w:rsidRPr="00936C32">
                    <w:rPr>
                      <w:szCs w:val="20"/>
                      <w:lang w:val="en-AU"/>
                    </w:rPr>
                    <w:t>Confined to wheelchair or bedridden</w:t>
                  </w:r>
                </w:p>
              </w:tc>
            </w:tr>
          </w:tbl>
          <w:p w14:paraId="3FE7AB22" w14:textId="77777777" w:rsidR="00D82049" w:rsidRPr="00936C32" w:rsidRDefault="00D82049" w:rsidP="001E76E0">
            <w:pPr>
              <w:pStyle w:val="COMTableheadingrow"/>
              <w:keepNext w:val="0"/>
              <w:rPr>
                <w:szCs w:val="20"/>
                <w:lang w:val="en-AU"/>
              </w:rPr>
            </w:pPr>
          </w:p>
          <w:p w14:paraId="359D0667" w14:textId="77777777" w:rsidR="00D82049" w:rsidRPr="00936C32" w:rsidRDefault="00D82049" w:rsidP="001E76E0">
            <w:pPr>
              <w:keepNext/>
              <w:keepLines/>
              <w:rPr>
                <w:rFonts w:ascii="Arial Narrow" w:eastAsiaTheme="majorEastAsia" w:hAnsi="Arial Narrow"/>
                <w:b/>
                <w:sz w:val="20"/>
                <w:szCs w:val="20"/>
                <w:vertAlign w:val="superscript"/>
                <w:lang w:val="en-AU"/>
              </w:rPr>
            </w:pPr>
            <w:r w:rsidRPr="00936C32">
              <w:rPr>
                <w:rFonts w:ascii="Arial Narrow" w:eastAsiaTheme="majorEastAsia" w:hAnsi="Arial Narrow"/>
                <w:b/>
                <w:sz w:val="20"/>
                <w:szCs w:val="20"/>
                <w:lang w:val="en-AU"/>
              </w:rPr>
              <w:t>Clinical staging of heart failure</w:t>
            </w:r>
            <w:r w:rsidRPr="00936C32">
              <w:rPr>
                <w:rStyle w:val="FootnoteReference"/>
                <w:rFonts w:ascii="Arial Narrow" w:eastAsiaTheme="majorEastAsia" w:hAnsi="Arial Narrow"/>
                <w:b/>
                <w:sz w:val="20"/>
                <w:szCs w:val="20"/>
                <w:lang w:val="en-AU"/>
              </w:rPr>
              <w:footnoteReference w:id="10"/>
            </w:r>
          </w:p>
          <w:tbl>
            <w:tblPr>
              <w:tblStyle w:val="Submissionstandard"/>
              <w:tblW w:w="0" w:type="auto"/>
              <w:tblLook w:val="04A0" w:firstRow="1" w:lastRow="0" w:firstColumn="1" w:lastColumn="0" w:noHBand="0" w:noVBand="1"/>
            </w:tblPr>
            <w:tblGrid>
              <w:gridCol w:w="818"/>
              <w:gridCol w:w="6293"/>
            </w:tblGrid>
            <w:tr w:rsidR="00D82049" w:rsidRPr="00936C32" w14:paraId="24CBA918" w14:textId="77777777" w:rsidTr="001E76E0">
              <w:trPr>
                <w:cnfStyle w:val="100000000000" w:firstRow="1" w:lastRow="0" w:firstColumn="0" w:lastColumn="0" w:oddVBand="0" w:evenVBand="0" w:oddHBand="0" w:evenHBand="0" w:firstRowFirstColumn="0" w:firstRowLastColumn="0" w:lastRowFirstColumn="0" w:lastRowLastColumn="0"/>
                <w:cantSplit/>
                <w:trHeight w:val="159"/>
              </w:trPr>
              <w:tc>
                <w:tcPr>
                  <w:tcW w:w="7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0B6918" w14:textId="77777777" w:rsidR="00D82049" w:rsidRPr="00936C32" w:rsidRDefault="00D82049" w:rsidP="001E76E0">
                  <w:pPr>
                    <w:keepNext/>
                    <w:keepLines/>
                    <w:rPr>
                      <w:rFonts w:ascii="Arial Narrow" w:hAnsi="Arial Narrow" w:cs="Times New Roman"/>
                      <w:bCs/>
                      <w:sz w:val="20"/>
                      <w:szCs w:val="20"/>
                      <w:lang w:val="en-AU"/>
                    </w:rPr>
                  </w:pPr>
                  <w:r w:rsidRPr="00936C32">
                    <w:rPr>
                      <w:rFonts w:ascii="Arial Narrow" w:hAnsi="Arial Narrow" w:cs="Times New Roman"/>
                      <w:bCs/>
                      <w:sz w:val="20"/>
                      <w:szCs w:val="20"/>
                      <w:lang w:val="en-AU"/>
                    </w:rPr>
                    <w:t>New York Heart Association (NYHA) functional classification</w:t>
                  </w:r>
                </w:p>
              </w:tc>
            </w:tr>
            <w:tr w:rsidR="00D82049" w:rsidRPr="00936C32" w14:paraId="3F2D38D7" w14:textId="77777777" w:rsidTr="001E76E0">
              <w:trPr>
                <w:cantSplit/>
              </w:trPr>
              <w:tc>
                <w:tcPr>
                  <w:tcW w:w="818" w:type="dxa"/>
                  <w:tcBorders>
                    <w:top w:val="single" w:sz="4" w:space="0" w:color="auto"/>
                    <w:left w:val="single" w:sz="4" w:space="0" w:color="auto"/>
                    <w:bottom w:val="single" w:sz="4" w:space="0" w:color="auto"/>
                    <w:right w:val="single" w:sz="4" w:space="0" w:color="auto"/>
                  </w:tcBorders>
                </w:tcPr>
                <w:p w14:paraId="3422BC5C"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bCs/>
                      <w:sz w:val="20"/>
                      <w:szCs w:val="20"/>
                      <w:lang w:val="en-AU"/>
                    </w:rPr>
                    <w:lastRenderedPageBreak/>
                    <w:t>Class I</w:t>
                  </w:r>
                </w:p>
              </w:tc>
              <w:tc>
                <w:tcPr>
                  <w:tcW w:w="6293" w:type="dxa"/>
                  <w:tcBorders>
                    <w:top w:val="single" w:sz="4" w:space="0" w:color="auto"/>
                    <w:left w:val="single" w:sz="4" w:space="0" w:color="auto"/>
                    <w:bottom w:val="single" w:sz="4" w:space="0" w:color="auto"/>
                    <w:right w:val="single" w:sz="4" w:space="0" w:color="auto"/>
                  </w:tcBorders>
                </w:tcPr>
                <w:p w14:paraId="33A0E991"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sz w:val="20"/>
                      <w:szCs w:val="20"/>
                      <w:lang w:val="en-AU"/>
                    </w:rPr>
                    <w:t xml:space="preserve">No limitation of physical activity. Ordinary physical activity does not cause undue fatigue, </w:t>
                  </w:r>
                  <w:proofErr w:type="gramStart"/>
                  <w:r w:rsidRPr="00936C32">
                    <w:rPr>
                      <w:rFonts w:ascii="Arial Narrow" w:hAnsi="Arial Narrow"/>
                      <w:sz w:val="20"/>
                      <w:szCs w:val="20"/>
                      <w:lang w:val="en-AU"/>
                    </w:rPr>
                    <w:t>palpitation</w:t>
                  </w:r>
                  <w:proofErr w:type="gramEnd"/>
                  <w:r w:rsidRPr="00936C32">
                    <w:rPr>
                      <w:rFonts w:ascii="Arial Narrow" w:hAnsi="Arial Narrow"/>
                      <w:sz w:val="20"/>
                      <w:szCs w:val="20"/>
                      <w:lang w:val="en-AU"/>
                    </w:rPr>
                    <w:t xml:space="preserve"> or shortness of breath.</w:t>
                  </w:r>
                </w:p>
              </w:tc>
            </w:tr>
            <w:tr w:rsidR="00D82049" w:rsidRPr="00936C32" w14:paraId="611BA95A" w14:textId="77777777" w:rsidTr="001E76E0">
              <w:trPr>
                <w:cantSplit/>
              </w:trPr>
              <w:tc>
                <w:tcPr>
                  <w:tcW w:w="818" w:type="dxa"/>
                  <w:tcBorders>
                    <w:top w:val="single" w:sz="4" w:space="0" w:color="auto"/>
                    <w:left w:val="single" w:sz="4" w:space="0" w:color="auto"/>
                    <w:bottom w:val="single" w:sz="4" w:space="0" w:color="auto"/>
                    <w:right w:val="single" w:sz="4" w:space="0" w:color="auto"/>
                  </w:tcBorders>
                </w:tcPr>
                <w:p w14:paraId="44EA6FCA"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bCs/>
                      <w:sz w:val="20"/>
                      <w:szCs w:val="20"/>
                      <w:lang w:val="en-AU"/>
                    </w:rPr>
                    <w:t>Class II</w:t>
                  </w:r>
                </w:p>
              </w:tc>
              <w:tc>
                <w:tcPr>
                  <w:tcW w:w="6293" w:type="dxa"/>
                  <w:tcBorders>
                    <w:top w:val="single" w:sz="4" w:space="0" w:color="auto"/>
                    <w:left w:val="single" w:sz="4" w:space="0" w:color="auto"/>
                    <w:bottom w:val="single" w:sz="4" w:space="0" w:color="auto"/>
                    <w:right w:val="single" w:sz="4" w:space="0" w:color="auto"/>
                  </w:tcBorders>
                </w:tcPr>
                <w:p w14:paraId="70CF707F"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sz w:val="20"/>
                      <w:szCs w:val="20"/>
                      <w:lang w:val="en-AU"/>
                    </w:rPr>
                    <w:t>Slight limitation of physical activity. Comfortable at rest. Ordinary physical activity results in fatigue, palpitation, shortness of breath or chest pain.</w:t>
                  </w:r>
                </w:p>
              </w:tc>
            </w:tr>
            <w:tr w:rsidR="00D82049" w:rsidRPr="00936C32" w14:paraId="432A9CDF" w14:textId="77777777" w:rsidTr="001E76E0">
              <w:trPr>
                <w:cantSplit/>
                <w:trHeight w:val="293"/>
              </w:trPr>
              <w:tc>
                <w:tcPr>
                  <w:tcW w:w="818" w:type="dxa"/>
                  <w:vMerge w:val="restart"/>
                  <w:tcBorders>
                    <w:top w:val="single" w:sz="4" w:space="0" w:color="auto"/>
                    <w:left w:val="single" w:sz="4" w:space="0" w:color="auto"/>
                    <w:right w:val="single" w:sz="4" w:space="0" w:color="auto"/>
                  </w:tcBorders>
                  <w:vAlign w:val="center"/>
                </w:tcPr>
                <w:p w14:paraId="7D3CCD37"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bCs/>
                      <w:sz w:val="20"/>
                      <w:szCs w:val="20"/>
                      <w:lang w:val="en-AU"/>
                    </w:rPr>
                    <w:t>Class III</w:t>
                  </w:r>
                </w:p>
              </w:tc>
              <w:tc>
                <w:tcPr>
                  <w:tcW w:w="6293" w:type="dxa"/>
                  <w:vMerge w:val="restart"/>
                  <w:tcBorders>
                    <w:top w:val="single" w:sz="4" w:space="0" w:color="auto"/>
                    <w:left w:val="single" w:sz="4" w:space="0" w:color="auto"/>
                    <w:right w:val="single" w:sz="4" w:space="0" w:color="auto"/>
                  </w:tcBorders>
                </w:tcPr>
                <w:p w14:paraId="2099A9EC"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sz w:val="20"/>
                      <w:szCs w:val="20"/>
                      <w:lang w:val="en-AU"/>
                    </w:rPr>
                    <w:t>Marked limitation of physical activity. Comfortable at rest. Less than ordinary activity causes fatigue, palpitation, shortness of breath or chest pain.</w:t>
                  </w:r>
                </w:p>
                <w:p w14:paraId="42188EC9" w14:textId="77777777" w:rsidR="00D82049" w:rsidRPr="00936C32" w:rsidRDefault="00D82049" w:rsidP="001E76E0">
                  <w:pPr>
                    <w:keepNext/>
                    <w:keepLines/>
                    <w:rPr>
                      <w:rFonts w:ascii="Arial Narrow" w:hAnsi="Arial Narrow"/>
                      <w:bCs/>
                      <w:strike/>
                      <w:sz w:val="20"/>
                      <w:szCs w:val="20"/>
                      <w:lang w:val="en-AU"/>
                    </w:rPr>
                  </w:pPr>
                  <w:r w:rsidRPr="00936C32">
                    <w:rPr>
                      <w:rFonts w:ascii="Arial Narrow" w:hAnsi="Arial Narrow"/>
                      <w:strike/>
                      <w:sz w:val="20"/>
                      <w:szCs w:val="20"/>
                      <w:lang w:val="en-AU"/>
                    </w:rPr>
                    <w:t xml:space="preserve">No limitation of physical activity. Ordinary physical activity does not cause undue fatigue, </w:t>
                  </w:r>
                  <w:proofErr w:type="gramStart"/>
                  <w:r w:rsidRPr="00936C32">
                    <w:rPr>
                      <w:rFonts w:ascii="Arial Narrow" w:hAnsi="Arial Narrow"/>
                      <w:strike/>
                      <w:sz w:val="20"/>
                      <w:szCs w:val="20"/>
                      <w:lang w:val="en-AU"/>
                    </w:rPr>
                    <w:t>palpitation</w:t>
                  </w:r>
                  <w:proofErr w:type="gramEnd"/>
                  <w:r w:rsidRPr="00936C32">
                    <w:rPr>
                      <w:rFonts w:ascii="Arial Narrow" w:hAnsi="Arial Narrow"/>
                      <w:strike/>
                      <w:sz w:val="20"/>
                      <w:szCs w:val="20"/>
                      <w:lang w:val="en-AU"/>
                    </w:rPr>
                    <w:t xml:space="preserve"> or shortness of breath.</w:t>
                  </w:r>
                </w:p>
              </w:tc>
            </w:tr>
            <w:tr w:rsidR="00D82049" w:rsidRPr="00936C32" w14:paraId="5DB07BD0" w14:textId="77777777" w:rsidTr="001E76E0">
              <w:trPr>
                <w:cantSplit/>
                <w:trHeight w:val="293"/>
              </w:trPr>
              <w:tc>
                <w:tcPr>
                  <w:tcW w:w="818" w:type="dxa"/>
                  <w:vMerge/>
                  <w:tcBorders>
                    <w:left w:val="single" w:sz="4" w:space="0" w:color="auto"/>
                    <w:right w:val="single" w:sz="4" w:space="0" w:color="auto"/>
                  </w:tcBorders>
                </w:tcPr>
                <w:p w14:paraId="54D0E769" w14:textId="77777777" w:rsidR="00D82049" w:rsidRPr="00936C32" w:rsidRDefault="00D82049" w:rsidP="001E76E0">
                  <w:pPr>
                    <w:keepNext/>
                    <w:keepLines/>
                    <w:rPr>
                      <w:rFonts w:ascii="Arial Narrow" w:hAnsi="Arial Narrow"/>
                      <w:bCs/>
                      <w:sz w:val="20"/>
                      <w:szCs w:val="20"/>
                      <w:lang w:val="en-AU"/>
                    </w:rPr>
                  </w:pPr>
                </w:p>
              </w:tc>
              <w:tc>
                <w:tcPr>
                  <w:tcW w:w="6293" w:type="dxa"/>
                  <w:vMerge/>
                  <w:tcBorders>
                    <w:left w:val="single" w:sz="4" w:space="0" w:color="auto"/>
                    <w:right w:val="single" w:sz="4" w:space="0" w:color="auto"/>
                  </w:tcBorders>
                </w:tcPr>
                <w:p w14:paraId="6D4A7D29" w14:textId="77777777" w:rsidR="00D82049" w:rsidRPr="00936C32" w:rsidRDefault="00D82049" w:rsidP="001E76E0">
                  <w:pPr>
                    <w:keepNext/>
                    <w:keepLines/>
                    <w:rPr>
                      <w:rFonts w:ascii="Arial Narrow" w:hAnsi="Arial Narrow"/>
                      <w:bCs/>
                      <w:sz w:val="20"/>
                      <w:szCs w:val="20"/>
                      <w:lang w:val="en-AU"/>
                    </w:rPr>
                  </w:pPr>
                </w:p>
              </w:tc>
            </w:tr>
            <w:tr w:rsidR="00D82049" w:rsidRPr="00936C32" w14:paraId="2DC88281" w14:textId="77777777" w:rsidTr="001E76E0">
              <w:trPr>
                <w:cantSplit/>
                <w:trHeight w:val="293"/>
              </w:trPr>
              <w:tc>
                <w:tcPr>
                  <w:tcW w:w="818" w:type="dxa"/>
                  <w:vMerge/>
                  <w:tcBorders>
                    <w:left w:val="single" w:sz="4" w:space="0" w:color="auto"/>
                    <w:bottom w:val="single" w:sz="4" w:space="0" w:color="auto"/>
                    <w:right w:val="single" w:sz="4" w:space="0" w:color="auto"/>
                  </w:tcBorders>
                </w:tcPr>
                <w:p w14:paraId="568AC662" w14:textId="77777777" w:rsidR="00D82049" w:rsidRPr="00936C32" w:rsidRDefault="00D82049" w:rsidP="001E76E0">
                  <w:pPr>
                    <w:keepNext/>
                    <w:keepLines/>
                    <w:rPr>
                      <w:rFonts w:ascii="Arial Narrow" w:hAnsi="Arial Narrow"/>
                      <w:bCs/>
                      <w:sz w:val="20"/>
                      <w:szCs w:val="20"/>
                      <w:lang w:val="en-AU"/>
                    </w:rPr>
                  </w:pPr>
                </w:p>
              </w:tc>
              <w:tc>
                <w:tcPr>
                  <w:tcW w:w="6293" w:type="dxa"/>
                  <w:vMerge/>
                  <w:tcBorders>
                    <w:left w:val="single" w:sz="4" w:space="0" w:color="auto"/>
                    <w:bottom w:val="single" w:sz="4" w:space="0" w:color="auto"/>
                    <w:right w:val="single" w:sz="4" w:space="0" w:color="auto"/>
                  </w:tcBorders>
                </w:tcPr>
                <w:p w14:paraId="24E9860E" w14:textId="77777777" w:rsidR="00D82049" w:rsidRPr="00936C32" w:rsidRDefault="00D82049" w:rsidP="001E76E0">
                  <w:pPr>
                    <w:keepNext/>
                    <w:keepLines/>
                    <w:rPr>
                      <w:rFonts w:ascii="Arial Narrow" w:hAnsi="Arial Narrow"/>
                      <w:bCs/>
                      <w:sz w:val="20"/>
                      <w:szCs w:val="20"/>
                      <w:lang w:val="en-AU"/>
                    </w:rPr>
                  </w:pPr>
                </w:p>
              </w:tc>
            </w:tr>
            <w:tr w:rsidR="00D82049" w:rsidRPr="00936C32" w14:paraId="02E989C4" w14:textId="77777777" w:rsidTr="001E76E0">
              <w:trPr>
                <w:cantSplit/>
                <w:trHeight w:val="70"/>
              </w:trPr>
              <w:tc>
                <w:tcPr>
                  <w:tcW w:w="818" w:type="dxa"/>
                  <w:tcBorders>
                    <w:top w:val="single" w:sz="4" w:space="0" w:color="auto"/>
                    <w:left w:val="single" w:sz="4" w:space="0" w:color="auto"/>
                    <w:bottom w:val="single" w:sz="4" w:space="0" w:color="auto"/>
                    <w:right w:val="single" w:sz="4" w:space="0" w:color="auto"/>
                  </w:tcBorders>
                </w:tcPr>
                <w:p w14:paraId="00436A48" w14:textId="77777777" w:rsidR="00D82049" w:rsidRPr="00936C32" w:rsidRDefault="00D82049" w:rsidP="001E76E0">
                  <w:pPr>
                    <w:keepNext/>
                    <w:keepLines/>
                    <w:rPr>
                      <w:rFonts w:ascii="Arial Narrow" w:hAnsi="Arial Narrow"/>
                      <w:bCs/>
                      <w:sz w:val="20"/>
                      <w:szCs w:val="20"/>
                      <w:lang w:val="en-AU"/>
                    </w:rPr>
                  </w:pPr>
                  <w:r w:rsidRPr="00936C32">
                    <w:rPr>
                      <w:rFonts w:ascii="Arial Narrow" w:hAnsi="Arial Narrow"/>
                      <w:bCs/>
                      <w:sz w:val="20"/>
                      <w:szCs w:val="20"/>
                      <w:lang w:val="en-AU"/>
                    </w:rPr>
                    <w:t>Class IV</w:t>
                  </w:r>
                </w:p>
              </w:tc>
              <w:tc>
                <w:tcPr>
                  <w:tcW w:w="6293" w:type="dxa"/>
                  <w:tcBorders>
                    <w:top w:val="single" w:sz="4" w:space="0" w:color="auto"/>
                    <w:left w:val="single" w:sz="4" w:space="0" w:color="auto"/>
                    <w:bottom w:val="single" w:sz="4" w:space="0" w:color="auto"/>
                    <w:right w:val="single" w:sz="4" w:space="0" w:color="auto"/>
                  </w:tcBorders>
                </w:tcPr>
                <w:p w14:paraId="3550F059" w14:textId="77777777" w:rsidR="00D82049" w:rsidRPr="00936C32" w:rsidRDefault="00D82049" w:rsidP="001E76E0">
                  <w:pPr>
                    <w:keepNext/>
                    <w:keepLines/>
                    <w:rPr>
                      <w:rFonts w:ascii="Arial Narrow" w:hAnsi="Arial Narrow"/>
                      <w:strike/>
                      <w:sz w:val="20"/>
                      <w:szCs w:val="20"/>
                      <w:lang w:val="en-AU"/>
                    </w:rPr>
                  </w:pPr>
                  <w:r w:rsidRPr="00936C32">
                    <w:rPr>
                      <w:rFonts w:ascii="Arial Narrow" w:hAnsi="Arial Narrow"/>
                      <w:strike/>
                      <w:sz w:val="20"/>
                      <w:szCs w:val="20"/>
                      <w:lang w:val="en-AU"/>
                    </w:rPr>
                    <w:t>Slight limitation of physical activity. Comfortable at rest. Ordinary physical activity results in fatigue, palpitation, shortness of breath or chest pain.</w:t>
                  </w:r>
                </w:p>
                <w:p w14:paraId="7D2155E7" w14:textId="77777777" w:rsidR="00D82049" w:rsidRPr="00936C32" w:rsidRDefault="00D82049" w:rsidP="001E76E0">
                  <w:pPr>
                    <w:keepNext/>
                    <w:keepLines/>
                    <w:rPr>
                      <w:rFonts w:ascii="Arial Narrow" w:hAnsi="Arial Narrow"/>
                      <w:bCs/>
                      <w:i/>
                      <w:iCs/>
                      <w:sz w:val="20"/>
                      <w:szCs w:val="20"/>
                      <w:lang w:val="en-AU"/>
                    </w:rPr>
                  </w:pPr>
                  <w:r w:rsidRPr="00936C32">
                    <w:rPr>
                      <w:rFonts w:ascii="Arial Narrow" w:hAnsi="Arial Narrow"/>
                      <w:bCs/>
                      <w:i/>
                      <w:iCs/>
                      <w:sz w:val="20"/>
                      <w:szCs w:val="20"/>
                      <w:lang w:val="en-AU"/>
                    </w:rPr>
                    <w:t>Symptoms of heart failure at rest. Any physical activity causes further discomfort.</w:t>
                  </w:r>
                </w:p>
              </w:tc>
            </w:tr>
          </w:tbl>
          <w:p w14:paraId="5456C7A5" w14:textId="77777777" w:rsidR="00D82049" w:rsidRPr="00936C32" w:rsidRDefault="00D82049" w:rsidP="001E76E0">
            <w:pPr>
              <w:pStyle w:val="COMTableheadingrow"/>
              <w:keepNext w:val="0"/>
              <w:rPr>
                <w:lang w:val="en-AU"/>
              </w:rPr>
            </w:pPr>
          </w:p>
        </w:tc>
      </w:tr>
      <w:tr w:rsidR="00D82049" w:rsidRPr="00936C32" w14:paraId="3CBE5939" w14:textId="77777777" w:rsidTr="001E76E0">
        <w:trPr>
          <w:trHeight w:val="70"/>
        </w:trPr>
        <w:tc>
          <w:tcPr>
            <w:tcW w:w="921" w:type="pct"/>
            <w:shd w:val="clear" w:color="auto" w:fill="F2F2F2" w:themeFill="background1" w:themeFillShade="F2"/>
          </w:tcPr>
          <w:p w14:paraId="4D34ECE4"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lastRenderedPageBreak/>
              <w:t>Treatment phase:</w:t>
            </w:r>
          </w:p>
        </w:tc>
        <w:tc>
          <w:tcPr>
            <w:tcW w:w="4079" w:type="pct"/>
            <w:shd w:val="clear" w:color="auto" w:fill="F2F2F2" w:themeFill="background1" w:themeFillShade="F2"/>
          </w:tcPr>
          <w:p w14:paraId="0270CEE8"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Continuing treatment</w:t>
            </w:r>
          </w:p>
        </w:tc>
      </w:tr>
      <w:tr w:rsidR="00D82049" w:rsidRPr="00936C32" w14:paraId="1E68FE6F" w14:textId="77777777" w:rsidTr="001E76E0">
        <w:trPr>
          <w:trHeight w:val="70"/>
        </w:trPr>
        <w:tc>
          <w:tcPr>
            <w:tcW w:w="921" w:type="pct"/>
          </w:tcPr>
          <w:p w14:paraId="6D71A95D" w14:textId="77777777" w:rsidR="00D82049" w:rsidRPr="00936C32" w:rsidRDefault="00D82049" w:rsidP="001E76E0">
            <w:pPr>
              <w:rPr>
                <w:rFonts w:ascii="Arial Narrow" w:hAnsi="Arial Narrow"/>
                <w:sz w:val="20"/>
                <w:szCs w:val="20"/>
                <w:lang w:val="en-AU"/>
              </w:rPr>
            </w:pPr>
            <w:r w:rsidRPr="00936C32">
              <w:rPr>
                <w:rFonts w:ascii="Arial Narrow" w:hAnsi="Arial Narrow"/>
                <w:b/>
                <w:sz w:val="20"/>
                <w:szCs w:val="20"/>
                <w:lang w:val="en-AU"/>
              </w:rPr>
              <w:t>Clinical criteria:</w:t>
            </w:r>
          </w:p>
        </w:tc>
        <w:tc>
          <w:tcPr>
            <w:tcW w:w="4079" w:type="pct"/>
          </w:tcPr>
          <w:p w14:paraId="3C7B3478" w14:textId="77777777" w:rsidR="00D82049" w:rsidRPr="00936C32" w:rsidRDefault="00D82049" w:rsidP="001E76E0">
            <w:pPr>
              <w:pStyle w:val="ListParagraph"/>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have previously received PBS-subsidised treatment with this drug for this condition; and</w:t>
            </w:r>
          </w:p>
          <w:p w14:paraId="5D98B7C8" w14:textId="77777777" w:rsidR="00D82049" w:rsidRPr="00936C32" w:rsidRDefault="00D82049" w:rsidP="001E76E0">
            <w:pPr>
              <w:pStyle w:val="ListParagraph"/>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continue to demonstrate clinical benefit; and</w:t>
            </w:r>
          </w:p>
          <w:p w14:paraId="46CF6BD7" w14:textId="77777777" w:rsidR="00D82049" w:rsidRPr="00936C32" w:rsidRDefault="00D82049" w:rsidP="001E76E0">
            <w:pPr>
              <w:pStyle w:val="ListParagraph"/>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not be permanently bedridden or receiving end-of-life care.</w:t>
            </w:r>
          </w:p>
        </w:tc>
      </w:tr>
      <w:tr w:rsidR="00D82049" w:rsidRPr="00936C32" w14:paraId="2B9564D4" w14:textId="77777777" w:rsidTr="001E76E0">
        <w:trPr>
          <w:trHeight w:val="70"/>
        </w:trPr>
        <w:tc>
          <w:tcPr>
            <w:tcW w:w="921" w:type="pct"/>
            <w:shd w:val="clear" w:color="auto" w:fill="F2F2F2" w:themeFill="background1" w:themeFillShade="F2"/>
          </w:tcPr>
          <w:p w14:paraId="3CF5AE4F"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Treatment phase:</w:t>
            </w:r>
          </w:p>
        </w:tc>
        <w:tc>
          <w:tcPr>
            <w:tcW w:w="4079" w:type="pct"/>
            <w:shd w:val="clear" w:color="auto" w:fill="F2F2F2" w:themeFill="background1" w:themeFillShade="F2"/>
          </w:tcPr>
          <w:p w14:paraId="382CD934" w14:textId="77777777" w:rsidR="00D82049" w:rsidRPr="00936C32" w:rsidRDefault="00D82049" w:rsidP="001E76E0">
            <w:pPr>
              <w:keepNext/>
              <w:rPr>
                <w:b/>
                <w:lang w:val="en-AU"/>
              </w:rPr>
            </w:pPr>
            <w:r w:rsidRPr="00936C32">
              <w:rPr>
                <w:rFonts w:ascii="Arial Narrow" w:hAnsi="Arial Narrow"/>
                <w:b/>
                <w:sz w:val="20"/>
                <w:szCs w:val="20"/>
                <w:lang w:val="en-AU"/>
              </w:rPr>
              <w:t>Grandfather arrangements</w:t>
            </w:r>
          </w:p>
        </w:tc>
      </w:tr>
      <w:tr w:rsidR="00D82049" w:rsidRPr="00936C32" w14:paraId="4CCA103A" w14:textId="77777777" w:rsidTr="001E76E0">
        <w:trPr>
          <w:trHeight w:val="70"/>
        </w:trPr>
        <w:tc>
          <w:tcPr>
            <w:tcW w:w="921" w:type="pct"/>
          </w:tcPr>
          <w:p w14:paraId="1D49D0B1" w14:textId="77777777" w:rsidR="00D82049" w:rsidRPr="00936C32" w:rsidRDefault="00D82049" w:rsidP="001E76E0">
            <w:pPr>
              <w:keepNext/>
              <w:rPr>
                <w:rFonts w:ascii="Arial Narrow" w:hAnsi="Arial Narrow"/>
                <w:b/>
                <w:sz w:val="20"/>
                <w:szCs w:val="20"/>
                <w:lang w:val="en-AU"/>
              </w:rPr>
            </w:pPr>
            <w:r w:rsidRPr="00936C32">
              <w:rPr>
                <w:rFonts w:ascii="Arial Narrow" w:hAnsi="Arial Narrow"/>
                <w:b/>
                <w:sz w:val="20"/>
                <w:szCs w:val="20"/>
                <w:lang w:val="en-AU"/>
              </w:rPr>
              <w:t>Clinical criteria:</w:t>
            </w:r>
          </w:p>
        </w:tc>
        <w:tc>
          <w:tcPr>
            <w:tcW w:w="4079" w:type="pct"/>
          </w:tcPr>
          <w:p w14:paraId="33D7C834" w14:textId="77777777" w:rsidR="00D82049" w:rsidRPr="00936C32" w:rsidRDefault="00D82049" w:rsidP="001E76E0">
            <w:pPr>
              <w:pStyle w:val="ListParagraph"/>
              <w:keepNext/>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have previously received non-PBS-subsidised treatment with this drug for this condition; and</w:t>
            </w:r>
          </w:p>
          <w:p w14:paraId="78284BAD" w14:textId="77777777" w:rsidR="00D82049" w:rsidRPr="00936C32" w:rsidRDefault="00D82049" w:rsidP="001E76E0">
            <w:pPr>
              <w:pStyle w:val="ListParagraph"/>
              <w:keepNext/>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continue to demonstrate clinical benefit; and</w:t>
            </w:r>
          </w:p>
          <w:p w14:paraId="3CEC356B" w14:textId="77777777" w:rsidR="00D82049" w:rsidRPr="00936C32" w:rsidRDefault="00D82049" w:rsidP="001E76E0">
            <w:pPr>
              <w:pStyle w:val="ListParagraph"/>
              <w:keepNext/>
              <w:numPr>
                <w:ilvl w:val="0"/>
                <w:numId w:val="8"/>
              </w:numPr>
              <w:spacing w:after="60"/>
              <w:ind w:left="360"/>
              <w:contextualSpacing/>
              <w:rPr>
                <w:rFonts w:ascii="Arial Narrow" w:hAnsi="Arial Narrow"/>
                <w:sz w:val="20"/>
                <w:szCs w:val="20"/>
                <w:lang w:val="en-AU"/>
              </w:rPr>
            </w:pPr>
            <w:r w:rsidRPr="00936C32">
              <w:rPr>
                <w:rFonts w:ascii="Arial Narrow" w:hAnsi="Arial Narrow"/>
                <w:sz w:val="20"/>
                <w:szCs w:val="20"/>
                <w:lang w:val="en-AU"/>
              </w:rPr>
              <w:t>The patient must not be permanently bedridden or receiving end-of-life care.</w:t>
            </w:r>
          </w:p>
        </w:tc>
      </w:tr>
    </w:tbl>
    <w:p w14:paraId="7EDD7069" w14:textId="77777777" w:rsidR="00D82049" w:rsidRPr="00936C32" w:rsidRDefault="00D82049" w:rsidP="00D82049"/>
    <w:p w14:paraId="102E6934" w14:textId="2D1195A5" w:rsidR="00D82049" w:rsidRPr="00936C32" w:rsidRDefault="00D82049" w:rsidP="00D82049">
      <w:pPr>
        <w:pStyle w:val="COMexecsumnumberedpara"/>
        <w:rPr>
          <w:iCs/>
        </w:rPr>
      </w:pPr>
      <w:r w:rsidRPr="00936C32">
        <w:rPr>
          <w:iCs/>
        </w:rPr>
        <w:t>The PBAC noted that the changes made to the proposed restrictions in the resubmission were consistent with its July 2023 advice.</w:t>
      </w:r>
      <w:r w:rsidR="009B0FC8">
        <w:rPr>
          <w:iCs/>
        </w:rPr>
        <w:t xml:space="preserve"> </w:t>
      </w:r>
      <w:r w:rsidRPr="00936C32">
        <w:rPr>
          <w:iCs/>
        </w:rPr>
        <w:t xml:space="preserve">However, the PBAC considered that further refinement of the restrictions </w:t>
      </w:r>
      <w:proofErr w:type="gramStart"/>
      <w:r w:rsidRPr="00936C32">
        <w:rPr>
          <w:iCs/>
        </w:rPr>
        <w:t>was required</w:t>
      </w:r>
      <w:proofErr w:type="gramEnd"/>
      <w:r w:rsidRPr="00936C32">
        <w:rPr>
          <w:iCs/>
        </w:rPr>
        <w:t xml:space="preserve"> (see paragraph </w:t>
      </w:r>
      <w:r w:rsidRPr="00936C32">
        <w:rPr>
          <w:iCs/>
        </w:rPr>
        <w:fldChar w:fldCharType="begin" w:fldLock="1"/>
      </w:r>
      <w:r w:rsidRPr="00936C32">
        <w:rPr>
          <w:iCs/>
        </w:rPr>
        <w:instrText xml:space="preserve"> REF _Ref146725002 \r \h </w:instrText>
      </w:r>
      <w:r w:rsidRPr="00936C32">
        <w:rPr>
          <w:iCs/>
        </w:rPr>
      </w:r>
      <w:r w:rsidRPr="00936C32">
        <w:rPr>
          <w:iCs/>
        </w:rPr>
        <w:fldChar w:fldCharType="separate"/>
      </w:r>
      <w:r w:rsidRPr="00936C32">
        <w:rPr>
          <w:iCs/>
        </w:rPr>
        <w:t>11.9</w:t>
      </w:r>
      <w:r w:rsidRPr="00936C32">
        <w:rPr>
          <w:iCs/>
        </w:rPr>
        <w:fldChar w:fldCharType="end"/>
      </w:r>
      <w:r w:rsidRPr="00936C32">
        <w:rPr>
          <w:iCs/>
        </w:rPr>
        <w:t>).</w:t>
      </w:r>
    </w:p>
    <w:p w14:paraId="5F86A982" w14:textId="16A696BD" w:rsidR="00D82049" w:rsidRPr="00936C32" w:rsidRDefault="00D82049" w:rsidP="00D82049">
      <w:pPr>
        <w:pStyle w:val="COMexecsumnumberedpara"/>
        <w:rPr>
          <w:iCs/>
        </w:rPr>
      </w:pPr>
      <w:r w:rsidRPr="00936C32">
        <w:rPr>
          <w:iCs/>
        </w:rPr>
        <w:t xml:space="preserve">The resubmission added NYHA classification to the proposed restriction consistent with PBAC advice, however </w:t>
      </w:r>
      <w:proofErr w:type="gramStart"/>
      <w:r w:rsidRPr="00936C32">
        <w:rPr>
          <w:iCs/>
        </w:rPr>
        <w:t>some of</w:t>
      </w:r>
      <w:proofErr w:type="gramEnd"/>
      <w:r w:rsidRPr="00936C32">
        <w:rPr>
          <w:iCs/>
        </w:rPr>
        <w:t xml:space="preserve"> the details included within the prescriber instructions were incorrect.</w:t>
      </w:r>
      <w:r w:rsidR="009B0FC8">
        <w:rPr>
          <w:iCs/>
        </w:rPr>
        <w:t xml:space="preserve"> </w:t>
      </w:r>
      <w:r w:rsidRPr="00936C32">
        <w:rPr>
          <w:iCs/>
        </w:rPr>
        <w:t xml:space="preserve">These have </w:t>
      </w:r>
      <w:proofErr w:type="gramStart"/>
      <w:r w:rsidRPr="00936C32">
        <w:rPr>
          <w:iCs/>
        </w:rPr>
        <w:t>been amended</w:t>
      </w:r>
      <w:proofErr w:type="gramEnd"/>
      <w:r w:rsidRPr="00936C32">
        <w:rPr>
          <w:iCs/>
        </w:rPr>
        <w:t xml:space="preserve"> above.</w:t>
      </w:r>
    </w:p>
    <w:p w14:paraId="4C21D437" w14:textId="77777777" w:rsidR="00D82049" w:rsidRPr="00936C32" w:rsidRDefault="00D82049" w:rsidP="00D82049">
      <w:pPr>
        <w:pStyle w:val="COMH1numbered"/>
      </w:pPr>
      <w:r w:rsidRPr="00936C32">
        <w:t>Consideration of the evidence</w:t>
      </w:r>
    </w:p>
    <w:p w14:paraId="48D722B6" w14:textId="77777777" w:rsidR="00D82049" w:rsidRPr="00936C32" w:rsidRDefault="00D82049" w:rsidP="00D82049">
      <w:pPr>
        <w:pStyle w:val="3-SubsectionHeading"/>
        <w:rPr>
          <w:bCs/>
        </w:rPr>
      </w:pPr>
      <w:r w:rsidRPr="00936C32">
        <w:t>Economic analysis</w:t>
      </w:r>
    </w:p>
    <w:p w14:paraId="005B8D11" w14:textId="0FF18231" w:rsidR="00D82049" w:rsidRPr="00936C32" w:rsidRDefault="00D82049" w:rsidP="00CD319F">
      <w:pPr>
        <w:pStyle w:val="COMexecsumnumberedpara"/>
        <w:numPr>
          <w:ilvl w:val="1"/>
          <w:numId w:val="35"/>
        </w:numPr>
      </w:pPr>
      <w:bookmarkStart w:id="103" w:name="_Hlk146557889"/>
      <w:bookmarkStart w:id="104" w:name="_Ref146061052"/>
      <w:r w:rsidRPr="00936C32">
        <w:t xml:space="preserve">The resubmission provided a revised base case, in which anniversary price reductions </w:t>
      </w:r>
      <w:proofErr w:type="gramStart"/>
      <w:r w:rsidRPr="00936C32">
        <w:t>were removed</w:t>
      </w:r>
      <w:proofErr w:type="gramEnd"/>
      <w:r w:rsidRPr="00936C32">
        <w:t xml:space="preserve"> and the resubmission’s proposed price was applied (</w:t>
      </w:r>
      <w:r w:rsidRPr="00CD319F">
        <w:rPr>
          <w:szCs w:val="20"/>
        </w:rPr>
        <w:t>AEMP</w:t>
      </w:r>
      <w:r w:rsidR="000101C1" w:rsidRPr="00CD319F">
        <w:rPr>
          <w:szCs w:val="20"/>
        </w:rPr>
        <w:t xml:space="preserve"> </w:t>
      </w:r>
      <w:r w:rsidRPr="00CD319F">
        <w:rPr>
          <w:szCs w:val="20"/>
        </w:rPr>
        <w:t>=</w:t>
      </w:r>
      <w:r w:rsidR="000101C1" w:rsidRPr="00CD319F">
        <w:rPr>
          <w:szCs w:val="20"/>
        </w:rPr>
        <w:t xml:space="preserve"> </w:t>
      </w:r>
      <w:r w:rsidRPr="00CD319F">
        <w:rPr>
          <w:szCs w:val="20"/>
        </w:rPr>
        <w:t>$</w:t>
      </w:r>
      <w:r w:rsidR="00923B9F" w:rsidRPr="00AC5845">
        <w:rPr>
          <w:color w:val="000000"/>
          <w:w w:val="15"/>
          <w:szCs w:val="20"/>
          <w:shd w:val="solid" w:color="000000" w:fill="000000"/>
          <w:fitText w:val="-20" w:id="-1136813056"/>
          <w14:textFill>
            <w14:solidFill>
              <w14:srgbClr w14:val="000000">
                <w14:alpha w14:val="100000"/>
              </w14:srgbClr>
            </w14:solidFill>
          </w14:textFill>
        </w:rPr>
        <w:t>|</w:t>
      </w:r>
      <w:r w:rsidR="00923B9F" w:rsidRPr="00AC5845">
        <w:rPr>
          <w:color w:val="000000"/>
          <w:spacing w:val="-44"/>
          <w:w w:val="15"/>
          <w:szCs w:val="20"/>
          <w:shd w:val="solid" w:color="000000" w:fill="000000"/>
          <w:fitText w:val="-20" w:id="-1136813056"/>
          <w14:textFill>
            <w14:solidFill>
              <w14:srgbClr w14:val="000000">
                <w14:alpha w14:val="100000"/>
              </w14:srgbClr>
            </w14:solidFill>
          </w14:textFill>
        </w:rPr>
        <w:t xml:space="preserve"> </w:t>
      </w:r>
      <w:r w:rsidR="00923B9F" w:rsidRPr="001D7B74">
        <w:rPr>
          <w:color w:val="000000"/>
          <w:w w:val="15"/>
          <w:szCs w:val="20"/>
          <w:shd w:val="solid" w:color="000000" w:fill="000000"/>
          <w14:textFill>
            <w14:solidFill>
              <w14:srgbClr w14:val="000000">
                <w14:alpha w14:val="100000"/>
              </w14:srgbClr>
            </w14:solidFill>
          </w14:textFill>
        </w:rPr>
        <w:t xml:space="preserve"> </w:t>
      </w:r>
      <w:r w:rsidR="00923B9F" w:rsidRPr="00A35D36">
        <w:rPr>
          <w:color w:val="000000"/>
          <w:spacing w:val="-69"/>
          <w:w w:val="15"/>
          <w:szCs w:val="20"/>
          <w:shd w:val="solid" w:color="000000" w:fill="000000"/>
          <w14:textFill>
            <w14:solidFill>
              <w14:srgbClr w14:val="000000">
                <w14:alpha w14:val="100000"/>
              </w14:srgbClr>
            </w14:solidFill>
          </w14:textFill>
        </w:rPr>
        <w:t>|</w:t>
      </w:r>
      <w:r w:rsidRPr="00CD319F">
        <w:rPr>
          <w:szCs w:val="20"/>
        </w:rPr>
        <w:t xml:space="preserve"> per 10 mg vial)</w:t>
      </w:r>
      <w:r w:rsidRPr="00936C32">
        <w:t xml:space="preserve">. </w:t>
      </w:r>
      <w:bookmarkEnd w:id="103"/>
      <w:r w:rsidRPr="00936C32">
        <w:t xml:space="preserve">The ICER for the resubmission base case was </w:t>
      </w:r>
      <w:r w:rsidR="00683D4D" w:rsidRPr="00683D4D">
        <w:t>$155,000</w:t>
      </w:r>
      <w:r w:rsidR="00683D4D">
        <w:t> </w:t>
      </w:r>
      <w:r w:rsidR="00683D4D" w:rsidRPr="00683D4D">
        <w:t>to</w:t>
      </w:r>
      <w:r w:rsidR="00683D4D">
        <w:t> </w:t>
      </w:r>
      <w:r w:rsidR="00683D4D" w:rsidRPr="00683D4D">
        <w:t>&lt;</w:t>
      </w:r>
      <w:r w:rsidR="00683D4D">
        <w:t> </w:t>
      </w:r>
      <w:r w:rsidR="00683D4D" w:rsidRPr="00683D4D">
        <w:t>$255,000</w:t>
      </w:r>
      <w:r w:rsidRPr="00936C32">
        <w:t>/QALY, which was consistent with the ICER range specified by the PBAC in July 2023, however the resubmission did not follow the PBAC’s advice concerning amendment of the utility increments/decrements (see paragraph 7.11).</w:t>
      </w:r>
      <w:r w:rsidRPr="00CD319F">
        <w:rPr>
          <w:shd w:val="clear" w:color="auto" w:fill="FFFFFF"/>
        </w:rPr>
        <w:t xml:space="preserve"> In July 2023, the PBAC considered that the submission’s approach resulted in an overly optimistic estimate of incremental QALY gain, but in the context of a rare disease and significant unmet need, the submission’s approach would be acceptable if the t</w:t>
      </w:r>
      <w:r w:rsidRPr="00936C32">
        <w:t xml:space="preserve">reatment-related utility increment/decrements were halved as proposed during the evaluation and </w:t>
      </w:r>
      <w:r w:rsidRPr="00CD319F">
        <w:rPr>
          <w:shd w:val="clear" w:color="auto" w:fill="FFFFFF"/>
        </w:rPr>
        <w:t xml:space="preserve">the other matters discussed in paragraph </w:t>
      </w:r>
      <w:r w:rsidRPr="00CD319F">
        <w:rPr>
          <w:shd w:val="clear" w:color="auto" w:fill="FFFFFF"/>
        </w:rPr>
        <w:fldChar w:fldCharType="begin" w:fldLock="1"/>
      </w:r>
      <w:r w:rsidRPr="00CD319F">
        <w:rPr>
          <w:shd w:val="clear" w:color="auto" w:fill="FFFFFF"/>
        </w:rPr>
        <w:instrText xml:space="preserve"> REF _Ref142376062 \r \h </w:instrText>
      </w:r>
      <w:r w:rsidRPr="00CD319F">
        <w:rPr>
          <w:shd w:val="clear" w:color="auto" w:fill="FFFFFF"/>
        </w:rPr>
      </w:r>
      <w:r w:rsidRPr="00CD319F">
        <w:rPr>
          <w:shd w:val="clear" w:color="auto" w:fill="FFFFFF"/>
        </w:rPr>
        <w:fldChar w:fldCharType="separate"/>
      </w:r>
      <w:r w:rsidRPr="00CD319F">
        <w:rPr>
          <w:shd w:val="clear" w:color="auto" w:fill="FFFFFF"/>
        </w:rPr>
        <w:t>7.11</w:t>
      </w:r>
      <w:r w:rsidRPr="00CD319F">
        <w:rPr>
          <w:shd w:val="clear" w:color="auto" w:fill="FFFFFF"/>
        </w:rPr>
        <w:fldChar w:fldCharType="end"/>
      </w:r>
      <w:r w:rsidRPr="00CD319F">
        <w:rPr>
          <w:shd w:val="clear" w:color="auto" w:fill="FFFFFF"/>
        </w:rPr>
        <w:t xml:space="preserve"> were addressed. </w:t>
      </w:r>
      <w:r w:rsidRPr="00936C32">
        <w:t xml:space="preserve">The resubmission provided a sensitivity analysis which assumed a </w:t>
      </w:r>
      <w:r w:rsidRPr="00936C32">
        <w:lastRenderedPageBreak/>
        <w:t xml:space="preserve">20% reduction in utility increments/decrement, see </w:t>
      </w:r>
      <w:r w:rsidRPr="00936C32">
        <w:fldChar w:fldCharType="begin" w:fldLock="1"/>
      </w:r>
      <w:r w:rsidRPr="00936C32">
        <w:instrText xml:space="preserve"> REF _Ref146057623 \h </w:instrText>
      </w:r>
      <w:r w:rsidRPr="00936C32">
        <w:fldChar w:fldCharType="separate"/>
      </w:r>
      <w:r w:rsidRPr="00936C32">
        <w:t>Table 19</w:t>
      </w:r>
      <w:r w:rsidRPr="00936C32">
        <w:fldChar w:fldCharType="end"/>
      </w:r>
      <w:r w:rsidRPr="00936C32">
        <w:t xml:space="preserve">. The resubmission also provided a sensitivity analysis which included caregiver disutilities, see </w:t>
      </w:r>
      <w:r w:rsidRPr="00936C32">
        <w:fldChar w:fldCharType="begin" w:fldLock="1"/>
      </w:r>
      <w:r w:rsidRPr="00936C32">
        <w:instrText xml:space="preserve"> REF _Ref146057623 \h </w:instrText>
      </w:r>
      <w:r w:rsidRPr="00936C32">
        <w:fldChar w:fldCharType="separate"/>
      </w:r>
      <w:r w:rsidRPr="00936C32">
        <w:t>Table 19</w:t>
      </w:r>
      <w:r w:rsidRPr="00936C32">
        <w:fldChar w:fldCharType="end"/>
      </w:r>
      <w:r w:rsidRPr="00936C32">
        <w:t>.</w:t>
      </w:r>
      <w:bookmarkEnd w:id="104"/>
    </w:p>
    <w:p w14:paraId="533F7CB2" w14:textId="77777777" w:rsidR="00D82049" w:rsidRPr="00936C32" w:rsidRDefault="00D82049" w:rsidP="00D82049">
      <w:pPr>
        <w:pStyle w:val="COMtablefigcaption"/>
        <w:rPr>
          <w:b w:val="0"/>
        </w:rPr>
      </w:pPr>
      <w:bookmarkStart w:id="105" w:name="_Ref146057623"/>
      <w:r w:rsidRPr="00936C32">
        <w:t xml:space="preserve">Table </w:t>
      </w:r>
      <w:fldSimple w:instr=" SEQ Table \* ARABIC " w:fldLock="1">
        <w:r w:rsidRPr="00936C32">
          <w:t>19</w:t>
        </w:r>
      </w:fldSimple>
      <w:bookmarkEnd w:id="105"/>
      <w:r w:rsidRPr="00936C32">
        <w:t>: Economic evaluation – July 2023 submission and September 2023 resubmission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800"/>
        <w:gridCol w:w="1680"/>
        <w:gridCol w:w="1392"/>
      </w:tblGrid>
      <w:tr w:rsidR="00D82049" w:rsidRPr="00936C32" w14:paraId="33098F7D" w14:textId="77777777" w:rsidTr="001E76E0">
        <w:trPr>
          <w:tblHeader/>
        </w:trPr>
        <w:tc>
          <w:tcPr>
            <w:tcW w:w="4195" w:type="dxa"/>
          </w:tcPr>
          <w:p w14:paraId="459FA95C" w14:textId="77777777" w:rsidR="00D82049" w:rsidRPr="00936C32" w:rsidRDefault="00D82049" w:rsidP="001E76E0">
            <w:pPr>
              <w:pStyle w:val="COMTabletext"/>
              <w:rPr>
                <w:b/>
                <w:bCs w:val="0"/>
                <w:szCs w:val="20"/>
              </w:rPr>
            </w:pPr>
            <w:r w:rsidRPr="00936C32">
              <w:rPr>
                <w:b/>
                <w:bCs w:val="0"/>
                <w:szCs w:val="20"/>
              </w:rPr>
              <w:t>Analyses</w:t>
            </w:r>
          </w:p>
        </w:tc>
        <w:tc>
          <w:tcPr>
            <w:tcW w:w="1800" w:type="dxa"/>
          </w:tcPr>
          <w:p w14:paraId="1930F77B" w14:textId="77777777" w:rsidR="00D82049" w:rsidRPr="00936C32" w:rsidRDefault="00D82049" w:rsidP="001E76E0">
            <w:pPr>
              <w:pStyle w:val="COMTabletext"/>
              <w:rPr>
                <w:b/>
                <w:bCs w:val="0"/>
                <w:szCs w:val="20"/>
              </w:rPr>
            </w:pPr>
            <w:r w:rsidRPr="00936C32">
              <w:rPr>
                <w:b/>
                <w:bCs w:val="0"/>
                <w:szCs w:val="20"/>
              </w:rPr>
              <w:t>Incremental cost</w:t>
            </w:r>
          </w:p>
        </w:tc>
        <w:tc>
          <w:tcPr>
            <w:tcW w:w="1680" w:type="dxa"/>
          </w:tcPr>
          <w:p w14:paraId="0692E0FC" w14:textId="77777777" w:rsidR="00D82049" w:rsidRPr="00936C32" w:rsidRDefault="00D82049" w:rsidP="001E76E0">
            <w:pPr>
              <w:pStyle w:val="COMTabletext"/>
              <w:rPr>
                <w:b/>
                <w:bCs w:val="0"/>
                <w:szCs w:val="20"/>
              </w:rPr>
            </w:pPr>
            <w:r w:rsidRPr="00936C32">
              <w:rPr>
                <w:b/>
                <w:bCs w:val="0"/>
                <w:szCs w:val="20"/>
              </w:rPr>
              <w:t>Incremental QALY</w:t>
            </w:r>
          </w:p>
        </w:tc>
        <w:tc>
          <w:tcPr>
            <w:tcW w:w="1392" w:type="dxa"/>
          </w:tcPr>
          <w:p w14:paraId="4BCDD8F8" w14:textId="77777777" w:rsidR="00D82049" w:rsidRPr="00936C32" w:rsidRDefault="00D82049" w:rsidP="001E76E0">
            <w:pPr>
              <w:pStyle w:val="COMTabletext"/>
              <w:rPr>
                <w:b/>
                <w:bCs w:val="0"/>
                <w:szCs w:val="20"/>
              </w:rPr>
            </w:pPr>
            <w:r w:rsidRPr="00936C32">
              <w:rPr>
                <w:b/>
                <w:bCs w:val="0"/>
                <w:szCs w:val="20"/>
              </w:rPr>
              <w:t>ICER ($/QALY)</w:t>
            </w:r>
          </w:p>
        </w:tc>
      </w:tr>
      <w:tr w:rsidR="00D82049" w:rsidRPr="00936C32" w14:paraId="78E143FC" w14:textId="77777777" w:rsidTr="001E76E0">
        <w:trPr>
          <w:tblHeader/>
        </w:trPr>
        <w:tc>
          <w:tcPr>
            <w:tcW w:w="9067" w:type="dxa"/>
            <w:gridSpan w:val="4"/>
            <w:shd w:val="clear" w:color="auto" w:fill="F2F2F2" w:themeFill="background1" w:themeFillShade="F2"/>
          </w:tcPr>
          <w:p w14:paraId="10D28FBF" w14:textId="77777777" w:rsidR="00D82049" w:rsidRPr="00936C32" w:rsidRDefault="00D82049" w:rsidP="001E76E0">
            <w:pPr>
              <w:pStyle w:val="COMTabletext"/>
              <w:rPr>
                <w:b/>
                <w:bCs w:val="0"/>
                <w:szCs w:val="20"/>
              </w:rPr>
            </w:pPr>
            <w:r w:rsidRPr="00936C32">
              <w:rPr>
                <w:b/>
                <w:bCs w:val="0"/>
                <w:szCs w:val="20"/>
              </w:rPr>
              <w:t>July 2023 submission</w:t>
            </w:r>
          </w:p>
        </w:tc>
      </w:tr>
      <w:tr w:rsidR="00D82049" w:rsidRPr="00936C32" w14:paraId="6F4DCE89" w14:textId="77777777" w:rsidTr="001E76E0">
        <w:tc>
          <w:tcPr>
            <w:tcW w:w="4195" w:type="dxa"/>
          </w:tcPr>
          <w:p w14:paraId="74FA2430" w14:textId="77777777" w:rsidR="00D82049" w:rsidRPr="00936C32" w:rsidRDefault="00D82049" w:rsidP="001E76E0">
            <w:pPr>
              <w:pStyle w:val="COMTabletext"/>
              <w:rPr>
                <w:szCs w:val="20"/>
              </w:rPr>
            </w:pPr>
            <w:r w:rsidRPr="00936C32">
              <w:rPr>
                <w:szCs w:val="20"/>
              </w:rPr>
              <w:t>Submission base case (anniversary price reductions removed by evaluator)</w:t>
            </w:r>
          </w:p>
        </w:tc>
        <w:tc>
          <w:tcPr>
            <w:tcW w:w="1800" w:type="dxa"/>
          </w:tcPr>
          <w:p w14:paraId="3B4B3934" w14:textId="4D055A03" w:rsidR="00D82049" w:rsidRPr="00936C32" w:rsidRDefault="00D82049" w:rsidP="001E76E0">
            <w:pPr>
              <w:pStyle w:val="COMTabletext"/>
              <w:rPr>
                <w:szCs w:val="20"/>
              </w:rPr>
            </w:pPr>
            <w:r w:rsidRPr="00936C32">
              <w:rPr>
                <w:szCs w:val="20"/>
              </w:rPr>
              <w:t>$</w:t>
            </w:r>
            <w:r w:rsidR="00923B9F" w:rsidRPr="00923B9F">
              <w:rPr>
                <w:color w:val="000000"/>
                <w:spacing w:val="49"/>
                <w:szCs w:val="20"/>
                <w:shd w:val="solid" w:color="000000" w:fill="000000"/>
                <w:fitText w:val="318" w:id="-1136813055"/>
                <w14:textFill>
                  <w14:solidFill>
                    <w14:srgbClr w14:val="000000">
                      <w14:alpha w14:val="100000"/>
                    </w14:srgbClr>
                  </w14:solidFill>
                </w14:textFill>
              </w:rPr>
              <w:t>|||</w:t>
            </w:r>
            <w:r w:rsidR="00923B9F" w:rsidRPr="00923B9F">
              <w:rPr>
                <w:color w:val="000000"/>
                <w:spacing w:val="1"/>
                <w:szCs w:val="20"/>
                <w:shd w:val="solid" w:color="000000" w:fill="000000"/>
                <w:fitText w:val="318" w:id="-1136813055"/>
                <w14:textFill>
                  <w14:solidFill>
                    <w14:srgbClr w14:val="000000">
                      <w14:alpha w14:val="100000"/>
                    </w14:srgbClr>
                  </w14:solidFill>
                </w14:textFill>
              </w:rPr>
              <w:t>|</w:t>
            </w:r>
          </w:p>
        </w:tc>
        <w:tc>
          <w:tcPr>
            <w:tcW w:w="1680" w:type="dxa"/>
          </w:tcPr>
          <w:p w14:paraId="4FDE4BCB" w14:textId="77777777" w:rsidR="00D82049" w:rsidRPr="00936C32" w:rsidRDefault="00D82049" w:rsidP="001E76E0">
            <w:pPr>
              <w:pStyle w:val="COMTabletext"/>
              <w:rPr>
                <w:szCs w:val="20"/>
              </w:rPr>
            </w:pPr>
            <w:r w:rsidRPr="00936C32">
              <w:rPr>
                <w:szCs w:val="20"/>
              </w:rPr>
              <w:t>6.10</w:t>
            </w:r>
          </w:p>
        </w:tc>
        <w:tc>
          <w:tcPr>
            <w:tcW w:w="1392" w:type="dxa"/>
          </w:tcPr>
          <w:p w14:paraId="0F91BC8F" w14:textId="7BFA0F74" w:rsidR="00923B9F" w:rsidRPr="00923B9F" w:rsidRDefault="00923B9F" w:rsidP="001E76E0">
            <w:pPr>
              <w:pStyle w:val="COMTabletext"/>
              <w:rPr>
                <w:szCs w:val="20"/>
              </w:rPr>
            </w:pPr>
            <w:r w:rsidRPr="00923B9F">
              <w:rPr>
                <w:color w:val="000000"/>
                <w:spacing w:val="49"/>
                <w:szCs w:val="20"/>
                <w:shd w:val="solid" w:color="000000" w:fill="000000"/>
                <w:fitText w:val="318" w:id="-1136813054"/>
                <w14:textFill>
                  <w14:solidFill>
                    <w14:srgbClr w14:val="000000">
                      <w14:alpha w14:val="100000"/>
                    </w14:srgbClr>
                  </w14:solidFill>
                </w14:textFill>
              </w:rPr>
              <w:t>|||</w:t>
            </w:r>
            <w:r w:rsidRPr="00923B9F">
              <w:rPr>
                <w:color w:val="000000"/>
                <w:spacing w:val="1"/>
                <w:szCs w:val="20"/>
                <w:shd w:val="solid" w:color="000000" w:fill="000000"/>
                <w:fitText w:val="318" w:id="-1136813054"/>
                <w14:textFill>
                  <w14:solidFill>
                    <w14:srgbClr w14:val="000000">
                      <w14:alpha w14:val="100000"/>
                    </w14:srgbClr>
                  </w14:solidFill>
                </w14:textFill>
              </w:rPr>
              <w:t>|</w:t>
            </w:r>
            <w:r w:rsidR="00683D4D" w:rsidRPr="003F4735">
              <w:rPr>
                <w:szCs w:val="20"/>
                <w:vertAlign w:val="superscript"/>
              </w:rPr>
              <w:t>1</w:t>
            </w:r>
          </w:p>
          <w:p w14:paraId="2E042009" w14:textId="3D4EB565" w:rsidR="00D82049" w:rsidRPr="003F4735" w:rsidRDefault="00D82049" w:rsidP="001E76E0">
            <w:pPr>
              <w:pStyle w:val="COMTabletext"/>
              <w:rPr>
                <w:szCs w:val="20"/>
                <w:highlight w:val="darkGray"/>
              </w:rPr>
            </w:pPr>
          </w:p>
        </w:tc>
      </w:tr>
      <w:tr w:rsidR="00D82049" w:rsidRPr="00936C32" w14:paraId="75E7BE9A" w14:textId="77777777" w:rsidTr="001E76E0">
        <w:tc>
          <w:tcPr>
            <w:tcW w:w="9067" w:type="dxa"/>
            <w:gridSpan w:val="4"/>
            <w:shd w:val="clear" w:color="auto" w:fill="F2F2F2" w:themeFill="background1" w:themeFillShade="F2"/>
          </w:tcPr>
          <w:p w14:paraId="16F952BC" w14:textId="77777777" w:rsidR="00D82049" w:rsidRPr="00936C32" w:rsidRDefault="00D82049" w:rsidP="001E76E0">
            <w:pPr>
              <w:pStyle w:val="COMTabletext"/>
              <w:rPr>
                <w:b/>
                <w:bCs w:val="0"/>
                <w:szCs w:val="20"/>
              </w:rPr>
            </w:pPr>
            <w:r w:rsidRPr="00936C32">
              <w:rPr>
                <w:b/>
                <w:bCs w:val="0"/>
                <w:szCs w:val="20"/>
              </w:rPr>
              <w:t>September 2023 resubmission</w:t>
            </w:r>
          </w:p>
        </w:tc>
      </w:tr>
      <w:tr w:rsidR="00D82049" w:rsidRPr="00936C32" w14:paraId="6F22315F" w14:textId="77777777" w:rsidTr="001E76E0">
        <w:tc>
          <w:tcPr>
            <w:tcW w:w="4195" w:type="dxa"/>
          </w:tcPr>
          <w:p w14:paraId="5687FEA6" w14:textId="77777777" w:rsidR="00D82049" w:rsidRPr="00936C32" w:rsidRDefault="00D82049" w:rsidP="001E76E0">
            <w:pPr>
              <w:pStyle w:val="COMTabletext"/>
              <w:rPr>
                <w:szCs w:val="20"/>
              </w:rPr>
            </w:pPr>
            <w:r w:rsidRPr="00936C32">
              <w:rPr>
                <w:szCs w:val="20"/>
              </w:rPr>
              <w:t>Resubmission base case (anniversary price reductions removed and proposed price)</w:t>
            </w:r>
          </w:p>
        </w:tc>
        <w:tc>
          <w:tcPr>
            <w:tcW w:w="1800" w:type="dxa"/>
          </w:tcPr>
          <w:p w14:paraId="3A4104F1" w14:textId="4B7F08C4" w:rsidR="00D82049" w:rsidRPr="00936C32" w:rsidRDefault="00D82049" w:rsidP="001E76E0">
            <w:pPr>
              <w:pStyle w:val="COMTabletext"/>
              <w:rPr>
                <w:szCs w:val="20"/>
              </w:rPr>
            </w:pPr>
            <w:r w:rsidRPr="00936C32">
              <w:rPr>
                <w:szCs w:val="20"/>
              </w:rPr>
              <w:t>$</w:t>
            </w:r>
            <w:r w:rsidR="00923B9F" w:rsidRPr="00923B9F">
              <w:rPr>
                <w:color w:val="000000"/>
                <w:spacing w:val="49"/>
                <w:szCs w:val="20"/>
                <w:shd w:val="solid" w:color="000000" w:fill="000000"/>
                <w:fitText w:val="318" w:id="-1136813053"/>
                <w14:textFill>
                  <w14:solidFill>
                    <w14:srgbClr w14:val="000000">
                      <w14:alpha w14:val="100000"/>
                    </w14:srgbClr>
                  </w14:solidFill>
                </w14:textFill>
              </w:rPr>
              <w:t>|||</w:t>
            </w:r>
            <w:r w:rsidR="00923B9F" w:rsidRPr="00923B9F">
              <w:rPr>
                <w:color w:val="000000"/>
                <w:spacing w:val="1"/>
                <w:szCs w:val="20"/>
                <w:shd w:val="solid" w:color="000000" w:fill="000000"/>
                <w:fitText w:val="318" w:id="-1136813053"/>
                <w14:textFill>
                  <w14:solidFill>
                    <w14:srgbClr w14:val="000000">
                      <w14:alpha w14:val="100000"/>
                    </w14:srgbClr>
                  </w14:solidFill>
                </w14:textFill>
              </w:rPr>
              <w:t>|</w:t>
            </w:r>
          </w:p>
        </w:tc>
        <w:tc>
          <w:tcPr>
            <w:tcW w:w="1680" w:type="dxa"/>
          </w:tcPr>
          <w:p w14:paraId="6B6754D6" w14:textId="77777777" w:rsidR="00D82049" w:rsidRPr="00936C32" w:rsidRDefault="00D82049" w:rsidP="001E76E0">
            <w:pPr>
              <w:pStyle w:val="COMTabletext"/>
              <w:rPr>
                <w:szCs w:val="20"/>
              </w:rPr>
            </w:pPr>
            <w:r w:rsidRPr="00936C32">
              <w:rPr>
                <w:szCs w:val="20"/>
              </w:rPr>
              <w:t>6.10</w:t>
            </w:r>
          </w:p>
        </w:tc>
        <w:tc>
          <w:tcPr>
            <w:tcW w:w="1392" w:type="dxa"/>
          </w:tcPr>
          <w:p w14:paraId="762E73ED" w14:textId="4CE0516C" w:rsidR="00D82049" w:rsidRPr="003F4735" w:rsidRDefault="00923B9F" w:rsidP="001E76E0">
            <w:pPr>
              <w:pStyle w:val="COMTabletext"/>
              <w:rPr>
                <w:szCs w:val="20"/>
                <w:highlight w:val="darkGray"/>
              </w:rPr>
            </w:pPr>
            <w:r w:rsidRPr="00923B9F">
              <w:rPr>
                <w:color w:val="000000"/>
                <w:spacing w:val="49"/>
                <w:szCs w:val="20"/>
                <w:shd w:val="solid" w:color="000000" w:fill="000000"/>
                <w:fitText w:val="318" w:id="-1136813052"/>
                <w14:textFill>
                  <w14:solidFill>
                    <w14:srgbClr w14:val="000000">
                      <w14:alpha w14:val="100000"/>
                    </w14:srgbClr>
                  </w14:solidFill>
                </w14:textFill>
              </w:rPr>
              <w:t>|||</w:t>
            </w:r>
            <w:r w:rsidRPr="00923B9F">
              <w:rPr>
                <w:color w:val="000000"/>
                <w:spacing w:val="1"/>
                <w:szCs w:val="20"/>
                <w:shd w:val="solid" w:color="000000" w:fill="000000"/>
                <w:fitText w:val="318" w:id="-1136813052"/>
                <w14:textFill>
                  <w14:solidFill>
                    <w14:srgbClr w14:val="000000">
                      <w14:alpha w14:val="100000"/>
                    </w14:srgbClr>
                  </w14:solidFill>
                </w14:textFill>
              </w:rPr>
              <w:t>|</w:t>
            </w:r>
            <w:r w:rsidR="00BE5ABA">
              <w:rPr>
                <w:szCs w:val="20"/>
                <w:vertAlign w:val="superscript"/>
              </w:rPr>
              <w:t>2</w:t>
            </w:r>
          </w:p>
        </w:tc>
      </w:tr>
      <w:tr w:rsidR="00D82049" w:rsidRPr="00936C32" w14:paraId="5A74F14F" w14:textId="77777777" w:rsidTr="001E76E0">
        <w:tc>
          <w:tcPr>
            <w:tcW w:w="4195" w:type="dxa"/>
          </w:tcPr>
          <w:p w14:paraId="0DCD0778" w14:textId="3F1C47C0" w:rsidR="00D82049" w:rsidRPr="00936C32" w:rsidRDefault="00D82049" w:rsidP="001E76E0">
            <w:pPr>
              <w:pStyle w:val="COMTabletext"/>
              <w:rPr>
                <w:szCs w:val="20"/>
              </w:rPr>
            </w:pPr>
            <w:r w:rsidRPr="00936C32">
              <w:rPr>
                <w:szCs w:val="20"/>
              </w:rPr>
              <w:t xml:space="preserve">Sensitivity Analysis: Utility increments and decrements for </w:t>
            </w:r>
            <w:r w:rsidRPr="00936C32">
              <w:rPr>
                <w:iCs/>
              </w:rPr>
              <w:t>being on/off treatment with patisiran</w:t>
            </w:r>
            <w:r w:rsidR="009B0FC8">
              <w:rPr>
                <w:szCs w:val="20"/>
              </w:rPr>
              <w:t xml:space="preserve"> </w:t>
            </w:r>
            <w:r w:rsidRPr="00936C32">
              <w:rPr>
                <w:szCs w:val="20"/>
              </w:rPr>
              <w:t>at 80% of base-case values</w:t>
            </w:r>
          </w:p>
        </w:tc>
        <w:tc>
          <w:tcPr>
            <w:tcW w:w="1800" w:type="dxa"/>
          </w:tcPr>
          <w:p w14:paraId="0DA4471C" w14:textId="58DED846" w:rsidR="00D82049" w:rsidRPr="00936C32" w:rsidRDefault="00D82049" w:rsidP="001E76E0">
            <w:pPr>
              <w:pStyle w:val="COMTabletext"/>
              <w:rPr>
                <w:szCs w:val="20"/>
              </w:rPr>
            </w:pPr>
            <w:r w:rsidRPr="00936C32">
              <w:rPr>
                <w:szCs w:val="20"/>
              </w:rPr>
              <w:t>$</w:t>
            </w:r>
            <w:r w:rsidR="00923B9F" w:rsidRPr="00923B9F">
              <w:rPr>
                <w:color w:val="000000"/>
                <w:spacing w:val="49"/>
                <w:szCs w:val="20"/>
                <w:shd w:val="solid" w:color="000000" w:fill="000000"/>
                <w:fitText w:val="318" w:id="-1136813051"/>
                <w14:textFill>
                  <w14:solidFill>
                    <w14:srgbClr w14:val="000000">
                      <w14:alpha w14:val="100000"/>
                    </w14:srgbClr>
                  </w14:solidFill>
                </w14:textFill>
              </w:rPr>
              <w:t>|||</w:t>
            </w:r>
            <w:r w:rsidR="00923B9F" w:rsidRPr="00923B9F">
              <w:rPr>
                <w:color w:val="000000"/>
                <w:spacing w:val="1"/>
                <w:szCs w:val="20"/>
                <w:shd w:val="solid" w:color="000000" w:fill="000000"/>
                <w:fitText w:val="318" w:id="-1136813051"/>
                <w14:textFill>
                  <w14:solidFill>
                    <w14:srgbClr w14:val="000000">
                      <w14:alpha w14:val="100000"/>
                    </w14:srgbClr>
                  </w14:solidFill>
                </w14:textFill>
              </w:rPr>
              <w:t>|</w:t>
            </w:r>
          </w:p>
        </w:tc>
        <w:tc>
          <w:tcPr>
            <w:tcW w:w="1680" w:type="dxa"/>
          </w:tcPr>
          <w:p w14:paraId="7248BFB5" w14:textId="77777777" w:rsidR="00D82049" w:rsidRPr="00936C32" w:rsidRDefault="00D82049" w:rsidP="001E76E0">
            <w:pPr>
              <w:pStyle w:val="COMTabletext"/>
              <w:rPr>
                <w:szCs w:val="20"/>
              </w:rPr>
            </w:pPr>
            <w:r w:rsidRPr="00936C32">
              <w:rPr>
                <w:szCs w:val="20"/>
              </w:rPr>
              <w:t>5.75</w:t>
            </w:r>
          </w:p>
        </w:tc>
        <w:tc>
          <w:tcPr>
            <w:tcW w:w="1392" w:type="dxa"/>
          </w:tcPr>
          <w:p w14:paraId="6BEF67FB" w14:textId="7AFCAFCC" w:rsidR="00D82049" w:rsidRPr="003F4735" w:rsidRDefault="00923B9F" w:rsidP="001E76E0">
            <w:pPr>
              <w:pStyle w:val="COMTabletext"/>
              <w:rPr>
                <w:szCs w:val="20"/>
                <w:highlight w:val="darkGray"/>
              </w:rPr>
            </w:pPr>
            <w:r w:rsidRPr="00923B9F">
              <w:rPr>
                <w:color w:val="000000"/>
                <w:spacing w:val="49"/>
                <w:szCs w:val="20"/>
                <w:shd w:val="solid" w:color="000000" w:fill="000000"/>
                <w:fitText w:val="318" w:id="-1136813050"/>
                <w14:textFill>
                  <w14:solidFill>
                    <w14:srgbClr w14:val="000000">
                      <w14:alpha w14:val="100000"/>
                    </w14:srgbClr>
                  </w14:solidFill>
                </w14:textFill>
              </w:rPr>
              <w:t>|||</w:t>
            </w:r>
            <w:r w:rsidRPr="00923B9F">
              <w:rPr>
                <w:color w:val="000000"/>
                <w:spacing w:val="1"/>
                <w:szCs w:val="20"/>
                <w:shd w:val="solid" w:color="000000" w:fill="000000"/>
                <w:fitText w:val="318" w:id="-1136813050"/>
                <w14:textFill>
                  <w14:solidFill>
                    <w14:srgbClr w14:val="000000">
                      <w14:alpha w14:val="100000"/>
                    </w14:srgbClr>
                  </w14:solidFill>
                </w14:textFill>
              </w:rPr>
              <w:t>|</w:t>
            </w:r>
            <w:r w:rsidR="00683D4D" w:rsidRPr="001E76E0">
              <w:rPr>
                <w:szCs w:val="20"/>
                <w:vertAlign w:val="superscript"/>
              </w:rPr>
              <w:t>1</w:t>
            </w:r>
          </w:p>
        </w:tc>
      </w:tr>
      <w:tr w:rsidR="00D82049" w:rsidRPr="00936C32" w14:paraId="4FBFC4D7" w14:textId="77777777" w:rsidTr="001E76E0">
        <w:tc>
          <w:tcPr>
            <w:tcW w:w="4195" w:type="dxa"/>
            <w:tcBorders>
              <w:top w:val="single" w:sz="4" w:space="0" w:color="auto"/>
              <w:left w:val="single" w:sz="4" w:space="0" w:color="auto"/>
              <w:bottom w:val="single" w:sz="4" w:space="0" w:color="auto"/>
              <w:right w:val="single" w:sz="4" w:space="0" w:color="auto"/>
            </w:tcBorders>
          </w:tcPr>
          <w:p w14:paraId="535A378B" w14:textId="77777777" w:rsidR="00D82049" w:rsidRPr="00936C32" w:rsidRDefault="00D82049" w:rsidP="001E76E0">
            <w:pPr>
              <w:pStyle w:val="COMTabletext"/>
              <w:rPr>
                <w:szCs w:val="20"/>
              </w:rPr>
            </w:pPr>
            <w:r w:rsidRPr="00936C32">
              <w:rPr>
                <w:szCs w:val="20"/>
              </w:rPr>
              <w:t>Sensitivity Analysis: Inclusion of caregiver disutilities</w:t>
            </w:r>
          </w:p>
        </w:tc>
        <w:tc>
          <w:tcPr>
            <w:tcW w:w="1800" w:type="dxa"/>
            <w:tcBorders>
              <w:top w:val="single" w:sz="4" w:space="0" w:color="auto"/>
              <w:left w:val="single" w:sz="4" w:space="0" w:color="auto"/>
              <w:bottom w:val="single" w:sz="4" w:space="0" w:color="auto"/>
              <w:right w:val="single" w:sz="4" w:space="0" w:color="auto"/>
            </w:tcBorders>
          </w:tcPr>
          <w:p w14:paraId="4711B327" w14:textId="02CB46E0" w:rsidR="00D82049" w:rsidRPr="00936C32" w:rsidRDefault="00D82049" w:rsidP="001E76E0">
            <w:pPr>
              <w:pStyle w:val="COMTabletext"/>
              <w:rPr>
                <w:szCs w:val="20"/>
              </w:rPr>
            </w:pPr>
            <w:r w:rsidRPr="00936C32">
              <w:rPr>
                <w:szCs w:val="20"/>
              </w:rPr>
              <w:t>$</w:t>
            </w:r>
            <w:r w:rsidR="00923B9F" w:rsidRPr="00923B9F">
              <w:rPr>
                <w:color w:val="000000"/>
                <w:spacing w:val="49"/>
                <w:szCs w:val="20"/>
                <w:shd w:val="solid" w:color="000000" w:fill="000000"/>
                <w:fitText w:val="318" w:id="-1136813049"/>
                <w14:textFill>
                  <w14:solidFill>
                    <w14:srgbClr w14:val="000000">
                      <w14:alpha w14:val="100000"/>
                    </w14:srgbClr>
                  </w14:solidFill>
                </w14:textFill>
              </w:rPr>
              <w:t>|||</w:t>
            </w:r>
            <w:r w:rsidR="00923B9F" w:rsidRPr="00923B9F">
              <w:rPr>
                <w:color w:val="000000"/>
                <w:spacing w:val="1"/>
                <w:szCs w:val="20"/>
                <w:shd w:val="solid" w:color="000000" w:fill="000000"/>
                <w:fitText w:val="318" w:id="-1136813049"/>
                <w14:textFill>
                  <w14:solidFill>
                    <w14:srgbClr w14:val="000000">
                      <w14:alpha w14:val="100000"/>
                    </w14:srgbClr>
                  </w14:solidFill>
                </w14:textFill>
              </w:rPr>
              <w:t>|</w:t>
            </w:r>
          </w:p>
        </w:tc>
        <w:tc>
          <w:tcPr>
            <w:tcW w:w="1680" w:type="dxa"/>
            <w:tcBorders>
              <w:top w:val="single" w:sz="4" w:space="0" w:color="auto"/>
              <w:left w:val="single" w:sz="4" w:space="0" w:color="auto"/>
              <w:bottom w:val="single" w:sz="4" w:space="0" w:color="auto"/>
              <w:right w:val="single" w:sz="4" w:space="0" w:color="auto"/>
            </w:tcBorders>
          </w:tcPr>
          <w:p w14:paraId="0D12A8FA" w14:textId="77777777" w:rsidR="00D82049" w:rsidRPr="00936C32" w:rsidRDefault="00D82049" w:rsidP="001E76E0">
            <w:pPr>
              <w:pStyle w:val="COMTabletext"/>
              <w:rPr>
                <w:szCs w:val="20"/>
              </w:rPr>
            </w:pPr>
            <w:r w:rsidRPr="00936C32">
              <w:rPr>
                <w:szCs w:val="20"/>
              </w:rPr>
              <w:t>6.64</w:t>
            </w:r>
          </w:p>
        </w:tc>
        <w:tc>
          <w:tcPr>
            <w:tcW w:w="1392" w:type="dxa"/>
            <w:tcBorders>
              <w:top w:val="single" w:sz="4" w:space="0" w:color="auto"/>
              <w:left w:val="single" w:sz="4" w:space="0" w:color="auto"/>
              <w:bottom w:val="single" w:sz="4" w:space="0" w:color="auto"/>
              <w:right w:val="single" w:sz="4" w:space="0" w:color="auto"/>
            </w:tcBorders>
          </w:tcPr>
          <w:p w14:paraId="1FE92F14" w14:textId="7AB71757" w:rsidR="00D82049" w:rsidRPr="003F4735" w:rsidRDefault="00923B9F" w:rsidP="001E76E0">
            <w:pPr>
              <w:pStyle w:val="COMTabletext"/>
              <w:rPr>
                <w:szCs w:val="20"/>
                <w:highlight w:val="darkGray"/>
              </w:rPr>
            </w:pPr>
            <w:r w:rsidRPr="00923B9F">
              <w:rPr>
                <w:color w:val="000000"/>
                <w:spacing w:val="49"/>
                <w:szCs w:val="20"/>
                <w:shd w:val="solid" w:color="000000" w:fill="000000"/>
                <w:fitText w:val="318" w:id="-1136813048"/>
                <w14:textFill>
                  <w14:solidFill>
                    <w14:srgbClr w14:val="000000">
                      <w14:alpha w14:val="100000"/>
                    </w14:srgbClr>
                  </w14:solidFill>
                </w14:textFill>
              </w:rPr>
              <w:t>|||</w:t>
            </w:r>
            <w:r w:rsidRPr="00923B9F">
              <w:rPr>
                <w:color w:val="000000"/>
                <w:spacing w:val="1"/>
                <w:szCs w:val="20"/>
                <w:shd w:val="solid" w:color="000000" w:fill="000000"/>
                <w:fitText w:val="318" w:id="-1136813048"/>
                <w14:textFill>
                  <w14:solidFill>
                    <w14:srgbClr w14:val="000000">
                      <w14:alpha w14:val="100000"/>
                    </w14:srgbClr>
                  </w14:solidFill>
                </w14:textFill>
              </w:rPr>
              <w:t>|</w:t>
            </w:r>
            <w:r w:rsidR="00BE5ABA">
              <w:rPr>
                <w:szCs w:val="20"/>
                <w:vertAlign w:val="superscript"/>
              </w:rPr>
              <w:t>2</w:t>
            </w:r>
          </w:p>
        </w:tc>
      </w:tr>
    </w:tbl>
    <w:p w14:paraId="795EE13C" w14:textId="77777777" w:rsidR="00683D4D" w:rsidRPr="009A6D58" w:rsidRDefault="00683D4D" w:rsidP="00683D4D">
      <w:pPr>
        <w:rPr>
          <w:rFonts w:ascii="Arial Narrow" w:hAnsi="Arial Narrow"/>
          <w:i/>
          <w:sz w:val="18"/>
          <w:szCs w:val="18"/>
        </w:rPr>
      </w:pPr>
      <w:bookmarkStart w:id="106" w:name="_Hlk149740059"/>
      <w:r w:rsidRPr="009A6D58">
        <w:rPr>
          <w:rFonts w:ascii="Arial Narrow" w:hAnsi="Arial Narrow"/>
          <w:i/>
          <w:sz w:val="18"/>
          <w:szCs w:val="18"/>
        </w:rPr>
        <w:t xml:space="preserve">The redacted values correspond to the following ranges: </w:t>
      </w:r>
    </w:p>
    <w:p w14:paraId="47F3B30E" w14:textId="431486BC" w:rsidR="00683D4D" w:rsidRPr="009A6D58" w:rsidRDefault="00683D4D" w:rsidP="00683D4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83D4D">
        <w:rPr>
          <w:rFonts w:ascii="Arial Narrow" w:hAnsi="Arial Narrow"/>
          <w:i/>
          <w:sz w:val="18"/>
          <w:szCs w:val="18"/>
        </w:rPr>
        <w:t>$255,000 to &lt; $355,000</w:t>
      </w:r>
    </w:p>
    <w:p w14:paraId="0AEF5D40" w14:textId="269DDBB4" w:rsidR="00D82049" w:rsidRDefault="00683D4D" w:rsidP="00D8204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83D4D">
        <w:rPr>
          <w:rFonts w:ascii="Arial Narrow" w:hAnsi="Arial Narrow"/>
          <w:i/>
          <w:sz w:val="18"/>
          <w:szCs w:val="18"/>
        </w:rPr>
        <w:t>$155,000 to &lt; $255,000</w:t>
      </w:r>
      <w:bookmarkEnd w:id="106"/>
    </w:p>
    <w:p w14:paraId="6724B052" w14:textId="77777777" w:rsidR="00683D4D" w:rsidRPr="003F4735" w:rsidRDefault="00683D4D" w:rsidP="00D82049">
      <w:pPr>
        <w:rPr>
          <w:rFonts w:ascii="Arial Narrow" w:hAnsi="Arial Narrow"/>
          <w:i/>
          <w:sz w:val="18"/>
          <w:szCs w:val="18"/>
        </w:rPr>
      </w:pPr>
    </w:p>
    <w:p w14:paraId="1BD91E5E" w14:textId="77777777" w:rsidR="00D82049" w:rsidRPr="00936C32" w:rsidRDefault="00D82049" w:rsidP="00D82049">
      <w:pPr>
        <w:pStyle w:val="COMexecsumnumberedpara"/>
        <w:rPr>
          <w:shd w:val="clear" w:color="auto" w:fill="FFFFFF"/>
        </w:rPr>
      </w:pPr>
      <w:bookmarkStart w:id="107" w:name="_Ref146559774"/>
      <w:r w:rsidRPr="00936C32">
        <w:rPr>
          <w:iCs/>
        </w:rPr>
        <w:t xml:space="preserve">The average number of vials required per patient per administration was calculated to </w:t>
      </w:r>
      <w:r w:rsidRPr="00B80329">
        <w:rPr>
          <w:iCs/>
        </w:rPr>
        <w:t xml:space="preserve">be 2.38, based on the reported weight distribution for the non-V30M population in the APOLLO trial (34-66 kg: 62.0%; 67-99 kg: 34.1%; 100-132 kg: 3.9%), 62% of patients would require </w:t>
      </w:r>
      <w:proofErr w:type="gramStart"/>
      <w:r w:rsidRPr="00B80329">
        <w:rPr>
          <w:iCs/>
        </w:rPr>
        <w:t>2</w:t>
      </w:r>
      <w:proofErr w:type="gramEnd"/>
      <w:r w:rsidRPr="00B80329">
        <w:rPr>
          <w:iCs/>
        </w:rPr>
        <w:t xml:space="preserve"> vials, and 38%</w:t>
      </w:r>
      <w:r w:rsidRPr="00936C32">
        <w:rPr>
          <w:iCs/>
        </w:rPr>
        <w:t xml:space="preserve"> of patients would require 3 vials. Wastage </w:t>
      </w:r>
      <w:proofErr w:type="gramStart"/>
      <w:r w:rsidRPr="00936C32">
        <w:rPr>
          <w:iCs/>
        </w:rPr>
        <w:t>was accounted</w:t>
      </w:r>
      <w:proofErr w:type="gramEnd"/>
      <w:r w:rsidRPr="00936C32">
        <w:rPr>
          <w:iCs/>
        </w:rPr>
        <w:t xml:space="preserve"> for in the economic model, </w:t>
      </w:r>
      <w:r w:rsidRPr="00936C32">
        <w:rPr>
          <w:shd w:val="clear" w:color="auto" w:fill="FFFFFF"/>
        </w:rPr>
        <w:t>however, there may be differences in body weight distribution between the modelled population and the proposed PBS population that may affect the number of vials required.</w:t>
      </w:r>
      <w:bookmarkEnd w:id="107"/>
    </w:p>
    <w:p w14:paraId="736EC5E0" w14:textId="77777777" w:rsidR="00D82049" w:rsidRPr="00936C32" w:rsidRDefault="00D82049" w:rsidP="00D82049">
      <w:pPr>
        <w:pStyle w:val="3-SubsectionHeading"/>
      </w:pPr>
      <w:r w:rsidRPr="00936C32">
        <w:t>Estimated PBS usage and financial implications</w:t>
      </w:r>
    </w:p>
    <w:p w14:paraId="7BAA1862" w14:textId="4C441A60" w:rsidR="00D82049" w:rsidRPr="00936C32" w:rsidRDefault="00D82049" w:rsidP="00D82049">
      <w:pPr>
        <w:pStyle w:val="3-BodyText"/>
        <w:numPr>
          <w:ilvl w:val="1"/>
          <w:numId w:val="1"/>
        </w:numPr>
        <w:rPr>
          <w:bCs/>
        </w:rPr>
      </w:pPr>
      <w:r w:rsidRPr="00936C32">
        <w:rPr>
          <w:bCs/>
        </w:rPr>
        <w:t xml:space="preserve">The resubmission provided revised financial estimates as presented in </w:t>
      </w:r>
      <w:r w:rsidRPr="00936C32">
        <w:rPr>
          <w:bCs/>
        </w:rPr>
        <w:fldChar w:fldCharType="begin" w:fldLock="1"/>
      </w:r>
      <w:r w:rsidRPr="00936C32">
        <w:rPr>
          <w:bCs/>
        </w:rPr>
        <w:instrText xml:space="preserve"> REF _Ref146058406 \h </w:instrText>
      </w:r>
      <w:r w:rsidRPr="00936C32">
        <w:rPr>
          <w:bCs/>
        </w:rPr>
      </w:r>
      <w:r w:rsidRPr="00936C32">
        <w:rPr>
          <w:bCs/>
        </w:rPr>
        <w:fldChar w:fldCharType="separate"/>
      </w:r>
      <w:r w:rsidRPr="00936C32">
        <w:t>Table 20</w:t>
      </w:r>
      <w:r w:rsidRPr="00936C32">
        <w:rPr>
          <w:bCs/>
        </w:rPr>
        <w:fldChar w:fldCharType="end"/>
      </w:r>
      <w:r w:rsidRPr="00936C32">
        <w:rPr>
          <w:bCs/>
        </w:rPr>
        <w:t xml:space="preserve">. The resubmission estimated up to </w:t>
      </w:r>
      <w:r w:rsidR="00BE5ABA" w:rsidRPr="00BE5ABA">
        <w:rPr>
          <w:bCs/>
        </w:rPr>
        <w:t>&lt;</w:t>
      </w:r>
      <w:r w:rsidR="00BE5ABA">
        <w:rPr>
          <w:bCs/>
        </w:rPr>
        <w:t> </w:t>
      </w:r>
      <w:r w:rsidR="00BE5ABA" w:rsidRPr="00BE5ABA">
        <w:rPr>
          <w:bCs/>
        </w:rPr>
        <w:t>500</w:t>
      </w:r>
      <w:r w:rsidR="000101C1">
        <w:rPr>
          <w:bCs/>
        </w:rPr>
        <w:t xml:space="preserve"> </w:t>
      </w:r>
      <w:r w:rsidRPr="00936C32">
        <w:rPr>
          <w:bCs/>
        </w:rPr>
        <w:t xml:space="preserve">eligible patients, which was similar to the pre-PBAC response (up to </w:t>
      </w:r>
      <w:r w:rsidR="00BE5ABA" w:rsidRPr="00BE5ABA">
        <w:rPr>
          <w:bCs/>
        </w:rPr>
        <w:t>&lt;</w:t>
      </w:r>
      <w:r w:rsidR="00BE5ABA">
        <w:rPr>
          <w:bCs/>
        </w:rPr>
        <w:t> </w:t>
      </w:r>
      <w:r w:rsidR="00BE5ABA" w:rsidRPr="00BE5ABA">
        <w:rPr>
          <w:bCs/>
        </w:rPr>
        <w:t>500</w:t>
      </w:r>
      <w:r w:rsidR="000101C1">
        <w:rPr>
          <w:bCs/>
        </w:rPr>
        <w:t xml:space="preserve"> </w:t>
      </w:r>
      <w:r w:rsidRPr="00936C32">
        <w:rPr>
          <w:bCs/>
        </w:rPr>
        <w:t xml:space="preserve">patients, see paragraph </w:t>
      </w:r>
      <w:r w:rsidRPr="00936C32">
        <w:rPr>
          <w:bCs/>
        </w:rPr>
        <w:fldChar w:fldCharType="begin" w:fldLock="1"/>
      </w:r>
      <w:r w:rsidRPr="00936C32">
        <w:rPr>
          <w:bCs/>
        </w:rPr>
        <w:instrText xml:space="preserve"> REF _Ref146058469 \r \h </w:instrText>
      </w:r>
      <w:r w:rsidRPr="00936C32">
        <w:rPr>
          <w:bCs/>
        </w:rPr>
      </w:r>
      <w:r w:rsidRPr="00936C32">
        <w:rPr>
          <w:bCs/>
        </w:rPr>
        <w:fldChar w:fldCharType="separate"/>
      </w:r>
      <w:r w:rsidRPr="00936C32">
        <w:rPr>
          <w:bCs/>
        </w:rPr>
        <w:t>6.</w:t>
      </w:r>
      <w:r w:rsidR="00A31FC8">
        <w:rPr>
          <w:bCs/>
        </w:rPr>
        <w:t>88</w:t>
      </w:r>
      <w:r w:rsidRPr="00936C32">
        <w:rPr>
          <w:bCs/>
        </w:rPr>
        <w:fldChar w:fldCharType="end"/>
      </w:r>
      <w:r w:rsidRPr="00936C32">
        <w:rPr>
          <w:bCs/>
        </w:rPr>
        <w:t>). The resubmission stated the difference was due to updated ABS data, rounding and an adjustment to incident patients in Year 1.</w:t>
      </w:r>
    </w:p>
    <w:p w14:paraId="47766B1A" w14:textId="63F88E98" w:rsidR="00D82049" w:rsidRPr="00936C32" w:rsidRDefault="00D82049" w:rsidP="00D82049">
      <w:pPr>
        <w:pStyle w:val="COMexecsumnumberedpara"/>
      </w:pPr>
      <w:r w:rsidRPr="00936C32">
        <w:rPr>
          <w:rFonts w:eastAsiaTheme="minorHAnsi"/>
          <w:bCs/>
          <w:snapToGrid/>
          <w:lang w:eastAsia="en-US"/>
        </w:rPr>
        <w:t xml:space="preserve">The resubmission estimated up to </w:t>
      </w:r>
      <w:r w:rsidR="00BE5ABA" w:rsidRPr="00BE5ABA">
        <w:rPr>
          <w:rFonts w:eastAsiaTheme="minorHAnsi"/>
          <w:bCs/>
          <w:snapToGrid/>
          <w:lang w:eastAsia="en-US"/>
        </w:rPr>
        <w:t>&lt;</w:t>
      </w:r>
      <w:r w:rsidR="00BE5ABA">
        <w:rPr>
          <w:rFonts w:eastAsiaTheme="minorHAnsi"/>
          <w:bCs/>
          <w:snapToGrid/>
          <w:lang w:eastAsia="en-US"/>
        </w:rPr>
        <w:t> </w:t>
      </w:r>
      <w:r w:rsidR="00BE5ABA" w:rsidRPr="00BE5ABA">
        <w:rPr>
          <w:rFonts w:eastAsiaTheme="minorHAnsi"/>
          <w:bCs/>
          <w:snapToGrid/>
          <w:lang w:eastAsia="en-US"/>
        </w:rPr>
        <w:t>500</w:t>
      </w:r>
      <w:r w:rsidR="000101C1">
        <w:rPr>
          <w:rFonts w:eastAsiaTheme="minorHAnsi"/>
          <w:bCs/>
          <w:snapToGrid/>
          <w:lang w:eastAsia="en-US"/>
        </w:rPr>
        <w:t xml:space="preserve"> </w:t>
      </w:r>
      <w:r w:rsidRPr="00936C32">
        <w:rPr>
          <w:rFonts w:eastAsiaTheme="minorHAnsi"/>
          <w:bCs/>
          <w:snapToGrid/>
          <w:lang w:eastAsia="en-US"/>
        </w:rPr>
        <w:t xml:space="preserve">patients treated (in year 6), and between </w:t>
      </w:r>
      <w:r w:rsidR="00AE5881" w:rsidRPr="00AE5881">
        <w:rPr>
          <w:rFonts w:eastAsiaTheme="minorHAnsi"/>
          <w:bCs/>
          <w:snapToGrid/>
          <w:lang w:eastAsia="en-US"/>
        </w:rPr>
        <w:t>500</w:t>
      </w:r>
      <w:r w:rsidR="00AE5881">
        <w:rPr>
          <w:rFonts w:eastAsiaTheme="minorHAnsi"/>
          <w:bCs/>
          <w:snapToGrid/>
          <w:lang w:eastAsia="en-US"/>
        </w:rPr>
        <w:t> </w:t>
      </w:r>
      <w:r w:rsidR="00AE5881" w:rsidRPr="00AE5881">
        <w:rPr>
          <w:rFonts w:eastAsiaTheme="minorHAnsi"/>
          <w:bCs/>
          <w:snapToGrid/>
          <w:lang w:eastAsia="en-US"/>
        </w:rPr>
        <w:t>to</w:t>
      </w:r>
      <w:r w:rsidR="00AE5881">
        <w:rPr>
          <w:rFonts w:eastAsiaTheme="minorHAnsi"/>
          <w:bCs/>
          <w:snapToGrid/>
          <w:lang w:eastAsia="en-US"/>
        </w:rPr>
        <w:t> </w:t>
      </w:r>
      <w:r w:rsidR="00AE5881" w:rsidRPr="00AE5881">
        <w:rPr>
          <w:rFonts w:eastAsiaTheme="minorHAnsi"/>
          <w:bCs/>
          <w:snapToGrid/>
          <w:lang w:eastAsia="en-US"/>
        </w:rPr>
        <w:t>&lt;</w:t>
      </w:r>
      <w:r w:rsidR="00AE5881">
        <w:rPr>
          <w:rFonts w:eastAsiaTheme="minorHAnsi"/>
          <w:bCs/>
          <w:snapToGrid/>
          <w:lang w:eastAsia="en-US"/>
        </w:rPr>
        <w:t> </w:t>
      </w:r>
      <w:r w:rsidR="00AE5881" w:rsidRPr="00AE5881">
        <w:rPr>
          <w:rFonts w:eastAsiaTheme="minorHAnsi"/>
          <w:bCs/>
          <w:snapToGrid/>
          <w:lang w:eastAsia="en-US"/>
        </w:rPr>
        <w:t>5,000</w:t>
      </w:r>
      <w:r w:rsidR="00850154">
        <w:rPr>
          <w:rFonts w:eastAsiaTheme="minorHAnsi"/>
          <w:bCs/>
          <w:snapToGrid/>
          <w:lang w:eastAsia="en-US"/>
        </w:rPr>
        <w:t xml:space="preserve"> </w:t>
      </w:r>
      <w:r w:rsidRPr="00936C32">
        <w:rPr>
          <w:rFonts w:eastAsiaTheme="minorHAnsi"/>
          <w:bCs/>
          <w:snapToGrid/>
          <w:lang w:eastAsia="en-US"/>
        </w:rPr>
        <w:t xml:space="preserve">and </w:t>
      </w:r>
      <w:r w:rsidR="00AE5881" w:rsidRPr="00AE5881">
        <w:rPr>
          <w:rFonts w:eastAsiaTheme="minorHAnsi"/>
          <w:bCs/>
          <w:snapToGrid/>
          <w:lang w:eastAsia="en-US"/>
        </w:rPr>
        <w:t>500</w:t>
      </w:r>
      <w:r w:rsidR="00AE5881">
        <w:rPr>
          <w:rFonts w:eastAsiaTheme="minorHAnsi"/>
          <w:bCs/>
          <w:snapToGrid/>
          <w:lang w:eastAsia="en-US"/>
        </w:rPr>
        <w:t> </w:t>
      </w:r>
      <w:r w:rsidR="00AE5881" w:rsidRPr="00AE5881">
        <w:rPr>
          <w:rFonts w:eastAsiaTheme="minorHAnsi"/>
          <w:bCs/>
          <w:snapToGrid/>
          <w:lang w:eastAsia="en-US"/>
        </w:rPr>
        <w:t>to</w:t>
      </w:r>
      <w:r w:rsidR="00AE5881">
        <w:rPr>
          <w:rFonts w:eastAsiaTheme="minorHAnsi"/>
          <w:bCs/>
          <w:snapToGrid/>
          <w:lang w:eastAsia="en-US"/>
        </w:rPr>
        <w:t> </w:t>
      </w:r>
      <w:r w:rsidR="00AE5881" w:rsidRPr="00AE5881">
        <w:rPr>
          <w:rFonts w:eastAsiaTheme="minorHAnsi"/>
          <w:bCs/>
          <w:snapToGrid/>
          <w:lang w:eastAsia="en-US"/>
        </w:rPr>
        <w:t>&lt;</w:t>
      </w:r>
      <w:r w:rsidR="00AE5881">
        <w:rPr>
          <w:rFonts w:eastAsiaTheme="minorHAnsi"/>
          <w:bCs/>
          <w:snapToGrid/>
          <w:lang w:eastAsia="en-US"/>
        </w:rPr>
        <w:t> </w:t>
      </w:r>
      <w:r w:rsidR="00AE5881" w:rsidRPr="00AE5881">
        <w:rPr>
          <w:rFonts w:eastAsiaTheme="minorHAnsi"/>
          <w:bCs/>
          <w:snapToGrid/>
          <w:lang w:eastAsia="en-US"/>
        </w:rPr>
        <w:t>5,000</w:t>
      </w:r>
      <w:r w:rsidR="003F7CE3">
        <w:rPr>
          <w:rFonts w:eastAsiaTheme="minorHAnsi"/>
          <w:bCs/>
          <w:snapToGrid/>
          <w:lang w:eastAsia="en-US"/>
        </w:rPr>
        <w:t xml:space="preserve"> </w:t>
      </w:r>
      <w:r w:rsidRPr="00936C32">
        <w:rPr>
          <w:rFonts w:eastAsiaTheme="minorHAnsi"/>
          <w:bCs/>
          <w:snapToGrid/>
          <w:lang w:eastAsia="en-US"/>
        </w:rPr>
        <w:t xml:space="preserve">vials per year. </w:t>
      </w:r>
      <w:r w:rsidRPr="00936C32">
        <w:rPr>
          <w:snapToGrid/>
        </w:rPr>
        <w:t xml:space="preserve">The resubmission estimated a net cost to the PBS/RPBS of </w:t>
      </w:r>
      <w:r w:rsidR="00BE5ABA" w:rsidRPr="00BE5ABA">
        <w:rPr>
          <w:snapToGrid/>
        </w:rPr>
        <w:t>$100</w:t>
      </w:r>
      <w:r w:rsidR="00BE5ABA">
        <w:rPr>
          <w:snapToGrid/>
        </w:rPr>
        <w:t> </w:t>
      </w:r>
      <w:r w:rsidR="00BE5ABA" w:rsidRPr="00BE5ABA">
        <w:rPr>
          <w:snapToGrid/>
        </w:rPr>
        <w:t>million</w:t>
      </w:r>
      <w:r w:rsidR="00BE5ABA">
        <w:rPr>
          <w:snapToGrid/>
        </w:rPr>
        <w:t> </w:t>
      </w:r>
      <w:r w:rsidR="00BE5ABA" w:rsidRPr="00BE5ABA">
        <w:rPr>
          <w:snapToGrid/>
        </w:rPr>
        <w:t>to</w:t>
      </w:r>
      <w:r w:rsidR="00BE5ABA">
        <w:rPr>
          <w:snapToGrid/>
        </w:rPr>
        <w:t> </w:t>
      </w:r>
      <w:r w:rsidR="00BE5ABA" w:rsidRPr="00BE5ABA">
        <w:rPr>
          <w:snapToGrid/>
        </w:rPr>
        <w:t>&lt;</w:t>
      </w:r>
      <w:r w:rsidR="00BE5ABA">
        <w:rPr>
          <w:snapToGrid/>
        </w:rPr>
        <w:t> </w:t>
      </w:r>
      <w:r w:rsidR="00BE5ABA" w:rsidRPr="00BE5ABA">
        <w:rPr>
          <w:snapToGrid/>
        </w:rPr>
        <w:t>$200 million</w:t>
      </w:r>
      <w:r w:rsidR="00BE5ABA">
        <w:rPr>
          <w:snapToGrid/>
        </w:rPr>
        <w:t xml:space="preserve"> </w:t>
      </w:r>
      <w:r w:rsidRPr="00936C32">
        <w:rPr>
          <w:snapToGrid/>
        </w:rPr>
        <w:t>over the first six years of listing.</w:t>
      </w:r>
    </w:p>
    <w:p w14:paraId="24F795E5" w14:textId="77777777" w:rsidR="00D82049" w:rsidRPr="00936C32" w:rsidRDefault="00D82049" w:rsidP="00D82049"/>
    <w:p w14:paraId="493E36AD" w14:textId="77777777" w:rsidR="00D82049" w:rsidRPr="00936C32" w:rsidRDefault="00D82049" w:rsidP="00D82049">
      <w:pPr>
        <w:pStyle w:val="COMtablefigcaption"/>
        <w:rPr>
          <w:b w:val="0"/>
        </w:rPr>
      </w:pPr>
      <w:bookmarkStart w:id="108" w:name="_Ref146058406"/>
      <w:r w:rsidRPr="00936C32">
        <w:lastRenderedPageBreak/>
        <w:t xml:space="preserve">Table </w:t>
      </w:r>
      <w:fldSimple w:instr=" SEQ Table \* ARABIC " w:fldLock="1">
        <w:r w:rsidRPr="00936C32">
          <w:t>20</w:t>
        </w:r>
      </w:fldSimple>
      <w:bookmarkEnd w:id="108"/>
      <w:r w:rsidRPr="00936C32">
        <w:t>: Estimated utilisation and net cost of listing patisiran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3"/>
        <w:gridCol w:w="1168"/>
        <w:gridCol w:w="1169"/>
        <w:gridCol w:w="1169"/>
        <w:gridCol w:w="1169"/>
        <w:gridCol w:w="1169"/>
        <w:gridCol w:w="1170"/>
      </w:tblGrid>
      <w:tr w:rsidR="00D82049" w:rsidRPr="00936C32" w14:paraId="5C5C5871" w14:textId="77777777" w:rsidTr="001E76E0">
        <w:trPr>
          <w:tblHeader/>
        </w:trPr>
        <w:tc>
          <w:tcPr>
            <w:tcW w:w="1111" w:type="pct"/>
            <w:shd w:val="clear" w:color="auto" w:fill="auto"/>
            <w:vAlign w:val="center"/>
          </w:tcPr>
          <w:p w14:paraId="72C4656F" w14:textId="77777777" w:rsidR="00D82049" w:rsidRPr="00936C32" w:rsidRDefault="00D82049" w:rsidP="001E76E0">
            <w:pPr>
              <w:pStyle w:val="COMTableheadingrow"/>
              <w:rPr>
                <w:szCs w:val="20"/>
                <w:lang w:val="en-AU"/>
              </w:rPr>
            </w:pPr>
          </w:p>
        </w:tc>
        <w:tc>
          <w:tcPr>
            <w:tcW w:w="648" w:type="pct"/>
            <w:shd w:val="clear" w:color="auto" w:fill="auto"/>
            <w:vAlign w:val="center"/>
          </w:tcPr>
          <w:p w14:paraId="73744450" w14:textId="77777777" w:rsidR="00D82049" w:rsidRPr="00936C32" w:rsidRDefault="00D82049" w:rsidP="001E76E0">
            <w:pPr>
              <w:pStyle w:val="COMTableheadingrow"/>
              <w:jc w:val="center"/>
              <w:rPr>
                <w:szCs w:val="20"/>
                <w:lang w:val="en-AU"/>
              </w:rPr>
            </w:pPr>
            <w:r w:rsidRPr="00936C32">
              <w:rPr>
                <w:szCs w:val="20"/>
                <w:lang w:val="en-AU"/>
              </w:rPr>
              <w:t>Year 1</w:t>
            </w:r>
          </w:p>
        </w:tc>
        <w:tc>
          <w:tcPr>
            <w:tcW w:w="648" w:type="pct"/>
            <w:shd w:val="clear" w:color="auto" w:fill="auto"/>
            <w:vAlign w:val="center"/>
          </w:tcPr>
          <w:p w14:paraId="4E6DADF8" w14:textId="77777777" w:rsidR="00D82049" w:rsidRPr="00936C32" w:rsidRDefault="00D82049" w:rsidP="001E76E0">
            <w:pPr>
              <w:pStyle w:val="COMTableheadingrow"/>
              <w:jc w:val="center"/>
              <w:rPr>
                <w:szCs w:val="20"/>
                <w:lang w:val="en-AU"/>
              </w:rPr>
            </w:pPr>
            <w:r w:rsidRPr="00936C32">
              <w:rPr>
                <w:szCs w:val="20"/>
                <w:lang w:val="en-AU"/>
              </w:rPr>
              <w:t>Year 2</w:t>
            </w:r>
          </w:p>
        </w:tc>
        <w:tc>
          <w:tcPr>
            <w:tcW w:w="648" w:type="pct"/>
            <w:shd w:val="clear" w:color="auto" w:fill="auto"/>
            <w:vAlign w:val="center"/>
          </w:tcPr>
          <w:p w14:paraId="60B7D523" w14:textId="77777777" w:rsidR="00D82049" w:rsidRPr="00936C32" w:rsidRDefault="00D82049" w:rsidP="001E76E0">
            <w:pPr>
              <w:pStyle w:val="COMTableheadingrow"/>
              <w:jc w:val="center"/>
              <w:rPr>
                <w:szCs w:val="20"/>
                <w:lang w:val="en-AU"/>
              </w:rPr>
            </w:pPr>
            <w:r w:rsidRPr="00936C32">
              <w:rPr>
                <w:szCs w:val="20"/>
                <w:lang w:val="en-AU"/>
              </w:rPr>
              <w:t>Year 3</w:t>
            </w:r>
          </w:p>
        </w:tc>
        <w:tc>
          <w:tcPr>
            <w:tcW w:w="648" w:type="pct"/>
            <w:shd w:val="clear" w:color="auto" w:fill="auto"/>
            <w:vAlign w:val="center"/>
          </w:tcPr>
          <w:p w14:paraId="07789BF3" w14:textId="77777777" w:rsidR="00D82049" w:rsidRPr="00936C32" w:rsidRDefault="00D82049" w:rsidP="001E76E0">
            <w:pPr>
              <w:pStyle w:val="COMTableheadingrow"/>
              <w:jc w:val="center"/>
              <w:rPr>
                <w:szCs w:val="20"/>
                <w:lang w:val="en-AU"/>
              </w:rPr>
            </w:pPr>
            <w:r w:rsidRPr="00936C32">
              <w:rPr>
                <w:szCs w:val="20"/>
                <w:lang w:val="en-AU"/>
              </w:rPr>
              <w:t>Year 4</w:t>
            </w:r>
          </w:p>
        </w:tc>
        <w:tc>
          <w:tcPr>
            <w:tcW w:w="648" w:type="pct"/>
            <w:shd w:val="clear" w:color="auto" w:fill="auto"/>
            <w:vAlign w:val="center"/>
          </w:tcPr>
          <w:p w14:paraId="390372E6" w14:textId="77777777" w:rsidR="00D82049" w:rsidRPr="00936C32" w:rsidRDefault="00D82049" w:rsidP="001E76E0">
            <w:pPr>
              <w:pStyle w:val="COMTableheadingrow"/>
              <w:jc w:val="center"/>
              <w:rPr>
                <w:szCs w:val="20"/>
                <w:lang w:val="en-AU"/>
              </w:rPr>
            </w:pPr>
            <w:r w:rsidRPr="00936C32">
              <w:rPr>
                <w:szCs w:val="20"/>
                <w:lang w:val="en-AU"/>
              </w:rPr>
              <w:t>Year 5</w:t>
            </w:r>
          </w:p>
        </w:tc>
        <w:tc>
          <w:tcPr>
            <w:tcW w:w="649" w:type="pct"/>
            <w:shd w:val="clear" w:color="auto" w:fill="auto"/>
            <w:vAlign w:val="center"/>
          </w:tcPr>
          <w:p w14:paraId="545BAF2E" w14:textId="77777777" w:rsidR="00D82049" w:rsidRPr="00936C32" w:rsidRDefault="00D82049" w:rsidP="001E76E0">
            <w:pPr>
              <w:pStyle w:val="COMTableheadingrow"/>
              <w:jc w:val="center"/>
              <w:rPr>
                <w:szCs w:val="20"/>
                <w:lang w:val="en-AU"/>
              </w:rPr>
            </w:pPr>
            <w:r w:rsidRPr="00936C32">
              <w:rPr>
                <w:szCs w:val="20"/>
                <w:lang w:val="en-AU"/>
              </w:rPr>
              <w:t>Year 6</w:t>
            </w:r>
          </w:p>
        </w:tc>
      </w:tr>
      <w:tr w:rsidR="00D82049" w:rsidRPr="00936C32" w14:paraId="3D06BB86" w14:textId="77777777" w:rsidTr="001E76E0">
        <w:trPr>
          <w:tblHeader/>
        </w:trPr>
        <w:tc>
          <w:tcPr>
            <w:tcW w:w="5000" w:type="pct"/>
            <w:gridSpan w:val="7"/>
            <w:shd w:val="clear" w:color="auto" w:fill="F2F2F2" w:themeFill="background1" w:themeFillShade="F2"/>
            <w:vAlign w:val="center"/>
          </w:tcPr>
          <w:p w14:paraId="5DB9D3FF" w14:textId="77777777" w:rsidR="00D82049" w:rsidRPr="00936C32" w:rsidRDefault="00D82049" w:rsidP="001E76E0">
            <w:pPr>
              <w:pStyle w:val="COMTableheadingrow"/>
              <w:rPr>
                <w:szCs w:val="20"/>
                <w:lang w:val="en-AU"/>
              </w:rPr>
            </w:pPr>
            <w:r w:rsidRPr="00936C32">
              <w:rPr>
                <w:bCs/>
                <w:szCs w:val="20"/>
                <w:lang w:val="en-AU"/>
              </w:rPr>
              <w:t>July 2023 Submission</w:t>
            </w:r>
          </w:p>
        </w:tc>
      </w:tr>
      <w:tr w:rsidR="00D82049" w:rsidRPr="00936C32" w14:paraId="2D15913C" w14:textId="77777777" w:rsidTr="001E76E0">
        <w:tc>
          <w:tcPr>
            <w:tcW w:w="1111" w:type="pct"/>
            <w:shd w:val="clear" w:color="auto" w:fill="auto"/>
            <w:vAlign w:val="center"/>
          </w:tcPr>
          <w:p w14:paraId="4654CE02" w14:textId="77777777" w:rsidR="00D82049" w:rsidRPr="00936C32" w:rsidRDefault="00D82049" w:rsidP="001E76E0">
            <w:pPr>
              <w:pStyle w:val="COMTabletext"/>
              <w:rPr>
                <w:szCs w:val="20"/>
              </w:rPr>
            </w:pPr>
            <w:r w:rsidRPr="00936C32">
              <w:rPr>
                <w:szCs w:val="20"/>
              </w:rPr>
              <w:t>Total eligible patients</w:t>
            </w:r>
          </w:p>
        </w:tc>
        <w:tc>
          <w:tcPr>
            <w:tcW w:w="648" w:type="pct"/>
            <w:shd w:val="clear" w:color="auto" w:fill="auto"/>
            <w:vAlign w:val="center"/>
          </w:tcPr>
          <w:p w14:paraId="3E7003C2" w14:textId="2DA4838B"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hd w:val="solid" w:color="000000" w:fill="000000"/>
                <w:fitText w:val="37" w:id="-1136813047"/>
                <w14:textFill>
                  <w14:solidFill>
                    <w14:srgbClr w14:val="000000">
                      <w14:alpha w14:val="100000"/>
                    </w14:srgbClr>
                  </w14:solidFill>
                </w14:textFill>
              </w:rPr>
              <w:t xml:space="preserve">　</w:t>
            </w:r>
            <w:r w:rsidRPr="00923B9F">
              <w:rPr>
                <w:color w:val="000000"/>
                <w:w w:val="15"/>
                <w:shd w:val="solid" w:color="000000" w:fill="000000"/>
                <w:fitText w:val="37" w:id="-1136813047"/>
                <w14:textFill>
                  <w14:solidFill>
                    <w14:srgbClr w14:val="000000">
                      <w14:alpha w14:val="100000"/>
                    </w14:srgbClr>
                  </w14:solidFill>
                </w14:textFill>
              </w:rPr>
              <w:t>|</w:t>
            </w:r>
            <w:r w:rsidRPr="00923B9F">
              <w:rPr>
                <w:rFonts w:hint="eastAsia"/>
                <w:color w:val="000000"/>
                <w:spacing w:val="-28"/>
                <w:w w:val="15"/>
                <w:shd w:val="solid" w:color="000000" w:fill="000000"/>
                <w:fitText w:val="37" w:id="-1136813047"/>
                <w14:textFill>
                  <w14:solidFill>
                    <w14:srgbClr w14:val="000000">
                      <w14:alpha w14:val="100000"/>
                    </w14:srgbClr>
                  </w14:solidFill>
                </w14:textFill>
              </w:rPr>
              <w:t xml:space="preserve">　</w:t>
            </w:r>
            <w:r w:rsidR="00BE5ABA" w:rsidRPr="003F4735">
              <w:rPr>
                <w:vertAlign w:val="superscript"/>
              </w:rPr>
              <w:t>1</w:t>
            </w:r>
          </w:p>
        </w:tc>
        <w:tc>
          <w:tcPr>
            <w:tcW w:w="648" w:type="pct"/>
            <w:shd w:val="clear" w:color="auto" w:fill="auto"/>
            <w:vAlign w:val="center"/>
          </w:tcPr>
          <w:p w14:paraId="6A4D0BEE" w14:textId="412A0BC2" w:rsidR="00D82049" w:rsidRPr="003F4735" w:rsidRDefault="00923B9F" w:rsidP="001E76E0">
            <w:pPr>
              <w:pStyle w:val="COMTabletext"/>
              <w:jc w:val="center"/>
              <w:rPr>
                <w:rFonts w:cs="Arial"/>
                <w:color w:val="000000"/>
                <w:szCs w:val="20"/>
                <w:highlight w:val="lightGray"/>
              </w:rPr>
            </w:pPr>
            <w:r w:rsidRPr="00923B9F">
              <w:rPr>
                <w:rFonts w:cs="Arial" w:hint="eastAsia"/>
                <w:color w:val="000000"/>
                <w:w w:val="15"/>
                <w:szCs w:val="20"/>
                <w:shd w:val="solid" w:color="000000" w:fill="000000"/>
                <w:fitText w:val="38" w:id="-1136813046"/>
                <w14:textFill>
                  <w14:solidFill>
                    <w14:srgbClr w14:val="000000">
                      <w14:alpha w14:val="100000"/>
                    </w14:srgbClr>
                  </w14:solidFill>
                </w14:textFill>
              </w:rPr>
              <w:t xml:space="preserve">　</w:t>
            </w:r>
            <w:r w:rsidRPr="00923B9F">
              <w:rPr>
                <w:rFonts w:cs="Arial"/>
                <w:color w:val="000000"/>
                <w:w w:val="15"/>
                <w:szCs w:val="20"/>
                <w:shd w:val="solid" w:color="000000" w:fill="000000"/>
                <w:fitText w:val="38" w:id="-1136813046"/>
                <w14:textFill>
                  <w14:solidFill>
                    <w14:srgbClr w14:val="000000">
                      <w14:alpha w14:val="100000"/>
                    </w14:srgbClr>
                  </w14:solidFill>
                </w14:textFill>
              </w:rPr>
              <w:t>|</w:t>
            </w:r>
            <w:r w:rsidRPr="00923B9F">
              <w:rPr>
                <w:rFonts w:cs="Arial" w:hint="eastAsia"/>
                <w:color w:val="000000"/>
                <w:spacing w:val="-27"/>
                <w:w w:val="15"/>
                <w:szCs w:val="20"/>
                <w:shd w:val="solid" w:color="000000" w:fill="000000"/>
                <w:fitText w:val="38" w:id="-1136813046"/>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28CF9D3A" w14:textId="092885BF" w:rsidR="00D82049" w:rsidRPr="003F4735" w:rsidRDefault="00923B9F" w:rsidP="001E76E0">
            <w:pPr>
              <w:pStyle w:val="COMTabletext"/>
              <w:jc w:val="center"/>
              <w:rPr>
                <w:rFonts w:cs="Arial"/>
                <w:color w:val="000000"/>
                <w:szCs w:val="20"/>
                <w:highlight w:val="lightGray"/>
              </w:rPr>
            </w:pPr>
            <w:r w:rsidRPr="00923B9F">
              <w:rPr>
                <w:rFonts w:cs="Arial" w:hint="eastAsia"/>
                <w:color w:val="000000"/>
                <w:w w:val="15"/>
                <w:szCs w:val="20"/>
                <w:shd w:val="solid" w:color="000000" w:fill="000000"/>
                <w:fitText w:val="37" w:id="-1136813045"/>
                <w14:textFill>
                  <w14:solidFill>
                    <w14:srgbClr w14:val="000000">
                      <w14:alpha w14:val="100000"/>
                    </w14:srgbClr>
                  </w14:solidFill>
                </w14:textFill>
              </w:rPr>
              <w:t xml:space="preserve">　</w:t>
            </w:r>
            <w:r w:rsidRPr="00923B9F">
              <w:rPr>
                <w:rFonts w:cs="Arial"/>
                <w:color w:val="000000"/>
                <w:w w:val="15"/>
                <w:szCs w:val="20"/>
                <w:shd w:val="solid" w:color="000000" w:fill="000000"/>
                <w:fitText w:val="37" w:id="-1136813045"/>
                <w14:textFill>
                  <w14:solidFill>
                    <w14:srgbClr w14:val="000000">
                      <w14:alpha w14:val="100000"/>
                    </w14:srgbClr>
                  </w14:solidFill>
                </w14:textFill>
              </w:rPr>
              <w:t>|</w:t>
            </w:r>
            <w:r w:rsidRPr="00923B9F">
              <w:rPr>
                <w:rFonts w:cs="Arial" w:hint="eastAsia"/>
                <w:color w:val="000000"/>
                <w:spacing w:val="-28"/>
                <w:w w:val="15"/>
                <w:szCs w:val="20"/>
                <w:shd w:val="solid" w:color="000000" w:fill="000000"/>
                <w:fitText w:val="37" w:id="-1136813045"/>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3FCF85E6" w14:textId="050F5276" w:rsidR="00D82049" w:rsidRPr="003F4735" w:rsidRDefault="00923B9F" w:rsidP="001E76E0">
            <w:pPr>
              <w:pStyle w:val="COMTabletext"/>
              <w:jc w:val="center"/>
              <w:rPr>
                <w:rFonts w:cs="Arial"/>
                <w:color w:val="000000"/>
                <w:szCs w:val="20"/>
                <w:highlight w:val="lightGray"/>
              </w:rPr>
            </w:pPr>
            <w:r w:rsidRPr="00923B9F">
              <w:rPr>
                <w:rFonts w:cs="Arial" w:hint="eastAsia"/>
                <w:color w:val="000000"/>
                <w:w w:val="15"/>
                <w:szCs w:val="20"/>
                <w:shd w:val="solid" w:color="000000" w:fill="000000"/>
                <w:fitText w:val="37" w:id="-1136813044"/>
                <w14:textFill>
                  <w14:solidFill>
                    <w14:srgbClr w14:val="000000">
                      <w14:alpha w14:val="100000"/>
                    </w14:srgbClr>
                  </w14:solidFill>
                </w14:textFill>
              </w:rPr>
              <w:t xml:space="preserve">　</w:t>
            </w:r>
            <w:r w:rsidRPr="00923B9F">
              <w:rPr>
                <w:rFonts w:cs="Arial"/>
                <w:color w:val="000000"/>
                <w:w w:val="15"/>
                <w:szCs w:val="20"/>
                <w:shd w:val="solid" w:color="000000" w:fill="000000"/>
                <w:fitText w:val="37" w:id="-1136813044"/>
                <w14:textFill>
                  <w14:solidFill>
                    <w14:srgbClr w14:val="000000">
                      <w14:alpha w14:val="100000"/>
                    </w14:srgbClr>
                  </w14:solidFill>
                </w14:textFill>
              </w:rPr>
              <w:t>|</w:t>
            </w:r>
            <w:r w:rsidRPr="00923B9F">
              <w:rPr>
                <w:rFonts w:cs="Arial" w:hint="eastAsia"/>
                <w:color w:val="000000"/>
                <w:spacing w:val="-28"/>
                <w:w w:val="15"/>
                <w:szCs w:val="20"/>
                <w:shd w:val="solid" w:color="000000" w:fill="000000"/>
                <w:fitText w:val="37" w:id="-1136813044"/>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17509B81" w14:textId="5BA2B3EB" w:rsidR="00D82049" w:rsidRPr="003F4735" w:rsidRDefault="00923B9F" w:rsidP="001E76E0">
            <w:pPr>
              <w:pStyle w:val="COMTabletext"/>
              <w:jc w:val="center"/>
              <w:rPr>
                <w:rFonts w:cs="Arial"/>
                <w:color w:val="000000"/>
                <w:szCs w:val="20"/>
                <w:highlight w:val="lightGray"/>
              </w:rPr>
            </w:pPr>
            <w:r w:rsidRPr="00923B9F">
              <w:rPr>
                <w:rFonts w:cs="Arial" w:hint="eastAsia"/>
                <w:color w:val="000000"/>
                <w:w w:val="15"/>
                <w:szCs w:val="20"/>
                <w:shd w:val="solid" w:color="000000" w:fill="000000"/>
                <w:fitText w:val="38" w:id="-1136813043"/>
                <w14:textFill>
                  <w14:solidFill>
                    <w14:srgbClr w14:val="000000">
                      <w14:alpha w14:val="100000"/>
                    </w14:srgbClr>
                  </w14:solidFill>
                </w14:textFill>
              </w:rPr>
              <w:t xml:space="preserve">　</w:t>
            </w:r>
            <w:r w:rsidRPr="00923B9F">
              <w:rPr>
                <w:rFonts w:cs="Arial"/>
                <w:color w:val="000000"/>
                <w:w w:val="15"/>
                <w:szCs w:val="20"/>
                <w:shd w:val="solid" w:color="000000" w:fill="000000"/>
                <w:fitText w:val="38" w:id="-1136813043"/>
                <w14:textFill>
                  <w14:solidFill>
                    <w14:srgbClr w14:val="000000">
                      <w14:alpha w14:val="100000"/>
                    </w14:srgbClr>
                  </w14:solidFill>
                </w14:textFill>
              </w:rPr>
              <w:t>|</w:t>
            </w:r>
            <w:r w:rsidRPr="00923B9F">
              <w:rPr>
                <w:rFonts w:cs="Arial" w:hint="eastAsia"/>
                <w:color w:val="000000"/>
                <w:spacing w:val="-27"/>
                <w:w w:val="15"/>
                <w:szCs w:val="20"/>
                <w:shd w:val="solid" w:color="000000" w:fill="000000"/>
                <w:fitText w:val="38" w:id="-1136813043"/>
                <w14:textFill>
                  <w14:solidFill>
                    <w14:srgbClr w14:val="000000">
                      <w14:alpha w14:val="100000"/>
                    </w14:srgbClr>
                  </w14:solidFill>
                </w14:textFill>
              </w:rPr>
              <w:t xml:space="preserve">　</w:t>
            </w:r>
            <w:r w:rsidR="00BE5ABA" w:rsidRPr="001E76E0">
              <w:rPr>
                <w:vertAlign w:val="superscript"/>
              </w:rPr>
              <w:t>1</w:t>
            </w:r>
          </w:p>
        </w:tc>
        <w:tc>
          <w:tcPr>
            <w:tcW w:w="649" w:type="pct"/>
            <w:shd w:val="clear" w:color="auto" w:fill="auto"/>
            <w:vAlign w:val="center"/>
          </w:tcPr>
          <w:p w14:paraId="0A6A5A44" w14:textId="3F67C6EB" w:rsidR="00D82049" w:rsidRPr="003F4735" w:rsidRDefault="00923B9F" w:rsidP="001E76E0">
            <w:pPr>
              <w:pStyle w:val="COMTabletext"/>
              <w:jc w:val="center"/>
              <w:rPr>
                <w:rFonts w:cs="Arial"/>
                <w:color w:val="000000"/>
                <w:szCs w:val="20"/>
                <w:highlight w:val="lightGray"/>
              </w:rPr>
            </w:pPr>
            <w:r w:rsidRPr="00B80329">
              <w:rPr>
                <w:rFonts w:cs="Arial" w:hint="eastAsia"/>
                <w:color w:val="000000"/>
                <w:spacing w:val="-182"/>
                <w:szCs w:val="20"/>
                <w:shd w:val="solid" w:color="000000" w:fill="000000"/>
                <w:fitText w:val="18" w:id="-1136813042"/>
                <w14:textFill>
                  <w14:solidFill>
                    <w14:srgbClr w14:val="000000">
                      <w14:alpha w14:val="100000"/>
                    </w14:srgbClr>
                  </w14:solidFill>
                </w14:textFill>
              </w:rPr>
              <w:t xml:space="preserve">　</w:t>
            </w:r>
            <w:r w:rsidRPr="008A255E">
              <w:rPr>
                <w:rFonts w:cs="Arial"/>
                <w:color w:val="000000"/>
                <w:w w:val="15"/>
                <w:szCs w:val="20"/>
                <w:shd w:val="solid" w:color="000000" w:fill="000000"/>
                <w14:textFill>
                  <w14:solidFill>
                    <w14:srgbClr w14:val="000000">
                      <w14:alpha w14:val="100000"/>
                    </w14:srgbClr>
                  </w14:solidFill>
                </w14:textFill>
              </w:rPr>
              <w:t>|</w:t>
            </w:r>
            <w:r w:rsidRPr="008A255E">
              <w:rPr>
                <w:rFonts w:cs="Arial" w:hint="eastAsia"/>
                <w:color w:val="000000"/>
                <w:w w:val="15"/>
                <w:szCs w:val="20"/>
                <w:shd w:val="solid" w:color="000000" w:fill="000000"/>
                <w14:textFill>
                  <w14:solidFill>
                    <w14:srgbClr w14:val="000000">
                      <w14:alpha w14:val="100000"/>
                    </w14:srgbClr>
                  </w14:solidFill>
                </w14:textFill>
              </w:rPr>
              <w:t xml:space="preserve">　</w:t>
            </w:r>
            <w:r w:rsidR="00BE5ABA" w:rsidRPr="001E76E0">
              <w:rPr>
                <w:vertAlign w:val="superscript"/>
              </w:rPr>
              <w:t>1</w:t>
            </w:r>
          </w:p>
        </w:tc>
      </w:tr>
      <w:tr w:rsidR="00D82049" w:rsidRPr="00936C32" w14:paraId="7F5FC8B2" w14:textId="77777777" w:rsidTr="001E76E0">
        <w:tc>
          <w:tcPr>
            <w:tcW w:w="1111" w:type="pct"/>
            <w:shd w:val="clear" w:color="auto" w:fill="auto"/>
            <w:vAlign w:val="center"/>
          </w:tcPr>
          <w:p w14:paraId="2F717CEB" w14:textId="77777777" w:rsidR="00D82049" w:rsidRPr="00936C32" w:rsidRDefault="00D82049" w:rsidP="001E76E0">
            <w:pPr>
              <w:pStyle w:val="COMTabletext"/>
              <w:rPr>
                <w:szCs w:val="20"/>
              </w:rPr>
            </w:pPr>
            <w:r w:rsidRPr="00936C32">
              <w:rPr>
                <w:szCs w:val="20"/>
              </w:rPr>
              <w:t>Total treated patients</w:t>
            </w:r>
          </w:p>
        </w:tc>
        <w:tc>
          <w:tcPr>
            <w:tcW w:w="648" w:type="pct"/>
            <w:shd w:val="clear" w:color="auto" w:fill="auto"/>
            <w:vAlign w:val="center"/>
          </w:tcPr>
          <w:p w14:paraId="2FD22035" w14:textId="13FD48B0"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41"/>
                <w14:textFill>
                  <w14:solidFill>
                    <w14:srgbClr w14:val="000000">
                      <w14:alpha w14:val="100000"/>
                    </w14:srgbClr>
                  </w14:solidFill>
                </w14:textFill>
              </w:rPr>
              <w:t xml:space="preserve">　</w:t>
            </w:r>
            <w:r w:rsidRPr="00923B9F">
              <w:rPr>
                <w:color w:val="000000"/>
                <w:w w:val="15"/>
                <w:szCs w:val="20"/>
                <w:shd w:val="solid" w:color="000000" w:fill="000000"/>
                <w:fitText w:val="37" w:id="-1136813041"/>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1"/>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2B2A6D1E" w14:textId="3D9B6CD5"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3040"/>
                <w14:textFill>
                  <w14:solidFill>
                    <w14:srgbClr w14:val="000000">
                      <w14:alpha w14:val="100000"/>
                    </w14:srgbClr>
                  </w14:solidFill>
                </w14:textFill>
              </w:rPr>
              <w:t xml:space="preserve">　</w:t>
            </w:r>
            <w:r w:rsidRPr="00923B9F">
              <w:rPr>
                <w:color w:val="000000"/>
                <w:w w:val="15"/>
                <w:szCs w:val="20"/>
                <w:shd w:val="solid" w:color="000000" w:fill="000000"/>
                <w:fitText w:val="38" w:id="-1136813040"/>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0"/>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15A8E5E7" w14:textId="774232AF"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56"/>
                <w14:textFill>
                  <w14:solidFill>
                    <w14:srgbClr w14:val="000000">
                      <w14:alpha w14:val="100000"/>
                    </w14:srgbClr>
                  </w14:solidFill>
                </w14:textFill>
              </w:rPr>
              <w:t xml:space="preserve">　</w:t>
            </w:r>
            <w:r w:rsidRPr="00923B9F">
              <w:rPr>
                <w:color w:val="000000"/>
                <w:w w:val="15"/>
                <w:szCs w:val="20"/>
                <w:shd w:val="solid" w:color="000000" w:fill="000000"/>
                <w:fitText w:val="37" w:id="-1136813056"/>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6"/>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0B8885C5" w14:textId="11CA90F5"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55"/>
                <w14:textFill>
                  <w14:solidFill>
                    <w14:srgbClr w14:val="000000">
                      <w14:alpha w14:val="100000"/>
                    </w14:srgbClr>
                  </w14:solidFill>
                </w14:textFill>
              </w:rPr>
              <w:t xml:space="preserve">　</w:t>
            </w:r>
            <w:r w:rsidRPr="00923B9F">
              <w:rPr>
                <w:color w:val="000000"/>
                <w:w w:val="15"/>
                <w:szCs w:val="20"/>
                <w:shd w:val="solid" w:color="000000" w:fill="000000"/>
                <w:fitText w:val="37" w:id="-1136813055"/>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5"/>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0F80888C" w14:textId="77C6E8F6"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3054"/>
                <w14:textFill>
                  <w14:solidFill>
                    <w14:srgbClr w14:val="000000">
                      <w14:alpha w14:val="100000"/>
                    </w14:srgbClr>
                  </w14:solidFill>
                </w14:textFill>
              </w:rPr>
              <w:t xml:space="preserve">　</w:t>
            </w:r>
            <w:r w:rsidRPr="00923B9F">
              <w:rPr>
                <w:color w:val="000000"/>
                <w:w w:val="15"/>
                <w:szCs w:val="20"/>
                <w:shd w:val="solid" w:color="000000" w:fill="000000"/>
                <w:fitText w:val="38" w:id="-1136813054"/>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54"/>
                <w14:textFill>
                  <w14:solidFill>
                    <w14:srgbClr w14:val="000000">
                      <w14:alpha w14:val="100000"/>
                    </w14:srgbClr>
                  </w14:solidFill>
                </w14:textFill>
              </w:rPr>
              <w:t xml:space="preserve">　</w:t>
            </w:r>
            <w:r w:rsidR="00BE5ABA" w:rsidRPr="001E76E0">
              <w:rPr>
                <w:vertAlign w:val="superscript"/>
              </w:rPr>
              <w:t>1</w:t>
            </w:r>
          </w:p>
        </w:tc>
        <w:tc>
          <w:tcPr>
            <w:tcW w:w="649" w:type="pct"/>
            <w:shd w:val="clear" w:color="auto" w:fill="auto"/>
            <w:vAlign w:val="center"/>
          </w:tcPr>
          <w:p w14:paraId="51031C41" w14:textId="2003B3FA" w:rsidR="00D82049" w:rsidRPr="003F4735" w:rsidRDefault="00923B9F" w:rsidP="001E76E0">
            <w:pPr>
              <w:pStyle w:val="COMTabletext"/>
              <w:jc w:val="center"/>
              <w:rPr>
                <w:szCs w:val="20"/>
                <w:highlight w:val="lightGray"/>
              </w:rPr>
            </w:pPr>
            <w:r w:rsidRPr="00B80329">
              <w:rPr>
                <w:rFonts w:hint="eastAsia"/>
                <w:color w:val="000000"/>
                <w:spacing w:val="-182"/>
                <w:szCs w:val="20"/>
                <w:shd w:val="solid" w:color="000000" w:fill="000000"/>
                <w:fitText w:val="18" w:id="-1136813053"/>
                <w14:textFill>
                  <w14:solidFill>
                    <w14:srgbClr w14:val="000000">
                      <w14:alpha w14:val="100000"/>
                    </w14:srgbClr>
                  </w14:solidFill>
                </w14:textFill>
              </w:rPr>
              <w:t xml:space="preserve">　</w:t>
            </w:r>
            <w:r w:rsidRPr="008A255E">
              <w:rPr>
                <w:color w:val="000000"/>
                <w:w w:val="15"/>
                <w:szCs w:val="20"/>
                <w:shd w:val="solid" w:color="000000" w:fill="000000"/>
                <w14:textFill>
                  <w14:solidFill>
                    <w14:srgbClr w14:val="000000">
                      <w14:alpha w14:val="100000"/>
                    </w14:srgbClr>
                  </w14:solidFill>
                </w14:textFill>
              </w:rPr>
              <w:t>|</w:t>
            </w:r>
            <w:r w:rsidRPr="008A255E">
              <w:rPr>
                <w:rFonts w:hint="eastAsia"/>
                <w:color w:val="000000"/>
                <w:w w:val="15"/>
                <w:szCs w:val="20"/>
                <w:shd w:val="solid" w:color="000000" w:fill="000000"/>
                <w14:textFill>
                  <w14:solidFill>
                    <w14:srgbClr w14:val="000000">
                      <w14:alpha w14:val="100000"/>
                    </w14:srgbClr>
                  </w14:solidFill>
                </w14:textFill>
              </w:rPr>
              <w:t xml:space="preserve">　</w:t>
            </w:r>
            <w:r w:rsidR="00BE5ABA" w:rsidRPr="001E76E0">
              <w:rPr>
                <w:vertAlign w:val="superscript"/>
              </w:rPr>
              <w:t>1</w:t>
            </w:r>
          </w:p>
        </w:tc>
      </w:tr>
      <w:tr w:rsidR="00D82049" w:rsidRPr="00936C32" w14:paraId="7EE96639" w14:textId="77777777" w:rsidTr="001E76E0">
        <w:tc>
          <w:tcPr>
            <w:tcW w:w="1111" w:type="pct"/>
            <w:shd w:val="clear" w:color="auto" w:fill="auto"/>
          </w:tcPr>
          <w:p w14:paraId="18A341C3" w14:textId="77777777" w:rsidR="00D82049" w:rsidRPr="00936C32" w:rsidRDefault="00D82049" w:rsidP="001E76E0">
            <w:pPr>
              <w:pStyle w:val="COMTabletext"/>
              <w:rPr>
                <w:szCs w:val="20"/>
              </w:rPr>
            </w:pPr>
            <w:r w:rsidRPr="00936C32">
              <w:rPr>
                <w:szCs w:val="20"/>
              </w:rPr>
              <w:t>Total scripts</w:t>
            </w:r>
          </w:p>
        </w:tc>
        <w:tc>
          <w:tcPr>
            <w:tcW w:w="648" w:type="pct"/>
            <w:shd w:val="clear" w:color="auto" w:fill="auto"/>
          </w:tcPr>
          <w:p w14:paraId="4A1E9B4C" w14:textId="54E9E407"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52"/>
                <w14:textFill>
                  <w14:solidFill>
                    <w14:srgbClr w14:val="000000">
                      <w14:alpha w14:val="100000"/>
                    </w14:srgbClr>
                  </w14:solidFill>
                </w14:textFill>
              </w:rPr>
              <w:t xml:space="preserve">　</w:t>
            </w:r>
            <w:r w:rsidRPr="00923B9F">
              <w:rPr>
                <w:color w:val="000000"/>
                <w:w w:val="15"/>
                <w:szCs w:val="20"/>
                <w:shd w:val="solid" w:color="000000" w:fill="000000"/>
                <w:fitText w:val="37" w:id="-1136813052"/>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2"/>
                <w14:textFill>
                  <w14:solidFill>
                    <w14:srgbClr w14:val="000000">
                      <w14:alpha w14:val="100000"/>
                    </w14:srgbClr>
                  </w14:solidFill>
                </w14:textFill>
              </w:rPr>
              <w:t xml:space="preserve">　</w:t>
            </w:r>
            <w:r w:rsidR="00BE5ABA" w:rsidRPr="001E76E0">
              <w:rPr>
                <w:vertAlign w:val="superscript"/>
              </w:rPr>
              <w:t>1</w:t>
            </w:r>
            <w:r w:rsidRPr="00923B9F">
              <w:rPr>
                <w:szCs w:val="20"/>
              </w:rPr>
              <w:t xml:space="preserve"> </w:t>
            </w:r>
          </w:p>
        </w:tc>
        <w:tc>
          <w:tcPr>
            <w:tcW w:w="648" w:type="pct"/>
            <w:shd w:val="clear" w:color="auto" w:fill="auto"/>
          </w:tcPr>
          <w:p w14:paraId="13389B10" w14:textId="18362B97"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51"/>
                <w14:textFill>
                  <w14:solidFill>
                    <w14:srgbClr w14:val="000000">
                      <w14:alpha w14:val="100000"/>
                    </w14:srgbClr>
                  </w14:solidFill>
                </w14:textFill>
              </w:rPr>
              <w:t xml:space="preserve">　</w:t>
            </w:r>
            <w:r w:rsidRPr="00923B9F">
              <w:rPr>
                <w:color w:val="000000"/>
                <w:w w:val="15"/>
                <w:szCs w:val="20"/>
                <w:shd w:val="solid" w:color="000000" w:fill="000000"/>
                <w:fitText w:val="38" w:id="-1136813051"/>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51"/>
                <w14:textFill>
                  <w14:solidFill>
                    <w14:srgbClr w14:val="000000">
                      <w14:alpha w14:val="100000"/>
                    </w14:srgbClr>
                  </w14:solidFill>
                </w14:textFill>
              </w:rPr>
              <w:t xml:space="preserve">　</w:t>
            </w:r>
            <w:r w:rsidR="00BE5ABA">
              <w:rPr>
                <w:vertAlign w:val="superscript"/>
              </w:rPr>
              <w:t>2</w:t>
            </w:r>
            <w:r w:rsidRPr="00923B9F">
              <w:rPr>
                <w:szCs w:val="20"/>
              </w:rPr>
              <w:t xml:space="preserve"> </w:t>
            </w:r>
          </w:p>
        </w:tc>
        <w:tc>
          <w:tcPr>
            <w:tcW w:w="648" w:type="pct"/>
            <w:shd w:val="clear" w:color="auto" w:fill="auto"/>
          </w:tcPr>
          <w:p w14:paraId="7DA1703A" w14:textId="015FD1E8"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50"/>
                <w14:textFill>
                  <w14:solidFill>
                    <w14:srgbClr w14:val="000000">
                      <w14:alpha w14:val="100000"/>
                    </w14:srgbClr>
                  </w14:solidFill>
                </w14:textFill>
              </w:rPr>
              <w:t xml:space="preserve">　</w:t>
            </w:r>
            <w:r w:rsidRPr="00923B9F">
              <w:rPr>
                <w:color w:val="000000"/>
                <w:w w:val="15"/>
                <w:szCs w:val="20"/>
                <w:shd w:val="solid" w:color="000000" w:fill="000000"/>
                <w:fitText w:val="37" w:id="-1136813050"/>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0"/>
                <w14:textFill>
                  <w14:solidFill>
                    <w14:srgbClr w14:val="000000">
                      <w14:alpha w14:val="100000"/>
                    </w14:srgbClr>
                  </w14:solidFill>
                </w14:textFill>
              </w:rPr>
              <w:t xml:space="preserve">　</w:t>
            </w:r>
            <w:r w:rsidR="00BE5ABA">
              <w:rPr>
                <w:vertAlign w:val="superscript"/>
              </w:rPr>
              <w:t>2</w:t>
            </w:r>
            <w:r w:rsidRPr="00923B9F">
              <w:rPr>
                <w:szCs w:val="20"/>
              </w:rPr>
              <w:t xml:space="preserve"> </w:t>
            </w:r>
          </w:p>
        </w:tc>
        <w:tc>
          <w:tcPr>
            <w:tcW w:w="648" w:type="pct"/>
            <w:shd w:val="clear" w:color="auto" w:fill="auto"/>
          </w:tcPr>
          <w:p w14:paraId="355B62D9" w14:textId="75C1649F"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9"/>
                <w14:textFill>
                  <w14:solidFill>
                    <w14:srgbClr w14:val="000000">
                      <w14:alpha w14:val="100000"/>
                    </w14:srgbClr>
                  </w14:solidFill>
                </w14:textFill>
              </w:rPr>
              <w:t xml:space="preserve">　</w:t>
            </w:r>
            <w:r w:rsidRPr="00923B9F">
              <w:rPr>
                <w:color w:val="000000"/>
                <w:w w:val="15"/>
                <w:szCs w:val="20"/>
                <w:shd w:val="solid" w:color="000000" w:fill="000000"/>
                <w:fitText w:val="37" w:id="-1136813049"/>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9"/>
                <w14:textFill>
                  <w14:solidFill>
                    <w14:srgbClr w14:val="000000">
                      <w14:alpha w14:val="100000"/>
                    </w14:srgbClr>
                  </w14:solidFill>
                </w14:textFill>
              </w:rPr>
              <w:t xml:space="preserve">　</w:t>
            </w:r>
            <w:r w:rsidR="00BE5ABA">
              <w:rPr>
                <w:vertAlign w:val="superscript"/>
              </w:rPr>
              <w:t>2</w:t>
            </w:r>
            <w:r w:rsidRPr="00923B9F">
              <w:rPr>
                <w:szCs w:val="20"/>
              </w:rPr>
              <w:t xml:space="preserve"> </w:t>
            </w:r>
          </w:p>
        </w:tc>
        <w:tc>
          <w:tcPr>
            <w:tcW w:w="648" w:type="pct"/>
            <w:shd w:val="clear" w:color="auto" w:fill="auto"/>
          </w:tcPr>
          <w:p w14:paraId="0DEBE964" w14:textId="58406888"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48"/>
                <w14:textFill>
                  <w14:solidFill>
                    <w14:srgbClr w14:val="000000">
                      <w14:alpha w14:val="100000"/>
                    </w14:srgbClr>
                  </w14:solidFill>
                </w14:textFill>
              </w:rPr>
              <w:t xml:space="preserve">　</w:t>
            </w:r>
            <w:r w:rsidRPr="00923B9F">
              <w:rPr>
                <w:color w:val="000000"/>
                <w:w w:val="15"/>
                <w:szCs w:val="20"/>
                <w:shd w:val="solid" w:color="000000" w:fill="000000"/>
                <w:fitText w:val="38" w:id="-1136813048"/>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8"/>
                <w14:textFill>
                  <w14:solidFill>
                    <w14:srgbClr w14:val="000000">
                      <w14:alpha w14:val="100000"/>
                    </w14:srgbClr>
                  </w14:solidFill>
                </w14:textFill>
              </w:rPr>
              <w:t xml:space="preserve">　</w:t>
            </w:r>
            <w:r w:rsidR="00BE5ABA">
              <w:rPr>
                <w:vertAlign w:val="superscript"/>
              </w:rPr>
              <w:t>2</w:t>
            </w:r>
            <w:r w:rsidRPr="00923B9F">
              <w:rPr>
                <w:szCs w:val="20"/>
              </w:rPr>
              <w:t xml:space="preserve"> </w:t>
            </w:r>
          </w:p>
        </w:tc>
        <w:tc>
          <w:tcPr>
            <w:tcW w:w="649" w:type="pct"/>
            <w:shd w:val="clear" w:color="auto" w:fill="auto"/>
          </w:tcPr>
          <w:p w14:paraId="2E654A8A" w14:textId="5CE69312" w:rsidR="00D82049" w:rsidRPr="003F4735" w:rsidRDefault="00923B9F" w:rsidP="001E76E0">
            <w:pPr>
              <w:pStyle w:val="COMTabletext"/>
              <w:jc w:val="center"/>
              <w:rPr>
                <w:rFonts w:cs="Arial"/>
                <w:color w:val="000000"/>
                <w:szCs w:val="20"/>
                <w:highlight w:val="lightGray"/>
              </w:rPr>
            </w:pPr>
            <w:r w:rsidRPr="00B80329">
              <w:rPr>
                <w:rFonts w:hint="eastAsia"/>
                <w:color w:val="000000"/>
                <w:spacing w:val="-182"/>
                <w:szCs w:val="20"/>
                <w:shd w:val="solid" w:color="000000" w:fill="000000"/>
                <w:fitText w:val="18" w:id="-1136813047"/>
                <w14:textFill>
                  <w14:solidFill>
                    <w14:srgbClr w14:val="000000">
                      <w14:alpha w14:val="100000"/>
                    </w14:srgbClr>
                  </w14:solidFill>
                </w14:textFill>
              </w:rPr>
              <w:t xml:space="preserve">　</w:t>
            </w:r>
            <w:r w:rsidRPr="008A255E">
              <w:rPr>
                <w:color w:val="000000"/>
                <w:w w:val="15"/>
                <w:szCs w:val="20"/>
                <w:shd w:val="solid" w:color="000000" w:fill="000000"/>
                <w14:textFill>
                  <w14:solidFill>
                    <w14:srgbClr w14:val="000000">
                      <w14:alpha w14:val="100000"/>
                    </w14:srgbClr>
                  </w14:solidFill>
                </w14:textFill>
              </w:rPr>
              <w:t>|</w:t>
            </w:r>
            <w:r w:rsidRPr="008A255E">
              <w:rPr>
                <w:rFonts w:hint="eastAsia"/>
                <w:color w:val="000000"/>
                <w:w w:val="15"/>
                <w:szCs w:val="20"/>
                <w:shd w:val="solid" w:color="000000" w:fill="000000"/>
                <w14:textFill>
                  <w14:solidFill>
                    <w14:srgbClr w14:val="000000">
                      <w14:alpha w14:val="100000"/>
                    </w14:srgbClr>
                  </w14:solidFill>
                </w14:textFill>
              </w:rPr>
              <w:t xml:space="preserve">　</w:t>
            </w:r>
            <w:r w:rsidR="00BE5ABA">
              <w:rPr>
                <w:vertAlign w:val="superscript"/>
              </w:rPr>
              <w:t>2</w:t>
            </w:r>
            <w:r w:rsidRPr="00923B9F">
              <w:rPr>
                <w:szCs w:val="20"/>
              </w:rPr>
              <w:t xml:space="preserve"> </w:t>
            </w:r>
          </w:p>
        </w:tc>
      </w:tr>
      <w:tr w:rsidR="00D82049" w:rsidRPr="00936C32" w14:paraId="6CACA021" w14:textId="77777777" w:rsidTr="001E76E0">
        <w:tc>
          <w:tcPr>
            <w:tcW w:w="1111" w:type="pct"/>
            <w:shd w:val="clear" w:color="auto" w:fill="auto"/>
            <w:vAlign w:val="center"/>
          </w:tcPr>
          <w:p w14:paraId="5B038D98" w14:textId="77777777" w:rsidR="00D82049" w:rsidRPr="00936C32" w:rsidRDefault="00D82049" w:rsidP="001E76E0">
            <w:pPr>
              <w:pStyle w:val="COMTabletext"/>
              <w:rPr>
                <w:szCs w:val="20"/>
              </w:rPr>
            </w:pPr>
            <w:r w:rsidRPr="00936C32">
              <w:rPr>
                <w:szCs w:val="20"/>
              </w:rPr>
              <w:t>Net cost to PBS/RPBS</w:t>
            </w:r>
          </w:p>
        </w:tc>
        <w:tc>
          <w:tcPr>
            <w:tcW w:w="648" w:type="pct"/>
            <w:shd w:val="clear" w:color="auto" w:fill="auto"/>
            <w:vAlign w:val="center"/>
          </w:tcPr>
          <w:p w14:paraId="325BE7D9" w14:textId="7FDA1F69"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6"/>
                <w14:textFill>
                  <w14:solidFill>
                    <w14:srgbClr w14:val="000000">
                      <w14:alpha w14:val="100000"/>
                    </w14:srgbClr>
                  </w14:solidFill>
                </w14:textFill>
              </w:rPr>
              <w:t xml:space="preserve">　</w:t>
            </w:r>
            <w:r w:rsidRPr="00923B9F">
              <w:rPr>
                <w:color w:val="000000"/>
                <w:w w:val="15"/>
                <w:szCs w:val="20"/>
                <w:shd w:val="solid" w:color="000000" w:fill="000000"/>
                <w:fitText w:val="37" w:id="-1136813046"/>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6"/>
                <w14:textFill>
                  <w14:solidFill>
                    <w14:srgbClr w14:val="000000">
                      <w14:alpha w14:val="100000"/>
                    </w14:srgbClr>
                  </w14:solidFill>
                </w14:textFill>
              </w:rPr>
              <w:t xml:space="preserve">　</w:t>
            </w:r>
            <w:r w:rsidR="00F53355" w:rsidRPr="003F4735">
              <w:rPr>
                <w:szCs w:val="20"/>
                <w:vertAlign w:val="superscript"/>
              </w:rPr>
              <w:t>5</w:t>
            </w:r>
          </w:p>
        </w:tc>
        <w:tc>
          <w:tcPr>
            <w:tcW w:w="648" w:type="pct"/>
            <w:shd w:val="clear" w:color="auto" w:fill="auto"/>
            <w:vAlign w:val="center"/>
          </w:tcPr>
          <w:p w14:paraId="0ADA2B54" w14:textId="7B7C4EAE"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45"/>
                <w14:textFill>
                  <w14:solidFill>
                    <w14:srgbClr w14:val="000000">
                      <w14:alpha w14:val="100000"/>
                    </w14:srgbClr>
                  </w14:solidFill>
                </w14:textFill>
              </w:rPr>
              <w:t xml:space="preserve">　</w:t>
            </w:r>
            <w:r w:rsidRPr="00923B9F">
              <w:rPr>
                <w:color w:val="000000"/>
                <w:w w:val="15"/>
                <w:szCs w:val="20"/>
                <w:shd w:val="solid" w:color="000000" w:fill="000000"/>
                <w:fitText w:val="38" w:id="-1136813045"/>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5"/>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vAlign w:val="center"/>
          </w:tcPr>
          <w:p w14:paraId="6EBCF188" w14:textId="3B803115"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4"/>
                <w14:textFill>
                  <w14:solidFill>
                    <w14:srgbClr w14:val="000000">
                      <w14:alpha w14:val="100000"/>
                    </w14:srgbClr>
                  </w14:solidFill>
                </w14:textFill>
              </w:rPr>
              <w:t xml:space="preserve">　</w:t>
            </w:r>
            <w:r w:rsidRPr="00923B9F">
              <w:rPr>
                <w:color w:val="000000"/>
                <w:w w:val="15"/>
                <w:szCs w:val="20"/>
                <w:shd w:val="solid" w:color="000000" w:fill="000000"/>
                <w:fitText w:val="37" w:id="-1136813044"/>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4"/>
                <w14:textFill>
                  <w14:solidFill>
                    <w14:srgbClr w14:val="000000">
                      <w14:alpha w14:val="100000"/>
                    </w14:srgbClr>
                  </w14:solidFill>
                </w14:textFill>
              </w:rPr>
              <w:t xml:space="preserve">　</w:t>
            </w:r>
            <w:r w:rsidR="00F53355">
              <w:rPr>
                <w:szCs w:val="20"/>
                <w:vertAlign w:val="superscript"/>
              </w:rPr>
              <w:t>3</w:t>
            </w:r>
          </w:p>
        </w:tc>
        <w:tc>
          <w:tcPr>
            <w:tcW w:w="648" w:type="pct"/>
            <w:shd w:val="clear" w:color="auto" w:fill="auto"/>
            <w:vAlign w:val="center"/>
          </w:tcPr>
          <w:p w14:paraId="618ADB33" w14:textId="2A2C5519"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3"/>
                <w14:textFill>
                  <w14:solidFill>
                    <w14:srgbClr w14:val="000000">
                      <w14:alpha w14:val="100000"/>
                    </w14:srgbClr>
                  </w14:solidFill>
                </w14:textFill>
              </w:rPr>
              <w:t xml:space="preserve">　</w:t>
            </w:r>
            <w:r w:rsidRPr="00923B9F">
              <w:rPr>
                <w:color w:val="000000"/>
                <w:w w:val="15"/>
                <w:szCs w:val="20"/>
                <w:shd w:val="solid" w:color="000000" w:fill="000000"/>
                <w:fitText w:val="37" w:id="-1136813043"/>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3"/>
                <w14:textFill>
                  <w14:solidFill>
                    <w14:srgbClr w14:val="000000">
                      <w14:alpha w14:val="100000"/>
                    </w14:srgbClr>
                  </w14:solidFill>
                </w14:textFill>
              </w:rPr>
              <w:t xml:space="preserve">　</w:t>
            </w:r>
            <w:r w:rsidR="00F53355">
              <w:rPr>
                <w:szCs w:val="20"/>
                <w:vertAlign w:val="superscript"/>
              </w:rPr>
              <w:t>3</w:t>
            </w:r>
          </w:p>
        </w:tc>
        <w:tc>
          <w:tcPr>
            <w:tcW w:w="648" w:type="pct"/>
            <w:shd w:val="clear" w:color="auto" w:fill="auto"/>
            <w:vAlign w:val="center"/>
          </w:tcPr>
          <w:p w14:paraId="270829D7" w14:textId="3FE91D1D"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42"/>
                <w14:textFill>
                  <w14:solidFill>
                    <w14:srgbClr w14:val="000000">
                      <w14:alpha w14:val="100000"/>
                    </w14:srgbClr>
                  </w14:solidFill>
                </w14:textFill>
              </w:rPr>
              <w:t xml:space="preserve">　</w:t>
            </w:r>
            <w:r w:rsidRPr="00923B9F">
              <w:rPr>
                <w:color w:val="000000"/>
                <w:w w:val="15"/>
                <w:szCs w:val="20"/>
                <w:shd w:val="solid" w:color="000000" w:fill="000000"/>
                <w:fitText w:val="38" w:id="-1136813042"/>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2"/>
                <w14:textFill>
                  <w14:solidFill>
                    <w14:srgbClr w14:val="000000">
                      <w14:alpha w14:val="100000"/>
                    </w14:srgbClr>
                  </w14:solidFill>
                </w14:textFill>
              </w:rPr>
              <w:t xml:space="preserve">　</w:t>
            </w:r>
            <w:r w:rsidR="00F53355">
              <w:rPr>
                <w:szCs w:val="20"/>
                <w:vertAlign w:val="superscript"/>
              </w:rPr>
              <w:t>3</w:t>
            </w:r>
          </w:p>
        </w:tc>
        <w:tc>
          <w:tcPr>
            <w:tcW w:w="649" w:type="pct"/>
            <w:shd w:val="clear" w:color="auto" w:fill="auto"/>
            <w:vAlign w:val="center"/>
          </w:tcPr>
          <w:p w14:paraId="7F39EFAC" w14:textId="7FD3DFD8" w:rsidR="00D82049" w:rsidRPr="003F4735" w:rsidRDefault="00923B9F" w:rsidP="001E76E0">
            <w:pPr>
              <w:pStyle w:val="COMTabletext"/>
              <w:jc w:val="center"/>
              <w:rPr>
                <w:rFonts w:cs="Arial"/>
                <w:color w:val="000000"/>
                <w:szCs w:val="20"/>
                <w:highlight w:val="lightGray"/>
              </w:rPr>
            </w:pPr>
            <w:r w:rsidRPr="00B80329">
              <w:rPr>
                <w:rFonts w:hint="eastAsia"/>
                <w:color w:val="000000"/>
                <w:spacing w:val="-182"/>
                <w:szCs w:val="20"/>
                <w:shd w:val="solid" w:color="000000" w:fill="000000"/>
                <w:fitText w:val="18" w:id="-1136813041"/>
                <w14:textFill>
                  <w14:solidFill>
                    <w14:srgbClr w14:val="000000">
                      <w14:alpha w14:val="100000"/>
                    </w14:srgbClr>
                  </w14:solidFill>
                </w14:textFill>
              </w:rPr>
              <w:t xml:space="preserve">　</w:t>
            </w:r>
            <w:r w:rsidRPr="008A255E">
              <w:rPr>
                <w:color w:val="000000"/>
                <w:w w:val="15"/>
                <w:szCs w:val="20"/>
                <w:shd w:val="solid" w:color="000000" w:fill="000000"/>
                <w14:textFill>
                  <w14:solidFill>
                    <w14:srgbClr w14:val="000000">
                      <w14:alpha w14:val="100000"/>
                    </w14:srgbClr>
                  </w14:solidFill>
                </w14:textFill>
              </w:rPr>
              <w:t>|</w:t>
            </w:r>
            <w:r w:rsidRPr="008A255E">
              <w:rPr>
                <w:rFonts w:hint="eastAsia"/>
                <w:color w:val="000000"/>
                <w:w w:val="15"/>
                <w:szCs w:val="20"/>
                <w:shd w:val="solid" w:color="000000" w:fill="000000"/>
                <w14:textFill>
                  <w14:solidFill>
                    <w14:srgbClr w14:val="000000">
                      <w14:alpha w14:val="100000"/>
                    </w14:srgbClr>
                  </w14:solidFill>
                </w14:textFill>
              </w:rPr>
              <w:t xml:space="preserve">　</w:t>
            </w:r>
            <w:r w:rsidR="00F53355">
              <w:rPr>
                <w:szCs w:val="20"/>
                <w:vertAlign w:val="superscript"/>
              </w:rPr>
              <w:t>3</w:t>
            </w:r>
          </w:p>
        </w:tc>
      </w:tr>
      <w:tr w:rsidR="00D82049" w:rsidRPr="00936C32" w14:paraId="1BCD8BCE" w14:textId="77777777" w:rsidTr="001E76E0">
        <w:tc>
          <w:tcPr>
            <w:tcW w:w="1111" w:type="pct"/>
            <w:shd w:val="clear" w:color="auto" w:fill="auto"/>
            <w:vAlign w:val="center"/>
          </w:tcPr>
          <w:p w14:paraId="3587FB90" w14:textId="77777777" w:rsidR="00D82049" w:rsidRPr="00936C32" w:rsidRDefault="00D82049" w:rsidP="001E76E0">
            <w:pPr>
              <w:pStyle w:val="COMTabletext"/>
              <w:rPr>
                <w:szCs w:val="20"/>
              </w:rPr>
            </w:pPr>
            <w:r w:rsidRPr="00936C32">
              <w:rPr>
                <w:szCs w:val="20"/>
              </w:rPr>
              <w:t>Net cost to the MBS</w:t>
            </w:r>
          </w:p>
        </w:tc>
        <w:tc>
          <w:tcPr>
            <w:tcW w:w="648" w:type="pct"/>
            <w:shd w:val="clear" w:color="auto" w:fill="auto"/>
          </w:tcPr>
          <w:p w14:paraId="3CCA9A9B" w14:textId="4E4F60A7"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40"/>
                <w14:textFill>
                  <w14:solidFill>
                    <w14:srgbClr w14:val="000000">
                      <w14:alpha w14:val="100000"/>
                    </w14:srgbClr>
                  </w14:solidFill>
                </w14:textFill>
              </w:rPr>
              <w:t xml:space="preserve">　</w:t>
            </w:r>
            <w:r w:rsidRPr="00923B9F">
              <w:rPr>
                <w:color w:val="000000"/>
                <w:w w:val="15"/>
                <w:szCs w:val="20"/>
                <w:shd w:val="solid" w:color="000000" w:fill="000000"/>
                <w:fitText w:val="37" w:id="-1136813040"/>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0"/>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4399F73D" w14:textId="19B2C68C"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3056"/>
                <w14:textFill>
                  <w14:solidFill>
                    <w14:srgbClr w14:val="000000">
                      <w14:alpha w14:val="100000"/>
                    </w14:srgbClr>
                  </w14:solidFill>
                </w14:textFill>
              </w:rPr>
              <w:t xml:space="preserve">　</w:t>
            </w:r>
            <w:r w:rsidRPr="00923B9F">
              <w:rPr>
                <w:color w:val="000000"/>
                <w:w w:val="15"/>
                <w:szCs w:val="20"/>
                <w:shd w:val="solid" w:color="000000" w:fill="000000"/>
                <w:fitText w:val="38" w:id="-1136813056"/>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56"/>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04AEAB37" w14:textId="58077087"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55"/>
                <w14:textFill>
                  <w14:solidFill>
                    <w14:srgbClr w14:val="000000">
                      <w14:alpha w14:val="100000"/>
                    </w14:srgbClr>
                  </w14:solidFill>
                </w14:textFill>
              </w:rPr>
              <w:t xml:space="preserve">　</w:t>
            </w:r>
            <w:r w:rsidRPr="00923B9F">
              <w:rPr>
                <w:color w:val="000000"/>
                <w:w w:val="15"/>
                <w:szCs w:val="20"/>
                <w:shd w:val="solid" w:color="000000" w:fill="000000"/>
                <w:fitText w:val="37" w:id="-1136813055"/>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5"/>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3BEB1E78" w14:textId="23B3A544"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3054"/>
                <w14:textFill>
                  <w14:solidFill>
                    <w14:srgbClr w14:val="000000">
                      <w14:alpha w14:val="100000"/>
                    </w14:srgbClr>
                  </w14:solidFill>
                </w14:textFill>
              </w:rPr>
              <w:t xml:space="preserve">　</w:t>
            </w:r>
            <w:r w:rsidRPr="00923B9F">
              <w:rPr>
                <w:color w:val="000000"/>
                <w:w w:val="15"/>
                <w:szCs w:val="20"/>
                <w:shd w:val="solid" w:color="000000" w:fill="000000"/>
                <w:fitText w:val="37" w:id="-1136813054"/>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54"/>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45FCB1FE" w14:textId="6715191A"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3053"/>
                <w14:textFill>
                  <w14:solidFill>
                    <w14:srgbClr w14:val="000000">
                      <w14:alpha w14:val="100000"/>
                    </w14:srgbClr>
                  </w14:solidFill>
                </w14:textFill>
              </w:rPr>
              <w:t xml:space="preserve">　</w:t>
            </w:r>
            <w:r w:rsidRPr="00923B9F">
              <w:rPr>
                <w:color w:val="000000"/>
                <w:w w:val="15"/>
                <w:szCs w:val="20"/>
                <w:shd w:val="solid" w:color="000000" w:fill="000000"/>
                <w:fitText w:val="38" w:id="-1136813053"/>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53"/>
                <w14:textFill>
                  <w14:solidFill>
                    <w14:srgbClr w14:val="000000">
                      <w14:alpha w14:val="100000"/>
                    </w14:srgbClr>
                  </w14:solidFill>
                </w14:textFill>
              </w:rPr>
              <w:t xml:space="preserve">　</w:t>
            </w:r>
            <w:r w:rsidR="00F53355" w:rsidRPr="001E76E0">
              <w:rPr>
                <w:szCs w:val="20"/>
                <w:vertAlign w:val="superscript"/>
              </w:rPr>
              <w:t>5</w:t>
            </w:r>
          </w:p>
        </w:tc>
        <w:tc>
          <w:tcPr>
            <w:tcW w:w="649" w:type="pct"/>
            <w:shd w:val="clear" w:color="auto" w:fill="auto"/>
          </w:tcPr>
          <w:p w14:paraId="0A45334B" w14:textId="5D348352" w:rsidR="00D82049" w:rsidRPr="003F4735" w:rsidRDefault="00923B9F" w:rsidP="001E76E0">
            <w:pPr>
              <w:pStyle w:val="COMTabletext"/>
              <w:jc w:val="center"/>
              <w:rPr>
                <w:szCs w:val="20"/>
                <w:highlight w:val="lightGray"/>
              </w:rPr>
            </w:pPr>
            <w:r w:rsidRPr="00B80329">
              <w:rPr>
                <w:rFonts w:hint="eastAsia"/>
                <w:color w:val="000000"/>
                <w:spacing w:val="-182"/>
                <w:szCs w:val="20"/>
                <w:shd w:val="solid" w:color="000000" w:fill="000000"/>
                <w:fitText w:val="18" w:id="-1136813052"/>
                <w14:textFill>
                  <w14:solidFill>
                    <w14:srgbClr w14:val="000000">
                      <w14:alpha w14:val="100000"/>
                    </w14:srgbClr>
                  </w14:solidFill>
                </w14:textFill>
              </w:rPr>
              <w:t xml:space="preserve">　</w:t>
            </w:r>
            <w:r w:rsidRPr="008A255E">
              <w:rPr>
                <w:color w:val="000000"/>
                <w:w w:val="15"/>
                <w:szCs w:val="20"/>
                <w:shd w:val="solid" w:color="000000" w:fill="000000"/>
                <w14:textFill>
                  <w14:solidFill>
                    <w14:srgbClr w14:val="000000">
                      <w14:alpha w14:val="100000"/>
                    </w14:srgbClr>
                  </w14:solidFill>
                </w14:textFill>
              </w:rPr>
              <w:t>|</w:t>
            </w:r>
            <w:r w:rsidRPr="008A255E">
              <w:rPr>
                <w:rFonts w:hint="eastAsia"/>
                <w:color w:val="000000"/>
                <w:w w:val="15"/>
                <w:szCs w:val="20"/>
                <w:shd w:val="solid" w:color="000000" w:fill="000000"/>
                <w14:textFill>
                  <w14:solidFill>
                    <w14:srgbClr w14:val="000000">
                      <w14:alpha w14:val="100000"/>
                    </w14:srgbClr>
                  </w14:solidFill>
                </w14:textFill>
              </w:rPr>
              <w:t xml:space="preserve">　</w:t>
            </w:r>
            <w:r w:rsidR="00F53355" w:rsidRPr="001E76E0">
              <w:rPr>
                <w:szCs w:val="20"/>
                <w:vertAlign w:val="superscript"/>
              </w:rPr>
              <w:t>5</w:t>
            </w:r>
          </w:p>
        </w:tc>
      </w:tr>
      <w:tr w:rsidR="00D82049" w:rsidRPr="00936C32" w14:paraId="4ED8B997" w14:textId="77777777" w:rsidTr="001E76E0">
        <w:tc>
          <w:tcPr>
            <w:tcW w:w="1111" w:type="pct"/>
            <w:shd w:val="clear" w:color="auto" w:fill="auto"/>
            <w:vAlign w:val="center"/>
          </w:tcPr>
          <w:p w14:paraId="37792338" w14:textId="77777777" w:rsidR="00D82049" w:rsidRPr="00936C32" w:rsidRDefault="00D82049" w:rsidP="001E76E0">
            <w:pPr>
              <w:pStyle w:val="COMTabletext"/>
              <w:rPr>
                <w:b/>
                <w:bCs w:val="0"/>
                <w:szCs w:val="20"/>
              </w:rPr>
            </w:pPr>
            <w:r w:rsidRPr="00936C32">
              <w:rPr>
                <w:b/>
                <w:bCs w:val="0"/>
                <w:szCs w:val="20"/>
              </w:rPr>
              <w:t>Net cost to the PBS/RPBS/MBS</w:t>
            </w:r>
          </w:p>
        </w:tc>
        <w:tc>
          <w:tcPr>
            <w:tcW w:w="648" w:type="pct"/>
            <w:shd w:val="clear" w:color="auto" w:fill="auto"/>
          </w:tcPr>
          <w:p w14:paraId="3D48FCD3" w14:textId="68BC9CE5" w:rsidR="00D82049" w:rsidRPr="003F4735" w:rsidRDefault="00923B9F" w:rsidP="001E76E0">
            <w:pPr>
              <w:pStyle w:val="COMTabletext"/>
              <w:jc w:val="center"/>
              <w:rPr>
                <w:b/>
                <w:bCs w:val="0"/>
                <w:szCs w:val="20"/>
                <w:highlight w:val="lightGray"/>
              </w:rPr>
            </w:pPr>
            <w:r w:rsidRPr="00923B9F">
              <w:rPr>
                <w:rFonts w:hint="eastAsia"/>
                <w:b/>
                <w:bCs w:val="0"/>
                <w:color w:val="000000"/>
                <w:w w:val="16"/>
                <w:szCs w:val="20"/>
                <w:shd w:val="solid" w:color="000000" w:fill="000000"/>
                <w:fitText w:val="75" w:id="-1136813051"/>
                <w14:textFill>
                  <w14:solidFill>
                    <w14:srgbClr w14:val="000000">
                      <w14:alpha w14:val="100000"/>
                    </w14:srgbClr>
                  </w14:solidFill>
                </w14:textFill>
              </w:rPr>
              <w:t xml:space="preserve">　</w:t>
            </w:r>
            <w:r w:rsidRPr="00923B9F">
              <w:rPr>
                <w:b/>
                <w:bCs w:val="0"/>
                <w:color w:val="000000"/>
                <w:w w:val="16"/>
                <w:szCs w:val="20"/>
                <w:shd w:val="solid" w:color="000000" w:fill="000000"/>
                <w:fitText w:val="75" w:id="-1136813051"/>
                <w14:textFill>
                  <w14:solidFill>
                    <w14:srgbClr w14:val="000000">
                      <w14:alpha w14:val="100000"/>
                    </w14:srgbClr>
                  </w14:solidFill>
                </w14:textFill>
              </w:rPr>
              <w:t>|</w:t>
            </w:r>
            <w:r w:rsidRPr="00923B9F">
              <w:rPr>
                <w:rFonts w:hint="eastAsia"/>
                <w:b/>
                <w:bCs w:val="0"/>
                <w:color w:val="000000"/>
                <w:spacing w:val="5"/>
                <w:w w:val="16"/>
                <w:szCs w:val="20"/>
                <w:shd w:val="solid" w:color="000000" w:fill="000000"/>
                <w:fitText w:val="75" w:id="-1136813051"/>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3418108E" w14:textId="45C76738" w:rsidR="00D82049" w:rsidRPr="003F4735" w:rsidRDefault="00923B9F" w:rsidP="001E76E0">
            <w:pPr>
              <w:pStyle w:val="COMTabletext"/>
              <w:jc w:val="center"/>
              <w:rPr>
                <w:b/>
                <w:bCs w:val="0"/>
                <w:szCs w:val="20"/>
                <w:highlight w:val="lightGray"/>
              </w:rPr>
            </w:pPr>
            <w:r w:rsidRPr="00923B9F">
              <w:rPr>
                <w:rFonts w:hint="eastAsia"/>
                <w:b/>
                <w:bCs w:val="0"/>
                <w:color w:val="000000"/>
                <w:w w:val="15"/>
                <w:szCs w:val="20"/>
                <w:shd w:val="solid" w:color="000000" w:fill="000000"/>
                <w:fitText w:val="56" w:id="-1136813050"/>
                <w14:textFill>
                  <w14:solidFill>
                    <w14:srgbClr w14:val="000000">
                      <w14:alpha w14:val="100000"/>
                    </w14:srgbClr>
                  </w14:solidFill>
                </w14:textFill>
              </w:rPr>
              <w:t xml:space="preserve">　</w:t>
            </w:r>
            <w:r w:rsidRPr="00923B9F">
              <w:rPr>
                <w:b/>
                <w:bCs w:val="0"/>
                <w:color w:val="000000"/>
                <w:w w:val="15"/>
                <w:szCs w:val="20"/>
                <w:shd w:val="solid" w:color="000000" w:fill="000000"/>
                <w:fitText w:val="56" w:id="-1136813050"/>
                <w14:textFill>
                  <w14:solidFill>
                    <w14:srgbClr w14:val="000000">
                      <w14:alpha w14:val="100000"/>
                    </w14:srgbClr>
                  </w14:solidFill>
                </w14:textFill>
              </w:rPr>
              <w:t>|</w:t>
            </w:r>
            <w:r w:rsidRPr="00923B9F">
              <w:rPr>
                <w:rFonts w:hint="eastAsia"/>
                <w:b/>
                <w:bCs w:val="0"/>
                <w:color w:val="000000"/>
                <w:spacing w:val="-10"/>
                <w:w w:val="15"/>
                <w:szCs w:val="20"/>
                <w:shd w:val="solid" w:color="000000" w:fill="000000"/>
                <w:fitText w:val="56" w:id="-1136813050"/>
                <w14:textFill>
                  <w14:solidFill>
                    <w14:srgbClr w14:val="000000">
                      <w14:alpha w14:val="100000"/>
                    </w14:srgbClr>
                  </w14:solidFill>
                </w14:textFill>
              </w:rPr>
              <w:t xml:space="preserve">　</w:t>
            </w:r>
            <w:r w:rsidR="00F53355" w:rsidRPr="001E76E0">
              <w:rPr>
                <w:szCs w:val="20"/>
                <w:vertAlign w:val="superscript"/>
              </w:rPr>
              <w:t>5</w:t>
            </w:r>
          </w:p>
        </w:tc>
        <w:tc>
          <w:tcPr>
            <w:tcW w:w="648" w:type="pct"/>
            <w:shd w:val="clear" w:color="auto" w:fill="auto"/>
          </w:tcPr>
          <w:p w14:paraId="1A3FF2A0" w14:textId="0BD5956C" w:rsidR="00D82049" w:rsidRPr="003F4735" w:rsidRDefault="00923B9F" w:rsidP="001E76E0">
            <w:pPr>
              <w:pStyle w:val="COMTabletext"/>
              <w:jc w:val="center"/>
              <w:rPr>
                <w:b/>
                <w:bCs w:val="0"/>
                <w:szCs w:val="20"/>
                <w:highlight w:val="lightGray"/>
              </w:rPr>
            </w:pPr>
            <w:r w:rsidRPr="00923B9F">
              <w:rPr>
                <w:rFonts w:hint="eastAsia"/>
                <w:b/>
                <w:bCs w:val="0"/>
                <w:color w:val="000000"/>
                <w:w w:val="15"/>
                <w:szCs w:val="20"/>
                <w:shd w:val="solid" w:color="000000" w:fill="000000"/>
                <w:fitText w:val="56" w:id="-1136813049"/>
                <w14:textFill>
                  <w14:solidFill>
                    <w14:srgbClr w14:val="000000">
                      <w14:alpha w14:val="100000"/>
                    </w14:srgbClr>
                  </w14:solidFill>
                </w14:textFill>
              </w:rPr>
              <w:t xml:space="preserve">　</w:t>
            </w:r>
            <w:r w:rsidRPr="00923B9F">
              <w:rPr>
                <w:b/>
                <w:bCs w:val="0"/>
                <w:color w:val="000000"/>
                <w:w w:val="15"/>
                <w:szCs w:val="20"/>
                <w:shd w:val="solid" w:color="000000" w:fill="000000"/>
                <w:fitText w:val="56" w:id="-1136813049"/>
                <w14:textFill>
                  <w14:solidFill>
                    <w14:srgbClr w14:val="000000">
                      <w14:alpha w14:val="100000"/>
                    </w14:srgbClr>
                  </w14:solidFill>
                </w14:textFill>
              </w:rPr>
              <w:t>|</w:t>
            </w:r>
            <w:r w:rsidRPr="00923B9F">
              <w:rPr>
                <w:rFonts w:hint="eastAsia"/>
                <w:b/>
                <w:bCs w:val="0"/>
                <w:color w:val="000000"/>
                <w:spacing w:val="-10"/>
                <w:w w:val="15"/>
                <w:szCs w:val="20"/>
                <w:shd w:val="solid" w:color="000000" w:fill="000000"/>
                <w:fitText w:val="56" w:id="-1136813049"/>
                <w14:textFill>
                  <w14:solidFill>
                    <w14:srgbClr w14:val="000000">
                      <w14:alpha w14:val="100000"/>
                    </w14:srgbClr>
                  </w14:solidFill>
                </w14:textFill>
              </w:rPr>
              <w:t xml:space="preserve">　</w:t>
            </w:r>
            <w:r w:rsidR="00F53355">
              <w:rPr>
                <w:szCs w:val="20"/>
                <w:vertAlign w:val="superscript"/>
              </w:rPr>
              <w:t>3</w:t>
            </w:r>
          </w:p>
        </w:tc>
        <w:tc>
          <w:tcPr>
            <w:tcW w:w="648" w:type="pct"/>
            <w:shd w:val="clear" w:color="auto" w:fill="auto"/>
          </w:tcPr>
          <w:p w14:paraId="224BB234" w14:textId="46EC1ADF" w:rsidR="00D82049" w:rsidRPr="003F4735" w:rsidRDefault="00923B9F" w:rsidP="001E76E0">
            <w:pPr>
              <w:pStyle w:val="COMTabletext"/>
              <w:jc w:val="center"/>
              <w:rPr>
                <w:b/>
                <w:bCs w:val="0"/>
                <w:szCs w:val="20"/>
                <w:highlight w:val="lightGray"/>
              </w:rPr>
            </w:pPr>
            <w:r w:rsidRPr="00923B9F">
              <w:rPr>
                <w:rFonts w:hint="eastAsia"/>
                <w:b/>
                <w:bCs w:val="0"/>
                <w:color w:val="000000"/>
                <w:w w:val="15"/>
                <w:szCs w:val="20"/>
                <w:shd w:val="solid" w:color="000000" w:fill="000000"/>
                <w:fitText w:val="56" w:id="-1136813048"/>
                <w14:textFill>
                  <w14:solidFill>
                    <w14:srgbClr w14:val="000000">
                      <w14:alpha w14:val="100000"/>
                    </w14:srgbClr>
                  </w14:solidFill>
                </w14:textFill>
              </w:rPr>
              <w:t xml:space="preserve">　</w:t>
            </w:r>
            <w:r w:rsidRPr="00923B9F">
              <w:rPr>
                <w:b/>
                <w:bCs w:val="0"/>
                <w:color w:val="000000"/>
                <w:w w:val="15"/>
                <w:szCs w:val="20"/>
                <w:shd w:val="solid" w:color="000000" w:fill="000000"/>
                <w:fitText w:val="56" w:id="-1136813048"/>
                <w14:textFill>
                  <w14:solidFill>
                    <w14:srgbClr w14:val="000000">
                      <w14:alpha w14:val="100000"/>
                    </w14:srgbClr>
                  </w14:solidFill>
                </w14:textFill>
              </w:rPr>
              <w:t>|</w:t>
            </w:r>
            <w:r w:rsidRPr="00923B9F">
              <w:rPr>
                <w:rFonts w:hint="eastAsia"/>
                <w:b/>
                <w:bCs w:val="0"/>
                <w:color w:val="000000"/>
                <w:spacing w:val="-10"/>
                <w:w w:val="15"/>
                <w:szCs w:val="20"/>
                <w:shd w:val="solid" w:color="000000" w:fill="000000"/>
                <w:fitText w:val="56" w:id="-1136813048"/>
                <w14:textFill>
                  <w14:solidFill>
                    <w14:srgbClr w14:val="000000">
                      <w14:alpha w14:val="100000"/>
                    </w14:srgbClr>
                  </w14:solidFill>
                </w14:textFill>
              </w:rPr>
              <w:t xml:space="preserve">　</w:t>
            </w:r>
            <w:r w:rsidR="00F53355">
              <w:rPr>
                <w:szCs w:val="20"/>
                <w:vertAlign w:val="superscript"/>
              </w:rPr>
              <w:t>3</w:t>
            </w:r>
          </w:p>
        </w:tc>
        <w:tc>
          <w:tcPr>
            <w:tcW w:w="648" w:type="pct"/>
            <w:shd w:val="clear" w:color="auto" w:fill="auto"/>
          </w:tcPr>
          <w:p w14:paraId="4D0032B5" w14:textId="64DD30A7" w:rsidR="00D82049" w:rsidRPr="003F4735" w:rsidRDefault="00923B9F" w:rsidP="001E76E0">
            <w:pPr>
              <w:pStyle w:val="COMTabletext"/>
              <w:jc w:val="center"/>
              <w:rPr>
                <w:b/>
                <w:bCs w:val="0"/>
                <w:szCs w:val="20"/>
                <w:highlight w:val="lightGray"/>
              </w:rPr>
            </w:pPr>
            <w:r w:rsidRPr="00923B9F">
              <w:rPr>
                <w:rFonts w:hint="eastAsia"/>
                <w:b/>
                <w:bCs w:val="0"/>
                <w:color w:val="000000"/>
                <w:w w:val="15"/>
                <w:szCs w:val="20"/>
                <w:shd w:val="solid" w:color="000000" w:fill="000000"/>
                <w:fitText w:val="56" w:id="-1136813047"/>
                <w14:textFill>
                  <w14:solidFill>
                    <w14:srgbClr w14:val="000000">
                      <w14:alpha w14:val="100000"/>
                    </w14:srgbClr>
                  </w14:solidFill>
                </w14:textFill>
              </w:rPr>
              <w:t xml:space="preserve">　</w:t>
            </w:r>
            <w:r w:rsidRPr="00923B9F">
              <w:rPr>
                <w:b/>
                <w:bCs w:val="0"/>
                <w:color w:val="000000"/>
                <w:w w:val="15"/>
                <w:szCs w:val="20"/>
                <w:shd w:val="solid" w:color="000000" w:fill="000000"/>
                <w:fitText w:val="56" w:id="-1136813047"/>
                <w14:textFill>
                  <w14:solidFill>
                    <w14:srgbClr w14:val="000000">
                      <w14:alpha w14:val="100000"/>
                    </w14:srgbClr>
                  </w14:solidFill>
                </w14:textFill>
              </w:rPr>
              <w:t>|</w:t>
            </w:r>
            <w:r w:rsidRPr="00923B9F">
              <w:rPr>
                <w:rFonts w:hint="eastAsia"/>
                <w:b/>
                <w:bCs w:val="0"/>
                <w:color w:val="000000"/>
                <w:spacing w:val="-10"/>
                <w:w w:val="15"/>
                <w:szCs w:val="20"/>
                <w:shd w:val="solid" w:color="000000" w:fill="000000"/>
                <w:fitText w:val="56" w:id="-1136813047"/>
                <w14:textFill>
                  <w14:solidFill>
                    <w14:srgbClr w14:val="000000">
                      <w14:alpha w14:val="100000"/>
                    </w14:srgbClr>
                  </w14:solidFill>
                </w14:textFill>
              </w:rPr>
              <w:t xml:space="preserve">　</w:t>
            </w:r>
            <w:r w:rsidR="00F53355">
              <w:rPr>
                <w:szCs w:val="20"/>
                <w:vertAlign w:val="superscript"/>
              </w:rPr>
              <w:t>3</w:t>
            </w:r>
          </w:p>
        </w:tc>
        <w:tc>
          <w:tcPr>
            <w:tcW w:w="649" w:type="pct"/>
            <w:shd w:val="clear" w:color="auto" w:fill="auto"/>
          </w:tcPr>
          <w:p w14:paraId="1BA61DFA" w14:textId="6C143B00" w:rsidR="00D82049" w:rsidRPr="003F4735" w:rsidRDefault="00923B9F" w:rsidP="001E76E0">
            <w:pPr>
              <w:pStyle w:val="COMTabletext"/>
              <w:jc w:val="center"/>
              <w:rPr>
                <w:b/>
                <w:bCs w:val="0"/>
                <w:szCs w:val="20"/>
                <w:highlight w:val="lightGray"/>
              </w:rPr>
            </w:pPr>
            <w:r w:rsidRPr="00923B9F">
              <w:rPr>
                <w:rFonts w:hint="eastAsia"/>
                <w:b/>
                <w:bCs w:val="0"/>
                <w:color w:val="000000"/>
                <w:w w:val="15"/>
                <w:szCs w:val="20"/>
                <w:shd w:val="solid" w:color="000000" w:fill="000000"/>
                <w:fitText w:val="56" w:id="-1136813046"/>
                <w14:textFill>
                  <w14:solidFill>
                    <w14:srgbClr w14:val="000000">
                      <w14:alpha w14:val="100000"/>
                    </w14:srgbClr>
                  </w14:solidFill>
                </w14:textFill>
              </w:rPr>
              <w:t xml:space="preserve">　</w:t>
            </w:r>
            <w:r w:rsidRPr="00923B9F">
              <w:rPr>
                <w:b/>
                <w:bCs w:val="0"/>
                <w:color w:val="000000"/>
                <w:w w:val="15"/>
                <w:szCs w:val="20"/>
                <w:shd w:val="solid" w:color="000000" w:fill="000000"/>
                <w:fitText w:val="56" w:id="-1136813046"/>
                <w14:textFill>
                  <w14:solidFill>
                    <w14:srgbClr w14:val="000000">
                      <w14:alpha w14:val="100000"/>
                    </w14:srgbClr>
                  </w14:solidFill>
                </w14:textFill>
              </w:rPr>
              <w:t>|</w:t>
            </w:r>
            <w:r w:rsidRPr="00923B9F">
              <w:rPr>
                <w:rFonts w:hint="eastAsia"/>
                <w:b/>
                <w:bCs w:val="0"/>
                <w:color w:val="000000"/>
                <w:spacing w:val="-10"/>
                <w:w w:val="15"/>
                <w:szCs w:val="20"/>
                <w:shd w:val="solid" w:color="000000" w:fill="000000"/>
                <w:fitText w:val="56" w:id="-1136813046"/>
                <w14:textFill>
                  <w14:solidFill>
                    <w14:srgbClr w14:val="000000">
                      <w14:alpha w14:val="100000"/>
                    </w14:srgbClr>
                  </w14:solidFill>
                </w14:textFill>
              </w:rPr>
              <w:t xml:space="preserve">　</w:t>
            </w:r>
            <w:r w:rsidR="00F53355">
              <w:rPr>
                <w:szCs w:val="20"/>
                <w:vertAlign w:val="superscript"/>
              </w:rPr>
              <w:t>3</w:t>
            </w:r>
          </w:p>
        </w:tc>
      </w:tr>
      <w:tr w:rsidR="00D82049" w:rsidRPr="00936C32" w14:paraId="2B272E5D" w14:textId="77777777" w:rsidTr="001E76E0">
        <w:trPr>
          <w:tblHeader/>
        </w:trPr>
        <w:tc>
          <w:tcPr>
            <w:tcW w:w="5000" w:type="pct"/>
            <w:gridSpan w:val="7"/>
            <w:shd w:val="clear" w:color="auto" w:fill="F2F2F2" w:themeFill="background1" w:themeFillShade="F2"/>
            <w:vAlign w:val="center"/>
          </w:tcPr>
          <w:p w14:paraId="6B54B16A" w14:textId="77777777" w:rsidR="00D82049" w:rsidRPr="00936C32" w:rsidRDefault="00D82049" w:rsidP="001E76E0">
            <w:pPr>
              <w:pStyle w:val="COMTableheadingrow"/>
              <w:rPr>
                <w:szCs w:val="20"/>
                <w:lang w:val="en-AU"/>
              </w:rPr>
            </w:pPr>
            <w:r w:rsidRPr="00936C32">
              <w:rPr>
                <w:bCs/>
                <w:szCs w:val="20"/>
                <w:lang w:val="en-AU"/>
              </w:rPr>
              <w:t xml:space="preserve">July 2023 Pre-PBAC response </w:t>
            </w:r>
          </w:p>
        </w:tc>
      </w:tr>
      <w:tr w:rsidR="00D82049" w:rsidRPr="00936C32" w14:paraId="56BEDA72" w14:textId="77777777" w:rsidTr="001E76E0">
        <w:tc>
          <w:tcPr>
            <w:tcW w:w="1111" w:type="pct"/>
            <w:shd w:val="clear" w:color="auto" w:fill="auto"/>
            <w:vAlign w:val="center"/>
          </w:tcPr>
          <w:p w14:paraId="192A6D32" w14:textId="77777777" w:rsidR="00D82049" w:rsidRPr="00936C32" w:rsidRDefault="00D82049" w:rsidP="001E76E0">
            <w:pPr>
              <w:pStyle w:val="COMTabletext"/>
              <w:rPr>
                <w:szCs w:val="20"/>
              </w:rPr>
            </w:pPr>
            <w:r w:rsidRPr="00936C32">
              <w:rPr>
                <w:szCs w:val="20"/>
              </w:rPr>
              <w:t>Total eligible patients</w:t>
            </w:r>
          </w:p>
        </w:tc>
        <w:tc>
          <w:tcPr>
            <w:tcW w:w="648" w:type="pct"/>
            <w:shd w:val="clear" w:color="auto" w:fill="auto"/>
            <w:vAlign w:val="center"/>
          </w:tcPr>
          <w:p w14:paraId="0BABCE9D" w14:textId="19EFFC84"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hd w:val="solid" w:color="000000" w:fill="000000"/>
                <w:fitText w:val="37" w:id="-1136813045"/>
                <w14:textFill>
                  <w14:solidFill>
                    <w14:srgbClr w14:val="000000">
                      <w14:alpha w14:val="100000"/>
                    </w14:srgbClr>
                  </w14:solidFill>
                </w14:textFill>
              </w:rPr>
              <w:t xml:space="preserve">　</w:t>
            </w:r>
            <w:r w:rsidRPr="00923B9F">
              <w:rPr>
                <w:color w:val="000000"/>
                <w:w w:val="15"/>
                <w:shd w:val="solid" w:color="000000" w:fill="000000"/>
                <w:fitText w:val="37" w:id="-1136813045"/>
                <w14:textFill>
                  <w14:solidFill>
                    <w14:srgbClr w14:val="000000">
                      <w14:alpha w14:val="100000"/>
                    </w14:srgbClr>
                  </w14:solidFill>
                </w14:textFill>
              </w:rPr>
              <w:t>|</w:t>
            </w:r>
            <w:r w:rsidRPr="00923B9F">
              <w:rPr>
                <w:rFonts w:hint="eastAsia"/>
                <w:color w:val="000000"/>
                <w:spacing w:val="-28"/>
                <w:w w:val="15"/>
                <w:shd w:val="solid" w:color="000000" w:fill="000000"/>
                <w:fitText w:val="37" w:id="-1136813045"/>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59222065" w14:textId="05A80E85"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44"/>
                <w14:textFill>
                  <w14:solidFill>
                    <w14:srgbClr w14:val="000000">
                      <w14:alpha w14:val="100000"/>
                    </w14:srgbClr>
                  </w14:solidFill>
                </w14:textFill>
              </w:rPr>
              <w:t xml:space="preserve">　</w:t>
            </w:r>
            <w:r w:rsidRPr="00923B9F">
              <w:rPr>
                <w:color w:val="000000"/>
                <w:w w:val="15"/>
                <w:szCs w:val="20"/>
                <w:shd w:val="solid" w:color="000000" w:fill="000000"/>
                <w:fitText w:val="38" w:id="-1136813044"/>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4"/>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0D41A7D9" w14:textId="1FBB51C2"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3"/>
                <w14:textFill>
                  <w14:solidFill>
                    <w14:srgbClr w14:val="000000">
                      <w14:alpha w14:val="100000"/>
                    </w14:srgbClr>
                  </w14:solidFill>
                </w14:textFill>
              </w:rPr>
              <w:t xml:space="preserve">　</w:t>
            </w:r>
            <w:r w:rsidRPr="00923B9F">
              <w:rPr>
                <w:color w:val="000000"/>
                <w:w w:val="15"/>
                <w:szCs w:val="20"/>
                <w:shd w:val="solid" w:color="000000" w:fill="000000"/>
                <w:fitText w:val="37" w:id="-1136813043"/>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3"/>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2AD0EB8D" w14:textId="0CA25AF4"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7" w:id="-1136813042"/>
                <w14:textFill>
                  <w14:solidFill>
                    <w14:srgbClr w14:val="000000">
                      <w14:alpha w14:val="100000"/>
                    </w14:srgbClr>
                  </w14:solidFill>
                </w14:textFill>
              </w:rPr>
              <w:t xml:space="preserve">　</w:t>
            </w:r>
            <w:r w:rsidRPr="00923B9F">
              <w:rPr>
                <w:color w:val="000000"/>
                <w:w w:val="15"/>
                <w:szCs w:val="20"/>
                <w:shd w:val="solid" w:color="000000" w:fill="000000"/>
                <w:fitText w:val="37" w:id="-1136813042"/>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3042"/>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vAlign w:val="center"/>
          </w:tcPr>
          <w:p w14:paraId="2BE95126" w14:textId="70FB0C2C" w:rsidR="00D82049" w:rsidRPr="003F4735" w:rsidRDefault="00923B9F" w:rsidP="001E76E0">
            <w:pPr>
              <w:pStyle w:val="COMTabletext"/>
              <w:jc w:val="center"/>
              <w:rPr>
                <w:rFonts w:cs="Arial"/>
                <w:color w:val="000000"/>
                <w:szCs w:val="20"/>
                <w:highlight w:val="lightGray"/>
              </w:rPr>
            </w:pPr>
            <w:r w:rsidRPr="00923B9F">
              <w:rPr>
                <w:rFonts w:hint="eastAsia"/>
                <w:color w:val="000000"/>
                <w:w w:val="15"/>
                <w:szCs w:val="20"/>
                <w:shd w:val="solid" w:color="000000" w:fill="000000"/>
                <w:fitText w:val="38" w:id="-1136813041"/>
                <w14:textFill>
                  <w14:solidFill>
                    <w14:srgbClr w14:val="000000">
                      <w14:alpha w14:val="100000"/>
                    </w14:srgbClr>
                  </w14:solidFill>
                </w14:textFill>
              </w:rPr>
              <w:t xml:space="preserve">　</w:t>
            </w:r>
            <w:r w:rsidRPr="00923B9F">
              <w:rPr>
                <w:color w:val="000000"/>
                <w:w w:val="15"/>
                <w:szCs w:val="20"/>
                <w:shd w:val="solid" w:color="000000" w:fill="000000"/>
                <w:fitText w:val="38" w:id="-1136813041"/>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3041"/>
                <w14:textFill>
                  <w14:solidFill>
                    <w14:srgbClr w14:val="000000">
                      <w14:alpha w14:val="100000"/>
                    </w14:srgbClr>
                  </w14:solidFill>
                </w14:textFill>
              </w:rPr>
              <w:t xml:space="preserve">　</w:t>
            </w:r>
            <w:r w:rsidR="00BE5ABA" w:rsidRPr="001E76E0">
              <w:rPr>
                <w:vertAlign w:val="superscript"/>
              </w:rPr>
              <w:t>1</w:t>
            </w:r>
          </w:p>
        </w:tc>
        <w:tc>
          <w:tcPr>
            <w:tcW w:w="649" w:type="pct"/>
            <w:shd w:val="clear" w:color="auto" w:fill="auto"/>
            <w:vAlign w:val="center"/>
          </w:tcPr>
          <w:p w14:paraId="30DAD8E0" w14:textId="151C5E44" w:rsidR="00D82049" w:rsidRPr="003F4735" w:rsidRDefault="00923B9F" w:rsidP="001E76E0">
            <w:pPr>
              <w:pStyle w:val="COMTabletext"/>
              <w:jc w:val="center"/>
              <w:rPr>
                <w:rFonts w:cs="Arial"/>
                <w:color w:val="000000"/>
                <w:szCs w:val="20"/>
                <w:highlight w:val="lightGray"/>
              </w:rPr>
            </w:pPr>
            <w:r w:rsidRPr="00B80329">
              <w:rPr>
                <w:rFonts w:hint="eastAsia"/>
                <w:color w:val="000000"/>
                <w:spacing w:val="-182"/>
                <w:szCs w:val="20"/>
                <w:shd w:val="solid" w:color="000000" w:fill="000000"/>
                <w:fitText w:val="18" w:id="-1136813040"/>
                <w14:textFill>
                  <w14:solidFill>
                    <w14:srgbClr w14:val="000000">
                      <w14:alpha w14:val="100000"/>
                    </w14:srgbClr>
                  </w14:solidFill>
                </w14:textFill>
              </w:rPr>
              <w:t xml:space="preserve">　</w:t>
            </w:r>
            <w:r w:rsidRPr="008A255E">
              <w:rPr>
                <w:color w:val="000000"/>
                <w:w w:val="15"/>
                <w:szCs w:val="20"/>
                <w:shd w:val="solid" w:color="000000" w:fill="000000"/>
                <w14:textFill>
                  <w14:solidFill>
                    <w14:srgbClr w14:val="000000">
                      <w14:alpha w14:val="100000"/>
                    </w14:srgbClr>
                  </w14:solidFill>
                </w14:textFill>
              </w:rPr>
              <w:t>|</w:t>
            </w:r>
            <w:r w:rsidRPr="008A255E">
              <w:rPr>
                <w:rFonts w:hint="eastAsia"/>
                <w:color w:val="000000"/>
                <w:w w:val="15"/>
                <w:szCs w:val="20"/>
                <w:shd w:val="solid" w:color="000000" w:fill="000000"/>
                <w14:textFill>
                  <w14:solidFill>
                    <w14:srgbClr w14:val="000000">
                      <w14:alpha w14:val="100000"/>
                    </w14:srgbClr>
                  </w14:solidFill>
                </w14:textFill>
              </w:rPr>
              <w:t xml:space="preserve">　</w:t>
            </w:r>
            <w:r w:rsidR="00BE5ABA" w:rsidRPr="001E76E0">
              <w:rPr>
                <w:vertAlign w:val="superscript"/>
              </w:rPr>
              <w:t>1</w:t>
            </w:r>
          </w:p>
        </w:tc>
      </w:tr>
      <w:tr w:rsidR="00D82049" w:rsidRPr="00936C32" w14:paraId="5CE8A93B" w14:textId="77777777" w:rsidTr="001E76E0">
        <w:tc>
          <w:tcPr>
            <w:tcW w:w="1111" w:type="pct"/>
            <w:shd w:val="clear" w:color="auto" w:fill="auto"/>
            <w:vAlign w:val="center"/>
          </w:tcPr>
          <w:p w14:paraId="72CF35C8" w14:textId="77777777" w:rsidR="00D82049" w:rsidRPr="00936C32" w:rsidRDefault="00D82049" w:rsidP="001E76E0">
            <w:pPr>
              <w:pStyle w:val="COMTabletext"/>
              <w:rPr>
                <w:szCs w:val="20"/>
              </w:rPr>
            </w:pPr>
            <w:r w:rsidRPr="00936C32">
              <w:rPr>
                <w:szCs w:val="20"/>
              </w:rPr>
              <w:t>Total treated patients</w:t>
            </w:r>
          </w:p>
          <w:p w14:paraId="124F28DA" w14:textId="77777777" w:rsidR="00D82049" w:rsidRPr="00936C32" w:rsidRDefault="00D82049" w:rsidP="001E76E0">
            <w:pPr>
              <w:pStyle w:val="COMTabletext"/>
              <w:rPr>
                <w:szCs w:val="20"/>
              </w:rPr>
            </w:pPr>
            <w:r w:rsidRPr="00936C32">
              <w:rPr>
                <w:szCs w:val="20"/>
              </w:rPr>
              <w:t>(did not specify uptake)</w:t>
            </w:r>
          </w:p>
        </w:tc>
        <w:tc>
          <w:tcPr>
            <w:tcW w:w="648" w:type="pct"/>
            <w:shd w:val="clear" w:color="auto" w:fill="auto"/>
            <w:vAlign w:val="center"/>
          </w:tcPr>
          <w:p w14:paraId="01DEFBF4" w14:textId="77777777" w:rsidR="00D82049" w:rsidRPr="00936C32" w:rsidRDefault="00D82049" w:rsidP="001E76E0">
            <w:pPr>
              <w:pStyle w:val="COMTabletext"/>
              <w:jc w:val="center"/>
              <w:rPr>
                <w:szCs w:val="20"/>
              </w:rPr>
            </w:pPr>
            <w:r w:rsidRPr="00936C32">
              <w:rPr>
                <w:szCs w:val="20"/>
              </w:rPr>
              <w:t>n.r.</w:t>
            </w:r>
          </w:p>
        </w:tc>
        <w:tc>
          <w:tcPr>
            <w:tcW w:w="648" w:type="pct"/>
            <w:shd w:val="clear" w:color="auto" w:fill="auto"/>
            <w:vAlign w:val="center"/>
          </w:tcPr>
          <w:p w14:paraId="6274816D" w14:textId="77777777" w:rsidR="00D82049" w:rsidRPr="00936C32" w:rsidRDefault="00D82049" w:rsidP="001E76E0">
            <w:pPr>
              <w:pStyle w:val="COMTabletext"/>
              <w:jc w:val="center"/>
              <w:rPr>
                <w:szCs w:val="20"/>
              </w:rPr>
            </w:pPr>
            <w:r w:rsidRPr="00936C32">
              <w:rPr>
                <w:szCs w:val="20"/>
              </w:rPr>
              <w:t>n.r.</w:t>
            </w:r>
          </w:p>
        </w:tc>
        <w:tc>
          <w:tcPr>
            <w:tcW w:w="648" w:type="pct"/>
            <w:shd w:val="clear" w:color="auto" w:fill="auto"/>
            <w:vAlign w:val="center"/>
          </w:tcPr>
          <w:p w14:paraId="2A961EDF" w14:textId="77777777" w:rsidR="00D82049" w:rsidRPr="00936C32" w:rsidRDefault="00D82049" w:rsidP="001E76E0">
            <w:pPr>
              <w:pStyle w:val="COMTabletext"/>
              <w:jc w:val="center"/>
              <w:rPr>
                <w:szCs w:val="20"/>
              </w:rPr>
            </w:pPr>
            <w:r w:rsidRPr="00936C32">
              <w:rPr>
                <w:szCs w:val="20"/>
              </w:rPr>
              <w:t>n.r.</w:t>
            </w:r>
          </w:p>
        </w:tc>
        <w:tc>
          <w:tcPr>
            <w:tcW w:w="648" w:type="pct"/>
            <w:shd w:val="clear" w:color="auto" w:fill="auto"/>
            <w:vAlign w:val="center"/>
          </w:tcPr>
          <w:p w14:paraId="5C2B2D8C" w14:textId="77777777" w:rsidR="00D82049" w:rsidRPr="00936C32" w:rsidRDefault="00D82049" w:rsidP="001E76E0">
            <w:pPr>
              <w:pStyle w:val="COMTabletext"/>
              <w:jc w:val="center"/>
              <w:rPr>
                <w:szCs w:val="20"/>
              </w:rPr>
            </w:pPr>
            <w:r w:rsidRPr="00936C32">
              <w:rPr>
                <w:szCs w:val="20"/>
              </w:rPr>
              <w:t>n.r.</w:t>
            </w:r>
          </w:p>
        </w:tc>
        <w:tc>
          <w:tcPr>
            <w:tcW w:w="648" w:type="pct"/>
            <w:shd w:val="clear" w:color="auto" w:fill="auto"/>
            <w:vAlign w:val="center"/>
          </w:tcPr>
          <w:p w14:paraId="7F7F3A35" w14:textId="77777777" w:rsidR="00D82049" w:rsidRPr="00936C32" w:rsidRDefault="00D82049" w:rsidP="001E76E0">
            <w:pPr>
              <w:pStyle w:val="COMTabletext"/>
              <w:jc w:val="center"/>
              <w:rPr>
                <w:szCs w:val="20"/>
              </w:rPr>
            </w:pPr>
            <w:r w:rsidRPr="00936C32">
              <w:rPr>
                <w:szCs w:val="20"/>
              </w:rPr>
              <w:t>n.r.</w:t>
            </w:r>
          </w:p>
        </w:tc>
        <w:tc>
          <w:tcPr>
            <w:tcW w:w="649" w:type="pct"/>
            <w:shd w:val="clear" w:color="auto" w:fill="auto"/>
            <w:vAlign w:val="center"/>
          </w:tcPr>
          <w:p w14:paraId="4EE9081A" w14:textId="77777777" w:rsidR="00D82049" w:rsidRPr="00936C32" w:rsidRDefault="00D82049" w:rsidP="001E76E0">
            <w:pPr>
              <w:pStyle w:val="COMTabletext"/>
              <w:jc w:val="center"/>
              <w:rPr>
                <w:szCs w:val="20"/>
              </w:rPr>
            </w:pPr>
            <w:r w:rsidRPr="00936C32">
              <w:rPr>
                <w:szCs w:val="20"/>
              </w:rPr>
              <w:t>n.r.</w:t>
            </w:r>
          </w:p>
        </w:tc>
      </w:tr>
      <w:tr w:rsidR="00D82049" w:rsidRPr="00936C32" w14:paraId="7B9E8B58" w14:textId="77777777" w:rsidTr="001E76E0">
        <w:tc>
          <w:tcPr>
            <w:tcW w:w="5000" w:type="pct"/>
            <w:gridSpan w:val="7"/>
            <w:shd w:val="clear" w:color="auto" w:fill="F2F2F2" w:themeFill="background1" w:themeFillShade="F2"/>
            <w:vAlign w:val="center"/>
          </w:tcPr>
          <w:p w14:paraId="64B129D4" w14:textId="77777777" w:rsidR="00D82049" w:rsidRPr="00936C32" w:rsidRDefault="00D82049" w:rsidP="001E76E0">
            <w:pPr>
              <w:pStyle w:val="COMTabletext"/>
              <w:rPr>
                <w:b/>
                <w:bCs w:val="0"/>
                <w:szCs w:val="20"/>
              </w:rPr>
            </w:pPr>
            <w:r w:rsidRPr="00936C32">
              <w:rPr>
                <w:b/>
                <w:szCs w:val="20"/>
              </w:rPr>
              <w:t>September 2023 Resubmission</w:t>
            </w:r>
          </w:p>
        </w:tc>
      </w:tr>
      <w:tr w:rsidR="00D82049" w:rsidRPr="00936C32" w14:paraId="4292BD3F" w14:textId="77777777" w:rsidTr="001E76E0">
        <w:tc>
          <w:tcPr>
            <w:tcW w:w="1111" w:type="pct"/>
            <w:shd w:val="clear" w:color="auto" w:fill="auto"/>
            <w:vAlign w:val="bottom"/>
          </w:tcPr>
          <w:p w14:paraId="0C54AD4D" w14:textId="77777777" w:rsidR="00D82049" w:rsidRPr="00936C32" w:rsidRDefault="00D82049" w:rsidP="001E76E0">
            <w:pPr>
              <w:pStyle w:val="COMTabletext"/>
              <w:rPr>
                <w:b/>
                <w:bCs w:val="0"/>
                <w:szCs w:val="20"/>
              </w:rPr>
            </w:pPr>
            <w:r w:rsidRPr="00936C32">
              <w:rPr>
                <w:szCs w:val="20"/>
              </w:rPr>
              <w:t>Total eligible patients</w:t>
            </w:r>
            <w:r w:rsidRPr="00936C32">
              <w:rPr>
                <w:szCs w:val="20"/>
                <w:vertAlign w:val="superscript"/>
              </w:rPr>
              <w:t>a</w:t>
            </w:r>
          </w:p>
        </w:tc>
        <w:tc>
          <w:tcPr>
            <w:tcW w:w="648" w:type="pct"/>
            <w:shd w:val="clear" w:color="auto" w:fill="auto"/>
          </w:tcPr>
          <w:p w14:paraId="2789200B" w14:textId="2B25FF44" w:rsidR="00D82049" w:rsidRPr="003F4735" w:rsidRDefault="00923B9F" w:rsidP="001E76E0">
            <w:pPr>
              <w:pStyle w:val="COMTabletext"/>
              <w:jc w:val="center"/>
              <w:rPr>
                <w:rFonts w:cstheme="minorHAnsi"/>
                <w:bCs w:val="0"/>
                <w:color w:val="000000"/>
                <w:szCs w:val="20"/>
                <w:highlight w:val="lightGray"/>
              </w:rPr>
            </w:pPr>
            <w:r w:rsidRPr="00923B9F">
              <w:rPr>
                <w:rFonts w:hint="eastAsia"/>
                <w:color w:val="000000"/>
                <w:w w:val="15"/>
                <w:shd w:val="solid" w:color="000000" w:fill="000000"/>
                <w:fitText w:val="37" w:id="-1136813056"/>
                <w14:textFill>
                  <w14:solidFill>
                    <w14:srgbClr w14:val="000000">
                      <w14:alpha w14:val="100000"/>
                    </w14:srgbClr>
                  </w14:solidFill>
                </w14:textFill>
              </w:rPr>
              <w:t xml:space="preserve">　</w:t>
            </w:r>
            <w:r w:rsidRPr="00923B9F">
              <w:rPr>
                <w:color w:val="000000"/>
                <w:w w:val="15"/>
                <w:shd w:val="solid" w:color="000000" w:fill="000000"/>
                <w:fitText w:val="37" w:id="-1136813056"/>
                <w14:textFill>
                  <w14:solidFill>
                    <w14:srgbClr w14:val="000000">
                      <w14:alpha w14:val="100000"/>
                    </w14:srgbClr>
                  </w14:solidFill>
                </w14:textFill>
              </w:rPr>
              <w:t>|</w:t>
            </w:r>
            <w:r w:rsidRPr="00923B9F">
              <w:rPr>
                <w:rFonts w:hint="eastAsia"/>
                <w:color w:val="000000"/>
                <w:spacing w:val="-28"/>
                <w:w w:val="15"/>
                <w:shd w:val="solid" w:color="000000" w:fill="000000"/>
                <w:fitText w:val="37" w:id="-1136813056"/>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529EFAE5" w14:textId="71BF26FB" w:rsidR="00D82049" w:rsidRPr="003F4735" w:rsidRDefault="00923B9F" w:rsidP="001E76E0">
            <w:pPr>
              <w:pStyle w:val="COMTabletext"/>
              <w:jc w:val="center"/>
              <w:rPr>
                <w:bCs w:val="0"/>
                <w:szCs w:val="20"/>
                <w:highlight w:val="lightGray"/>
              </w:rPr>
            </w:pPr>
            <w:r w:rsidRPr="00923B9F">
              <w:rPr>
                <w:rFonts w:hint="eastAsia"/>
                <w:bCs w:val="0"/>
                <w:color w:val="000000"/>
                <w:w w:val="15"/>
                <w:szCs w:val="20"/>
                <w:shd w:val="solid" w:color="000000" w:fill="000000"/>
                <w:fitText w:val="38" w:id="-1136812800"/>
                <w14:textFill>
                  <w14:solidFill>
                    <w14:srgbClr w14:val="000000">
                      <w14:alpha w14:val="100000"/>
                    </w14:srgbClr>
                  </w14:solidFill>
                </w14:textFill>
              </w:rPr>
              <w:t xml:space="preserve">　</w:t>
            </w:r>
            <w:r w:rsidRPr="00923B9F">
              <w:rPr>
                <w:bCs w:val="0"/>
                <w:color w:val="000000"/>
                <w:w w:val="15"/>
                <w:szCs w:val="20"/>
                <w:shd w:val="solid" w:color="000000" w:fill="000000"/>
                <w:fitText w:val="38" w:id="-1136812800"/>
                <w14:textFill>
                  <w14:solidFill>
                    <w14:srgbClr w14:val="000000">
                      <w14:alpha w14:val="100000"/>
                    </w14:srgbClr>
                  </w14:solidFill>
                </w14:textFill>
              </w:rPr>
              <w:t>|</w:t>
            </w:r>
            <w:r w:rsidRPr="00923B9F">
              <w:rPr>
                <w:rFonts w:hint="eastAsia"/>
                <w:bCs w:val="0"/>
                <w:color w:val="000000"/>
                <w:spacing w:val="-27"/>
                <w:w w:val="15"/>
                <w:szCs w:val="20"/>
                <w:shd w:val="solid" w:color="000000" w:fill="000000"/>
                <w:fitText w:val="38" w:id="-1136812800"/>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380C062C" w14:textId="1D83EFED" w:rsidR="00D82049" w:rsidRPr="003F4735" w:rsidRDefault="00923B9F" w:rsidP="001E76E0">
            <w:pPr>
              <w:pStyle w:val="COMTabletext"/>
              <w:jc w:val="center"/>
              <w:rPr>
                <w:bCs w:val="0"/>
                <w:szCs w:val="20"/>
                <w:highlight w:val="lightGray"/>
              </w:rPr>
            </w:pPr>
            <w:r w:rsidRPr="00923B9F">
              <w:rPr>
                <w:rFonts w:hint="eastAsia"/>
                <w:bCs w:val="0"/>
                <w:color w:val="000000"/>
                <w:w w:val="15"/>
                <w:szCs w:val="20"/>
                <w:shd w:val="solid" w:color="000000" w:fill="000000"/>
                <w:fitText w:val="37" w:id="-1136812799"/>
                <w14:textFill>
                  <w14:solidFill>
                    <w14:srgbClr w14:val="000000">
                      <w14:alpha w14:val="100000"/>
                    </w14:srgbClr>
                  </w14:solidFill>
                </w14:textFill>
              </w:rPr>
              <w:t xml:space="preserve">　</w:t>
            </w:r>
            <w:r w:rsidRPr="00923B9F">
              <w:rPr>
                <w:bCs w:val="0"/>
                <w:color w:val="000000"/>
                <w:w w:val="15"/>
                <w:szCs w:val="20"/>
                <w:shd w:val="solid" w:color="000000" w:fill="000000"/>
                <w:fitText w:val="37" w:id="-1136812799"/>
                <w14:textFill>
                  <w14:solidFill>
                    <w14:srgbClr w14:val="000000">
                      <w14:alpha w14:val="100000"/>
                    </w14:srgbClr>
                  </w14:solidFill>
                </w14:textFill>
              </w:rPr>
              <w:t>|</w:t>
            </w:r>
            <w:r w:rsidRPr="00923B9F">
              <w:rPr>
                <w:rFonts w:hint="eastAsia"/>
                <w:bCs w:val="0"/>
                <w:color w:val="000000"/>
                <w:spacing w:val="-28"/>
                <w:w w:val="15"/>
                <w:szCs w:val="20"/>
                <w:shd w:val="solid" w:color="000000" w:fill="000000"/>
                <w:fitText w:val="37" w:id="-1136812799"/>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40559DCD" w14:textId="38D90915" w:rsidR="00D82049" w:rsidRPr="003F4735" w:rsidRDefault="00923B9F" w:rsidP="001E76E0">
            <w:pPr>
              <w:pStyle w:val="COMTabletext"/>
              <w:jc w:val="center"/>
              <w:rPr>
                <w:bCs w:val="0"/>
                <w:szCs w:val="20"/>
                <w:highlight w:val="lightGray"/>
              </w:rPr>
            </w:pPr>
            <w:r w:rsidRPr="00923B9F">
              <w:rPr>
                <w:rFonts w:hint="eastAsia"/>
                <w:bCs w:val="0"/>
                <w:color w:val="000000"/>
                <w:w w:val="15"/>
                <w:szCs w:val="20"/>
                <w:shd w:val="solid" w:color="000000" w:fill="000000"/>
                <w:fitText w:val="37" w:id="-1136812798"/>
                <w14:textFill>
                  <w14:solidFill>
                    <w14:srgbClr w14:val="000000">
                      <w14:alpha w14:val="100000"/>
                    </w14:srgbClr>
                  </w14:solidFill>
                </w14:textFill>
              </w:rPr>
              <w:t xml:space="preserve">　</w:t>
            </w:r>
            <w:r w:rsidRPr="00923B9F">
              <w:rPr>
                <w:bCs w:val="0"/>
                <w:color w:val="000000"/>
                <w:w w:val="15"/>
                <w:szCs w:val="20"/>
                <w:shd w:val="solid" w:color="000000" w:fill="000000"/>
                <w:fitText w:val="37" w:id="-1136812798"/>
                <w14:textFill>
                  <w14:solidFill>
                    <w14:srgbClr w14:val="000000">
                      <w14:alpha w14:val="100000"/>
                    </w14:srgbClr>
                  </w14:solidFill>
                </w14:textFill>
              </w:rPr>
              <w:t>|</w:t>
            </w:r>
            <w:r w:rsidRPr="00923B9F">
              <w:rPr>
                <w:rFonts w:hint="eastAsia"/>
                <w:bCs w:val="0"/>
                <w:color w:val="000000"/>
                <w:spacing w:val="-28"/>
                <w:w w:val="15"/>
                <w:szCs w:val="20"/>
                <w:shd w:val="solid" w:color="000000" w:fill="000000"/>
                <w:fitText w:val="37" w:id="-1136812798"/>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2F9396D1" w14:textId="2D7F4CD6" w:rsidR="00D82049" w:rsidRPr="003F4735" w:rsidRDefault="00923B9F" w:rsidP="001E76E0">
            <w:pPr>
              <w:pStyle w:val="COMTabletext"/>
              <w:jc w:val="center"/>
              <w:rPr>
                <w:bCs w:val="0"/>
                <w:szCs w:val="20"/>
                <w:highlight w:val="lightGray"/>
              </w:rPr>
            </w:pPr>
            <w:r w:rsidRPr="00923B9F">
              <w:rPr>
                <w:rFonts w:hint="eastAsia"/>
                <w:bCs w:val="0"/>
                <w:color w:val="000000"/>
                <w:w w:val="15"/>
                <w:szCs w:val="20"/>
                <w:shd w:val="solid" w:color="000000" w:fill="000000"/>
                <w:fitText w:val="38" w:id="-1136812797"/>
                <w14:textFill>
                  <w14:solidFill>
                    <w14:srgbClr w14:val="000000">
                      <w14:alpha w14:val="100000"/>
                    </w14:srgbClr>
                  </w14:solidFill>
                </w14:textFill>
              </w:rPr>
              <w:t xml:space="preserve">　</w:t>
            </w:r>
            <w:r w:rsidRPr="00923B9F">
              <w:rPr>
                <w:bCs w:val="0"/>
                <w:color w:val="000000"/>
                <w:w w:val="15"/>
                <w:szCs w:val="20"/>
                <w:shd w:val="solid" w:color="000000" w:fill="000000"/>
                <w:fitText w:val="38" w:id="-1136812797"/>
                <w14:textFill>
                  <w14:solidFill>
                    <w14:srgbClr w14:val="000000">
                      <w14:alpha w14:val="100000"/>
                    </w14:srgbClr>
                  </w14:solidFill>
                </w14:textFill>
              </w:rPr>
              <w:t>|</w:t>
            </w:r>
            <w:r w:rsidRPr="00923B9F">
              <w:rPr>
                <w:rFonts w:hint="eastAsia"/>
                <w:bCs w:val="0"/>
                <w:color w:val="000000"/>
                <w:spacing w:val="-27"/>
                <w:w w:val="15"/>
                <w:szCs w:val="20"/>
                <w:shd w:val="solid" w:color="000000" w:fill="000000"/>
                <w:fitText w:val="38" w:id="-1136812797"/>
                <w14:textFill>
                  <w14:solidFill>
                    <w14:srgbClr w14:val="000000">
                      <w14:alpha w14:val="100000"/>
                    </w14:srgbClr>
                  </w14:solidFill>
                </w14:textFill>
              </w:rPr>
              <w:t xml:space="preserve">　</w:t>
            </w:r>
            <w:r w:rsidR="00BE5ABA" w:rsidRPr="001E76E0">
              <w:rPr>
                <w:vertAlign w:val="superscript"/>
              </w:rPr>
              <w:t>1</w:t>
            </w:r>
          </w:p>
        </w:tc>
        <w:tc>
          <w:tcPr>
            <w:tcW w:w="649" w:type="pct"/>
            <w:shd w:val="clear" w:color="auto" w:fill="auto"/>
          </w:tcPr>
          <w:p w14:paraId="4C0DA57E" w14:textId="4EF0D0D9" w:rsidR="00D82049" w:rsidRPr="003F4735" w:rsidRDefault="00923B9F" w:rsidP="001E76E0">
            <w:pPr>
              <w:pStyle w:val="COMTabletext"/>
              <w:jc w:val="center"/>
              <w:rPr>
                <w:bCs w:val="0"/>
                <w:szCs w:val="20"/>
                <w:highlight w:val="lightGray"/>
              </w:rPr>
            </w:pPr>
            <w:r w:rsidRPr="00B80329">
              <w:rPr>
                <w:rFonts w:hint="eastAsia"/>
                <w:bCs w:val="0"/>
                <w:color w:val="000000"/>
                <w:spacing w:val="-182"/>
                <w:szCs w:val="20"/>
                <w:shd w:val="solid" w:color="000000" w:fill="000000"/>
                <w:fitText w:val="18" w:id="-1136812796"/>
                <w14:textFill>
                  <w14:solidFill>
                    <w14:srgbClr w14:val="000000">
                      <w14:alpha w14:val="100000"/>
                    </w14:srgbClr>
                  </w14:solidFill>
                </w14:textFill>
              </w:rPr>
              <w:t xml:space="preserve">　</w:t>
            </w:r>
            <w:r w:rsidRPr="008A255E">
              <w:rPr>
                <w:bCs w:val="0"/>
                <w:color w:val="000000"/>
                <w:w w:val="15"/>
                <w:szCs w:val="20"/>
                <w:shd w:val="solid" w:color="000000" w:fill="000000"/>
                <w14:textFill>
                  <w14:solidFill>
                    <w14:srgbClr w14:val="000000">
                      <w14:alpha w14:val="100000"/>
                    </w14:srgbClr>
                  </w14:solidFill>
                </w14:textFill>
              </w:rPr>
              <w:t>|</w:t>
            </w:r>
            <w:r w:rsidRPr="008A255E">
              <w:rPr>
                <w:rFonts w:hint="eastAsia"/>
                <w:bCs w:val="0"/>
                <w:color w:val="000000"/>
                <w:w w:val="15"/>
                <w:szCs w:val="20"/>
                <w:shd w:val="solid" w:color="000000" w:fill="000000"/>
                <w14:textFill>
                  <w14:solidFill>
                    <w14:srgbClr w14:val="000000">
                      <w14:alpha w14:val="100000"/>
                    </w14:srgbClr>
                  </w14:solidFill>
                </w14:textFill>
              </w:rPr>
              <w:t xml:space="preserve">　</w:t>
            </w:r>
            <w:r w:rsidR="00BE5ABA" w:rsidRPr="001E76E0">
              <w:rPr>
                <w:vertAlign w:val="superscript"/>
              </w:rPr>
              <w:t>1</w:t>
            </w:r>
          </w:p>
        </w:tc>
      </w:tr>
      <w:tr w:rsidR="00D82049" w:rsidRPr="00936C32" w14:paraId="34121248" w14:textId="77777777" w:rsidTr="001E76E0">
        <w:tc>
          <w:tcPr>
            <w:tcW w:w="1111" w:type="pct"/>
            <w:shd w:val="clear" w:color="auto" w:fill="auto"/>
            <w:vAlign w:val="bottom"/>
          </w:tcPr>
          <w:p w14:paraId="1272F800" w14:textId="77777777" w:rsidR="00D82049" w:rsidRPr="00936C32" w:rsidRDefault="00D82049" w:rsidP="001E76E0">
            <w:pPr>
              <w:pStyle w:val="COMTabletext"/>
              <w:rPr>
                <w:szCs w:val="20"/>
              </w:rPr>
            </w:pPr>
            <w:r w:rsidRPr="00936C32">
              <w:rPr>
                <w:szCs w:val="20"/>
              </w:rPr>
              <w:t>Total treated patients</w:t>
            </w:r>
          </w:p>
        </w:tc>
        <w:tc>
          <w:tcPr>
            <w:tcW w:w="648" w:type="pct"/>
            <w:shd w:val="clear" w:color="auto" w:fill="auto"/>
          </w:tcPr>
          <w:p w14:paraId="5FA0D0DE" w14:textId="3A8F3C4A" w:rsidR="00D82049" w:rsidRPr="003F4735" w:rsidRDefault="00923B9F" w:rsidP="001E76E0">
            <w:pPr>
              <w:pStyle w:val="COMTabletext"/>
              <w:jc w:val="center"/>
              <w:rPr>
                <w:rFonts w:cstheme="minorHAnsi"/>
                <w:bCs w:val="0"/>
                <w:color w:val="000000"/>
                <w:szCs w:val="20"/>
                <w:highlight w:val="lightGray"/>
              </w:rPr>
            </w:pPr>
            <w:r w:rsidRPr="00923B9F">
              <w:rPr>
                <w:rFonts w:cstheme="minorHAnsi" w:hint="eastAsia"/>
                <w:bCs w:val="0"/>
                <w:color w:val="000000"/>
                <w:w w:val="15"/>
                <w:szCs w:val="20"/>
                <w:shd w:val="solid" w:color="000000" w:fill="000000"/>
                <w:fitText w:val="37" w:id="-1136812795"/>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95"/>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95"/>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3779CFAE" w14:textId="4B338F2B" w:rsidR="00D82049" w:rsidRPr="003F4735" w:rsidRDefault="00923B9F" w:rsidP="001E76E0">
            <w:pPr>
              <w:pStyle w:val="COMTabletext"/>
              <w:jc w:val="center"/>
              <w:rPr>
                <w:rFonts w:cstheme="minorHAnsi"/>
                <w:bCs w:val="0"/>
                <w:color w:val="000000"/>
                <w:szCs w:val="20"/>
                <w:highlight w:val="lightGray"/>
              </w:rPr>
            </w:pPr>
            <w:r w:rsidRPr="00923B9F">
              <w:rPr>
                <w:rFonts w:cstheme="minorHAnsi" w:hint="eastAsia"/>
                <w:bCs w:val="0"/>
                <w:color w:val="000000"/>
                <w:w w:val="15"/>
                <w:szCs w:val="20"/>
                <w:shd w:val="solid" w:color="000000" w:fill="000000"/>
                <w:fitText w:val="38" w:id="-1136812794"/>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94"/>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94"/>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572129CA" w14:textId="66F87C01" w:rsidR="00D82049" w:rsidRPr="003F4735" w:rsidRDefault="00923B9F" w:rsidP="001E76E0">
            <w:pPr>
              <w:pStyle w:val="COMTabletext"/>
              <w:jc w:val="center"/>
              <w:rPr>
                <w:rFonts w:cstheme="minorHAnsi"/>
                <w:bCs w:val="0"/>
                <w:color w:val="000000"/>
                <w:szCs w:val="20"/>
                <w:highlight w:val="lightGray"/>
              </w:rPr>
            </w:pPr>
            <w:r w:rsidRPr="00923B9F">
              <w:rPr>
                <w:rFonts w:cstheme="minorHAnsi" w:hint="eastAsia"/>
                <w:bCs w:val="0"/>
                <w:color w:val="000000"/>
                <w:w w:val="15"/>
                <w:szCs w:val="20"/>
                <w:shd w:val="solid" w:color="000000" w:fill="000000"/>
                <w:fitText w:val="37" w:id="-1136812793"/>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93"/>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93"/>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2E4D1395" w14:textId="79F80386" w:rsidR="00D82049" w:rsidRPr="003F4735" w:rsidRDefault="00923B9F" w:rsidP="001E76E0">
            <w:pPr>
              <w:pStyle w:val="COMTabletext"/>
              <w:jc w:val="center"/>
              <w:rPr>
                <w:rFonts w:cstheme="minorHAnsi"/>
                <w:bCs w:val="0"/>
                <w:color w:val="000000"/>
                <w:szCs w:val="20"/>
                <w:highlight w:val="lightGray"/>
              </w:rPr>
            </w:pPr>
            <w:r w:rsidRPr="00923B9F">
              <w:rPr>
                <w:rFonts w:cstheme="minorHAnsi" w:hint="eastAsia"/>
                <w:bCs w:val="0"/>
                <w:color w:val="000000"/>
                <w:w w:val="15"/>
                <w:szCs w:val="20"/>
                <w:shd w:val="solid" w:color="000000" w:fill="000000"/>
                <w:fitText w:val="37" w:id="-1136812792"/>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92"/>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92"/>
                <w14:textFill>
                  <w14:solidFill>
                    <w14:srgbClr w14:val="000000">
                      <w14:alpha w14:val="100000"/>
                    </w14:srgbClr>
                  </w14:solidFill>
                </w14:textFill>
              </w:rPr>
              <w:t xml:space="preserve">　</w:t>
            </w:r>
            <w:r w:rsidR="00BE5ABA" w:rsidRPr="001E76E0">
              <w:rPr>
                <w:vertAlign w:val="superscript"/>
              </w:rPr>
              <w:t>1</w:t>
            </w:r>
          </w:p>
        </w:tc>
        <w:tc>
          <w:tcPr>
            <w:tcW w:w="648" w:type="pct"/>
            <w:shd w:val="clear" w:color="auto" w:fill="auto"/>
          </w:tcPr>
          <w:p w14:paraId="5DF515DE" w14:textId="6BD9DD8E" w:rsidR="00D82049" w:rsidRPr="003F4735" w:rsidRDefault="00923B9F" w:rsidP="001E76E0">
            <w:pPr>
              <w:pStyle w:val="COMTabletext"/>
              <w:jc w:val="center"/>
              <w:rPr>
                <w:rFonts w:cstheme="minorHAnsi"/>
                <w:bCs w:val="0"/>
                <w:color w:val="000000"/>
                <w:szCs w:val="20"/>
                <w:highlight w:val="lightGray"/>
              </w:rPr>
            </w:pPr>
            <w:r w:rsidRPr="00923B9F">
              <w:rPr>
                <w:rFonts w:cstheme="minorHAnsi" w:hint="eastAsia"/>
                <w:bCs w:val="0"/>
                <w:color w:val="000000"/>
                <w:w w:val="15"/>
                <w:szCs w:val="20"/>
                <w:shd w:val="solid" w:color="000000" w:fill="000000"/>
                <w:fitText w:val="38" w:id="-1136812791"/>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91"/>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91"/>
                <w14:textFill>
                  <w14:solidFill>
                    <w14:srgbClr w14:val="000000">
                      <w14:alpha w14:val="100000"/>
                    </w14:srgbClr>
                  </w14:solidFill>
                </w14:textFill>
              </w:rPr>
              <w:t xml:space="preserve">　</w:t>
            </w:r>
            <w:r w:rsidR="00BE5ABA" w:rsidRPr="001E76E0">
              <w:rPr>
                <w:vertAlign w:val="superscript"/>
              </w:rPr>
              <w:t>1</w:t>
            </w:r>
          </w:p>
        </w:tc>
        <w:tc>
          <w:tcPr>
            <w:tcW w:w="649" w:type="pct"/>
            <w:shd w:val="clear" w:color="auto" w:fill="auto"/>
          </w:tcPr>
          <w:p w14:paraId="1E54BE37" w14:textId="4B68CA73" w:rsidR="00D82049" w:rsidRPr="003F4735" w:rsidRDefault="00923B9F" w:rsidP="001E76E0">
            <w:pPr>
              <w:pStyle w:val="COMTabletext"/>
              <w:jc w:val="center"/>
              <w:rPr>
                <w:rFonts w:cstheme="minorHAnsi"/>
                <w:bCs w:val="0"/>
                <w:color w:val="000000"/>
                <w:szCs w:val="20"/>
                <w:highlight w:val="lightGray"/>
              </w:rPr>
            </w:pPr>
            <w:r w:rsidRPr="00B80329">
              <w:rPr>
                <w:rFonts w:cstheme="minorHAnsi" w:hint="eastAsia"/>
                <w:bCs w:val="0"/>
                <w:color w:val="000000"/>
                <w:spacing w:val="-182"/>
                <w:szCs w:val="20"/>
                <w:shd w:val="solid" w:color="000000" w:fill="000000"/>
                <w:fitText w:val="18" w:id="-1136812790"/>
                <w14:textFill>
                  <w14:solidFill>
                    <w14:srgbClr w14:val="000000">
                      <w14:alpha w14:val="100000"/>
                    </w14:srgbClr>
                  </w14:solidFill>
                </w14:textFill>
              </w:rPr>
              <w:t xml:space="preserve">　</w:t>
            </w:r>
            <w:r w:rsidRPr="008A255E">
              <w:rPr>
                <w:rFonts w:cstheme="minorHAnsi"/>
                <w:bCs w:val="0"/>
                <w:color w:val="000000"/>
                <w:w w:val="15"/>
                <w:szCs w:val="20"/>
                <w:shd w:val="solid" w:color="000000" w:fill="000000"/>
                <w14:textFill>
                  <w14:solidFill>
                    <w14:srgbClr w14:val="000000">
                      <w14:alpha w14:val="100000"/>
                    </w14:srgbClr>
                  </w14:solidFill>
                </w14:textFill>
              </w:rPr>
              <w:t>|</w:t>
            </w:r>
            <w:r w:rsidRPr="008A255E">
              <w:rPr>
                <w:rFonts w:cstheme="minorHAnsi" w:hint="eastAsia"/>
                <w:bCs w:val="0"/>
                <w:color w:val="000000"/>
                <w:w w:val="15"/>
                <w:szCs w:val="20"/>
                <w:shd w:val="solid" w:color="000000" w:fill="000000"/>
                <w14:textFill>
                  <w14:solidFill>
                    <w14:srgbClr w14:val="000000">
                      <w14:alpha w14:val="100000"/>
                    </w14:srgbClr>
                  </w14:solidFill>
                </w14:textFill>
              </w:rPr>
              <w:t xml:space="preserve">　</w:t>
            </w:r>
            <w:r w:rsidR="00BE5ABA" w:rsidRPr="001E76E0">
              <w:rPr>
                <w:vertAlign w:val="superscript"/>
              </w:rPr>
              <w:t>1</w:t>
            </w:r>
          </w:p>
        </w:tc>
      </w:tr>
      <w:tr w:rsidR="00D82049" w:rsidRPr="00936C32" w14:paraId="1E04C8D6" w14:textId="77777777" w:rsidTr="001E76E0">
        <w:tc>
          <w:tcPr>
            <w:tcW w:w="1111" w:type="pct"/>
            <w:shd w:val="clear" w:color="auto" w:fill="auto"/>
          </w:tcPr>
          <w:p w14:paraId="345426E1" w14:textId="77777777" w:rsidR="00D82049" w:rsidRPr="00936C32" w:rsidRDefault="00D82049" w:rsidP="001E76E0">
            <w:pPr>
              <w:pStyle w:val="COMTabletext"/>
              <w:rPr>
                <w:b/>
                <w:bCs w:val="0"/>
                <w:szCs w:val="20"/>
              </w:rPr>
            </w:pPr>
            <w:r w:rsidRPr="00936C32">
              <w:rPr>
                <w:szCs w:val="20"/>
              </w:rPr>
              <w:t>Total scripts</w:t>
            </w:r>
          </w:p>
        </w:tc>
        <w:tc>
          <w:tcPr>
            <w:tcW w:w="648" w:type="pct"/>
            <w:shd w:val="clear" w:color="auto" w:fill="auto"/>
          </w:tcPr>
          <w:p w14:paraId="1B644D99" w14:textId="48214449"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9"/>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9"/>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9"/>
                <w14:textFill>
                  <w14:solidFill>
                    <w14:srgbClr w14:val="000000">
                      <w14:alpha w14:val="100000"/>
                    </w14:srgbClr>
                  </w14:solidFill>
                </w14:textFill>
              </w:rPr>
              <w:t xml:space="preserve">　</w:t>
            </w:r>
            <w:r w:rsidR="00BE5ABA">
              <w:rPr>
                <w:vertAlign w:val="superscript"/>
              </w:rPr>
              <w:t>2</w:t>
            </w:r>
            <w:r w:rsidRPr="00923B9F">
              <w:rPr>
                <w:rFonts w:cstheme="minorHAnsi"/>
                <w:bCs w:val="0"/>
                <w:szCs w:val="20"/>
              </w:rPr>
              <w:t xml:space="preserve"> </w:t>
            </w:r>
          </w:p>
        </w:tc>
        <w:tc>
          <w:tcPr>
            <w:tcW w:w="648" w:type="pct"/>
            <w:shd w:val="clear" w:color="auto" w:fill="auto"/>
          </w:tcPr>
          <w:p w14:paraId="7201A179" w14:textId="48978C7E"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8" w:id="-1136812788"/>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88"/>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88"/>
                <w14:textFill>
                  <w14:solidFill>
                    <w14:srgbClr w14:val="000000">
                      <w14:alpha w14:val="100000"/>
                    </w14:srgbClr>
                  </w14:solidFill>
                </w14:textFill>
              </w:rPr>
              <w:t xml:space="preserve">　</w:t>
            </w:r>
            <w:r w:rsidR="00BE5ABA">
              <w:rPr>
                <w:vertAlign w:val="superscript"/>
              </w:rPr>
              <w:t>2</w:t>
            </w:r>
            <w:r w:rsidRPr="00923B9F">
              <w:rPr>
                <w:rFonts w:cstheme="minorHAnsi"/>
                <w:bCs w:val="0"/>
                <w:szCs w:val="20"/>
              </w:rPr>
              <w:t xml:space="preserve"> </w:t>
            </w:r>
          </w:p>
        </w:tc>
        <w:tc>
          <w:tcPr>
            <w:tcW w:w="648" w:type="pct"/>
            <w:shd w:val="clear" w:color="auto" w:fill="auto"/>
          </w:tcPr>
          <w:p w14:paraId="439C9651" w14:textId="069B9F2C"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7"/>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7"/>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7"/>
                <w14:textFill>
                  <w14:solidFill>
                    <w14:srgbClr w14:val="000000">
                      <w14:alpha w14:val="100000"/>
                    </w14:srgbClr>
                  </w14:solidFill>
                </w14:textFill>
              </w:rPr>
              <w:t xml:space="preserve">　</w:t>
            </w:r>
            <w:r w:rsidR="00BE5ABA">
              <w:rPr>
                <w:vertAlign w:val="superscript"/>
              </w:rPr>
              <w:t>2</w:t>
            </w:r>
            <w:r w:rsidRPr="00923B9F">
              <w:rPr>
                <w:rFonts w:cstheme="minorHAnsi"/>
                <w:bCs w:val="0"/>
                <w:szCs w:val="20"/>
              </w:rPr>
              <w:t xml:space="preserve"> </w:t>
            </w:r>
          </w:p>
        </w:tc>
        <w:tc>
          <w:tcPr>
            <w:tcW w:w="648" w:type="pct"/>
            <w:shd w:val="clear" w:color="auto" w:fill="auto"/>
          </w:tcPr>
          <w:p w14:paraId="693F88E6" w14:textId="22632717"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6"/>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6"/>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6"/>
                <w14:textFill>
                  <w14:solidFill>
                    <w14:srgbClr w14:val="000000">
                      <w14:alpha w14:val="100000"/>
                    </w14:srgbClr>
                  </w14:solidFill>
                </w14:textFill>
              </w:rPr>
              <w:t xml:space="preserve">　</w:t>
            </w:r>
            <w:r w:rsidR="00F53355">
              <w:rPr>
                <w:vertAlign w:val="superscript"/>
              </w:rPr>
              <w:t>2</w:t>
            </w:r>
            <w:r w:rsidRPr="00923B9F">
              <w:rPr>
                <w:rFonts w:cstheme="minorHAnsi"/>
                <w:bCs w:val="0"/>
                <w:szCs w:val="20"/>
              </w:rPr>
              <w:t xml:space="preserve"> </w:t>
            </w:r>
          </w:p>
        </w:tc>
        <w:tc>
          <w:tcPr>
            <w:tcW w:w="648" w:type="pct"/>
            <w:shd w:val="clear" w:color="auto" w:fill="auto"/>
          </w:tcPr>
          <w:p w14:paraId="4573D9D6" w14:textId="575678A9"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8" w:id="-1136812785"/>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85"/>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85"/>
                <w14:textFill>
                  <w14:solidFill>
                    <w14:srgbClr w14:val="000000">
                      <w14:alpha w14:val="100000"/>
                    </w14:srgbClr>
                  </w14:solidFill>
                </w14:textFill>
              </w:rPr>
              <w:t xml:space="preserve">　</w:t>
            </w:r>
            <w:r w:rsidR="00F53355">
              <w:rPr>
                <w:vertAlign w:val="superscript"/>
              </w:rPr>
              <w:t>2</w:t>
            </w:r>
            <w:r w:rsidRPr="00923B9F">
              <w:rPr>
                <w:rFonts w:cstheme="minorHAnsi"/>
                <w:bCs w:val="0"/>
                <w:szCs w:val="20"/>
              </w:rPr>
              <w:t xml:space="preserve"> </w:t>
            </w:r>
          </w:p>
        </w:tc>
        <w:tc>
          <w:tcPr>
            <w:tcW w:w="649" w:type="pct"/>
            <w:shd w:val="clear" w:color="auto" w:fill="auto"/>
          </w:tcPr>
          <w:p w14:paraId="0878D15E" w14:textId="05A101D7" w:rsidR="00D82049" w:rsidRPr="003F4735" w:rsidRDefault="00923B9F" w:rsidP="001E76E0">
            <w:pPr>
              <w:pStyle w:val="COMTabletext"/>
              <w:jc w:val="center"/>
              <w:rPr>
                <w:bCs w:val="0"/>
                <w:szCs w:val="20"/>
                <w:highlight w:val="lightGray"/>
              </w:rPr>
            </w:pPr>
            <w:r w:rsidRPr="00B80329">
              <w:rPr>
                <w:rFonts w:cstheme="minorHAnsi" w:hint="eastAsia"/>
                <w:bCs w:val="0"/>
                <w:color w:val="000000"/>
                <w:spacing w:val="-182"/>
                <w:szCs w:val="20"/>
                <w:shd w:val="solid" w:color="000000" w:fill="000000"/>
                <w:fitText w:val="18" w:id="-1136812784"/>
                <w14:textFill>
                  <w14:solidFill>
                    <w14:srgbClr w14:val="000000">
                      <w14:alpha w14:val="100000"/>
                    </w14:srgbClr>
                  </w14:solidFill>
                </w14:textFill>
              </w:rPr>
              <w:t xml:space="preserve">　</w:t>
            </w:r>
            <w:r w:rsidRPr="008A255E">
              <w:rPr>
                <w:rFonts w:cstheme="minorHAnsi"/>
                <w:bCs w:val="0"/>
                <w:color w:val="000000"/>
                <w:w w:val="15"/>
                <w:szCs w:val="20"/>
                <w:shd w:val="solid" w:color="000000" w:fill="000000"/>
                <w14:textFill>
                  <w14:solidFill>
                    <w14:srgbClr w14:val="000000">
                      <w14:alpha w14:val="100000"/>
                    </w14:srgbClr>
                  </w14:solidFill>
                </w14:textFill>
              </w:rPr>
              <w:t>|</w:t>
            </w:r>
            <w:r w:rsidRPr="008A255E">
              <w:rPr>
                <w:rFonts w:cstheme="minorHAnsi" w:hint="eastAsia"/>
                <w:bCs w:val="0"/>
                <w:color w:val="000000"/>
                <w:w w:val="15"/>
                <w:szCs w:val="20"/>
                <w:shd w:val="solid" w:color="000000" w:fill="000000"/>
                <w14:textFill>
                  <w14:solidFill>
                    <w14:srgbClr w14:val="000000">
                      <w14:alpha w14:val="100000"/>
                    </w14:srgbClr>
                  </w14:solidFill>
                </w14:textFill>
              </w:rPr>
              <w:t xml:space="preserve">　</w:t>
            </w:r>
            <w:r w:rsidR="00F53355">
              <w:rPr>
                <w:vertAlign w:val="superscript"/>
              </w:rPr>
              <w:t>2</w:t>
            </w:r>
            <w:r w:rsidRPr="00923B9F">
              <w:rPr>
                <w:rFonts w:cstheme="minorHAnsi"/>
                <w:bCs w:val="0"/>
                <w:szCs w:val="20"/>
              </w:rPr>
              <w:t xml:space="preserve"> </w:t>
            </w:r>
          </w:p>
        </w:tc>
      </w:tr>
      <w:tr w:rsidR="00D82049" w:rsidRPr="00936C32" w14:paraId="2A146B13" w14:textId="77777777" w:rsidTr="001E76E0">
        <w:tc>
          <w:tcPr>
            <w:tcW w:w="1111" w:type="pct"/>
            <w:shd w:val="clear" w:color="auto" w:fill="auto"/>
          </w:tcPr>
          <w:p w14:paraId="38996A5F" w14:textId="77777777" w:rsidR="00D82049" w:rsidRPr="00936C32" w:rsidRDefault="00D82049" w:rsidP="001E76E0">
            <w:pPr>
              <w:pStyle w:val="COMTabletext"/>
              <w:rPr>
                <w:szCs w:val="20"/>
              </w:rPr>
            </w:pPr>
            <w:r w:rsidRPr="00936C32">
              <w:rPr>
                <w:szCs w:val="20"/>
              </w:rPr>
              <w:t>Total vials</w:t>
            </w:r>
          </w:p>
        </w:tc>
        <w:tc>
          <w:tcPr>
            <w:tcW w:w="648" w:type="pct"/>
            <w:shd w:val="clear" w:color="auto" w:fill="auto"/>
          </w:tcPr>
          <w:p w14:paraId="709293ED" w14:textId="3FA7EC03" w:rsidR="00D82049" w:rsidRPr="003F4735" w:rsidRDefault="00923B9F" w:rsidP="001E76E0">
            <w:pPr>
              <w:pStyle w:val="COMTabletext"/>
              <w:jc w:val="center"/>
              <w:rPr>
                <w:rFonts w:cstheme="minorHAnsi"/>
                <w:b/>
                <w:szCs w:val="20"/>
                <w:highlight w:val="darkGray"/>
              </w:rPr>
            </w:pPr>
            <w:r w:rsidRPr="00923B9F">
              <w:rPr>
                <w:rFonts w:cstheme="minorHAnsi" w:hint="eastAsia"/>
                <w:color w:val="000000"/>
                <w:w w:val="15"/>
                <w:szCs w:val="20"/>
                <w:shd w:val="solid" w:color="000000" w:fill="000000"/>
                <w:fitText w:val="37" w:id="-1136812800"/>
                <w14:textFill>
                  <w14:solidFill>
                    <w14:srgbClr w14:val="000000">
                      <w14:alpha w14:val="100000"/>
                    </w14:srgbClr>
                  </w14:solidFill>
                </w14:textFill>
              </w:rPr>
              <w:t xml:space="preserve">　</w:t>
            </w:r>
            <w:r w:rsidRPr="00923B9F">
              <w:rPr>
                <w:rFonts w:cstheme="minorHAnsi"/>
                <w:color w:val="000000"/>
                <w:w w:val="15"/>
                <w:szCs w:val="20"/>
                <w:shd w:val="solid" w:color="000000" w:fill="000000"/>
                <w:fitText w:val="37" w:id="-1136812800"/>
                <w14:textFill>
                  <w14:solidFill>
                    <w14:srgbClr w14:val="000000">
                      <w14:alpha w14:val="100000"/>
                    </w14:srgbClr>
                  </w14:solidFill>
                </w14:textFill>
              </w:rPr>
              <w:t>|</w:t>
            </w:r>
            <w:r w:rsidRPr="00923B9F">
              <w:rPr>
                <w:rFonts w:cstheme="minorHAnsi" w:hint="eastAsia"/>
                <w:color w:val="000000"/>
                <w:spacing w:val="-28"/>
                <w:w w:val="15"/>
                <w:szCs w:val="20"/>
                <w:shd w:val="solid" w:color="000000" w:fill="000000"/>
                <w:fitText w:val="37" w:id="-1136812800"/>
                <w14:textFill>
                  <w14:solidFill>
                    <w14:srgbClr w14:val="000000">
                      <w14:alpha w14:val="100000"/>
                    </w14:srgbClr>
                  </w14:solidFill>
                </w14:textFill>
              </w:rPr>
              <w:t xml:space="preserve">　</w:t>
            </w:r>
            <w:r w:rsidR="00AE5881">
              <w:rPr>
                <w:vertAlign w:val="superscript"/>
              </w:rPr>
              <w:t>6</w:t>
            </w:r>
          </w:p>
        </w:tc>
        <w:tc>
          <w:tcPr>
            <w:tcW w:w="648" w:type="pct"/>
            <w:shd w:val="clear" w:color="auto" w:fill="auto"/>
          </w:tcPr>
          <w:p w14:paraId="4241EDFF" w14:textId="6C2F2CBC" w:rsidR="00D82049" w:rsidRPr="003F4735" w:rsidRDefault="00923B9F" w:rsidP="001E76E0">
            <w:pPr>
              <w:pStyle w:val="COMTabletext"/>
              <w:jc w:val="center"/>
              <w:rPr>
                <w:rFonts w:cstheme="minorHAnsi"/>
                <w:b/>
                <w:szCs w:val="20"/>
                <w:highlight w:val="darkGray"/>
              </w:rPr>
            </w:pPr>
            <w:r w:rsidRPr="00923B9F">
              <w:rPr>
                <w:rFonts w:cstheme="minorHAnsi" w:hint="eastAsia"/>
                <w:color w:val="000000"/>
                <w:w w:val="15"/>
                <w:szCs w:val="20"/>
                <w:shd w:val="solid" w:color="000000" w:fill="000000"/>
                <w:fitText w:val="38" w:id="-1136812799"/>
                <w14:textFill>
                  <w14:solidFill>
                    <w14:srgbClr w14:val="000000">
                      <w14:alpha w14:val="100000"/>
                    </w14:srgbClr>
                  </w14:solidFill>
                </w14:textFill>
              </w:rPr>
              <w:t xml:space="preserve">　</w:t>
            </w:r>
            <w:r w:rsidRPr="00923B9F">
              <w:rPr>
                <w:rFonts w:cstheme="minorHAnsi"/>
                <w:color w:val="000000"/>
                <w:w w:val="15"/>
                <w:szCs w:val="20"/>
                <w:shd w:val="solid" w:color="000000" w:fill="000000"/>
                <w:fitText w:val="38" w:id="-1136812799"/>
                <w14:textFill>
                  <w14:solidFill>
                    <w14:srgbClr w14:val="000000">
                      <w14:alpha w14:val="100000"/>
                    </w14:srgbClr>
                  </w14:solidFill>
                </w14:textFill>
              </w:rPr>
              <w:t>|</w:t>
            </w:r>
            <w:r w:rsidRPr="00923B9F">
              <w:rPr>
                <w:rFonts w:cstheme="minorHAnsi" w:hint="eastAsia"/>
                <w:color w:val="000000"/>
                <w:spacing w:val="-27"/>
                <w:w w:val="15"/>
                <w:szCs w:val="20"/>
                <w:shd w:val="solid" w:color="000000" w:fill="000000"/>
                <w:fitText w:val="38" w:id="-1136812799"/>
                <w14:textFill>
                  <w14:solidFill>
                    <w14:srgbClr w14:val="000000">
                      <w14:alpha w14:val="100000"/>
                    </w14:srgbClr>
                  </w14:solidFill>
                </w14:textFill>
              </w:rPr>
              <w:t xml:space="preserve">　</w:t>
            </w:r>
            <w:r w:rsidR="00AE5881">
              <w:rPr>
                <w:vertAlign w:val="superscript"/>
              </w:rPr>
              <w:t>6</w:t>
            </w:r>
          </w:p>
        </w:tc>
        <w:tc>
          <w:tcPr>
            <w:tcW w:w="648" w:type="pct"/>
            <w:shd w:val="clear" w:color="auto" w:fill="auto"/>
          </w:tcPr>
          <w:p w14:paraId="76543610" w14:textId="55783835" w:rsidR="00D82049" w:rsidRPr="003F4735" w:rsidRDefault="00923B9F" w:rsidP="001E76E0">
            <w:pPr>
              <w:pStyle w:val="COMTabletext"/>
              <w:jc w:val="center"/>
              <w:rPr>
                <w:rFonts w:cstheme="minorHAnsi"/>
                <w:b/>
                <w:szCs w:val="20"/>
                <w:highlight w:val="darkGray"/>
              </w:rPr>
            </w:pPr>
            <w:r w:rsidRPr="00923B9F">
              <w:rPr>
                <w:rFonts w:cstheme="minorHAnsi" w:hint="eastAsia"/>
                <w:color w:val="000000"/>
                <w:w w:val="15"/>
                <w:szCs w:val="20"/>
                <w:shd w:val="solid" w:color="000000" w:fill="000000"/>
                <w:fitText w:val="37" w:id="-1136812798"/>
                <w14:textFill>
                  <w14:solidFill>
                    <w14:srgbClr w14:val="000000">
                      <w14:alpha w14:val="100000"/>
                    </w14:srgbClr>
                  </w14:solidFill>
                </w14:textFill>
              </w:rPr>
              <w:t xml:space="preserve">　</w:t>
            </w:r>
            <w:r w:rsidRPr="00923B9F">
              <w:rPr>
                <w:rFonts w:cstheme="minorHAnsi"/>
                <w:color w:val="000000"/>
                <w:w w:val="15"/>
                <w:szCs w:val="20"/>
                <w:shd w:val="solid" w:color="000000" w:fill="000000"/>
                <w:fitText w:val="37" w:id="-1136812798"/>
                <w14:textFill>
                  <w14:solidFill>
                    <w14:srgbClr w14:val="000000">
                      <w14:alpha w14:val="100000"/>
                    </w14:srgbClr>
                  </w14:solidFill>
                </w14:textFill>
              </w:rPr>
              <w:t>|</w:t>
            </w:r>
            <w:r w:rsidRPr="00923B9F">
              <w:rPr>
                <w:rFonts w:cstheme="minorHAnsi" w:hint="eastAsia"/>
                <w:color w:val="000000"/>
                <w:spacing w:val="-28"/>
                <w:w w:val="15"/>
                <w:szCs w:val="20"/>
                <w:shd w:val="solid" w:color="000000" w:fill="000000"/>
                <w:fitText w:val="37" w:id="-1136812798"/>
                <w14:textFill>
                  <w14:solidFill>
                    <w14:srgbClr w14:val="000000">
                      <w14:alpha w14:val="100000"/>
                    </w14:srgbClr>
                  </w14:solidFill>
                </w14:textFill>
              </w:rPr>
              <w:t xml:space="preserve">　</w:t>
            </w:r>
            <w:r w:rsidR="00AE5881">
              <w:rPr>
                <w:vertAlign w:val="superscript"/>
              </w:rPr>
              <w:t>6</w:t>
            </w:r>
          </w:p>
        </w:tc>
        <w:tc>
          <w:tcPr>
            <w:tcW w:w="648" w:type="pct"/>
            <w:shd w:val="clear" w:color="auto" w:fill="auto"/>
          </w:tcPr>
          <w:p w14:paraId="17AAE945" w14:textId="7212E579" w:rsidR="00D82049" w:rsidRPr="003F4735" w:rsidRDefault="00923B9F" w:rsidP="001E76E0">
            <w:pPr>
              <w:pStyle w:val="COMTabletext"/>
              <w:jc w:val="center"/>
              <w:rPr>
                <w:rFonts w:cstheme="minorHAnsi"/>
                <w:b/>
                <w:szCs w:val="20"/>
                <w:highlight w:val="darkGray"/>
              </w:rPr>
            </w:pPr>
            <w:r w:rsidRPr="00923B9F">
              <w:rPr>
                <w:rFonts w:cstheme="minorHAnsi" w:hint="eastAsia"/>
                <w:color w:val="000000"/>
                <w:w w:val="15"/>
                <w:szCs w:val="20"/>
                <w:shd w:val="solid" w:color="000000" w:fill="000000"/>
                <w:fitText w:val="37" w:id="-1136812797"/>
                <w14:textFill>
                  <w14:solidFill>
                    <w14:srgbClr w14:val="000000">
                      <w14:alpha w14:val="100000"/>
                    </w14:srgbClr>
                  </w14:solidFill>
                </w14:textFill>
              </w:rPr>
              <w:t xml:space="preserve">　</w:t>
            </w:r>
            <w:r w:rsidRPr="00923B9F">
              <w:rPr>
                <w:rFonts w:cstheme="minorHAnsi"/>
                <w:color w:val="000000"/>
                <w:w w:val="15"/>
                <w:szCs w:val="20"/>
                <w:shd w:val="solid" w:color="000000" w:fill="000000"/>
                <w:fitText w:val="37" w:id="-1136812797"/>
                <w14:textFill>
                  <w14:solidFill>
                    <w14:srgbClr w14:val="000000">
                      <w14:alpha w14:val="100000"/>
                    </w14:srgbClr>
                  </w14:solidFill>
                </w14:textFill>
              </w:rPr>
              <w:t>|</w:t>
            </w:r>
            <w:r w:rsidRPr="00923B9F">
              <w:rPr>
                <w:rFonts w:cstheme="minorHAnsi" w:hint="eastAsia"/>
                <w:color w:val="000000"/>
                <w:spacing w:val="-28"/>
                <w:w w:val="15"/>
                <w:szCs w:val="20"/>
                <w:shd w:val="solid" w:color="000000" w:fill="000000"/>
                <w:fitText w:val="37" w:id="-1136812797"/>
                <w14:textFill>
                  <w14:solidFill>
                    <w14:srgbClr w14:val="000000">
                      <w14:alpha w14:val="100000"/>
                    </w14:srgbClr>
                  </w14:solidFill>
                </w14:textFill>
              </w:rPr>
              <w:t xml:space="preserve">　</w:t>
            </w:r>
            <w:r w:rsidR="00AE5881">
              <w:rPr>
                <w:vertAlign w:val="superscript"/>
              </w:rPr>
              <w:t>6</w:t>
            </w:r>
          </w:p>
        </w:tc>
        <w:tc>
          <w:tcPr>
            <w:tcW w:w="648" w:type="pct"/>
            <w:shd w:val="clear" w:color="auto" w:fill="auto"/>
          </w:tcPr>
          <w:p w14:paraId="12C3AD72" w14:textId="2BBC95FC" w:rsidR="00D82049" w:rsidRPr="003F4735" w:rsidRDefault="00923B9F" w:rsidP="001E76E0">
            <w:pPr>
              <w:pStyle w:val="COMTabletext"/>
              <w:jc w:val="center"/>
              <w:rPr>
                <w:rFonts w:cstheme="minorHAnsi"/>
                <w:b/>
                <w:szCs w:val="20"/>
                <w:highlight w:val="darkGray"/>
              </w:rPr>
            </w:pPr>
            <w:r w:rsidRPr="00923B9F">
              <w:rPr>
                <w:rFonts w:cstheme="minorHAnsi" w:hint="eastAsia"/>
                <w:color w:val="000000"/>
                <w:w w:val="15"/>
                <w:szCs w:val="20"/>
                <w:shd w:val="solid" w:color="000000" w:fill="000000"/>
                <w:fitText w:val="38" w:id="-1136812796"/>
                <w14:textFill>
                  <w14:solidFill>
                    <w14:srgbClr w14:val="000000">
                      <w14:alpha w14:val="100000"/>
                    </w14:srgbClr>
                  </w14:solidFill>
                </w14:textFill>
              </w:rPr>
              <w:t xml:space="preserve">　</w:t>
            </w:r>
            <w:r w:rsidRPr="00923B9F">
              <w:rPr>
                <w:rFonts w:cstheme="minorHAnsi"/>
                <w:color w:val="000000"/>
                <w:w w:val="15"/>
                <w:szCs w:val="20"/>
                <w:shd w:val="solid" w:color="000000" w:fill="000000"/>
                <w:fitText w:val="38" w:id="-1136812796"/>
                <w14:textFill>
                  <w14:solidFill>
                    <w14:srgbClr w14:val="000000">
                      <w14:alpha w14:val="100000"/>
                    </w14:srgbClr>
                  </w14:solidFill>
                </w14:textFill>
              </w:rPr>
              <w:t>|</w:t>
            </w:r>
            <w:r w:rsidRPr="00923B9F">
              <w:rPr>
                <w:rFonts w:cstheme="minorHAnsi" w:hint="eastAsia"/>
                <w:color w:val="000000"/>
                <w:spacing w:val="-27"/>
                <w:w w:val="15"/>
                <w:szCs w:val="20"/>
                <w:shd w:val="solid" w:color="000000" w:fill="000000"/>
                <w:fitText w:val="38" w:id="-1136812796"/>
                <w14:textFill>
                  <w14:solidFill>
                    <w14:srgbClr w14:val="000000">
                      <w14:alpha w14:val="100000"/>
                    </w14:srgbClr>
                  </w14:solidFill>
                </w14:textFill>
              </w:rPr>
              <w:t xml:space="preserve">　</w:t>
            </w:r>
            <w:r w:rsidR="00AE5881">
              <w:rPr>
                <w:vertAlign w:val="superscript"/>
              </w:rPr>
              <w:t>6</w:t>
            </w:r>
          </w:p>
        </w:tc>
        <w:tc>
          <w:tcPr>
            <w:tcW w:w="649" w:type="pct"/>
            <w:shd w:val="clear" w:color="auto" w:fill="auto"/>
          </w:tcPr>
          <w:p w14:paraId="77E1BCC9" w14:textId="6AE58D25" w:rsidR="00D82049" w:rsidRPr="003F4735" w:rsidRDefault="00923B9F" w:rsidP="001E76E0">
            <w:pPr>
              <w:pStyle w:val="COMTabletext"/>
              <w:jc w:val="center"/>
              <w:rPr>
                <w:rFonts w:cstheme="minorHAnsi"/>
                <w:b/>
                <w:szCs w:val="20"/>
                <w:highlight w:val="darkGray"/>
              </w:rPr>
            </w:pPr>
            <w:r w:rsidRPr="00B80329">
              <w:rPr>
                <w:rFonts w:cstheme="minorHAnsi" w:hint="eastAsia"/>
                <w:color w:val="000000"/>
                <w:spacing w:val="-182"/>
                <w:szCs w:val="20"/>
                <w:shd w:val="solid" w:color="000000" w:fill="000000"/>
                <w:fitText w:val="18" w:id="-1136812795"/>
                <w14:textFill>
                  <w14:solidFill>
                    <w14:srgbClr w14:val="000000">
                      <w14:alpha w14:val="100000"/>
                    </w14:srgbClr>
                  </w14:solidFill>
                </w14:textFill>
              </w:rPr>
              <w:t xml:space="preserve">　</w:t>
            </w:r>
            <w:r w:rsidRPr="00A35D36">
              <w:rPr>
                <w:rFonts w:cstheme="minorHAnsi"/>
                <w:color w:val="000000"/>
                <w:spacing w:val="-18"/>
                <w:w w:val="15"/>
                <w:szCs w:val="20"/>
                <w:shd w:val="solid" w:color="000000" w:fill="000000"/>
                <w14:textFill>
                  <w14:solidFill>
                    <w14:srgbClr w14:val="000000">
                      <w14:alpha w14:val="100000"/>
                    </w14:srgbClr>
                  </w14:solidFill>
                </w14:textFill>
              </w:rPr>
              <w:t>|</w:t>
            </w:r>
            <w:r w:rsidRPr="00B80329">
              <w:rPr>
                <w:rFonts w:cstheme="minorHAnsi" w:hint="eastAsia"/>
                <w:color w:val="000000"/>
                <w:w w:val="15"/>
                <w:szCs w:val="20"/>
                <w:shd w:val="solid" w:color="000000" w:fill="000000"/>
                <w14:textFill>
                  <w14:solidFill>
                    <w14:srgbClr w14:val="000000">
                      <w14:alpha w14:val="100000"/>
                    </w14:srgbClr>
                  </w14:solidFill>
                </w14:textFill>
              </w:rPr>
              <w:t xml:space="preserve">　</w:t>
            </w:r>
            <w:r w:rsidR="00AE5881">
              <w:rPr>
                <w:vertAlign w:val="superscript"/>
              </w:rPr>
              <w:t>6</w:t>
            </w:r>
          </w:p>
        </w:tc>
      </w:tr>
      <w:tr w:rsidR="00D82049" w:rsidRPr="00936C32" w14:paraId="67812C99" w14:textId="77777777" w:rsidTr="001E76E0">
        <w:tc>
          <w:tcPr>
            <w:tcW w:w="1111" w:type="pct"/>
            <w:shd w:val="clear" w:color="auto" w:fill="auto"/>
            <w:vAlign w:val="bottom"/>
          </w:tcPr>
          <w:p w14:paraId="6C5C7BB6" w14:textId="77777777" w:rsidR="00D82049" w:rsidRPr="00936C32" w:rsidRDefault="00D82049" w:rsidP="001E76E0">
            <w:pPr>
              <w:pStyle w:val="COMTabletext"/>
              <w:rPr>
                <w:szCs w:val="20"/>
              </w:rPr>
            </w:pPr>
            <w:r w:rsidRPr="00936C32">
              <w:rPr>
                <w:szCs w:val="20"/>
              </w:rPr>
              <w:t>Net cost to PBS/RPBS</w:t>
            </w:r>
          </w:p>
        </w:tc>
        <w:tc>
          <w:tcPr>
            <w:tcW w:w="648" w:type="pct"/>
            <w:shd w:val="clear" w:color="auto" w:fill="auto"/>
          </w:tcPr>
          <w:p w14:paraId="3302DDB8" w14:textId="63D5523E"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2794"/>
                <w14:textFill>
                  <w14:solidFill>
                    <w14:srgbClr w14:val="000000">
                      <w14:alpha w14:val="100000"/>
                    </w14:srgbClr>
                  </w14:solidFill>
                </w14:textFill>
              </w:rPr>
              <w:t xml:space="preserve">　</w:t>
            </w:r>
            <w:r w:rsidRPr="00923B9F">
              <w:rPr>
                <w:color w:val="000000"/>
                <w:w w:val="15"/>
                <w:szCs w:val="20"/>
                <w:shd w:val="solid" w:color="000000" w:fill="000000"/>
                <w:fitText w:val="37" w:id="-1136812794"/>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2794"/>
                <w14:textFill>
                  <w14:solidFill>
                    <w14:srgbClr w14:val="000000">
                      <w14:alpha w14:val="100000"/>
                    </w14:srgbClr>
                  </w14:solidFill>
                </w14:textFill>
              </w:rPr>
              <w:t xml:space="preserve">　</w:t>
            </w:r>
            <w:r w:rsidR="00F53355">
              <w:rPr>
                <w:vertAlign w:val="superscript"/>
              </w:rPr>
              <w:t>3</w:t>
            </w:r>
          </w:p>
        </w:tc>
        <w:tc>
          <w:tcPr>
            <w:tcW w:w="648" w:type="pct"/>
            <w:shd w:val="clear" w:color="auto" w:fill="auto"/>
          </w:tcPr>
          <w:p w14:paraId="1000A534" w14:textId="52CD5609"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2793"/>
                <w14:textFill>
                  <w14:solidFill>
                    <w14:srgbClr w14:val="000000">
                      <w14:alpha w14:val="100000"/>
                    </w14:srgbClr>
                  </w14:solidFill>
                </w14:textFill>
              </w:rPr>
              <w:t xml:space="preserve">　</w:t>
            </w:r>
            <w:r w:rsidRPr="00923B9F">
              <w:rPr>
                <w:color w:val="000000"/>
                <w:w w:val="15"/>
                <w:szCs w:val="20"/>
                <w:shd w:val="solid" w:color="000000" w:fill="000000"/>
                <w:fitText w:val="38" w:id="-1136812793"/>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2793"/>
                <w14:textFill>
                  <w14:solidFill>
                    <w14:srgbClr w14:val="000000">
                      <w14:alpha w14:val="100000"/>
                    </w14:srgbClr>
                  </w14:solidFill>
                </w14:textFill>
              </w:rPr>
              <w:t xml:space="preserve">　</w:t>
            </w:r>
            <w:r w:rsidR="00F53355">
              <w:rPr>
                <w:vertAlign w:val="superscript"/>
              </w:rPr>
              <w:t>3</w:t>
            </w:r>
          </w:p>
        </w:tc>
        <w:tc>
          <w:tcPr>
            <w:tcW w:w="648" w:type="pct"/>
            <w:shd w:val="clear" w:color="auto" w:fill="auto"/>
          </w:tcPr>
          <w:p w14:paraId="03CE68B4" w14:textId="483890E9"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2792"/>
                <w14:textFill>
                  <w14:solidFill>
                    <w14:srgbClr w14:val="000000">
                      <w14:alpha w14:val="100000"/>
                    </w14:srgbClr>
                  </w14:solidFill>
                </w14:textFill>
              </w:rPr>
              <w:t xml:space="preserve">　</w:t>
            </w:r>
            <w:r w:rsidRPr="00923B9F">
              <w:rPr>
                <w:color w:val="000000"/>
                <w:w w:val="15"/>
                <w:szCs w:val="20"/>
                <w:shd w:val="solid" w:color="000000" w:fill="000000"/>
                <w:fitText w:val="37" w:id="-1136812792"/>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2792"/>
                <w14:textFill>
                  <w14:solidFill>
                    <w14:srgbClr w14:val="000000">
                      <w14:alpha w14:val="100000"/>
                    </w14:srgbClr>
                  </w14:solidFill>
                </w14:textFill>
              </w:rPr>
              <w:t xml:space="preserve">　</w:t>
            </w:r>
            <w:r w:rsidR="00F53355">
              <w:rPr>
                <w:vertAlign w:val="superscript"/>
              </w:rPr>
              <w:t>3</w:t>
            </w:r>
          </w:p>
        </w:tc>
        <w:tc>
          <w:tcPr>
            <w:tcW w:w="648" w:type="pct"/>
            <w:shd w:val="clear" w:color="auto" w:fill="auto"/>
          </w:tcPr>
          <w:p w14:paraId="20936655" w14:textId="5C5D931F"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7" w:id="-1136812791"/>
                <w14:textFill>
                  <w14:solidFill>
                    <w14:srgbClr w14:val="000000">
                      <w14:alpha w14:val="100000"/>
                    </w14:srgbClr>
                  </w14:solidFill>
                </w14:textFill>
              </w:rPr>
              <w:t xml:space="preserve">　</w:t>
            </w:r>
            <w:r w:rsidRPr="00923B9F">
              <w:rPr>
                <w:color w:val="000000"/>
                <w:w w:val="15"/>
                <w:szCs w:val="20"/>
                <w:shd w:val="solid" w:color="000000" w:fill="000000"/>
                <w:fitText w:val="37" w:id="-1136812791"/>
                <w14:textFill>
                  <w14:solidFill>
                    <w14:srgbClr w14:val="000000">
                      <w14:alpha w14:val="100000"/>
                    </w14:srgbClr>
                  </w14:solidFill>
                </w14:textFill>
              </w:rPr>
              <w:t>|</w:t>
            </w:r>
            <w:r w:rsidRPr="00923B9F">
              <w:rPr>
                <w:rFonts w:hint="eastAsia"/>
                <w:color w:val="000000"/>
                <w:spacing w:val="-28"/>
                <w:w w:val="15"/>
                <w:szCs w:val="20"/>
                <w:shd w:val="solid" w:color="000000" w:fill="000000"/>
                <w:fitText w:val="37" w:id="-1136812791"/>
                <w14:textFill>
                  <w14:solidFill>
                    <w14:srgbClr w14:val="000000">
                      <w14:alpha w14:val="100000"/>
                    </w14:srgbClr>
                  </w14:solidFill>
                </w14:textFill>
              </w:rPr>
              <w:t xml:space="preserve">　</w:t>
            </w:r>
            <w:r w:rsidR="00F53355">
              <w:rPr>
                <w:vertAlign w:val="superscript"/>
              </w:rPr>
              <w:t>3</w:t>
            </w:r>
          </w:p>
        </w:tc>
        <w:tc>
          <w:tcPr>
            <w:tcW w:w="648" w:type="pct"/>
            <w:shd w:val="clear" w:color="auto" w:fill="auto"/>
          </w:tcPr>
          <w:p w14:paraId="51C99369" w14:textId="4EF3138D" w:rsidR="00D82049" w:rsidRPr="003F4735" w:rsidRDefault="00923B9F" w:rsidP="001E76E0">
            <w:pPr>
              <w:pStyle w:val="COMTabletext"/>
              <w:jc w:val="center"/>
              <w:rPr>
                <w:szCs w:val="20"/>
                <w:highlight w:val="lightGray"/>
              </w:rPr>
            </w:pPr>
            <w:r w:rsidRPr="00923B9F">
              <w:rPr>
                <w:rFonts w:hint="eastAsia"/>
                <w:color w:val="000000"/>
                <w:w w:val="15"/>
                <w:szCs w:val="20"/>
                <w:shd w:val="solid" w:color="000000" w:fill="000000"/>
                <w:fitText w:val="38" w:id="-1136812790"/>
                <w14:textFill>
                  <w14:solidFill>
                    <w14:srgbClr w14:val="000000">
                      <w14:alpha w14:val="100000"/>
                    </w14:srgbClr>
                  </w14:solidFill>
                </w14:textFill>
              </w:rPr>
              <w:t xml:space="preserve">　</w:t>
            </w:r>
            <w:r w:rsidRPr="00923B9F">
              <w:rPr>
                <w:color w:val="000000"/>
                <w:w w:val="15"/>
                <w:szCs w:val="20"/>
                <w:shd w:val="solid" w:color="000000" w:fill="000000"/>
                <w:fitText w:val="38" w:id="-1136812790"/>
                <w14:textFill>
                  <w14:solidFill>
                    <w14:srgbClr w14:val="000000">
                      <w14:alpha w14:val="100000"/>
                    </w14:srgbClr>
                  </w14:solidFill>
                </w14:textFill>
              </w:rPr>
              <w:t>|</w:t>
            </w:r>
            <w:r w:rsidRPr="00923B9F">
              <w:rPr>
                <w:rFonts w:hint="eastAsia"/>
                <w:color w:val="000000"/>
                <w:spacing w:val="-27"/>
                <w:w w:val="15"/>
                <w:szCs w:val="20"/>
                <w:shd w:val="solid" w:color="000000" w:fill="000000"/>
                <w:fitText w:val="38" w:id="-1136812790"/>
                <w14:textFill>
                  <w14:solidFill>
                    <w14:srgbClr w14:val="000000">
                      <w14:alpha w14:val="100000"/>
                    </w14:srgbClr>
                  </w14:solidFill>
                </w14:textFill>
              </w:rPr>
              <w:t xml:space="preserve">　</w:t>
            </w:r>
            <w:r w:rsidR="00F53355">
              <w:rPr>
                <w:vertAlign w:val="superscript"/>
              </w:rPr>
              <w:t>4</w:t>
            </w:r>
          </w:p>
        </w:tc>
        <w:tc>
          <w:tcPr>
            <w:tcW w:w="649" w:type="pct"/>
            <w:shd w:val="clear" w:color="auto" w:fill="auto"/>
          </w:tcPr>
          <w:p w14:paraId="3D28F664" w14:textId="70D1BC25" w:rsidR="00D82049" w:rsidRPr="003F4735" w:rsidRDefault="00923B9F" w:rsidP="001E76E0">
            <w:pPr>
              <w:pStyle w:val="COMTabletext"/>
              <w:jc w:val="center"/>
              <w:rPr>
                <w:szCs w:val="20"/>
                <w:highlight w:val="lightGray"/>
              </w:rPr>
            </w:pPr>
            <w:r w:rsidRPr="00B80329">
              <w:rPr>
                <w:rFonts w:hint="eastAsia"/>
                <w:color w:val="000000"/>
                <w:spacing w:val="-182"/>
                <w:szCs w:val="20"/>
                <w:shd w:val="solid" w:color="000000" w:fill="000000"/>
                <w:fitText w:val="18" w:id="-1136812789"/>
                <w14:textFill>
                  <w14:solidFill>
                    <w14:srgbClr w14:val="000000">
                      <w14:alpha w14:val="100000"/>
                    </w14:srgbClr>
                  </w14:solidFill>
                </w14:textFill>
              </w:rPr>
              <w:t xml:space="preserve">　</w:t>
            </w:r>
            <w:r w:rsidRPr="00A35D36">
              <w:rPr>
                <w:color w:val="000000"/>
                <w:spacing w:val="-18"/>
                <w:w w:val="15"/>
                <w:szCs w:val="20"/>
                <w:shd w:val="solid" w:color="000000" w:fill="000000"/>
                <w14:textFill>
                  <w14:solidFill>
                    <w14:srgbClr w14:val="000000">
                      <w14:alpha w14:val="100000"/>
                    </w14:srgbClr>
                  </w14:solidFill>
                </w14:textFill>
              </w:rPr>
              <w:t>|</w:t>
            </w:r>
            <w:r w:rsidRPr="00B80329">
              <w:rPr>
                <w:rFonts w:hint="eastAsia"/>
                <w:color w:val="000000"/>
                <w:w w:val="15"/>
                <w:szCs w:val="20"/>
                <w:shd w:val="solid" w:color="000000" w:fill="000000"/>
                <w14:textFill>
                  <w14:solidFill>
                    <w14:srgbClr w14:val="000000">
                      <w14:alpha w14:val="100000"/>
                    </w14:srgbClr>
                  </w14:solidFill>
                </w14:textFill>
              </w:rPr>
              <w:t xml:space="preserve">　</w:t>
            </w:r>
            <w:r w:rsidR="00F53355">
              <w:rPr>
                <w:vertAlign w:val="superscript"/>
              </w:rPr>
              <w:t>4</w:t>
            </w:r>
          </w:p>
        </w:tc>
      </w:tr>
      <w:tr w:rsidR="00D82049" w:rsidRPr="00936C32" w14:paraId="040E2E53" w14:textId="77777777" w:rsidTr="001E76E0">
        <w:tc>
          <w:tcPr>
            <w:tcW w:w="1111" w:type="pct"/>
            <w:shd w:val="clear" w:color="auto" w:fill="auto"/>
            <w:vAlign w:val="center"/>
          </w:tcPr>
          <w:p w14:paraId="6198D45A" w14:textId="77777777" w:rsidR="00D82049" w:rsidRPr="00936C32" w:rsidRDefault="00D82049" w:rsidP="001E76E0">
            <w:pPr>
              <w:pStyle w:val="COMTabletext"/>
              <w:rPr>
                <w:szCs w:val="20"/>
              </w:rPr>
            </w:pPr>
            <w:r w:rsidRPr="00936C32">
              <w:rPr>
                <w:szCs w:val="20"/>
              </w:rPr>
              <w:t>Net cost to the MBS</w:t>
            </w:r>
            <w:r w:rsidRPr="00936C32">
              <w:rPr>
                <w:szCs w:val="20"/>
                <w:vertAlign w:val="superscript"/>
              </w:rPr>
              <w:t>b</w:t>
            </w:r>
          </w:p>
        </w:tc>
        <w:tc>
          <w:tcPr>
            <w:tcW w:w="648" w:type="pct"/>
            <w:shd w:val="clear" w:color="auto" w:fill="auto"/>
          </w:tcPr>
          <w:p w14:paraId="3F177AAE" w14:textId="2229F825"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8"/>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8"/>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8"/>
                <w14:textFill>
                  <w14:solidFill>
                    <w14:srgbClr w14:val="000000">
                      <w14:alpha w14:val="100000"/>
                    </w14:srgbClr>
                  </w14:solidFill>
                </w14:textFill>
              </w:rPr>
              <w:t xml:space="preserve">　</w:t>
            </w:r>
            <w:r w:rsidR="00F53355">
              <w:rPr>
                <w:vertAlign w:val="superscript"/>
              </w:rPr>
              <w:t>5</w:t>
            </w:r>
          </w:p>
        </w:tc>
        <w:tc>
          <w:tcPr>
            <w:tcW w:w="648" w:type="pct"/>
            <w:shd w:val="clear" w:color="auto" w:fill="auto"/>
          </w:tcPr>
          <w:p w14:paraId="02CA33F7" w14:textId="23991E34"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8" w:id="-1136812787"/>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87"/>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87"/>
                <w14:textFill>
                  <w14:solidFill>
                    <w14:srgbClr w14:val="000000">
                      <w14:alpha w14:val="100000"/>
                    </w14:srgbClr>
                  </w14:solidFill>
                </w14:textFill>
              </w:rPr>
              <w:t xml:space="preserve">　</w:t>
            </w:r>
            <w:r w:rsidR="00F53355">
              <w:rPr>
                <w:vertAlign w:val="superscript"/>
              </w:rPr>
              <w:t>5</w:t>
            </w:r>
          </w:p>
        </w:tc>
        <w:tc>
          <w:tcPr>
            <w:tcW w:w="648" w:type="pct"/>
            <w:shd w:val="clear" w:color="auto" w:fill="auto"/>
          </w:tcPr>
          <w:p w14:paraId="22383A89" w14:textId="552FEBE5"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6"/>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6"/>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6"/>
                <w14:textFill>
                  <w14:solidFill>
                    <w14:srgbClr w14:val="000000">
                      <w14:alpha w14:val="100000"/>
                    </w14:srgbClr>
                  </w14:solidFill>
                </w14:textFill>
              </w:rPr>
              <w:t xml:space="preserve">　</w:t>
            </w:r>
            <w:r w:rsidR="00F53355">
              <w:rPr>
                <w:vertAlign w:val="superscript"/>
              </w:rPr>
              <w:t>5</w:t>
            </w:r>
          </w:p>
        </w:tc>
        <w:tc>
          <w:tcPr>
            <w:tcW w:w="648" w:type="pct"/>
            <w:shd w:val="clear" w:color="auto" w:fill="auto"/>
          </w:tcPr>
          <w:p w14:paraId="622A6F43" w14:textId="2C329773"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7" w:id="-1136812785"/>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7" w:id="-1136812785"/>
                <w14:textFill>
                  <w14:solidFill>
                    <w14:srgbClr w14:val="000000">
                      <w14:alpha w14:val="100000"/>
                    </w14:srgbClr>
                  </w14:solidFill>
                </w14:textFill>
              </w:rPr>
              <w:t>|</w:t>
            </w:r>
            <w:r w:rsidRPr="00923B9F">
              <w:rPr>
                <w:rFonts w:cstheme="minorHAnsi" w:hint="eastAsia"/>
                <w:bCs w:val="0"/>
                <w:color w:val="000000"/>
                <w:spacing w:val="-28"/>
                <w:w w:val="15"/>
                <w:szCs w:val="20"/>
                <w:shd w:val="solid" w:color="000000" w:fill="000000"/>
                <w:fitText w:val="37" w:id="-1136812785"/>
                <w14:textFill>
                  <w14:solidFill>
                    <w14:srgbClr w14:val="000000">
                      <w14:alpha w14:val="100000"/>
                    </w14:srgbClr>
                  </w14:solidFill>
                </w14:textFill>
              </w:rPr>
              <w:t xml:space="preserve">　</w:t>
            </w:r>
            <w:r w:rsidR="00F53355">
              <w:rPr>
                <w:vertAlign w:val="superscript"/>
              </w:rPr>
              <w:t>5</w:t>
            </w:r>
          </w:p>
        </w:tc>
        <w:tc>
          <w:tcPr>
            <w:tcW w:w="648" w:type="pct"/>
            <w:shd w:val="clear" w:color="auto" w:fill="auto"/>
          </w:tcPr>
          <w:p w14:paraId="10FB57DA" w14:textId="1EEDEE35" w:rsidR="00D82049" w:rsidRPr="003F4735" w:rsidRDefault="00923B9F" w:rsidP="001E76E0">
            <w:pPr>
              <w:pStyle w:val="COMTabletext"/>
              <w:jc w:val="center"/>
              <w:rPr>
                <w:bCs w:val="0"/>
                <w:szCs w:val="20"/>
                <w:highlight w:val="lightGray"/>
              </w:rPr>
            </w:pPr>
            <w:r w:rsidRPr="00923B9F">
              <w:rPr>
                <w:rFonts w:cstheme="minorHAnsi" w:hint="eastAsia"/>
                <w:bCs w:val="0"/>
                <w:color w:val="000000"/>
                <w:w w:val="15"/>
                <w:szCs w:val="20"/>
                <w:shd w:val="solid" w:color="000000" w:fill="000000"/>
                <w:fitText w:val="38" w:id="-1136812784"/>
                <w14:textFill>
                  <w14:solidFill>
                    <w14:srgbClr w14:val="000000">
                      <w14:alpha w14:val="100000"/>
                    </w14:srgbClr>
                  </w14:solidFill>
                </w14:textFill>
              </w:rPr>
              <w:t xml:space="preserve">　</w:t>
            </w:r>
            <w:r w:rsidRPr="00923B9F">
              <w:rPr>
                <w:rFonts w:cstheme="minorHAnsi"/>
                <w:bCs w:val="0"/>
                <w:color w:val="000000"/>
                <w:w w:val="15"/>
                <w:szCs w:val="20"/>
                <w:shd w:val="solid" w:color="000000" w:fill="000000"/>
                <w:fitText w:val="38" w:id="-1136812784"/>
                <w14:textFill>
                  <w14:solidFill>
                    <w14:srgbClr w14:val="000000">
                      <w14:alpha w14:val="100000"/>
                    </w14:srgbClr>
                  </w14:solidFill>
                </w14:textFill>
              </w:rPr>
              <w:t>|</w:t>
            </w:r>
            <w:r w:rsidRPr="00923B9F">
              <w:rPr>
                <w:rFonts w:cstheme="minorHAnsi" w:hint="eastAsia"/>
                <w:bCs w:val="0"/>
                <w:color w:val="000000"/>
                <w:spacing w:val="-27"/>
                <w:w w:val="15"/>
                <w:szCs w:val="20"/>
                <w:shd w:val="solid" w:color="000000" w:fill="000000"/>
                <w:fitText w:val="38" w:id="-1136812784"/>
                <w14:textFill>
                  <w14:solidFill>
                    <w14:srgbClr w14:val="000000">
                      <w14:alpha w14:val="100000"/>
                    </w14:srgbClr>
                  </w14:solidFill>
                </w14:textFill>
              </w:rPr>
              <w:t xml:space="preserve">　</w:t>
            </w:r>
            <w:r w:rsidR="00F53355">
              <w:rPr>
                <w:vertAlign w:val="superscript"/>
              </w:rPr>
              <w:t>5</w:t>
            </w:r>
          </w:p>
        </w:tc>
        <w:tc>
          <w:tcPr>
            <w:tcW w:w="649" w:type="pct"/>
            <w:shd w:val="clear" w:color="auto" w:fill="auto"/>
          </w:tcPr>
          <w:p w14:paraId="1565F900" w14:textId="3201BCFB" w:rsidR="00D82049" w:rsidRPr="003F4735" w:rsidRDefault="00923B9F" w:rsidP="001E76E0">
            <w:pPr>
              <w:pStyle w:val="COMTabletext"/>
              <w:jc w:val="center"/>
              <w:rPr>
                <w:bCs w:val="0"/>
                <w:szCs w:val="20"/>
                <w:highlight w:val="lightGray"/>
              </w:rPr>
            </w:pPr>
            <w:r w:rsidRPr="00B80329">
              <w:rPr>
                <w:rFonts w:cstheme="minorHAnsi" w:hint="eastAsia"/>
                <w:bCs w:val="0"/>
                <w:color w:val="000000"/>
                <w:spacing w:val="-182"/>
                <w:szCs w:val="20"/>
                <w:shd w:val="solid" w:color="000000" w:fill="000000"/>
                <w:fitText w:val="18" w:id="-1136812800"/>
                <w14:textFill>
                  <w14:solidFill>
                    <w14:srgbClr w14:val="000000">
                      <w14:alpha w14:val="100000"/>
                    </w14:srgbClr>
                  </w14:solidFill>
                </w14:textFill>
              </w:rPr>
              <w:t xml:space="preserve">　</w:t>
            </w:r>
            <w:r w:rsidRPr="00A35D36">
              <w:rPr>
                <w:rFonts w:cstheme="minorHAnsi"/>
                <w:bCs w:val="0"/>
                <w:color w:val="000000"/>
                <w:spacing w:val="-18"/>
                <w:w w:val="15"/>
                <w:szCs w:val="20"/>
                <w:shd w:val="solid" w:color="000000" w:fill="000000"/>
                <w14:textFill>
                  <w14:solidFill>
                    <w14:srgbClr w14:val="000000">
                      <w14:alpha w14:val="100000"/>
                    </w14:srgbClr>
                  </w14:solidFill>
                </w14:textFill>
              </w:rPr>
              <w:t>|</w:t>
            </w:r>
            <w:r w:rsidRPr="00B80329">
              <w:rPr>
                <w:rFonts w:cstheme="minorHAnsi" w:hint="eastAsia"/>
                <w:bCs w:val="0"/>
                <w:color w:val="000000"/>
                <w:w w:val="15"/>
                <w:szCs w:val="20"/>
                <w:shd w:val="solid" w:color="000000" w:fill="000000"/>
                <w14:textFill>
                  <w14:solidFill>
                    <w14:srgbClr w14:val="000000">
                      <w14:alpha w14:val="100000"/>
                    </w14:srgbClr>
                  </w14:solidFill>
                </w14:textFill>
              </w:rPr>
              <w:t xml:space="preserve">　</w:t>
            </w:r>
            <w:r w:rsidR="00F53355">
              <w:rPr>
                <w:vertAlign w:val="superscript"/>
              </w:rPr>
              <w:t>5</w:t>
            </w:r>
          </w:p>
        </w:tc>
      </w:tr>
      <w:tr w:rsidR="00D82049" w:rsidRPr="00936C32" w14:paraId="31D12D62" w14:textId="77777777" w:rsidTr="001E76E0">
        <w:tc>
          <w:tcPr>
            <w:tcW w:w="1111" w:type="pct"/>
            <w:shd w:val="clear" w:color="auto" w:fill="auto"/>
            <w:vAlign w:val="center"/>
          </w:tcPr>
          <w:p w14:paraId="2F13D7E8" w14:textId="77777777" w:rsidR="00D82049" w:rsidRPr="00936C32" w:rsidRDefault="00D82049" w:rsidP="001E76E0">
            <w:pPr>
              <w:pStyle w:val="COMTabletext"/>
              <w:rPr>
                <w:szCs w:val="20"/>
              </w:rPr>
            </w:pPr>
            <w:r w:rsidRPr="00936C32">
              <w:rPr>
                <w:b/>
                <w:bCs w:val="0"/>
                <w:szCs w:val="20"/>
              </w:rPr>
              <w:t>Net cost to the PBS/RPBS/MBS</w:t>
            </w:r>
          </w:p>
        </w:tc>
        <w:tc>
          <w:tcPr>
            <w:tcW w:w="648" w:type="pct"/>
            <w:shd w:val="clear" w:color="auto" w:fill="auto"/>
            <w:vAlign w:val="center"/>
          </w:tcPr>
          <w:p w14:paraId="274EAA23" w14:textId="07103275"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6"/>
                <w:szCs w:val="20"/>
                <w:shd w:val="solid" w:color="000000" w:fill="000000"/>
                <w:fitText w:val="75" w:id="-1136812799"/>
                <w14:textFill>
                  <w14:solidFill>
                    <w14:srgbClr w14:val="000000">
                      <w14:alpha w14:val="100000"/>
                    </w14:srgbClr>
                  </w14:solidFill>
                </w14:textFill>
              </w:rPr>
              <w:t xml:space="preserve">　</w:t>
            </w:r>
            <w:r w:rsidRPr="00923B9F">
              <w:rPr>
                <w:rFonts w:eastAsia="Times New Roman" w:cs="Arial"/>
                <w:b/>
                <w:bCs w:val="0"/>
                <w:color w:val="000000"/>
                <w:w w:val="16"/>
                <w:szCs w:val="20"/>
                <w:shd w:val="solid" w:color="000000" w:fill="000000"/>
                <w:fitText w:val="75" w:id="-1136812799"/>
                <w14:textFill>
                  <w14:solidFill>
                    <w14:srgbClr w14:val="000000">
                      <w14:alpha w14:val="100000"/>
                    </w14:srgbClr>
                  </w14:solidFill>
                </w14:textFill>
              </w:rPr>
              <w:t>|</w:t>
            </w:r>
            <w:r w:rsidRPr="00923B9F">
              <w:rPr>
                <w:rFonts w:eastAsia="Times New Roman" w:cs="Arial" w:hint="eastAsia"/>
                <w:b/>
                <w:bCs w:val="0"/>
                <w:color w:val="000000"/>
                <w:spacing w:val="5"/>
                <w:w w:val="16"/>
                <w:szCs w:val="20"/>
                <w:shd w:val="solid" w:color="000000" w:fill="000000"/>
                <w:fitText w:val="75" w:id="-1136812799"/>
                <w14:textFill>
                  <w14:solidFill>
                    <w14:srgbClr w14:val="000000">
                      <w14:alpha w14:val="100000"/>
                    </w14:srgbClr>
                  </w14:solidFill>
                </w14:textFill>
              </w:rPr>
              <w:t xml:space="preserve">　</w:t>
            </w:r>
            <w:r w:rsidR="00F53355">
              <w:rPr>
                <w:vertAlign w:val="superscript"/>
              </w:rPr>
              <w:t>3</w:t>
            </w:r>
          </w:p>
        </w:tc>
        <w:tc>
          <w:tcPr>
            <w:tcW w:w="648" w:type="pct"/>
            <w:shd w:val="clear" w:color="auto" w:fill="auto"/>
            <w:vAlign w:val="center"/>
          </w:tcPr>
          <w:p w14:paraId="0FE1C5CD" w14:textId="6B61E479"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5"/>
                <w:szCs w:val="20"/>
                <w:shd w:val="solid" w:color="000000" w:fill="000000"/>
                <w:fitText w:val="56" w:id="-1136812798"/>
                <w14:textFill>
                  <w14:solidFill>
                    <w14:srgbClr w14:val="000000">
                      <w14:alpha w14:val="100000"/>
                    </w14:srgbClr>
                  </w14:solidFill>
                </w14:textFill>
              </w:rPr>
              <w:t xml:space="preserve">　</w:t>
            </w:r>
            <w:r w:rsidRPr="00923B9F">
              <w:rPr>
                <w:rFonts w:eastAsia="Times New Roman" w:cs="Arial"/>
                <w:b/>
                <w:bCs w:val="0"/>
                <w:color w:val="000000"/>
                <w:w w:val="15"/>
                <w:szCs w:val="20"/>
                <w:shd w:val="solid" w:color="000000" w:fill="000000"/>
                <w:fitText w:val="56" w:id="-1136812798"/>
                <w14:textFill>
                  <w14:solidFill>
                    <w14:srgbClr w14:val="000000">
                      <w14:alpha w14:val="100000"/>
                    </w14:srgbClr>
                  </w14:solidFill>
                </w14:textFill>
              </w:rPr>
              <w:t>|</w:t>
            </w:r>
            <w:r w:rsidRPr="00923B9F">
              <w:rPr>
                <w:rFonts w:eastAsia="Times New Roman" w:cs="Arial" w:hint="eastAsia"/>
                <w:b/>
                <w:bCs w:val="0"/>
                <w:color w:val="000000"/>
                <w:spacing w:val="-10"/>
                <w:w w:val="15"/>
                <w:szCs w:val="20"/>
                <w:shd w:val="solid" w:color="000000" w:fill="000000"/>
                <w:fitText w:val="56" w:id="-1136812798"/>
                <w14:textFill>
                  <w14:solidFill>
                    <w14:srgbClr w14:val="000000">
                      <w14:alpha w14:val="100000"/>
                    </w14:srgbClr>
                  </w14:solidFill>
                </w14:textFill>
              </w:rPr>
              <w:t xml:space="preserve">　</w:t>
            </w:r>
            <w:r w:rsidR="00F53355">
              <w:rPr>
                <w:vertAlign w:val="superscript"/>
              </w:rPr>
              <w:t>3</w:t>
            </w:r>
          </w:p>
        </w:tc>
        <w:tc>
          <w:tcPr>
            <w:tcW w:w="648" w:type="pct"/>
            <w:shd w:val="clear" w:color="auto" w:fill="auto"/>
            <w:vAlign w:val="center"/>
          </w:tcPr>
          <w:p w14:paraId="636E0F14" w14:textId="2056B3A8"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5"/>
                <w:szCs w:val="20"/>
                <w:shd w:val="solid" w:color="000000" w:fill="000000"/>
                <w:fitText w:val="56" w:id="-1136812797"/>
                <w14:textFill>
                  <w14:solidFill>
                    <w14:srgbClr w14:val="000000">
                      <w14:alpha w14:val="100000"/>
                    </w14:srgbClr>
                  </w14:solidFill>
                </w14:textFill>
              </w:rPr>
              <w:t xml:space="preserve">　</w:t>
            </w:r>
            <w:r w:rsidRPr="00923B9F">
              <w:rPr>
                <w:rFonts w:eastAsia="Times New Roman" w:cs="Arial"/>
                <w:b/>
                <w:bCs w:val="0"/>
                <w:color w:val="000000"/>
                <w:w w:val="15"/>
                <w:szCs w:val="20"/>
                <w:shd w:val="solid" w:color="000000" w:fill="000000"/>
                <w:fitText w:val="56" w:id="-1136812797"/>
                <w14:textFill>
                  <w14:solidFill>
                    <w14:srgbClr w14:val="000000">
                      <w14:alpha w14:val="100000"/>
                    </w14:srgbClr>
                  </w14:solidFill>
                </w14:textFill>
              </w:rPr>
              <w:t>|</w:t>
            </w:r>
            <w:r w:rsidRPr="00923B9F">
              <w:rPr>
                <w:rFonts w:eastAsia="Times New Roman" w:cs="Arial" w:hint="eastAsia"/>
                <w:b/>
                <w:bCs w:val="0"/>
                <w:color w:val="000000"/>
                <w:spacing w:val="-10"/>
                <w:w w:val="15"/>
                <w:szCs w:val="20"/>
                <w:shd w:val="solid" w:color="000000" w:fill="000000"/>
                <w:fitText w:val="56" w:id="-1136812797"/>
                <w14:textFill>
                  <w14:solidFill>
                    <w14:srgbClr w14:val="000000">
                      <w14:alpha w14:val="100000"/>
                    </w14:srgbClr>
                  </w14:solidFill>
                </w14:textFill>
              </w:rPr>
              <w:t xml:space="preserve">　</w:t>
            </w:r>
            <w:r w:rsidR="00F53355">
              <w:rPr>
                <w:vertAlign w:val="superscript"/>
              </w:rPr>
              <w:t>3</w:t>
            </w:r>
          </w:p>
        </w:tc>
        <w:tc>
          <w:tcPr>
            <w:tcW w:w="648" w:type="pct"/>
            <w:shd w:val="clear" w:color="auto" w:fill="auto"/>
            <w:vAlign w:val="center"/>
          </w:tcPr>
          <w:p w14:paraId="104568A8" w14:textId="1C6047ED"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5"/>
                <w:szCs w:val="20"/>
                <w:shd w:val="solid" w:color="000000" w:fill="000000"/>
                <w:fitText w:val="56" w:id="-1136812796"/>
                <w14:textFill>
                  <w14:solidFill>
                    <w14:srgbClr w14:val="000000">
                      <w14:alpha w14:val="100000"/>
                    </w14:srgbClr>
                  </w14:solidFill>
                </w14:textFill>
              </w:rPr>
              <w:t xml:space="preserve">　</w:t>
            </w:r>
            <w:r w:rsidRPr="00923B9F">
              <w:rPr>
                <w:rFonts w:eastAsia="Times New Roman" w:cs="Arial"/>
                <w:b/>
                <w:bCs w:val="0"/>
                <w:color w:val="000000"/>
                <w:w w:val="15"/>
                <w:szCs w:val="20"/>
                <w:shd w:val="solid" w:color="000000" w:fill="000000"/>
                <w:fitText w:val="56" w:id="-1136812796"/>
                <w14:textFill>
                  <w14:solidFill>
                    <w14:srgbClr w14:val="000000">
                      <w14:alpha w14:val="100000"/>
                    </w14:srgbClr>
                  </w14:solidFill>
                </w14:textFill>
              </w:rPr>
              <w:t>|</w:t>
            </w:r>
            <w:r w:rsidRPr="00923B9F">
              <w:rPr>
                <w:rFonts w:eastAsia="Times New Roman" w:cs="Arial" w:hint="eastAsia"/>
                <w:b/>
                <w:bCs w:val="0"/>
                <w:color w:val="000000"/>
                <w:spacing w:val="-10"/>
                <w:w w:val="15"/>
                <w:szCs w:val="20"/>
                <w:shd w:val="solid" w:color="000000" w:fill="000000"/>
                <w:fitText w:val="56" w:id="-1136812796"/>
                <w14:textFill>
                  <w14:solidFill>
                    <w14:srgbClr w14:val="000000">
                      <w14:alpha w14:val="100000"/>
                    </w14:srgbClr>
                  </w14:solidFill>
                </w14:textFill>
              </w:rPr>
              <w:t xml:space="preserve">　</w:t>
            </w:r>
            <w:r w:rsidR="00F53355">
              <w:rPr>
                <w:vertAlign w:val="superscript"/>
              </w:rPr>
              <w:t>3</w:t>
            </w:r>
          </w:p>
        </w:tc>
        <w:tc>
          <w:tcPr>
            <w:tcW w:w="648" w:type="pct"/>
            <w:shd w:val="clear" w:color="auto" w:fill="auto"/>
            <w:vAlign w:val="center"/>
          </w:tcPr>
          <w:p w14:paraId="51CCA835" w14:textId="71DCFA2A"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5"/>
                <w:szCs w:val="20"/>
                <w:shd w:val="solid" w:color="000000" w:fill="000000"/>
                <w:fitText w:val="56" w:id="-1136812795"/>
                <w14:textFill>
                  <w14:solidFill>
                    <w14:srgbClr w14:val="000000">
                      <w14:alpha w14:val="100000"/>
                    </w14:srgbClr>
                  </w14:solidFill>
                </w14:textFill>
              </w:rPr>
              <w:t xml:space="preserve">　</w:t>
            </w:r>
            <w:r w:rsidRPr="00923B9F">
              <w:rPr>
                <w:rFonts w:eastAsia="Times New Roman" w:cs="Arial"/>
                <w:b/>
                <w:bCs w:val="0"/>
                <w:color w:val="000000"/>
                <w:w w:val="15"/>
                <w:szCs w:val="20"/>
                <w:shd w:val="solid" w:color="000000" w:fill="000000"/>
                <w:fitText w:val="56" w:id="-1136812795"/>
                <w14:textFill>
                  <w14:solidFill>
                    <w14:srgbClr w14:val="000000">
                      <w14:alpha w14:val="100000"/>
                    </w14:srgbClr>
                  </w14:solidFill>
                </w14:textFill>
              </w:rPr>
              <w:t>|</w:t>
            </w:r>
            <w:r w:rsidRPr="00923B9F">
              <w:rPr>
                <w:rFonts w:eastAsia="Times New Roman" w:cs="Arial" w:hint="eastAsia"/>
                <w:b/>
                <w:bCs w:val="0"/>
                <w:color w:val="000000"/>
                <w:spacing w:val="-10"/>
                <w:w w:val="15"/>
                <w:szCs w:val="20"/>
                <w:shd w:val="solid" w:color="000000" w:fill="000000"/>
                <w:fitText w:val="56" w:id="-1136812795"/>
                <w14:textFill>
                  <w14:solidFill>
                    <w14:srgbClr w14:val="000000">
                      <w14:alpha w14:val="100000"/>
                    </w14:srgbClr>
                  </w14:solidFill>
                </w14:textFill>
              </w:rPr>
              <w:t xml:space="preserve">　</w:t>
            </w:r>
            <w:r w:rsidR="00F53355">
              <w:rPr>
                <w:vertAlign w:val="superscript"/>
              </w:rPr>
              <w:t>4</w:t>
            </w:r>
          </w:p>
        </w:tc>
        <w:tc>
          <w:tcPr>
            <w:tcW w:w="649" w:type="pct"/>
            <w:shd w:val="clear" w:color="auto" w:fill="auto"/>
            <w:vAlign w:val="center"/>
          </w:tcPr>
          <w:p w14:paraId="335DD56B" w14:textId="5BF19DC7" w:rsidR="00D82049" w:rsidRPr="003F4735" w:rsidRDefault="00923B9F" w:rsidP="001E76E0">
            <w:pPr>
              <w:pStyle w:val="COMTabletext"/>
              <w:jc w:val="center"/>
              <w:rPr>
                <w:b/>
                <w:bCs w:val="0"/>
                <w:szCs w:val="20"/>
                <w:highlight w:val="lightGray"/>
              </w:rPr>
            </w:pPr>
            <w:r w:rsidRPr="00923B9F">
              <w:rPr>
                <w:rFonts w:eastAsia="Times New Roman" w:cs="Arial" w:hint="eastAsia"/>
                <w:b/>
                <w:bCs w:val="0"/>
                <w:color w:val="000000"/>
                <w:w w:val="15"/>
                <w:szCs w:val="20"/>
                <w:shd w:val="solid" w:color="000000" w:fill="000000"/>
                <w:fitText w:val="56" w:id="-1136812794"/>
                <w14:textFill>
                  <w14:solidFill>
                    <w14:srgbClr w14:val="000000">
                      <w14:alpha w14:val="100000"/>
                    </w14:srgbClr>
                  </w14:solidFill>
                </w14:textFill>
              </w:rPr>
              <w:t xml:space="preserve">　</w:t>
            </w:r>
            <w:r w:rsidRPr="00923B9F">
              <w:rPr>
                <w:rFonts w:eastAsia="Times New Roman" w:cs="Arial"/>
                <w:b/>
                <w:bCs w:val="0"/>
                <w:color w:val="000000"/>
                <w:w w:val="15"/>
                <w:szCs w:val="20"/>
                <w:shd w:val="solid" w:color="000000" w:fill="000000"/>
                <w:fitText w:val="56" w:id="-1136812794"/>
                <w14:textFill>
                  <w14:solidFill>
                    <w14:srgbClr w14:val="000000">
                      <w14:alpha w14:val="100000"/>
                    </w14:srgbClr>
                  </w14:solidFill>
                </w14:textFill>
              </w:rPr>
              <w:t>|</w:t>
            </w:r>
            <w:r w:rsidRPr="00923B9F">
              <w:rPr>
                <w:rFonts w:eastAsia="Times New Roman" w:cs="Arial" w:hint="eastAsia"/>
                <w:b/>
                <w:bCs w:val="0"/>
                <w:color w:val="000000"/>
                <w:spacing w:val="-10"/>
                <w:w w:val="15"/>
                <w:szCs w:val="20"/>
                <w:shd w:val="solid" w:color="000000" w:fill="000000"/>
                <w:fitText w:val="56" w:id="-1136812794"/>
                <w14:textFill>
                  <w14:solidFill>
                    <w14:srgbClr w14:val="000000">
                      <w14:alpha w14:val="100000"/>
                    </w14:srgbClr>
                  </w14:solidFill>
                </w14:textFill>
              </w:rPr>
              <w:t xml:space="preserve">　</w:t>
            </w:r>
            <w:r w:rsidR="00F53355">
              <w:rPr>
                <w:vertAlign w:val="superscript"/>
              </w:rPr>
              <w:t>4</w:t>
            </w:r>
          </w:p>
        </w:tc>
      </w:tr>
    </w:tbl>
    <w:p w14:paraId="40C6D554" w14:textId="77777777" w:rsidR="00D82049" w:rsidRPr="00936C32" w:rsidRDefault="00D82049" w:rsidP="00D82049">
      <w:pPr>
        <w:pStyle w:val="COMTablefooter"/>
      </w:pPr>
      <w:r w:rsidRPr="00936C32">
        <w:t>n.r. = not reported.</w:t>
      </w:r>
    </w:p>
    <w:p w14:paraId="26F2D15B" w14:textId="77777777" w:rsidR="00D82049" w:rsidRPr="00936C32" w:rsidRDefault="00D82049" w:rsidP="00D82049">
      <w:pPr>
        <w:pStyle w:val="COMTablefooter"/>
      </w:pPr>
      <w:r w:rsidRPr="00936C32">
        <w:t>a. The resubmission noted this estimate differed from pre-PBAC response, and stated this was due to correcting for the use of Australian population estimates for 2023 from the Australian Bureau of Statistics, rounding and previously only partially capturing new incident patients in Year 1.</w:t>
      </w:r>
    </w:p>
    <w:p w14:paraId="4C5661BB" w14:textId="746C4A31" w:rsidR="00D82049" w:rsidRDefault="00D82049" w:rsidP="00D82049">
      <w:pPr>
        <w:pStyle w:val="COMTablefooter"/>
      </w:pPr>
      <w:r w:rsidRPr="00936C32">
        <w:t>b. MBS Item 116 - Professional attendance by consultant physician.</w:t>
      </w:r>
    </w:p>
    <w:p w14:paraId="077C91E0" w14:textId="77777777" w:rsidR="00BE5ABA" w:rsidRPr="009A6D58" w:rsidRDefault="00BE5ABA" w:rsidP="00BE5AB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0F4E32A" w14:textId="4B0212AF" w:rsidR="00BE5ABA" w:rsidRPr="009A6D58" w:rsidRDefault="00BE5ABA" w:rsidP="00BE5AB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E5ABA">
        <w:rPr>
          <w:rFonts w:ascii="Arial Narrow" w:hAnsi="Arial Narrow"/>
          <w:i/>
          <w:sz w:val="18"/>
          <w:szCs w:val="18"/>
        </w:rPr>
        <w:t>&lt; 500</w:t>
      </w:r>
    </w:p>
    <w:p w14:paraId="5DBBA337" w14:textId="7A4921B0" w:rsidR="00BE5ABA" w:rsidRPr="009A6D58" w:rsidRDefault="00BE5ABA" w:rsidP="00BE5AB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E5ABA">
        <w:rPr>
          <w:rFonts w:ascii="Arial Narrow" w:hAnsi="Arial Narrow"/>
          <w:i/>
          <w:sz w:val="18"/>
          <w:szCs w:val="18"/>
        </w:rPr>
        <w:t>500 to &lt; 5,000</w:t>
      </w:r>
    </w:p>
    <w:p w14:paraId="02715079" w14:textId="5E593345" w:rsidR="00BE5ABA" w:rsidRDefault="00BE5ABA" w:rsidP="00BE5AB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F53355" w:rsidRPr="00F53355">
        <w:rPr>
          <w:rFonts w:ascii="Arial Narrow" w:hAnsi="Arial Narrow"/>
          <w:i/>
          <w:sz w:val="18"/>
          <w:szCs w:val="18"/>
        </w:rPr>
        <w:t>$10 million to &lt; $20 million</w:t>
      </w:r>
    </w:p>
    <w:p w14:paraId="5028DD1D" w14:textId="2DC6B154" w:rsidR="00BE5ABA" w:rsidRDefault="00BE5ABA" w:rsidP="00BE5AB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F53355" w:rsidRPr="00F53355">
        <w:rPr>
          <w:rFonts w:ascii="Arial Narrow" w:hAnsi="Arial Narrow"/>
          <w:i/>
          <w:sz w:val="18"/>
          <w:szCs w:val="18"/>
        </w:rPr>
        <w:t>$20 million to &lt; $30 million</w:t>
      </w:r>
    </w:p>
    <w:p w14:paraId="3A8D9E2F" w14:textId="078E1890" w:rsidR="00F53355" w:rsidRDefault="00F53355" w:rsidP="00BE5ABA">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53355">
        <w:rPr>
          <w:rFonts w:ascii="Arial Narrow" w:hAnsi="Arial Narrow"/>
          <w:i/>
          <w:sz w:val="18"/>
          <w:szCs w:val="18"/>
        </w:rPr>
        <w:t>$0 to &lt; $10 million</w:t>
      </w:r>
    </w:p>
    <w:p w14:paraId="7150EE41" w14:textId="6A0D851F" w:rsidR="00AE5881" w:rsidRDefault="00AE5881" w:rsidP="00BE5ABA">
      <w:pPr>
        <w:rPr>
          <w:rFonts w:ascii="Arial Narrow" w:hAnsi="Arial Narrow"/>
          <w:i/>
          <w:sz w:val="18"/>
          <w:szCs w:val="18"/>
        </w:rPr>
      </w:pPr>
      <w:r w:rsidRPr="003F4735">
        <w:rPr>
          <w:rFonts w:ascii="Arial Narrow" w:hAnsi="Arial Narrow"/>
          <w:i/>
          <w:sz w:val="18"/>
          <w:szCs w:val="18"/>
          <w:vertAlign w:val="superscript"/>
        </w:rPr>
        <w:t>6</w:t>
      </w:r>
      <w:r w:rsidRPr="00AE5881">
        <w:rPr>
          <w:rFonts w:ascii="Arial Narrow" w:hAnsi="Arial Narrow"/>
          <w:i/>
          <w:sz w:val="18"/>
          <w:szCs w:val="18"/>
        </w:rPr>
        <w:t>500 to &lt; 5,000</w:t>
      </w:r>
    </w:p>
    <w:p w14:paraId="28F01C53" w14:textId="77777777" w:rsidR="00D82049" w:rsidRPr="00936C32" w:rsidRDefault="00D82049" w:rsidP="00D82049">
      <w:pPr>
        <w:pStyle w:val="COMH2-non-numbered"/>
      </w:pPr>
      <w:bookmarkStart w:id="109" w:name="_Hlk146059122"/>
      <w:r w:rsidRPr="00936C32">
        <w:t>Financial Management – Risk Sharing Arrangements</w:t>
      </w:r>
    </w:p>
    <w:bookmarkEnd w:id="109"/>
    <w:p w14:paraId="1E7B6A61" w14:textId="22FCA93C" w:rsidR="00D82049" w:rsidRPr="00936C32" w:rsidRDefault="00D82049" w:rsidP="00D82049">
      <w:pPr>
        <w:pStyle w:val="COMexecsumnumberedpara"/>
        <w:rPr>
          <w:bCs/>
        </w:rPr>
      </w:pPr>
      <w:r w:rsidRPr="00936C32">
        <w:rPr>
          <w:rFonts w:eastAsiaTheme="minorHAnsi"/>
          <w:bCs/>
          <w:snapToGrid/>
          <w:lang w:eastAsia="en-US"/>
        </w:rPr>
        <w:t xml:space="preserve">The resubmission proposed a cap threshold based on a vial consumption of </w:t>
      </w:r>
      <w:r w:rsidR="00AE5881" w:rsidRPr="00AE5881">
        <w:rPr>
          <w:rFonts w:eastAsiaTheme="minorHAnsi"/>
          <w:bCs/>
          <w:snapToGrid/>
          <w:lang w:eastAsia="en-US"/>
        </w:rPr>
        <w:t>500</w:t>
      </w:r>
      <w:r w:rsidR="00AE5881">
        <w:rPr>
          <w:rFonts w:eastAsiaTheme="minorHAnsi"/>
          <w:bCs/>
          <w:snapToGrid/>
          <w:lang w:eastAsia="en-US"/>
        </w:rPr>
        <w:t> </w:t>
      </w:r>
      <w:r w:rsidR="00AE5881" w:rsidRPr="00AE5881">
        <w:rPr>
          <w:rFonts w:eastAsiaTheme="minorHAnsi"/>
          <w:bCs/>
          <w:snapToGrid/>
          <w:lang w:eastAsia="en-US"/>
        </w:rPr>
        <w:t>to</w:t>
      </w:r>
      <w:r w:rsidR="00AE5881">
        <w:rPr>
          <w:rFonts w:eastAsiaTheme="minorHAnsi"/>
          <w:bCs/>
          <w:snapToGrid/>
          <w:lang w:eastAsia="en-US"/>
        </w:rPr>
        <w:t> </w:t>
      </w:r>
      <w:r w:rsidR="00AE5881" w:rsidRPr="00AE5881">
        <w:rPr>
          <w:rFonts w:eastAsiaTheme="minorHAnsi"/>
          <w:bCs/>
          <w:snapToGrid/>
          <w:lang w:eastAsia="en-US"/>
        </w:rPr>
        <w:t>&lt;</w:t>
      </w:r>
      <w:r w:rsidR="00AE5881">
        <w:rPr>
          <w:rFonts w:eastAsiaTheme="minorHAnsi"/>
          <w:bCs/>
          <w:snapToGrid/>
          <w:lang w:eastAsia="en-US"/>
        </w:rPr>
        <w:t> </w:t>
      </w:r>
      <w:r w:rsidR="00AE5881" w:rsidRPr="00AE5881">
        <w:rPr>
          <w:rFonts w:eastAsiaTheme="minorHAnsi"/>
          <w:bCs/>
          <w:snapToGrid/>
          <w:lang w:eastAsia="en-US"/>
        </w:rPr>
        <w:t>5,000</w:t>
      </w:r>
      <w:r w:rsidR="00356155">
        <w:rPr>
          <w:rFonts w:eastAsiaTheme="minorHAnsi"/>
          <w:bCs/>
          <w:snapToGrid/>
          <w:lang w:eastAsia="en-US"/>
        </w:rPr>
        <w:t xml:space="preserve"> </w:t>
      </w:r>
      <w:r w:rsidRPr="00B80329">
        <w:rPr>
          <w:rFonts w:eastAsiaTheme="minorHAnsi"/>
          <w:bCs/>
          <w:snapToGrid/>
          <w:lang w:eastAsia="en-US"/>
        </w:rPr>
        <w:t xml:space="preserve">vials per calendar year (corresponding to </w:t>
      </w:r>
      <w:r w:rsidR="001D463B" w:rsidRPr="00B80329">
        <w:rPr>
          <w:rFonts w:eastAsiaTheme="minorHAnsi"/>
          <w:bCs/>
          <w:snapToGrid/>
          <w:lang w:eastAsia="en-US"/>
        </w:rPr>
        <w:t>&lt; 500</w:t>
      </w:r>
      <w:r w:rsidR="000101C1" w:rsidRPr="00B80329">
        <w:rPr>
          <w:rFonts w:eastAsiaTheme="minorHAnsi"/>
          <w:bCs/>
          <w:snapToGrid/>
          <w:lang w:eastAsia="en-US"/>
        </w:rPr>
        <w:t xml:space="preserve"> </w:t>
      </w:r>
      <w:r w:rsidRPr="00B80329">
        <w:rPr>
          <w:rFonts w:eastAsiaTheme="minorHAnsi"/>
          <w:bCs/>
          <w:snapToGrid/>
          <w:lang w:eastAsia="en-US"/>
        </w:rPr>
        <w:t>patients treated, with an average 40.11 vials per patient</w:t>
      </w:r>
      <w:r w:rsidRPr="00B80329">
        <w:rPr>
          <w:rStyle w:val="FootnoteReference"/>
          <w:rFonts w:eastAsiaTheme="minorHAnsi"/>
          <w:bCs/>
          <w:snapToGrid/>
          <w:lang w:eastAsia="en-US"/>
        </w:rPr>
        <w:footnoteReference w:id="11"/>
      </w:r>
      <w:r w:rsidRPr="00B80329">
        <w:rPr>
          <w:rFonts w:eastAsiaTheme="minorHAnsi"/>
          <w:bCs/>
          <w:snapToGrid/>
          <w:lang w:eastAsia="en-US"/>
        </w:rPr>
        <w:t>). Above this volume, the proposed post-rebate price was $</w:t>
      </w:r>
      <w:r w:rsidR="00923B9F" w:rsidRPr="00AC5845">
        <w:rPr>
          <w:rFonts w:eastAsiaTheme="minorHAnsi"/>
          <w:bCs/>
          <w:snapToGrid/>
          <w:color w:val="000000"/>
          <w:spacing w:val="-130"/>
          <w:shd w:val="solid" w:color="000000" w:fill="000000"/>
          <w:fitText w:val="-20" w:id="-1136812793"/>
          <w:lang w:eastAsia="en-US"/>
          <w14:textFill>
            <w14:solidFill>
              <w14:srgbClr w14:val="000000">
                <w14:alpha w14:val="100000"/>
              </w14:srgbClr>
            </w14:solidFill>
          </w14:textFill>
        </w:rPr>
        <w:t>|</w:t>
      </w:r>
      <w:r w:rsidR="00923B9F" w:rsidRPr="00B80329">
        <w:rPr>
          <w:rFonts w:eastAsiaTheme="minorHAnsi"/>
          <w:bCs/>
          <w:snapToGrid/>
          <w:color w:val="000000"/>
          <w:spacing w:val="-44"/>
          <w:w w:val="15"/>
          <w:shd w:val="solid" w:color="000000" w:fill="000000"/>
          <w:lang w:eastAsia="en-US"/>
          <w14:textFill>
            <w14:solidFill>
              <w14:srgbClr w14:val="000000">
                <w14:alpha w14:val="100000"/>
              </w14:srgbClr>
            </w14:solidFill>
          </w14:textFill>
        </w:rPr>
        <w:t xml:space="preserve"> </w:t>
      </w:r>
      <w:r w:rsidR="00923B9F" w:rsidRPr="00B80329">
        <w:rPr>
          <w:rFonts w:eastAsiaTheme="minorHAnsi"/>
          <w:bCs/>
          <w:snapToGrid/>
          <w:color w:val="000000"/>
          <w:w w:val="15"/>
          <w:shd w:val="solid" w:color="000000" w:fill="000000"/>
          <w:lang w:eastAsia="en-US"/>
          <w14:textFill>
            <w14:solidFill>
              <w14:srgbClr w14:val="000000">
                <w14:alpha w14:val="100000"/>
              </w14:srgbClr>
            </w14:solidFill>
          </w14:textFill>
        </w:rPr>
        <w:t xml:space="preserve"> </w:t>
      </w:r>
      <w:r w:rsidR="00923B9F" w:rsidRPr="00B80329">
        <w:rPr>
          <w:rFonts w:eastAsiaTheme="minorHAnsi"/>
          <w:bCs/>
          <w:snapToGrid/>
          <w:color w:val="000000"/>
          <w:spacing w:val="-69"/>
          <w:w w:val="15"/>
          <w:shd w:val="solid" w:color="000000" w:fill="000000"/>
          <w:lang w:eastAsia="en-US"/>
          <w14:textFill>
            <w14:solidFill>
              <w14:srgbClr w14:val="000000">
                <w14:alpha w14:val="100000"/>
              </w14:srgbClr>
            </w14:solidFill>
          </w14:textFill>
        </w:rPr>
        <w:t>|</w:t>
      </w:r>
      <w:r w:rsidRPr="00B80329">
        <w:rPr>
          <w:rFonts w:eastAsiaTheme="minorHAnsi"/>
          <w:bCs/>
          <w:snapToGrid/>
          <w:lang w:eastAsia="en-US"/>
        </w:rPr>
        <w:t xml:space="preserve"> per vial (reflects approx. </w:t>
      </w:r>
      <w:r w:rsidR="00923B9F" w:rsidRPr="00AC5845">
        <w:rPr>
          <w:rFonts w:eastAsiaTheme="minorHAnsi"/>
          <w:bCs/>
          <w:snapToGrid/>
          <w:color w:val="000000"/>
          <w:w w:val="15"/>
          <w:shd w:val="solid" w:color="000000" w:fill="000000"/>
          <w:fitText w:val="-20" w:id="-1136812792"/>
          <w:lang w:eastAsia="en-US"/>
          <w14:textFill>
            <w14:solidFill>
              <w14:srgbClr w14:val="000000">
                <w14:alpha w14:val="100000"/>
              </w14:srgbClr>
            </w14:solidFill>
          </w14:textFill>
        </w:rPr>
        <w:t>|</w:t>
      </w:r>
      <w:r w:rsidR="00923B9F" w:rsidRPr="00AC5845">
        <w:rPr>
          <w:rFonts w:eastAsiaTheme="minorHAnsi"/>
          <w:bCs/>
          <w:snapToGrid/>
          <w:color w:val="000000"/>
          <w:spacing w:val="-44"/>
          <w:w w:val="15"/>
          <w:shd w:val="solid" w:color="000000" w:fill="000000"/>
          <w:fitText w:val="-20" w:id="-1136812792"/>
          <w:lang w:eastAsia="en-US"/>
          <w14:textFill>
            <w14:solidFill>
              <w14:srgbClr w14:val="000000">
                <w14:alpha w14:val="100000"/>
              </w14:srgbClr>
            </w14:solidFill>
          </w14:textFill>
        </w:rPr>
        <w:t xml:space="preserve"> </w:t>
      </w:r>
      <w:r w:rsidR="00923B9F" w:rsidRPr="00B80329">
        <w:rPr>
          <w:rFonts w:eastAsiaTheme="minorHAnsi"/>
          <w:bCs/>
          <w:snapToGrid/>
          <w:color w:val="000000"/>
          <w:w w:val="15"/>
          <w:shd w:val="solid" w:color="000000" w:fill="000000"/>
          <w:lang w:eastAsia="en-US"/>
          <w14:textFill>
            <w14:solidFill>
              <w14:srgbClr w14:val="000000">
                <w14:alpha w14:val="100000"/>
              </w14:srgbClr>
            </w14:solidFill>
          </w14:textFill>
        </w:rPr>
        <w:t xml:space="preserve"> </w:t>
      </w:r>
      <w:r w:rsidR="00923B9F" w:rsidRPr="00B80329">
        <w:rPr>
          <w:rFonts w:eastAsiaTheme="minorHAnsi"/>
          <w:bCs/>
          <w:snapToGrid/>
          <w:color w:val="000000"/>
          <w:spacing w:val="-69"/>
          <w:w w:val="15"/>
          <w:shd w:val="solid" w:color="000000" w:fill="000000"/>
          <w:lang w:eastAsia="en-US"/>
          <w14:textFill>
            <w14:solidFill>
              <w14:srgbClr w14:val="000000">
                <w14:alpha w14:val="100000"/>
              </w14:srgbClr>
            </w14:solidFill>
          </w14:textFill>
        </w:rPr>
        <w:t>|</w:t>
      </w:r>
      <w:r w:rsidRPr="00B80329">
        <w:rPr>
          <w:rFonts w:eastAsiaTheme="minorHAnsi"/>
          <w:bCs/>
          <w:snapToGrid/>
          <w:lang w:eastAsia="en-US"/>
        </w:rPr>
        <w:t>% rebate above the cap). This</w:t>
      </w:r>
      <w:r w:rsidRPr="00936C32">
        <w:rPr>
          <w:rFonts w:eastAsiaTheme="minorHAnsi"/>
          <w:bCs/>
          <w:snapToGrid/>
          <w:lang w:eastAsia="en-US"/>
        </w:rPr>
        <w:t xml:space="preserve"> cap would not </w:t>
      </w:r>
      <w:proofErr w:type="gramStart"/>
      <w:r w:rsidRPr="00936C32">
        <w:rPr>
          <w:rFonts w:eastAsiaTheme="minorHAnsi"/>
          <w:bCs/>
          <w:snapToGrid/>
          <w:lang w:eastAsia="en-US"/>
        </w:rPr>
        <w:t>be exceeded</w:t>
      </w:r>
      <w:proofErr w:type="gramEnd"/>
      <w:r w:rsidRPr="00936C32">
        <w:rPr>
          <w:rFonts w:eastAsiaTheme="minorHAnsi"/>
          <w:bCs/>
          <w:snapToGrid/>
          <w:lang w:eastAsia="en-US"/>
        </w:rPr>
        <w:t xml:space="preserve"> within the first six years of listing based on the utilisation estimates proposed in the resubmission (</w:t>
      </w:r>
      <w:r w:rsidRPr="00936C32">
        <w:rPr>
          <w:bCs/>
        </w:rPr>
        <w:fldChar w:fldCharType="begin" w:fldLock="1"/>
      </w:r>
      <w:r w:rsidRPr="00936C32">
        <w:rPr>
          <w:bCs/>
        </w:rPr>
        <w:instrText xml:space="preserve"> REF _Ref146058406 \h </w:instrText>
      </w:r>
      <w:r w:rsidRPr="00936C32">
        <w:rPr>
          <w:bCs/>
        </w:rPr>
      </w:r>
      <w:r w:rsidRPr="00936C32">
        <w:rPr>
          <w:bCs/>
        </w:rPr>
        <w:fldChar w:fldCharType="separate"/>
      </w:r>
      <w:r w:rsidRPr="00936C32">
        <w:t>Table 20</w:t>
      </w:r>
      <w:r w:rsidRPr="00936C32">
        <w:rPr>
          <w:bCs/>
        </w:rPr>
        <w:fldChar w:fldCharType="end"/>
      </w:r>
      <w:r w:rsidRPr="00936C32">
        <w:rPr>
          <w:bCs/>
        </w:rPr>
        <w:t>) and would also allow a higher number of patients treated in the early years without breaching the cap</w:t>
      </w:r>
      <w:r w:rsidRPr="00936C32">
        <w:rPr>
          <w:rFonts w:eastAsiaTheme="minorHAnsi"/>
          <w:bCs/>
          <w:snapToGrid/>
          <w:lang w:eastAsia="en-US"/>
        </w:rPr>
        <w:t>.</w:t>
      </w:r>
    </w:p>
    <w:p w14:paraId="7FACD6FD" w14:textId="77777777" w:rsidR="00D82049" w:rsidRPr="00936C32" w:rsidRDefault="00D82049" w:rsidP="00D82049">
      <w:pPr>
        <w:pStyle w:val="COMH2-non-numbered"/>
      </w:pPr>
      <w:r w:rsidRPr="00936C32">
        <w:lastRenderedPageBreak/>
        <w:t>Managed Access Program (MAP)</w:t>
      </w:r>
    </w:p>
    <w:p w14:paraId="24C09A41" w14:textId="77777777" w:rsidR="00D82049" w:rsidRPr="00936C32" w:rsidRDefault="00D82049" w:rsidP="00D82049">
      <w:pPr>
        <w:pStyle w:val="COMexecsumnumberedpara"/>
      </w:pPr>
      <w:r w:rsidRPr="00936C32">
        <w:rPr>
          <w:rFonts w:cstheme="minorHAnsi"/>
          <w:szCs w:val="20"/>
        </w:rPr>
        <w:t xml:space="preserve">The resubmission noted the PBAC’s request for a MAP and </w:t>
      </w:r>
      <w:r w:rsidRPr="00936C32">
        <w:t>proposed that the most robust approach to a future reassessment of patisiran would be to incorporate data from the patisiran Global open-label extension (OLE) study</w:t>
      </w:r>
      <w:r w:rsidRPr="00936C32">
        <w:rPr>
          <w:rStyle w:val="FootnoteReference"/>
        </w:rPr>
        <w:footnoteReference w:id="12"/>
      </w:r>
      <w:r w:rsidRPr="00936C32">
        <w:t xml:space="preserve"> and from the ConTTRibute Global observational study of patients with transthyretin-mediated amyloidosis</w:t>
      </w:r>
      <w:r w:rsidRPr="00936C32">
        <w:rPr>
          <w:rStyle w:val="FootnoteReference"/>
        </w:rPr>
        <w:footnoteReference w:id="13"/>
      </w:r>
      <w:r w:rsidRPr="00936C32">
        <w:t xml:space="preserve">. </w:t>
      </w:r>
    </w:p>
    <w:p w14:paraId="0BEA6A49" w14:textId="732E23A6" w:rsidR="00D82049" w:rsidRPr="00936C32" w:rsidRDefault="00D82049" w:rsidP="00D82049">
      <w:pPr>
        <w:pStyle w:val="COMexecsumnumberedpara"/>
      </w:pPr>
      <w:r w:rsidRPr="00936C32">
        <w:t xml:space="preserve">The resubmission noted that the ongoing patisiran Global OLE is collecting outcomes of relevance to the economic model including PND score transitions and survival, and </w:t>
      </w:r>
      <w:proofErr w:type="gramStart"/>
      <w:r w:rsidRPr="00936C32">
        <w:t>numerous</w:t>
      </w:r>
      <w:proofErr w:type="gramEnd"/>
      <w:r w:rsidRPr="00936C32">
        <w:t xml:space="preserve"> other outcomes as presented in the July 2023 submission, such as mNIS+7, and Norfolk QoL-DN score. The resubmission stated that a 5-year update from the Global OLE will be available by year-end 2024. </w:t>
      </w:r>
    </w:p>
    <w:p w14:paraId="3AFC2E9D" w14:textId="77777777" w:rsidR="00D82049" w:rsidRPr="00936C32" w:rsidRDefault="00D82049" w:rsidP="00D82049">
      <w:pPr>
        <w:pStyle w:val="COMexecsumnumberedpara"/>
      </w:pPr>
      <w:r w:rsidRPr="00936C32">
        <w:t xml:space="preserve">The resubmission stated that the ConTTRibute Global observational study would also be a relevant data source for future reassessment of patisiran, and that its objectives were to describe clinical characteristics, natural history, and real-world clinical management of transthyretin amyloidosis. The resubmission stated that data from the ConTTRibute Global observational study, including data on treatment outcomes for patients receiving patisiran in real-world practice, will be available in 2025 and beyond. </w:t>
      </w:r>
    </w:p>
    <w:p w14:paraId="77950A6F" w14:textId="3AF96233" w:rsidR="00D82049" w:rsidRPr="00936C32" w:rsidRDefault="00D82049" w:rsidP="00D82049">
      <w:pPr>
        <w:pStyle w:val="COMexecsumnumberedpara"/>
      </w:pPr>
      <w:r w:rsidRPr="00936C32">
        <w:t>The resubmission reported that the sponsor is open to performing a reassessment that incorporates longer-term clinical data for patisiran and BSC, with inputs derived from the patisiran Global OLE and ConTTRibute Global observational study.</w:t>
      </w:r>
      <w:r w:rsidR="009B0FC8">
        <w:t xml:space="preserve"> </w:t>
      </w:r>
      <w:r w:rsidRPr="00936C32">
        <w:t xml:space="preserve">It </w:t>
      </w:r>
      <w:proofErr w:type="gramStart"/>
      <w:r w:rsidRPr="00936C32">
        <w:t>was noted</w:t>
      </w:r>
      <w:proofErr w:type="gramEnd"/>
      <w:r w:rsidRPr="00936C32">
        <w:t xml:space="preserve"> that the sponsor is not planning additional local data-collection in Australia for patisiran (beyond Australian patients included in the patisiran Global OLE) that would address uncertainties expressed by the PBAC with regard to the economic model. The resubmission proposed that data from the patisiran Global OLE and the ConTTRibute Global observational study will be more robust than local Australian data collection. </w:t>
      </w:r>
    </w:p>
    <w:p w14:paraId="2BBE3684" w14:textId="77777777" w:rsidR="00D82049" w:rsidRPr="00936C32" w:rsidRDefault="00D82049" w:rsidP="00D82049">
      <w:pPr>
        <w:pStyle w:val="COMexecsumnumberedpara"/>
      </w:pPr>
      <w:r w:rsidRPr="00936C32">
        <w:t xml:space="preserve">The resubmission proposed that if reassessment </w:t>
      </w:r>
      <w:proofErr w:type="gramStart"/>
      <w:r w:rsidRPr="00936C32">
        <w:t>is considered</w:t>
      </w:r>
      <w:proofErr w:type="gramEnd"/>
      <w:r w:rsidRPr="00936C32">
        <w:t xml:space="preserve"> necessary, the timing of this reassessment should coincide with renewal of the expected 5-year deed of agreement, i.e. 2029.</w:t>
      </w:r>
    </w:p>
    <w:p w14:paraId="3B3E38E6" w14:textId="77777777" w:rsidR="00D82049" w:rsidRPr="00936C32" w:rsidRDefault="00D82049" w:rsidP="00D82049">
      <w:pPr>
        <w:pStyle w:val="COMH1numbered"/>
      </w:pPr>
      <w:r w:rsidRPr="00936C32">
        <w:t>PBAC Outcome</w:t>
      </w:r>
    </w:p>
    <w:p w14:paraId="5D19AC51" w14:textId="5D6BD1D9" w:rsidR="00D82049" w:rsidRPr="00CD319F" w:rsidRDefault="00D82049" w:rsidP="00CD319F">
      <w:pPr>
        <w:pStyle w:val="COMexecsumnumberedpara"/>
        <w:widowControl w:val="0"/>
        <w:numPr>
          <w:ilvl w:val="1"/>
          <w:numId w:val="36"/>
        </w:numPr>
      </w:pPr>
      <w:r w:rsidRPr="00CD319F">
        <w:t xml:space="preserve">The PBAC deferred making a recommendation for patisiran for the treatment of patients with hATTR with polyneuropathy to allow for further consultation with the sponsor. In deciding to defer making a recommendation, the PBAC reaffirmed its view </w:t>
      </w:r>
      <w:r w:rsidRPr="00CD319F">
        <w:lastRenderedPageBreak/>
        <w:t xml:space="preserve">that there was a high clinical need for effective treatments for this patient population, however the PBAC considered that </w:t>
      </w:r>
      <w:r w:rsidRPr="00CD319F">
        <w:rPr>
          <w:bCs/>
        </w:rPr>
        <w:t xml:space="preserve">further consultation with the sponsor was required regarding </w:t>
      </w:r>
      <w:r w:rsidRPr="00936C32">
        <w:t>a cost</w:t>
      </w:r>
      <w:r w:rsidRPr="00936C32">
        <w:noBreakHyphen/>
        <w:t>effective price for patisiran</w:t>
      </w:r>
      <w:r w:rsidRPr="00CD319F">
        <w:rPr>
          <w:bCs/>
        </w:rPr>
        <w:t xml:space="preserve"> and addressing the uncertainty with the cost</w:t>
      </w:r>
      <w:r w:rsidRPr="00CD319F">
        <w:rPr>
          <w:bCs/>
        </w:rPr>
        <w:noBreakHyphen/>
        <w:t xml:space="preserve">effectiveness estimates (through a </w:t>
      </w:r>
      <w:r w:rsidR="00BA1F73" w:rsidRPr="00CD319F">
        <w:rPr>
          <w:bCs/>
        </w:rPr>
        <w:t>MAP</w:t>
      </w:r>
      <w:r w:rsidRPr="00CD319F">
        <w:rPr>
          <w:bCs/>
        </w:rPr>
        <w:t>) and the financial estimates (through a Risk Sharing Arrangement).</w:t>
      </w:r>
    </w:p>
    <w:p w14:paraId="3CF47452" w14:textId="1B94D41D" w:rsidR="00D82049" w:rsidRPr="00936C32" w:rsidRDefault="00D82049" w:rsidP="00D82049">
      <w:pPr>
        <w:pStyle w:val="COMexecsumnumberedpara"/>
        <w:widowControl w:val="0"/>
        <w:rPr>
          <w:rFonts w:ascii="Calibri" w:hAnsi="Calibri"/>
          <w:snapToGrid/>
        </w:rPr>
      </w:pPr>
      <w:r w:rsidRPr="00936C32">
        <w:t xml:space="preserve">The PBAC recalled it had considered the ICER estimated in the July 2023 submission to be high and uncertain. The main concerns were regarding robustness of the survival data, extrapolation methods, and application of treatment-related utility increments and decrements. The PBAC noted that the resubmission had provided a new base case economic analysis, which did not follow </w:t>
      </w:r>
      <w:r w:rsidRPr="00936C32">
        <w:rPr>
          <w:bCs/>
        </w:rPr>
        <w:t xml:space="preserve">the PBAC’s advice concerning amendment of the utility increments/decrements (paragraph </w:t>
      </w:r>
      <w:r w:rsidRPr="00936C32">
        <w:rPr>
          <w:bCs/>
        </w:rPr>
        <w:fldChar w:fldCharType="begin" w:fldLock="1"/>
      </w:r>
      <w:r w:rsidRPr="00936C32">
        <w:rPr>
          <w:bCs/>
        </w:rPr>
        <w:instrText xml:space="preserve"> REF _Ref146061052 \r \h  \* MERGEFORMAT </w:instrText>
      </w:r>
      <w:r w:rsidRPr="00936C32">
        <w:rPr>
          <w:bCs/>
        </w:rPr>
      </w:r>
      <w:r w:rsidRPr="00936C32">
        <w:rPr>
          <w:bCs/>
        </w:rPr>
        <w:fldChar w:fldCharType="separate"/>
      </w:r>
      <w:r w:rsidRPr="00936C32">
        <w:rPr>
          <w:bCs/>
        </w:rPr>
        <w:t>10.1</w:t>
      </w:r>
      <w:r w:rsidRPr="00936C32">
        <w:rPr>
          <w:bCs/>
        </w:rPr>
        <w:fldChar w:fldCharType="end"/>
      </w:r>
      <w:r w:rsidRPr="00936C32">
        <w:rPr>
          <w:bCs/>
        </w:rPr>
        <w:t>), and considered that the resubmission had not demonstrated cost-effectiveness for patisiran.</w:t>
      </w:r>
    </w:p>
    <w:p w14:paraId="091F3FEA" w14:textId="023564AF" w:rsidR="00D82049" w:rsidRPr="00936C32" w:rsidRDefault="00D82049" w:rsidP="00D82049">
      <w:pPr>
        <w:pStyle w:val="COMexecsumnumberedpara"/>
      </w:pPr>
      <w:bookmarkStart w:id="110" w:name="_Ref146723192"/>
      <w:r w:rsidRPr="00936C32">
        <w:t xml:space="preserve">Consistent with its earlier advice, the PBAC considered that </w:t>
      </w:r>
      <w:r w:rsidRPr="00936C32">
        <w:rPr>
          <w:rFonts w:ascii="Calibri" w:hAnsi="Calibri"/>
          <w:snapToGrid/>
        </w:rPr>
        <w:t>the resubmission’s economic model resulted in an overly optimistic estimate of incremental QALY gain.</w:t>
      </w:r>
      <w:r w:rsidR="008B20BC">
        <w:rPr>
          <w:rFonts w:ascii="Calibri" w:hAnsi="Calibri"/>
          <w:snapToGrid/>
        </w:rPr>
        <w:t xml:space="preserve"> </w:t>
      </w:r>
      <w:r w:rsidRPr="00936C32">
        <w:rPr>
          <w:rFonts w:ascii="Calibri" w:hAnsi="Calibri"/>
          <w:snapToGrid/>
        </w:rPr>
        <w:t xml:space="preserve">The PBAC recalled that the </w:t>
      </w:r>
      <w:r w:rsidRPr="00936C32">
        <w:rPr>
          <w:rFonts w:ascii="Calibri" w:hAnsi="Calibri"/>
          <w:snapToGrid/>
          <w:shd w:val="clear" w:color="auto" w:fill="FFFFFF"/>
        </w:rPr>
        <w:t xml:space="preserve">application of treatment-related utility increments and decrements resulted in health state utilities that differed substantially from the estimated average health state utilities derived in the MMRM regression analysis (paragraph </w:t>
      </w:r>
      <w:r w:rsidRPr="00936C32">
        <w:rPr>
          <w:rFonts w:ascii="Calibri" w:hAnsi="Calibri"/>
          <w:snapToGrid/>
          <w:shd w:val="clear" w:color="auto" w:fill="FFFFFF"/>
        </w:rPr>
        <w:fldChar w:fldCharType="begin" w:fldLock="1"/>
      </w:r>
      <w:r w:rsidRPr="00936C32">
        <w:rPr>
          <w:rFonts w:ascii="Calibri" w:hAnsi="Calibri"/>
          <w:snapToGrid/>
          <w:shd w:val="clear" w:color="auto" w:fill="FFFFFF"/>
        </w:rPr>
        <w:instrText xml:space="preserve"> REF _Ref146721755 \r \h  \* MERGEFORMAT </w:instrText>
      </w:r>
      <w:r w:rsidRPr="00936C32">
        <w:rPr>
          <w:rFonts w:ascii="Calibri" w:hAnsi="Calibri"/>
          <w:snapToGrid/>
          <w:shd w:val="clear" w:color="auto" w:fill="FFFFFF"/>
        </w:rPr>
      </w:r>
      <w:r w:rsidRPr="00936C32">
        <w:rPr>
          <w:rFonts w:ascii="Calibri" w:hAnsi="Calibri"/>
          <w:snapToGrid/>
          <w:shd w:val="clear" w:color="auto" w:fill="FFFFFF"/>
        </w:rPr>
        <w:fldChar w:fldCharType="separate"/>
      </w:r>
      <w:r w:rsidRPr="00936C32">
        <w:rPr>
          <w:rFonts w:ascii="Calibri" w:hAnsi="Calibri"/>
          <w:snapToGrid/>
          <w:shd w:val="clear" w:color="auto" w:fill="FFFFFF"/>
        </w:rPr>
        <w:t>7.8</w:t>
      </w:r>
      <w:r w:rsidRPr="00936C32">
        <w:rPr>
          <w:rFonts w:ascii="Calibri" w:hAnsi="Calibri"/>
          <w:snapToGrid/>
          <w:shd w:val="clear" w:color="auto" w:fill="FFFFFF"/>
        </w:rPr>
        <w:fldChar w:fldCharType="end"/>
      </w:r>
      <w:r w:rsidRPr="00936C32">
        <w:rPr>
          <w:rFonts w:ascii="Calibri" w:hAnsi="Calibri"/>
          <w:snapToGrid/>
          <w:shd w:val="clear" w:color="auto" w:fill="FFFFFF"/>
        </w:rPr>
        <w:t>). The PBAC noted its previous advice that halving the treatment</w:t>
      </w:r>
      <w:r w:rsidRPr="00936C32">
        <w:rPr>
          <w:rFonts w:ascii="Calibri" w:hAnsi="Calibri"/>
          <w:snapToGrid/>
          <w:shd w:val="clear" w:color="auto" w:fill="FFFFFF"/>
        </w:rPr>
        <w:noBreakHyphen/>
        <w:t xml:space="preserve">related utility </w:t>
      </w:r>
      <w:r w:rsidRPr="00936C32">
        <w:rPr>
          <w:rFonts w:ascii="Calibri" w:hAnsi="Calibri"/>
          <w:snapToGrid/>
        </w:rPr>
        <w:t xml:space="preserve">increments/decrements would be appropriate (paragraph </w:t>
      </w:r>
      <w:r w:rsidRPr="00936C32">
        <w:rPr>
          <w:rFonts w:ascii="Calibri" w:hAnsi="Calibri"/>
          <w:snapToGrid/>
        </w:rPr>
        <w:fldChar w:fldCharType="begin" w:fldLock="1"/>
      </w:r>
      <w:r w:rsidRPr="00936C32">
        <w:rPr>
          <w:rFonts w:ascii="Calibri" w:hAnsi="Calibri"/>
          <w:snapToGrid/>
        </w:rPr>
        <w:instrText xml:space="preserve"> REF _Ref146729460 \r \h </w:instrText>
      </w:r>
      <w:r w:rsidRPr="00936C32">
        <w:rPr>
          <w:rFonts w:ascii="Calibri" w:hAnsi="Calibri"/>
          <w:snapToGrid/>
        </w:rPr>
      </w:r>
      <w:r w:rsidRPr="00936C32">
        <w:rPr>
          <w:rFonts w:ascii="Calibri" w:hAnsi="Calibri"/>
          <w:snapToGrid/>
        </w:rPr>
        <w:fldChar w:fldCharType="separate"/>
      </w:r>
      <w:r w:rsidRPr="00936C32">
        <w:rPr>
          <w:rFonts w:ascii="Calibri" w:hAnsi="Calibri"/>
          <w:snapToGrid/>
        </w:rPr>
        <w:t>7.9</w:t>
      </w:r>
      <w:r w:rsidRPr="00936C32">
        <w:rPr>
          <w:rFonts w:ascii="Calibri" w:hAnsi="Calibri"/>
          <w:snapToGrid/>
        </w:rPr>
        <w:fldChar w:fldCharType="end"/>
      </w:r>
      <w:r w:rsidRPr="00936C32">
        <w:rPr>
          <w:rFonts w:ascii="Calibri" w:hAnsi="Calibri"/>
          <w:snapToGrid/>
        </w:rPr>
        <w:t>).</w:t>
      </w:r>
      <w:r w:rsidR="008B20BC">
        <w:rPr>
          <w:rFonts w:ascii="Calibri" w:hAnsi="Calibri"/>
          <w:snapToGrid/>
        </w:rPr>
        <w:t xml:space="preserve"> </w:t>
      </w:r>
      <w:r w:rsidRPr="00936C32">
        <w:rPr>
          <w:rFonts w:ascii="Calibri" w:hAnsi="Calibri"/>
          <w:snapToGrid/>
        </w:rPr>
        <w:t xml:space="preserve">The PBAC noted that reducing these increments/decrements to </w:t>
      </w:r>
      <w:r w:rsidRPr="00936C32">
        <w:rPr>
          <w:szCs w:val="20"/>
        </w:rPr>
        <w:t>80% of base</w:t>
      </w:r>
      <w:r w:rsidRPr="00936C32">
        <w:rPr>
          <w:szCs w:val="20"/>
        </w:rPr>
        <w:noBreakHyphen/>
        <w:t>case values,</w:t>
      </w:r>
      <w:r w:rsidRPr="00936C32">
        <w:rPr>
          <w:rFonts w:ascii="Calibri" w:hAnsi="Calibri"/>
          <w:snapToGrid/>
        </w:rPr>
        <w:t xml:space="preserve"> as proposed in the resubmission, resulted in an ICER of </w:t>
      </w:r>
      <w:r w:rsidR="001D463B" w:rsidRPr="001D463B">
        <w:rPr>
          <w:rFonts w:ascii="Calibri" w:hAnsi="Calibri"/>
          <w:snapToGrid/>
        </w:rPr>
        <w:t>$255,000</w:t>
      </w:r>
      <w:r w:rsidR="001D463B">
        <w:rPr>
          <w:rFonts w:ascii="Calibri" w:hAnsi="Calibri"/>
          <w:snapToGrid/>
        </w:rPr>
        <w:t> </w:t>
      </w:r>
      <w:r w:rsidR="001D463B" w:rsidRPr="001D463B">
        <w:rPr>
          <w:rFonts w:ascii="Calibri" w:hAnsi="Calibri"/>
          <w:snapToGrid/>
        </w:rPr>
        <w:t>to</w:t>
      </w:r>
      <w:r w:rsidR="001D463B">
        <w:rPr>
          <w:rFonts w:ascii="Calibri" w:hAnsi="Calibri"/>
          <w:snapToGrid/>
        </w:rPr>
        <w:t> </w:t>
      </w:r>
      <w:r w:rsidR="001D463B" w:rsidRPr="001D463B">
        <w:rPr>
          <w:rFonts w:ascii="Calibri" w:hAnsi="Calibri"/>
          <w:snapToGrid/>
        </w:rPr>
        <w:t>&lt;</w:t>
      </w:r>
      <w:r w:rsidR="001D463B">
        <w:rPr>
          <w:rFonts w:ascii="Calibri" w:hAnsi="Calibri"/>
          <w:snapToGrid/>
        </w:rPr>
        <w:t> </w:t>
      </w:r>
      <w:r w:rsidR="001D463B" w:rsidRPr="001D463B">
        <w:rPr>
          <w:rFonts w:ascii="Calibri" w:hAnsi="Calibri"/>
          <w:snapToGrid/>
        </w:rPr>
        <w:t>$355,000</w:t>
      </w:r>
      <w:r w:rsidR="000101C1">
        <w:rPr>
          <w:rFonts w:ascii="Calibri" w:hAnsi="Calibri"/>
          <w:snapToGrid/>
        </w:rPr>
        <w:t xml:space="preserve"> </w:t>
      </w:r>
      <w:r w:rsidRPr="00936C32">
        <w:rPr>
          <w:rFonts w:ascii="Calibri" w:hAnsi="Calibri"/>
          <w:snapToGrid/>
        </w:rPr>
        <w:t>per QALY gained (</w:t>
      </w:r>
      <w:r w:rsidRPr="00936C32">
        <w:rPr>
          <w:rFonts w:ascii="Calibri" w:hAnsi="Calibri"/>
          <w:snapToGrid/>
        </w:rPr>
        <w:fldChar w:fldCharType="begin" w:fldLock="1"/>
      </w:r>
      <w:r w:rsidRPr="00936C32">
        <w:rPr>
          <w:rFonts w:ascii="Calibri" w:hAnsi="Calibri"/>
          <w:snapToGrid/>
        </w:rPr>
        <w:instrText xml:space="preserve"> REF _Ref146057623 \h  \* MERGEFORMAT </w:instrText>
      </w:r>
      <w:r w:rsidRPr="00936C32">
        <w:rPr>
          <w:rFonts w:ascii="Calibri" w:hAnsi="Calibri"/>
          <w:snapToGrid/>
        </w:rPr>
      </w:r>
      <w:r w:rsidRPr="00936C32">
        <w:rPr>
          <w:rFonts w:ascii="Calibri" w:hAnsi="Calibri"/>
          <w:snapToGrid/>
        </w:rPr>
        <w:fldChar w:fldCharType="separate"/>
      </w:r>
      <w:r w:rsidRPr="00936C32">
        <w:t>Table 19</w:t>
      </w:r>
      <w:r w:rsidRPr="00936C32">
        <w:rPr>
          <w:rFonts w:ascii="Calibri" w:hAnsi="Calibri"/>
          <w:snapToGrid/>
        </w:rPr>
        <w:fldChar w:fldCharType="end"/>
      </w:r>
      <w:r w:rsidRPr="00936C32">
        <w:rPr>
          <w:rFonts w:ascii="Calibri" w:hAnsi="Calibri"/>
          <w:snapToGrid/>
        </w:rPr>
        <w:t xml:space="preserve">). </w:t>
      </w:r>
      <w:bookmarkStart w:id="111" w:name="_Hlk146730063"/>
      <w:r w:rsidRPr="00936C32">
        <w:rPr>
          <w:rFonts w:ascii="Calibri" w:hAnsi="Calibri"/>
          <w:snapToGrid/>
        </w:rPr>
        <w:t xml:space="preserve">The PBAC considered that the </w:t>
      </w:r>
      <w:r w:rsidRPr="00936C32">
        <w:t xml:space="preserve">previously specified requirement for an ICER of no more than </w:t>
      </w:r>
      <w:r w:rsidR="001D463B" w:rsidRPr="001D463B">
        <w:t>$155,000</w:t>
      </w:r>
      <w:r w:rsidR="001D463B">
        <w:t> </w:t>
      </w:r>
      <w:r w:rsidR="001D463B" w:rsidRPr="001D463B">
        <w:t>to</w:t>
      </w:r>
      <w:r w:rsidR="001D463B">
        <w:t> </w:t>
      </w:r>
      <w:r w:rsidR="001D463B" w:rsidRPr="001D463B">
        <w:t>&lt;</w:t>
      </w:r>
      <w:r w:rsidR="001D463B">
        <w:t> </w:t>
      </w:r>
      <w:r w:rsidR="001D463B" w:rsidRPr="001D463B">
        <w:t>$255,000</w:t>
      </w:r>
      <w:r w:rsidRPr="00936C32">
        <w:t xml:space="preserve">/QALY remained appropriate for patisiran, and that the concerns about </w:t>
      </w:r>
      <w:bookmarkStart w:id="112" w:name="_Hlk146729865"/>
      <w:r w:rsidRPr="00936C32">
        <w:rPr>
          <w:rFonts w:ascii="Calibri" w:hAnsi="Calibri"/>
          <w:snapToGrid/>
          <w:shd w:val="clear" w:color="auto" w:fill="FFFFFF"/>
        </w:rPr>
        <w:t>treatment</w:t>
      </w:r>
      <w:r w:rsidRPr="00936C32">
        <w:rPr>
          <w:rFonts w:ascii="Calibri" w:hAnsi="Calibri"/>
          <w:snapToGrid/>
          <w:shd w:val="clear" w:color="auto" w:fill="FFFFFF"/>
        </w:rPr>
        <w:noBreakHyphen/>
        <w:t xml:space="preserve">related utility </w:t>
      </w:r>
      <w:r w:rsidRPr="00936C32">
        <w:rPr>
          <w:rFonts w:ascii="Calibri" w:hAnsi="Calibri"/>
          <w:snapToGrid/>
        </w:rPr>
        <w:t xml:space="preserve">increments/decrements </w:t>
      </w:r>
      <w:bookmarkEnd w:id="112"/>
      <w:r w:rsidRPr="00936C32">
        <w:rPr>
          <w:rFonts w:ascii="Calibri" w:hAnsi="Calibri"/>
          <w:snapToGrid/>
        </w:rPr>
        <w:t>remained</w:t>
      </w:r>
      <w:r w:rsidRPr="00936C32">
        <w:t>.</w:t>
      </w:r>
      <w:bookmarkEnd w:id="110"/>
      <w:bookmarkEnd w:id="111"/>
    </w:p>
    <w:p w14:paraId="0EE3AA7C" w14:textId="7FD8DBA5" w:rsidR="00D82049" w:rsidRPr="00936C32" w:rsidRDefault="00D82049" w:rsidP="00D82049">
      <w:pPr>
        <w:pStyle w:val="COMexecsumnumberedpara"/>
      </w:pPr>
      <w:r w:rsidRPr="00936C32">
        <w:t xml:space="preserve">The PBAC noted the </w:t>
      </w:r>
      <w:r w:rsidRPr="00936C32">
        <w:rPr>
          <w:bCs/>
        </w:rPr>
        <w:t xml:space="preserve">revised financial estimates presented in the resubmission, which resulted in an estimated </w:t>
      </w:r>
      <w:r w:rsidRPr="00936C32">
        <w:rPr>
          <w:snapToGrid/>
        </w:rPr>
        <w:t xml:space="preserve">net cost to the PBS/RPBS of </w:t>
      </w:r>
      <w:r w:rsidR="001D463B" w:rsidRPr="001D463B">
        <w:rPr>
          <w:snapToGrid/>
        </w:rPr>
        <w:t>$100</w:t>
      </w:r>
      <w:r w:rsidR="001D463B">
        <w:rPr>
          <w:snapToGrid/>
        </w:rPr>
        <w:t> </w:t>
      </w:r>
      <w:r w:rsidR="001D463B" w:rsidRPr="001D463B">
        <w:rPr>
          <w:snapToGrid/>
        </w:rPr>
        <w:t>million</w:t>
      </w:r>
      <w:r w:rsidR="001D463B">
        <w:rPr>
          <w:snapToGrid/>
        </w:rPr>
        <w:t> </w:t>
      </w:r>
      <w:r w:rsidR="001D463B" w:rsidRPr="001D463B">
        <w:rPr>
          <w:snapToGrid/>
        </w:rPr>
        <w:t>to</w:t>
      </w:r>
      <w:r w:rsidR="001D463B">
        <w:rPr>
          <w:snapToGrid/>
        </w:rPr>
        <w:t> </w:t>
      </w:r>
      <w:r w:rsidR="001D463B" w:rsidRPr="001D463B">
        <w:rPr>
          <w:snapToGrid/>
        </w:rPr>
        <w:t>&lt;</w:t>
      </w:r>
      <w:r w:rsidR="001D463B">
        <w:rPr>
          <w:snapToGrid/>
        </w:rPr>
        <w:t> </w:t>
      </w:r>
      <w:r w:rsidR="001D463B" w:rsidRPr="001D463B">
        <w:rPr>
          <w:snapToGrid/>
        </w:rPr>
        <w:t>$200</w:t>
      </w:r>
      <w:r w:rsidR="001D463B">
        <w:rPr>
          <w:snapToGrid/>
        </w:rPr>
        <w:t> </w:t>
      </w:r>
      <w:r w:rsidR="001D463B" w:rsidRPr="001D463B">
        <w:rPr>
          <w:snapToGrid/>
        </w:rPr>
        <w:t>million</w:t>
      </w:r>
      <w:r w:rsidR="001D463B">
        <w:rPr>
          <w:snapToGrid/>
        </w:rPr>
        <w:t xml:space="preserve"> </w:t>
      </w:r>
      <w:r w:rsidRPr="00936C32">
        <w:rPr>
          <w:snapToGrid/>
        </w:rPr>
        <w:t>over the first six years of listing (</w:t>
      </w:r>
      <w:r w:rsidRPr="00936C32">
        <w:rPr>
          <w:bCs/>
        </w:rPr>
        <w:fldChar w:fldCharType="begin" w:fldLock="1"/>
      </w:r>
      <w:r w:rsidRPr="00936C32">
        <w:rPr>
          <w:bCs/>
        </w:rPr>
        <w:instrText xml:space="preserve"> REF _Ref146058406 \h </w:instrText>
      </w:r>
      <w:r w:rsidRPr="00936C32">
        <w:rPr>
          <w:bCs/>
        </w:rPr>
      </w:r>
      <w:r w:rsidRPr="00936C32">
        <w:rPr>
          <w:bCs/>
        </w:rPr>
        <w:fldChar w:fldCharType="separate"/>
      </w:r>
      <w:r w:rsidRPr="00936C32">
        <w:t>Table 20</w:t>
      </w:r>
      <w:r w:rsidRPr="00936C32">
        <w:rPr>
          <w:bCs/>
        </w:rPr>
        <w:fldChar w:fldCharType="end"/>
      </w:r>
      <w:r w:rsidRPr="00936C32">
        <w:rPr>
          <w:snapToGrid/>
        </w:rPr>
        <w:t>).</w:t>
      </w:r>
    </w:p>
    <w:p w14:paraId="4F100C8C" w14:textId="3D6F5848" w:rsidR="00D82049" w:rsidRPr="00936C32" w:rsidRDefault="00D82049" w:rsidP="00D82049">
      <w:pPr>
        <w:widowControl w:val="0"/>
        <w:numPr>
          <w:ilvl w:val="1"/>
          <w:numId w:val="1"/>
        </w:numPr>
        <w:spacing w:after="120"/>
        <w:contextualSpacing/>
        <w:rPr>
          <w:rFonts w:asciiTheme="minorHAnsi" w:hAnsiTheme="minorHAnsi"/>
          <w:snapToGrid w:val="0"/>
        </w:rPr>
      </w:pPr>
      <w:bookmarkStart w:id="113" w:name="_Ref146727192"/>
      <w:r w:rsidRPr="00936C32">
        <w:rPr>
          <w:rFonts w:asciiTheme="minorHAnsi" w:hAnsiTheme="minorHAnsi"/>
          <w:snapToGrid w:val="0"/>
        </w:rPr>
        <w:t xml:space="preserve">The PBAC considered that amendments </w:t>
      </w:r>
      <w:proofErr w:type="gramStart"/>
      <w:r w:rsidRPr="00936C32">
        <w:rPr>
          <w:rFonts w:asciiTheme="minorHAnsi" w:hAnsiTheme="minorHAnsi"/>
          <w:snapToGrid w:val="0"/>
        </w:rPr>
        <w:t>were required</w:t>
      </w:r>
      <w:proofErr w:type="gramEnd"/>
      <w:r w:rsidRPr="00936C32">
        <w:rPr>
          <w:rFonts w:asciiTheme="minorHAnsi" w:hAnsiTheme="minorHAnsi"/>
          <w:snapToGrid w:val="0"/>
        </w:rPr>
        <w:t xml:space="preserve"> to the proposed RSA, because the resubmission did not sufficiently address the uncertainties described in paragraph </w:t>
      </w:r>
      <w:r w:rsidRPr="00936C32">
        <w:rPr>
          <w:rFonts w:asciiTheme="minorHAnsi" w:hAnsiTheme="minorHAnsi"/>
          <w:snapToGrid w:val="0"/>
        </w:rPr>
        <w:fldChar w:fldCharType="begin" w:fldLock="1"/>
      </w:r>
      <w:r w:rsidRPr="00936C32">
        <w:rPr>
          <w:rFonts w:asciiTheme="minorHAnsi" w:hAnsiTheme="minorHAnsi"/>
          <w:snapToGrid w:val="0"/>
        </w:rPr>
        <w:instrText xml:space="preserve"> REF _Ref142376755 \r \h </w:instrText>
      </w:r>
      <w:r w:rsidRPr="00936C32">
        <w:rPr>
          <w:rFonts w:asciiTheme="minorHAnsi" w:hAnsiTheme="minorHAnsi"/>
          <w:snapToGrid w:val="0"/>
        </w:rPr>
      </w:r>
      <w:r w:rsidRPr="00936C32">
        <w:rPr>
          <w:rFonts w:asciiTheme="minorHAnsi" w:hAnsiTheme="minorHAnsi"/>
          <w:snapToGrid w:val="0"/>
        </w:rPr>
        <w:fldChar w:fldCharType="separate"/>
      </w:r>
      <w:r w:rsidRPr="00936C32">
        <w:rPr>
          <w:rFonts w:asciiTheme="minorHAnsi" w:hAnsiTheme="minorHAnsi"/>
          <w:snapToGrid w:val="0"/>
        </w:rPr>
        <w:t>7.12</w:t>
      </w:r>
      <w:r w:rsidRPr="00936C32">
        <w:rPr>
          <w:rFonts w:asciiTheme="minorHAnsi" w:hAnsiTheme="minorHAnsi"/>
          <w:snapToGrid w:val="0"/>
        </w:rPr>
        <w:fldChar w:fldCharType="end"/>
      </w:r>
      <w:r w:rsidRPr="00936C32">
        <w:rPr>
          <w:rFonts w:asciiTheme="minorHAnsi" w:hAnsiTheme="minorHAnsi"/>
          <w:snapToGrid w:val="0"/>
        </w:rPr>
        <w:t>.</w:t>
      </w:r>
      <w:r w:rsidR="008B20BC">
        <w:rPr>
          <w:rFonts w:asciiTheme="minorHAnsi" w:hAnsiTheme="minorHAnsi"/>
          <w:snapToGrid w:val="0"/>
        </w:rPr>
        <w:t xml:space="preserve"> </w:t>
      </w:r>
      <w:r w:rsidRPr="00936C32">
        <w:rPr>
          <w:rFonts w:asciiTheme="minorHAnsi" w:hAnsiTheme="minorHAnsi"/>
          <w:snapToGrid w:val="0"/>
        </w:rPr>
        <w:t xml:space="preserve">The PBAC recalled that in July 2023, it had advised that a </w:t>
      </w:r>
      <w:r w:rsidR="00923B9F" w:rsidRPr="00AC5845">
        <w:rPr>
          <w:rFonts w:asciiTheme="minorHAnsi" w:hAnsiTheme="minorHAnsi"/>
          <w:snapToGrid w:val="0"/>
          <w:color w:val="000000"/>
          <w:w w:val="15"/>
          <w:shd w:val="solid" w:color="000000" w:fill="000000"/>
          <w:fitText w:val="-20" w:id="-1136812791"/>
          <w14:textFill>
            <w14:solidFill>
              <w14:srgbClr w14:val="000000">
                <w14:alpha w14:val="100000"/>
              </w14:srgbClr>
            </w14:solidFill>
          </w14:textFill>
        </w:rPr>
        <w:t>|</w:t>
      </w:r>
      <w:r w:rsidR="00923B9F" w:rsidRPr="00AC5845">
        <w:rPr>
          <w:rFonts w:asciiTheme="minorHAnsi" w:hAnsiTheme="minorHAnsi"/>
          <w:snapToGrid w:val="0"/>
          <w:color w:val="000000"/>
          <w:spacing w:val="-44"/>
          <w:w w:val="15"/>
          <w:shd w:val="solid" w:color="000000" w:fill="000000"/>
          <w:fitText w:val="-20" w:id="-1136812791"/>
          <w14:textFill>
            <w14:solidFill>
              <w14:srgbClr w14:val="000000">
                <w14:alpha w14:val="100000"/>
              </w14:srgbClr>
            </w14:solidFill>
          </w14:textFill>
        </w:rPr>
        <w:t xml:space="preserve"> </w:t>
      </w:r>
      <w:r w:rsidR="00923B9F" w:rsidRPr="00B80329">
        <w:rPr>
          <w:rFonts w:asciiTheme="minorHAnsi" w:hAnsiTheme="minorHAnsi"/>
          <w:snapToGrid w:val="0"/>
          <w:color w:val="000000"/>
          <w:w w:val="15"/>
          <w:shd w:val="solid" w:color="000000" w:fill="000000"/>
          <w14:textFill>
            <w14:solidFill>
              <w14:srgbClr w14:val="000000">
                <w14:alpha w14:val="100000"/>
              </w14:srgbClr>
            </w14:solidFill>
          </w14:textFill>
        </w:rPr>
        <w:t xml:space="preserve"> </w:t>
      </w:r>
      <w:r w:rsidR="00923B9F" w:rsidRPr="00A35D36">
        <w:rPr>
          <w:rFonts w:asciiTheme="minorHAnsi" w:hAnsiTheme="minorHAnsi"/>
          <w:snapToGrid w:val="0"/>
          <w:color w:val="000000"/>
          <w:spacing w:val="-69"/>
          <w:w w:val="15"/>
          <w:shd w:val="solid" w:color="000000" w:fill="000000"/>
          <w14:textFill>
            <w14:solidFill>
              <w14:srgbClr w14:val="000000">
                <w14:alpha w14:val="100000"/>
              </w14:srgbClr>
            </w14:solidFill>
          </w14:textFill>
        </w:rPr>
        <w:t>|</w:t>
      </w:r>
      <w:r w:rsidRPr="00936C32">
        <w:rPr>
          <w:rFonts w:asciiTheme="minorHAnsi" w:hAnsiTheme="minorHAnsi"/>
          <w:snapToGrid w:val="0"/>
        </w:rPr>
        <w:t xml:space="preserve">% rebate </w:t>
      </w:r>
      <w:r w:rsidRPr="00936C32">
        <w:t xml:space="preserve">for expenditure above agreed caps would be appropriate, and noted the resubmission did not incorporate this advice. </w:t>
      </w:r>
      <w:r w:rsidRPr="00936C32">
        <w:rPr>
          <w:rFonts w:asciiTheme="minorHAnsi" w:hAnsiTheme="minorHAnsi"/>
          <w:snapToGrid w:val="0"/>
        </w:rPr>
        <w:t xml:space="preserve">The PBAC noted that the resubmission had proposed a cap threshold based on a vial consumption of </w:t>
      </w:r>
      <w:r w:rsidR="00AE5881" w:rsidRPr="00AE5881">
        <w:rPr>
          <w:rFonts w:asciiTheme="minorHAnsi" w:hAnsiTheme="minorHAnsi"/>
          <w:snapToGrid w:val="0"/>
        </w:rPr>
        <w:t>500</w:t>
      </w:r>
      <w:r w:rsidR="00AE5881">
        <w:rPr>
          <w:rFonts w:asciiTheme="minorHAnsi" w:hAnsiTheme="minorHAnsi"/>
          <w:snapToGrid w:val="0"/>
        </w:rPr>
        <w:t> </w:t>
      </w:r>
      <w:r w:rsidR="00AE5881" w:rsidRPr="00AE5881">
        <w:rPr>
          <w:rFonts w:asciiTheme="minorHAnsi" w:hAnsiTheme="minorHAnsi"/>
          <w:snapToGrid w:val="0"/>
        </w:rPr>
        <w:t>to</w:t>
      </w:r>
      <w:r w:rsidR="00AE5881">
        <w:rPr>
          <w:rFonts w:asciiTheme="minorHAnsi" w:hAnsiTheme="minorHAnsi"/>
          <w:snapToGrid w:val="0"/>
        </w:rPr>
        <w:t> </w:t>
      </w:r>
      <w:r w:rsidR="00AE5881" w:rsidRPr="00AE5881">
        <w:rPr>
          <w:rFonts w:asciiTheme="minorHAnsi" w:hAnsiTheme="minorHAnsi"/>
          <w:snapToGrid w:val="0"/>
        </w:rPr>
        <w:t>&lt;</w:t>
      </w:r>
      <w:r w:rsidR="00AE5881">
        <w:rPr>
          <w:rFonts w:asciiTheme="minorHAnsi" w:hAnsiTheme="minorHAnsi"/>
          <w:snapToGrid w:val="0"/>
        </w:rPr>
        <w:t> </w:t>
      </w:r>
      <w:r w:rsidR="00AE5881" w:rsidRPr="00AE5881">
        <w:rPr>
          <w:rFonts w:asciiTheme="minorHAnsi" w:hAnsiTheme="minorHAnsi"/>
          <w:snapToGrid w:val="0"/>
        </w:rPr>
        <w:t>5,000</w:t>
      </w:r>
      <w:r w:rsidR="00356155">
        <w:rPr>
          <w:rFonts w:asciiTheme="minorHAnsi" w:hAnsiTheme="minorHAnsi"/>
          <w:snapToGrid w:val="0"/>
        </w:rPr>
        <w:t xml:space="preserve"> </w:t>
      </w:r>
      <w:r w:rsidRPr="00936C32">
        <w:rPr>
          <w:rFonts w:asciiTheme="minorHAnsi" w:hAnsiTheme="minorHAnsi"/>
          <w:snapToGrid w:val="0"/>
        </w:rPr>
        <w:t xml:space="preserve">vials per calendar year (corresponding to </w:t>
      </w:r>
      <w:r w:rsidR="001D463B" w:rsidRPr="001D463B">
        <w:rPr>
          <w:rFonts w:asciiTheme="minorHAnsi" w:hAnsiTheme="minorHAnsi"/>
          <w:snapToGrid w:val="0"/>
        </w:rPr>
        <w:t>&lt;</w:t>
      </w:r>
      <w:r w:rsidR="001D463B">
        <w:rPr>
          <w:rFonts w:asciiTheme="minorHAnsi" w:hAnsiTheme="minorHAnsi"/>
          <w:snapToGrid w:val="0"/>
        </w:rPr>
        <w:t> </w:t>
      </w:r>
      <w:r w:rsidR="001D463B" w:rsidRPr="001D463B">
        <w:rPr>
          <w:rFonts w:asciiTheme="minorHAnsi" w:hAnsiTheme="minorHAnsi"/>
          <w:snapToGrid w:val="0"/>
        </w:rPr>
        <w:t>500</w:t>
      </w:r>
      <w:r w:rsidR="000101C1">
        <w:rPr>
          <w:rFonts w:asciiTheme="minorHAnsi" w:hAnsiTheme="minorHAnsi"/>
          <w:snapToGrid w:val="0"/>
        </w:rPr>
        <w:t xml:space="preserve"> </w:t>
      </w:r>
      <w:r w:rsidRPr="00936C32">
        <w:rPr>
          <w:rFonts w:asciiTheme="minorHAnsi" w:hAnsiTheme="minorHAnsi"/>
          <w:snapToGrid w:val="0"/>
        </w:rPr>
        <w:t xml:space="preserve">patients treated, with </w:t>
      </w:r>
      <w:r w:rsidRPr="00AE5881">
        <w:rPr>
          <w:rFonts w:asciiTheme="minorHAnsi" w:hAnsiTheme="minorHAnsi"/>
          <w:snapToGrid w:val="0"/>
        </w:rPr>
        <w:t>40.11 vials</w:t>
      </w:r>
      <w:r w:rsidRPr="00936C32">
        <w:rPr>
          <w:rFonts w:asciiTheme="minorHAnsi" w:hAnsiTheme="minorHAnsi"/>
          <w:snapToGrid w:val="0"/>
        </w:rPr>
        <w:t xml:space="preserve"> per patient), rather than the financial estimates which assumed </w:t>
      </w:r>
      <w:r w:rsidR="001D463B" w:rsidRPr="001D463B">
        <w:rPr>
          <w:rFonts w:asciiTheme="minorHAnsi" w:hAnsiTheme="minorHAnsi"/>
          <w:snapToGrid w:val="0"/>
        </w:rPr>
        <w:t>&lt;</w:t>
      </w:r>
      <w:r w:rsidR="001D463B">
        <w:rPr>
          <w:rFonts w:asciiTheme="minorHAnsi" w:hAnsiTheme="minorHAnsi"/>
          <w:snapToGrid w:val="0"/>
        </w:rPr>
        <w:t> </w:t>
      </w:r>
      <w:r w:rsidR="001D463B" w:rsidRPr="001D463B">
        <w:rPr>
          <w:rFonts w:asciiTheme="minorHAnsi" w:hAnsiTheme="minorHAnsi"/>
          <w:snapToGrid w:val="0"/>
        </w:rPr>
        <w:t>500</w:t>
      </w:r>
      <w:r w:rsidR="000101C1">
        <w:rPr>
          <w:rFonts w:asciiTheme="minorHAnsi" w:hAnsiTheme="minorHAnsi"/>
          <w:snapToGrid w:val="0"/>
        </w:rPr>
        <w:t xml:space="preserve"> </w:t>
      </w:r>
      <w:r w:rsidRPr="00936C32">
        <w:rPr>
          <w:rFonts w:asciiTheme="minorHAnsi" w:hAnsiTheme="minorHAnsi"/>
          <w:snapToGrid w:val="0"/>
        </w:rPr>
        <w:t xml:space="preserve">patients treated in Year 1 increasing to </w:t>
      </w:r>
      <w:r w:rsidR="001D463B" w:rsidRPr="001D463B">
        <w:rPr>
          <w:rFonts w:asciiTheme="minorHAnsi" w:hAnsiTheme="minorHAnsi"/>
          <w:snapToGrid w:val="0"/>
        </w:rPr>
        <w:t>&lt;</w:t>
      </w:r>
      <w:r w:rsidR="001D463B">
        <w:rPr>
          <w:rFonts w:asciiTheme="minorHAnsi" w:hAnsiTheme="minorHAnsi"/>
          <w:snapToGrid w:val="0"/>
        </w:rPr>
        <w:t> </w:t>
      </w:r>
      <w:r w:rsidR="001D463B" w:rsidRPr="001D463B">
        <w:rPr>
          <w:rFonts w:asciiTheme="minorHAnsi" w:hAnsiTheme="minorHAnsi"/>
          <w:snapToGrid w:val="0"/>
        </w:rPr>
        <w:t>500</w:t>
      </w:r>
      <w:r w:rsidR="000101C1">
        <w:rPr>
          <w:rFonts w:asciiTheme="minorHAnsi" w:hAnsiTheme="minorHAnsi"/>
          <w:snapToGrid w:val="0"/>
        </w:rPr>
        <w:t xml:space="preserve"> </w:t>
      </w:r>
      <w:r w:rsidRPr="00936C32">
        <w:rPr>
          <w:rFonts w:asciiTheme="minorHAnsi" w:hAnsiTheme="minorHAnsi"/>
          <w:snapToGrid w:val="0"/>
        </w:rPr>
        <w:t>patients in Year 6 (</w:t>
      </w:r>
      <w:r w:rsidRPr="00936C32">
        <w:rPr>
          <w:bCs/>
        </w:rPr>
        <w:fldChar w:fldCharType="begin" w:fldLock="1"/>
      </w:r>
      <w:r w:rsidRPr="00936C32">
        <w:rPr>
          <w:bCs/>
        </w:rPr>
        <w:instrText xml:space="preserve"> REF _Ref146058406 \h </w:instrText>
      </w:r>
      <w:r w:rsidRPr="00936C32">
        <w:rPr>
          <w:bCs/>
        </w:rPr>
      </w:r>
      <w:r w:rsidRPr="00936C32">
        <w:rPr>
          <w:bCs/>
        </w:rPr>
        <w:fldChar w:fldCharType="separate"/>
      </w:r>
      <w:r w:rsidRPr="00936C32">
        <w:t>Table 20</w:t>
      </w:r>
      <w:r w:rsidRPr="00936C32">
        <w:rPr>
          <w:bCs/>
        </w:rPr>
        <w:fldChar w:fldCharType="end"/>
      </w:r>
      <w:r w:rsidRPr="00936C32">
        <w:t xml:space="preserve">). </w:t>
      </w:r>
      <w:r w:rsidRPr="00936C32">
        <w:rPr>
          <w:rFonts w:asciiTheme="minorHAnsi" w:hAnsiTheme="minorHAnsi"/>
          <w:snapToGrid w:val="0"/>
        </w:rPr>
        <w:t xml:space="preserve">The PBAC </w:t>
      </w:r>
      <w:r w:rsidRPr="00936C32">
        <w:t>advised</w:t>
      </w:r>
      <w:r w:rsidRPr="00936C32">
        <w:rPr>
          <w:rFonts w:asciiTheme="minorHAnsi" w:hAnsiTheme="minorHAnsi"/>
          <w:snapToGrid w:val="0"/>
        </w:rPr>
        <w:t xml:space="preserve"> that RSA expenditure caps should be based on estimated utilisation</w:t>
      </w:r>
      <w:r w:rsidRPr="00936C32">
        <w:t xml:space="preserve"> and maintained that </w:t>
      </w:r>
      <w:r w:rsidR="00923B9F" w:rsidRPr="0038178F">
        <w:rPr>
          <w:rFonts w:asciiTheme="minorHAnsi" w:hAnsiTheme="minorHAnsi"/>
          <w:snapToGrid w:val="0"/>
          <w:color w:val="000000"/>
          <w:w w:val="15"/>
          <w:shd w:val="solid" w:color="000000" w:fill="000000"/>
          <w:fitText w:val="-20" w:id="-1136812790"/>
          <w14:textFill>
            <w14:solidFill>
              <w14:srgbClr w14:val="000000">
                <w14:alpha w14:val="100000"/>
              </w14:srgbClr>
            </w14:solidFill>
          </w14:textFill>
        </w:rPr>
        <w:t>|</w:t>
      </w:r>
      <w:r w:rsidR="00923B9F" w:rsidRPr="0038178F">
        <w:rPr>
          <w:rFonts w:asciiTheme="minorHAnsi" w:hAnsiTheme="minorHAnsi"/>
          <w:snapToGrid w:val="0"/>
          <w:color w:val="000000"/>
          <w:spacing w:val="-44"/>
          <w:w w:val="15"/>
          <w:shd w:val="solid" w:color="000000" w:fill="000000"/>
          <w:fitText w:val="-20" w:id="-1136812790"/>
          <w14:textFill>
            <w14:solidFill>
              <w14:srgbClr w14:val="000000">
                <w14:alpha w14:val="100000"/>
              </w14:srgbClr>
            </w14:solidFill>
          </w14:textFill>
        </w:rPr>
        <w:t xml:space="preserve"> </w:t>
      </w:r>
      <w:r w:rsidR="00923B9F" w:rsidRPr="001D7B74">
        <w:rPr>
          <w:rFonts w:asciiTheme="minorHAnsi" w:hAnsiTheme="minorHAnsi"/>
          <w:snapToGrid w:val="0"/>
          <w:color w:val="000000"/>
          <w:w w:val="15"/>
          <w:shd w:val="solid" w:color="000000" w:fill="000000"/>
          <w14:textFill>
            <w14:solidFill>
              <w14:srgbClr w14:val="000000">
                <w14:alpha w14:val="100000"/>
              </w14:srgbClr>
            </w14:solidFill>
          </w14:textFill>
        </w:rPr>
        <w:t xml:space="preserve"> </w:t>
      </w:r>
      <w:r w:rsidR="00923B9F" w:rsidRPr="00A35D36">
        <w:rPr>
          <w:rFonts w:asciiTheme="minorHAnsi" w:hAnsiTheme="minorHAnsi"/>
          <w:snapToGrid w:val="0"/>
          <w:color w:val="000000"/>
          <w:spacing w:val="-69"/>
          <w:w w:val="15"/>
          <w:shd w:val="solid" w:color="000000" w:fill="000000"/>
          <w14:textFill>
            <w14:solidFill>
              <w14:srgbClr w14:val="000000">
                <w14:alpha w14:val="100000"/>
              </w14:srgbClr>
            </w14:solidFill>
          </w14:textFill>
        </w:rPr>
        <w:t>|</w:t>
      </w:r>
      <w:r w:rsidRPr="00936C32">
        <w:rPr>
          <w:rFonts w:asciiTheme="minorHAnsi" w:hAnsiTheme="minorHAnsi"/>
          <w:snapToGrid w:val="0"/>
        </w:rPr>
        <w:t xml:space="preserve">% rebate </w:t>
      </w:r>
      <w:r w:rsidRPr="00936C32">
        <w:t>for expenditure above agreed caps would be appropriate</w:t>
      </w:r>
      <w:r w:rsidRPr="00936C32">
        <w:rPr>
          <w:rFonts w:asciiTheme="minorHAnsi" w:hAnsiTheme="minorHAnsi"/>
          <w:snapToGrid w:val="0"/>
        </w:rPr>
        <w:t>.</w:t>
      </w:r>
      <w:bookmarkEnd w:id="113"/>
    </w:p>
    <w:p w14:paraId="35BE24DC" w14:textId="5AA05991" w:rsidR="00D82049" w:rsidRPr="00936C32" w:rsidRDefault="00D82049" w:rsidP="00D82049">
      <w:pPr>
        <w:widowControl w:val="0"/>
        <w:numPr>
          <w:ilvl w:val="1"/>
          <w:numId w:val="1"/>
        </w:numPr>
        <w:spacing w:after="120"/>
        <w:contextualSpacing/>
      </w:pPr>
      <w:r w:rsidRPr="00936C32">
        <w:rPr>
          <w:rFonts w:asciiTheme="minorHAnsi" w:hAnsiTheme="minorHAnsi"/>
          <w:snapToGrid w:val="0"/>
        </w:rPr>
        <w:lastRenderedPageBreak/>
        <w:t>T</w:t>
      </w:r>
      <w:r w:rsidRPr="00936C32">
        <w:t>he PBAC considered that the resubmission’s proposal for a MAP did not sufficiently address its concern regarding the uncertain cost-effectiveness of the proposed listing.</w:t>
      </w:r>
      <w:r w:rsidR="009F4992">
        <w:t xml:space="preserve"> </w:t>
      </w:r>
      <w:r w:rsidRPr="00936C32">
        <w:rPr>
          <w:rFonts w:cstheme="minorHAnsi"/>
          <w:szCs w:val="20"/>
        </w:rPr>
        <w:t xml:space="preserve">The resubmission </w:t>
      </w:r>
      <w:r w:rsidRPr="00936C32">
        <w:t xml:space="preserve">proposed that a future reassessment of patisiran could incorporate data from the patisiran Global open-label extension (OLE) study and from the ConTTRibute Global observational study of patients with transthyretin-mediated amyloidosis, </w:t>
      </w:r>
      <w:r w:rsidR="00724E12" w:rsidRPr="00936C32">
        <w:t>however,</w:t>
      </w:r>
      <w:r w:rsidRPr="00936C32">
        <w:t xml:space="preserve"> did not provide a workable plan for the reassessment. The PBAC considered it was not appropriate to delay reassessment of patisiran until five years after listing, when new data </w:t>
      </w:r>
      <w:proofErr w:type="gramStart"/>
      <w:r w:rsidRPr="00936C32">
        <w:t>were expected</w:t>
      </w:r>
      <w:proofErr w:type="gramEnd"/>
      <w:r w:rsidRPr="00936C32">
        <w:t xml:space="preserve"> for the two proposed studies within the next two years. The PBAC advised that reassessment of patisiran should occur at a maximum of three years after PBS listing, noting that data from the global OLE and ConTTRibute would be </w:t>
      </w:r>
      <w:r w:rsidRPr="00936C32">
        <w:rPr>
          <w:rFonts w:asciiTheme="minorHAnsi" w:hAnsiTheme="minorHAnsi"/>
          <w:snapToGrid w:val="0"/>
        </w:rPr>
        <w:t xml:space="preserve">available to enable this. The PBAC advised that if patisiran is recommended for listing, the sponsor should be required to provide a submission to PBAC to support reassessment of the cost-effectiveness of patisiran consistent with this </w:t>
      </w:r>
      <w:proofErr w:type="gramStart"/>
      <w:r w:rsidRPr="00936C32">
        <w:rPr>
          <w:rFonts w:asciiTheme="minorHAnsi" w:hAnsiTheme="minorHAnsi"/>
          <w:snapToGrid w:val="0"/>
        </w:rPr>
        <w:t>timeframe</w:t>
      </w:r>
      <w:proofErr w:type="gramEnd"/>
      <w:r w:rsidRPr="00936C32">
        <w:rPr>
          <w:rFonts w:asciiTheme="minorHAnsi" w:hAnsiTheme="minorHAnsi"/>
          <w:snapToGrid w:val="0"/>
        </w:rPr>
        <w:t>. The PBAC considered that its future reassessment should consider: 1) whether the data were supportive of long term benefits of patisiran (based on QOL and PND score); 2) whether updated survival data supported the modelled survival benefit; 3) whether updated safety data were consistent with the safety data in the submission and that no new clinically significant safety signals were evident; and 4) whether patisiran was cost-effective based on the updated evidence base.</w:t>
      </w:r>
    </w:p>
    <w:p w14:paraId="5A98E922" w14:textId="5864CCFA" w:rsidR="00D82049" w:rsidRPr="00936C32" w:rsidRDefault="00D82049" w:rsidP="00D82049">
      <w:pPr>
        <w:pStyle w:val="COMexecsumnumberedpara"/>
        <w:widowControl w:val="0"/>
        <w:contextualSpacing/>
        <w:rPr>
          <w:iCs/>
        </w:rPr>
      </w:pPr>
      <w:r w:rsidRPr="00936C32">
        <w:rPr>
          <w:iCs/>
        </w:rPr>
        <w:t>The PBAC noted that the resubmission requested a single vial size containing 10 mg of patisiran, which would be associated with a degree of drug wastage for most patients. Consistent with its previous advice, t</w:t>
      </w:r>
      <w:r w:rsidRPr="00936C32">
        <w:t>he PBAC</w:t>
      </w:r>
      <w:r w:rsidRPr="00936C32">
        <w:rPr>
          <w:iCs/>
        </w:rPr>
        <w:t xml:space="preserve"> advised that wastage must </w:t>
      </w:r>
      <w:proofErr w:type="gramStart"/>
      <w:r w:rsidRPr="00936C32">
        <w:rPr>
          <w:iCs/>
        </w:rPr>
        <w:t>be incorporated</w:t>
      </w:r>
      <w:proofErr w:type="gramEnd"/>
      <w:r w:rsidRPr="00936C32">
        <w:rPr>
          <w:iCs/>
        </w:rPr>
        <w:t xml:space="preserve"> in the economic model consistent with PBAC guidelines (see paragraph </w:t>
      </w:r>
      <w:r w:rsidRPr="00936C32">
        <w:rPr>
          <w:iCs/>
        </w:rPr>
        <w:fldChar w:fldCharType="begin" w:fldLock="1"/>
      </w:r>
      <w:r w:rsidRPr="00936C32">
        <w:rPr>
          <w:iCs/>
        </w:rPr>
        <w:instrText xml:space="preserve"> REF _Ref146091416 \r \h  \* MERGEFORMAT </w:instrText>
      </w:r>
      <w:r w:rsidRPr="00936C32">
        <w:rPr>
          <w:iCs/>
        </w:rPr>
      </w:r>
      <w:r w:rsidRPr="00936C32">
        <w:rPr>
          <w:iCs/>
        </w:rPr>
        <w:fldChar w:fldCharType="separate"/>
      </w:r>
      <w:r w:rsidRPr="00936C32">
        <w:rPr>
          <w:iCs/>
        </w:rPr>
        <w:t>3.2</w:t>
      </w:r>
      <w:r w:rsidRPr="00936C32">
        <w:rPr>
          <w:iCs/>
        </w:rPr>
        <w:fldChar w:fldCharType="end"/>
      </w:r>
      <w:r w:rsidRPr="00936C32">
        <w:rPr>
          <w:iCs/>
        </w:rPr>
        <w:t xml:space="preserve">). The PBAC noted that wastage was accounted for in the economic model (see paragraph </w:t>
      </w:r>
      <w:r w:rsidRPr="00936C32">
        <w:rPr>
          <w:iCs/>
        </w:rPr>
        <w:fldChar w:fldCharType="begin" w:fldLock="1"/>
      </w:r>
      <w:r w:rsidRPr="00936C32">
        <w:rPr>
          <w:iCs/>
        </w:rPr>
        <w:instrText xml:space="preserve"> REF _Ref146559774 \r \h  \* MERGEFORMAT </w:instrText>
      </w:r>
      <w:r w:rsidRPr="00936C32">
        <w:rPr>
          <w:iCs/>
        </w:rPr>
      </w:r>
      <w:r w:rsidRPr="00936C32">
        <w:rPr>
          <w:iCs/>
        </w:rPr>
        <w:fldChar w:fldCharType="separate"/>
      </w:r>
      <w:r w:rsidRPr="00936C32">
        <w:rPr>
          <w:iCs/>
        </w:rPr>
        <w:t>10.2</w:t>
      </w:r>
      <w:r w:rsidRPr="00936C32">
        <w:rPr>
          <w:iCs/>
        </w:rPr>
        <w:fldChar w:fldCharType="end"/>
      </w:r>
      <w:r w:rsidRPr="00936C32">
        <w:rPr>
          <w:iCs/>
        </w:rPr>
        <w:t xml:space="preserve">), </w:t>
      </w:r>
      <w:r w:rsidRPr="00936C32">
        <w:rPr>
          <w:shd w:val="clear" w:color="auto" w:fill="FFFFFF"/>
        </w:rPr>
        <w:t xml:space="preserve">however </w:t>
      </w:r>
      <w:r w:rsidRPr="00936C32">
        <w:rPr>
          <w:iCs/>
        </w:rPr>
        <w:t>the PBAC considered that uncertainty about the number of vials required for each patient (between 1 to 3, depending on patient weight), was an area of uncertainty that should be considered in the economic model and financial estimates.</w:t>
      </w:r>
    </w:p>
    <w:p w14:paraId="373495B1" w14:textId="77777777" w:rsidR="00D82049" w:rsidRPr="00936C32" w:rsidRDefault="00D82049" w:rsidP="00D82049">
      <w:pPr>
        <w:pStyle w:val="COMexecsumnumberedpara"/>
      </w:pPr>
      <w:r w:rsidRPr="00936C32">
        <w:t>The PBAC considered that the following changes may address the outstanding concerns:</w:t>
      </w:r>
    </w:p>
    <w:p w14:paraId="775F870E" w14:textId="77777777" w:rsidR="00D82049" w:rsidRPr="00936C32" w:rsidRDefault="00D82049" w:rsidP="00D82049">
      <w:pPr>
        <w:pStyle w:val="ListParagraph"/>
        <w:widowControl w:val="0"/>
        <w:numPr>
          <w:ilvl w:val="0"/>
          <w:numId w:val="12"/>
        </w:numPr>
        <w:spacing w:after="160"/>
        <w:ind w:left="1134" w:hanging="425"/>
      </w:pPr>
      <w:r w:rsidRPr="00936C32">
        <w:t xml:space="preserve">Revision of inputs in the economic model as outlined in paragraph </w:t>
      </w:r>
      <w:r w:rsidRPr="00936C32">
        <w:fldChar w:fldCharType="begin" w:fldLock="1"/>
      </w:r>
      <w:r w:rsidRPr="00936C32">
        <w:instrText xml:space="preserve"> REF _Ref146723192 \r \h </w:instrText>
      </w:r>
      <w:r w:rsidRPr="00936C32">
        <w:fldChar w:fldCharType="separate"/>
      </w:r>
      <w:r w:rsidRPr="00936C32">
        <w:t>11.3</w:t>
      </w:r>
      <w:r w:rsidRPr="00936C32">
        <w:fldChar w:fldCharType="end"/>
      </w:r>
      <w:r w:rsidRPr="00936C32">
        <w:t>.</w:t>
      </w:r>
    </w:p>
    <w:p w14:paraId="26CD2989" w14:textId="77777777" w:rsidR="00D82049" w:rsidRPr="00936C32" w:rsidRDefault="00D82049" w:rsidP="00D82049">
      <w:pPr>
        <w:pStyle w:val="ListParagraph"/>
        <w:widowControl w:val="0"/>
        <w:numPr>
          <w:ilvl w:val="0"/>
          <w:numId w:val="12"/>
        </w:numPr>
        <w:spacing w:after="160"/>
        <w:ind w:left="1134" w:hanging="425"/>
      </w:pPr>
      <w:r w:rsidRPr="00936C32">
        <w:t>Recalculation of the financial estimates using the revised patisiran price.</w:t>
      </w:r>
    </w:p>
    <w:p w14:paraId="27BF3394" w14:textId="0A62B9B6" w:rsidR="00D82049" w:rsidRPr="00936C32" w:rsidRDefault="00D82049" w:rsidP="00D82049">
      <w:pPr>
        <w:pStyle w:val="ListParagraph"/>
        <w:widowControl w:val="0"/>
        <w:numPr>
          <w:ilvl w:val="0"/>
          <w:numId w:val="12"/>
        </w:numPr>
        <w:spacing w:after="160"/>
        <w:ind w:left="1134" w:hanging="425"/>
      </w:pPr>
      <w:r w:rsidRPr="00936C32">
        <w:t xml:space="preserve">A risk sharing arrangement, which includes </w:t>
      </w:r>
      <w:r w:rsidR="00923B9F" w:rsidRPr="0038178F">
        <w:rPr>
          <w:color w:val="000000"/>
          <w:w w:val="15"/>
          <w:shd w:val="solid" w:color="000000" w:fill="000000"/>
          <w:fitText w:val="-20" w:id="-1136812789"/>
          <w14:textFill>
            <w14:solidFill>
              <w14:srgbClr w14:val="000000">
                <w14:alpha w14:val="100000"/>
              </w14:srgbClr>
            </w14:solidFill>
          </w14:textFill>
        </w:rPr>
        <w:t>|</w:t>
      </w:r>
      <w:r w:rsidR="00923B9F" w:rsidRPr="0038178F">
        <w:rPr>
          <w:color w:val="000000"/>
          <w:spacing w:val="-44"/>
          <w:w w:val="15"/>
          <w:shd w:val="solid" w:color="000000" w:fill="000000"/>
          <w:fitText w:val="-20" w:id="-1136812789"/>
          <w14:textFill>
            <w14:solidFill>
              <w14:srgbClr w14:val="000000">
                <w14:alpha w14:val="100000"/>
              </w14:srgbClr>
            </w14:solidFill>
          </w14:textFill>
        </w:rPr>
        <w:t xml:space="preserve"> </w:t>
      </w:r>
      <w:r w:rsidR="00923B9F" w:rsidRPr="00B80329">
        <w:rPr>
          <w:color w:val="000000"/>
          <w:w w:val="15"/>
          <w:shd w:val="solid" w:color="000000" w:fill="000000"/>
          <w14:textFill>
            <w14:solidFill>
              <w14:srgbClr w14:val="000000">
                <w14:alpha w14:val="100000"/>
              </w14:srgbClr>
            </w14:solidFill>
          </w14:textFill>
        </w:rPr>
        <w:t xml:space="preserve"> </w:t>
      </w:r>
      <w:r w:rsidR="00923B9F" w:rsidRPr="00A35D36">
        <w:rPr>
          <w:color w:val="000000"/>
          <w:spacing w:val="-69"/>
          <w:w w:val="15"/>
          <w:shd w:val="solid" w:color="000000" w:fill="000000"/>
          <w14:textFill>
            <w14:solidFill>
              <w14:srgbClr w14:val="000000">
                <w14:alpha w14:val="100000"/>
              </w14:srgbClr>
            </w14:solidFill>
          </w14:textFill>
        </w:rPr>
        <w:t>|</w:t>
      </w:r>
      <w:r w:rsidRPr="00936C32">
        <w:t>% rebate above agreed financial estimates (</w:t>
      </w:r>
      <w:r w:rsidR="001D463B" w:rsidRPr="001D463B">
        <w:t>&lt;</w:t>
      </w:r>
      <w:r w:rsidR="001D463B">
        <w:t> </w:t>
      </w:r>
      <w:r w:rsidR="001D463B" w:rsidRPr="001D463B">
        <w:t>500</w:t>
      </w:r>
      <w:r w:rsidR="00CC4F7C">
        <w:t xml:space="preserve"> </w:t>
      </w:r>
      <w:r w:rsidRPr="00936C32">
        <w:t xml:space="preserve">patients in Year 1 increasing to </w:t>
      </w:r>
      <w:r w:rsidR="001D463B" w:rsidRPr="001D463B">
        <w:t>&lt;</w:t>
      </w:r>
      <w:r w:rsidR="001D463B">
        <w:t> </w:t>
      </w:r>
      <w:r w:rsidR="001D463B" w:rsidRPr="001D463B">
        <w:t>500</w:t>
      </w:r>
      <w:r w:rsidR="00CC4F7C">
        <w:t xml:space="preserve"> </w:t>
      </w:r>
      <w:r w:rsidRPr="00936C32">
        <w:t xml:space="preserve">patients in Year 6; see paragraph </w:t>
      </w:r>
      <w:r w:rsidRPr="00936C32">
        <w:fldChar w:fldCharType="begin" w:fldLock="1"/>
      </w:r>
      <w:r w:rsidRPr="00936C32">
        <w:instrText xml:space="preserve"> REF _Ref146727192 \r \h </w:instrText>
      </w:r>
      <w:r w:rsidRPr="00936C32">
        <w:fldChar w:fldCharType="separate"/>
      </w:r>
      <w:r w:rsidRPr="00936C32">
        <w:t>11.5</w:t>
      </w:r>
      <w:r w:rsidRPr="00936C32">
        <w:fldChar w:fldCharType="end"/>
      </w:r>
      <w:r w:rsidRPr="00936C32">
        <w:t>).</w:t>
      </w:r>
      <w:r w:rsidR="009F4992">
        <w:t xml:space="preserve"> </w:t>
      </w:r>
    </w:p>
    <w:p w14:paraId="6D2A8131" w14:textId="77777777" w:rsidR="00D82049" w:rsidRPr="00936C32" w:rsidRDefault="00D82049" w:rsidP="00D82049">
      <w:pPr>
        <w:pStyle w:val="ListParagraph"/>
        <w:widowControl w:val="0"/>
        <w:numPr>
          <w:ilvl w:val="0"/>
          <w:numId w:val="12"/>
        </w:numPr>
        <w:spacing w:after="160"/>
        <w:ind w:left="1134" w:hanging="425"/>
      </w:pPr>
      <w:r w:rsidRPr="00936C32">
        <w:t xml:space="preserve">A commitment from the sponsor with respect to reassessment of the data three years after PBS listing to address PBAC’s concern regarding uncertain cost-effectiveness (paragraph </w:t>
      </w:r>
      <w:r w:rsidRPr="00936C32">
        <w:fldChar w:fldCharType="begin" w:fldLock="1"/>
      </w:r>
      <w:r w:rsidRPr="00936C32">
        <w:instrText xml:space="preserve"> REF _Ref146724036 \r \h </w:instrText>
      </w:r>
      <w:r w:rsidRPr="00936C32">
        <w:fldChar w:fldCharType="separate"/>
      </w:r>
      <w:r w:rsidRPr="00936C32">
        <w:t>11.6</w:t>
      </w:r>
      <w:r w:rsidRPr="00936C32">
        <w:fldChar w:fldCharType="end"/>
      </w:r>
      <w:r w:rsidRPr="00936C32">
        <w:t>).</w:t>
      </w:r>
    </w:p>
    <w:p w14:paraId="12AB1922" w14:textId="77777777" w:rsidR="00D82049" w:rsidRPr="00936C32" w:rsidRDefault="00D82049" w:rsidP="00D82049">
      <w:pPr>
        <w:pStyle w:val="ListParagraph"/>
        <w:widowControl w:val="0"/>
        <w:numPr>
          <w:ilvl w:val="0"/>
          <w:numId w:val="12"/>
        </w:numPr>
        <w:spacing w:after="160"/>
        <w:ind w:left="1134" w:hanging="425"/>
      </w:pPr>
      <w:r w:rsidRPr="00936C32">
        <w:lastRenderedPageBreak/>
        <w:t xml:space="preserve">A new criterion added to the proposed restriction to prevent concomitant use with any other disease modifying medicine for TTR amyloidosis, in the event that such medicines are PBS listed in the future (paragraph </w:t>
      </w:r>
      <w:r w:rsidRPr="00936C32">
        <w:fldChar w:fldCharType="begin" w:fldLock="1"/>
      </w:r>
      <w:r w:rsidRPr="00936C32">
        <w:instrText xml:space="preserve"> REF _Ref146725002 \r \h </w:instrText>
      </w:r>
      <w:r w:rsidRPr="00936C32">
        <w:fldChar w:fldCharType="separate"/>
      </w:r>
      <w:r w:rsidRPr="00936C32">
        <w:t>11.9</w:t>
      </w:r>
      <w:r w:rsidRPr="00936C32">
        <w:fldChar w:fldCharType="end"/>
      </w:r>
      <w:r w:rsidRPr="00936C32">
        <w:t>).</w:t>
      </w:r>
    </w:p>
    <w:p w14:paraId="48EFE938" w14:textId="77777777" w:rsidR="00D82049" w:rsidRPr="00936C32" w:rsidRDefault="00D82049" w:rsidP="00F27B5E">
      <w:pPr>
        <w:pStyle w:val="COMexecsumnumberedpara"/>
        <w:widowControl w:val="0"/>
        <w:numPr>
          <w:ilvl w:val="1"/>
          <w:numId w:val="26"/>
        </w:numPr>
      </w:pPr>
      <w:bookmarkStart w:id="114" w:name="_Ref146725002"/>
      <w:r w:rsidRPr="00936C32">
        <w:t xml:space="preserve">The PBAC noted that the resubmission </w:t>
      </w:r>
      <w:r w:rsidRPr="00936C32">
        <w:rPr>
          <w:rFonts w:cstheme="minorHAnsi"/>
          <w:szCs w:val="20"/>
        </w:rPr>
        <w:t xml:space="preserve">provided updated restriction criteria, however </w:t>
      </w:r>
      <w:proofErr w:type="gramStart"/>
      <w:r w:rsidRPr="00936C32">
        <w:rPr>
          <w:rFonts w:cstheme="minorHAnsi"/>
          <w:szCs w:val="20"/>
        </w:rPr>
        <w:t>some of</w:t>
      </w:r>
      <w:proofErr w:type="gramEnd"/>
      <w:r w:rsidRPr="00936C32">
        <w:rPr>
          <w:rFonts w:cstheme="minorHAnsi"/>
          <w:szCs w:val="20"/>
        </w:rPr>
        <w:t xml:space="preserve"> the PBAC’s earlier concerns had not been addressed. The PBAC </w:t>
      </w:r>
      <w:r w:rsidRPr="00936C32">
        <w:t>gave the following advice with regard to the restriction:</w:t>
      </w:r>
      <w:bookmarkEnd w:id="114"/>
    </w:p>
    <w:p w14:paraId="36D2E834" w14:textId="0C037EF2" w:rsidR="00D82049" w:rsidRPr="00936C32" w:rsidRDefault="00D82049" w:rsidP="00D82049">
      <w:pPr>
        <w:pStyle w:val="ListParagraph"/>
        <w:widowControl w:val="0"/>
        <w:numPr>
          <w:ilvl w:val="0"/>
          <w:numId w:val="12"/>
        </w:numPr>
        <w:spacing w:after="160"/>
        <w:ind w:left="1134" w:hanging="425"/>
      </w:pPr>
      <w:r w:rsidRPr="00936C32">
        <w:t xml:space="preserve">It is not necessary to limit prescribing to neurologists, in the context that genotyping is a requirement of the listing. The proposed treatment criterion appears appropriate: “Must be treated by a consultant physician with experience in the management of amyloid disorders.” The sponsor </w:t>
      </w:r>
      <w:proofErr w:type="gramStart"/>
      <w:r w:rsidRPr="00936C32">
        <w:t>is asked</w:t>
      </w:r>
      <w:proofErr w:type="gramEnd"/>
      <w:r w:rsidRPr="00936C32">
        <w:t xml:space="preserve"> to comment whether limiting treatment initiation to neurologists would benefit </w:t>
      </w:r>
      <w:r w:rsidR="00724E12" w:rsidRPr="00936C32">
        <w:t>patients and</w:t>
      </w:r>
      <w:r w:rsidRPr="00936C32">
        <w:t xml:space="preserve"> add this information to the proposed restriction if applicable.</w:t>
      </w:r>
    </w:p>
    <w:p w14:paraId="5422EB15" w14:textId="5B9D7664" w:rsidR="00D82049" w:rsidRPr="00936C32" w:rsidRDefault="00D82049" w:rsidP="00D82049">
      <w:pPr>
        <w:pStyle w:val="ListParagraph"/>
        <w:widowControl w:val="0"/>
        <w:numPr>
          <w:ilvl w:val="0"/>
          <w:numId w:val="12"/>
        </w:numPr>
        <w:spacing w:after="160"/>
        <w:ind w:left="1134" w:hanging="425"/>
      </w:pPr>
      <w:r w:rsidRPr="00936C32">
        <w:t xml:space="preserve">It remains unclear whether access to patisiran should </w:t>
      </w:r>
      <w:proofErr w:type="gramStart"/>
      <w:r w:rsidRPr="00936C32">
        <w:t>be limited</w:t>
      </w:r>
      <w:proofErr w:type="gramEnd"/>
      <w:r w:rsidRPr="00936C32">
        <w:t xml:space="preserve"> to clinical centres that are affiliated with the AAN. The sponsor </w:t>
      </w:r>
      <w:proofErr w:type="gramStart"/>
      <w:r w:rsidRPr="00936C32">
        <w:t>is asked</w:t>
      </w:r>
      <w:proofErr w:type="gramEnd"/>
      <w:r w:rsidRPr="00936C32">
        <w:t xml:space="preserve"> to clarify if this approach would improve patient care or enhance</w:t>
      </w:r>
      <w:r w:rsidR="00724E12">
        <w:t xml:space="preserve"> the</w:t>
      </w:r>
      <w:r w:rsidRPr="00936C32">
        <w:t xml:space="preserve"> monitoring of outcomes of patisiran treatment of relevance to a future reassessment of patisiran, and </w:t>
      </w:r>
      <w:r w:rsidR="00DE52B8">
        <w:t xml:space="preserve">to </w:t>
      </w:r>
      <w:r w:rsidRPr="00936C32">
        <w:t>add this information to the proposed restriction if applicable.</w:t>
      </w:r>
    </w:p>
    <w:p w14:paraId="5AA15673" w14:textId="0A61CA7D" w:rsidR="00D82049" w:rsidRPr="00936C32" w:rsidRDefault="00D82049" w:rsidP="00D82049">
      <w:pPr>
        <w:pStyle w:val="ListParagraph"/>
        <w:widowControl w:val="0"/>
        <w:numPr>
          <w:ilvl w:val="0"/>
          <w:numId w:val="12"/>
        </w:numPr>
        <w:spacing w:after="160"/>
        <w:ind w:left="1134" w:hanging="425"/>
      </w:pPr>
      <w:r w:rsidRPr="00936C32">
        <w:t xml:space="preserve">Concomitant use of patisiran with any other approved disease modifying medicine for TTR amyloidosis should </w:t>
      </w:r>
      <w:proofErr w:type="gramStart"/>
      <w:r w:rsidRPr="00936C32">
        <w:t>be disallowed</w:t>
      </w:r>
      <w:proofErr w:type="gramEnd"/>
      <w:r w:rsidRPr="00936C32">
        <w:t xml:space="preserve"> in the PBS restrictions if any such medicines are PBS listed in the future. A new criterion should </w:t>
      </w:r>
      <w:proofErr w:type="gramStart"/>
      <w:r w:rsidRPr="00936C32">
        <w:t>be added</w:t>
      </w:r>
      <w:proofErr w:type="gramEnd"/>
      <w:r w:rsidRPr="00936C32">
        <w:t xml:space="preserve"> to the proposed restriction to reflect this advice. It may be appropriate to allow a patient to change from one PBS-therapy to </w:t>
      </w:r>
      <w:proofErr w:type="gramStart"/>
      <w:r w:rsidRPr="00936C32">
        <w:t>another, if</w:t>
      </w:r>
      <w:proofErr w:type="gramEnd"/>
      <w:r w:rsidRPr="00936C32">
        <w:t xml:space="preserve"> all restriction criteria are met.</w:t>
      </w:r>
    </w:p>
    <w:p w14:paraId="7A7E611A" w14:textId="77777777" w:rsidR="00D82049" w:rsidRPr="00936C32" w:rsidRDefault="00D82049" w:rsidP="00D82049">
      <w:pPr>
        <w:spacing w:before="240"/>
        <w:rPr>
          <w:rFonts w:asciiTheme="minorHAnsi" w:hAnsiTheme="minorHAnsi"/>
          <w:b/>
          <w:bCs/>
          <w:snapToGrid w:val="0"/>
        </w:rPr>
      </w:pPr>
      <w:r w:rsidRPr="00936C32">
        <w:rPr>
          <w:rFonts w:asciiTheme="minorHAnsi" w:hAnsiTheme="minorHAnsi"/>
          <w:b/>
          <w:bCs/>
          <w:snapToGrid w:val="0"/>
        </w:rPr>
        <w:t>Outcome:</w:t>
      </w:r>
    </w:p>
    <w:p w14:paraId="7149CDAC" w14:textId="40053F45" w:rsidR="002A37AD" w:rsidRDefault="00D82049" w:rsidP="00230CBC">
      <w:pPr>
        <w:rPr>
          <w:rFonts w:asciiTheme="minorHAnsi" w:hAnsiTheme="minorHAnsi"/>
          <w:bCs/>
          <w:snapToGrid w:val="0"/>
        </w:rPr>
      </w:pPr>
      <w:r w:rsidRPr="00936C32">
        <w:rPr>
          <w:rFonts w:asciiTheme="minorHAnsi" w:hAnsiTheme="minorHAnsi"/>
          <w:bCs/>
          <w:snapToGrid w:val="0"/>
        </w:rPr>
        <w:t>Deferred</w:t>
      </w:r>
    </w:p>
    <w:p w14:paraId="6FB60B3D" w14:textId="52006E50" w:rsidR="00D82049" w:rsidRPr="00D82049" w:rsidRDefault="00D82049" w:rsidP="00D82049">
      <w:pPr>
        <w:pStyle w:val="COMH1numbered"/>
      </w:pPr>
      <w:bookmarkStart w:id="115" w:name="_Hlk112834232"/>
      <w:r w:rsidRPr="00D82049">
        <w:t>Context for Decision</w:t>
      </w:r>
    </w:p>
    <w:p w14:paraId="35DA2456" w14:textId="77777777" w:rsidR="00D82049" w:rsidRPr="009C520D" w:rsidRDefault="00D82049" w:rsidP="009C520D">
      <w:pPr>
        <w:pStyle w:val="COMexecsumnumberedpara"/>
        <w:widowControl w:val="0"/>
        <w:numPr>
          <w:ilvl w:val="0"/>
          <w:numId w:val="0"/>
        </w:numPr>
        <w:ind w:left="720"/>
        <w:rPr>
          <w:rFonts w:cstheme="minorHAnsi"/>
          <w:szCs w:val="20"/>
        </w:rPr>
      </w:pPr>
      <w:r w:rsidRPr="009C520D">
        <w:rPr>
          <w:rFonts w:cstheme="minorHAnsi"/>
          <w:szCs w:val="20"/>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9C520D">
        <w:rPr>
          <w:rFonts w:cstheme="minorHAnsi"/>
          <w:szCs w:val="20"/>
        </w:rPr>
        <w:t>be made</w:t>
      </w:r>
      <w:proofErr w:type="gramEnd"/>
      <w:r w:rsidRPr="009C520D">
        <w:rPr>
          <w:rFonts w:cstheme="minorHAnsi"/>
          <w:szCs w:val="20"/>
        </w:rPr>
        <w:t xml:space="preserve"> available through the PBS. The PBAC welcomes applications containing </w:t>
      </w:r>
      <w:proofErr w:type="gramStart"/>
      <w:r w:rsidRPr="009C520D">
        <w:rPr>
          <w:rFonts w:cstheme="minorHAnsi"/>
          <w:szCs w:val="20"/>
        </w:rPr>
        <w:t>new information</w:t>
      </w:r>
      <w:proofErr w:type="gramEnd"/>
      <w:r w:rsidRPr="009C520D">
        <w:rPr>
          <w:rFonts w:cstheme="minorHAnsi"/>
          <w:szCs w:val="20"/>
        </w:rPr>
        <w:t xml:space="preserve"> at any time.</w:t>
      </w:r>
    </w:p>
    <w:p w14:paraId="0CB0D6C7" w14:textId="50C19B15" w:rsidR="00D82049" w:rsidRPr="00D82049" w:rsidRDefault="00D82049" w:rsidP="00D82049">
      <w:pPr>
        <w:pStyle w:val="COMH1numbered"/>
      </w:pPr>
      <w:r w:rsidRPr="00D82049">
        <w:lastRenderedPageBreak/>
        <w:t>Sponsor’s Comment</w:t>
      </w:r>
    </w:p>
    <w:bookmarkEnd w:id="115"/>
    <w:p w14:paraId="595F859E" w14:textId="27A77630" w:rsidR="00DD7590" w:rsidRDefault="00D82049" w:rsidP="003F4735">
      <w:pPr>
        <w:spacing w:after="120" w:line="259" w:lineRule="auto"/>
        <w:ind w:left="720"/>
        <w:rPr>
          <w:rFonts w:asciiTheme="minorHAnsi" w:eastAsiaTheme="minorHAnsi" w:hAnsiTheme="minorHAnsi"/>
          <w:bCs/>
          <w:lang w:eastAsia="en-US"/>
        </w:rPr>
      </w:pPr>
      <w:r w:rsidRPr="009C520D">
        <w:rPr>
          <w:rFonts w:asciiTheme="minorHAnsi" w:eastAsiaTheme="minorHAnsi" w:hAnsiTheme="minorHAnsi"/>
          <w:bCs/>
          <w:lang w:eastAsia="en-US"/>
        </w:rPr>
        <w:t>The sponsor had no comment.</w:t>
      </w:r>
      <w:bookmarkEnd w:id="92"/>
      <w:bookmarkEnd w:id="93"/>
    </w:p>
    <w:p w14:paraId="5E6DDF50" w14:textId="77777777" w:rsidR="00DD7590" w:rsidRDefault="00DD7590">
      <w:pPr>
        <w:spacing w:after="160" w:line="259" w:lineRule="auto"/>
        <w:jc w:val="left"/>
        <w:rPr>
          <w:rFonts w:asciiTheme="minorHAnsi" w:eastAsiaTheme="minorHAnsi" w:hAnsiTheme="minorHAnsi"/>
          <w:bCs/>
          <w:lang w:eastAsia="en-US"/>
        </w:rPr>
      </w:pPr>
      <w:r>
        <w:rPr>
          <w:rFonts w:asciiTheme="minorHAnsi" w:eastAsiaTheme="minorHAnsi" w:hAnsiTheme="minorHAnsi"/>
          <w:bCs/>
          <w:lang w:eastAsia="en-US"/>
        </w:rPr>
        <w:br w:type="page"/>
      </w:r>
    </w:p>
    <w:p w14:paraId="1EFA0698" w14:textId="253B4521" w:rsidR="00DD7590" w:rsidRPr="00903E1C" w:rsidRDefault="00DD7590" w:rsidP="00DD7590">
      <w:pPr>
        <w:pStyle w:val="1-MainHeading"/>
        <w:rPr>
          <w:color w:val="FF0000"/>
          <w:sz w:val="28"/>
          <w:szCs w:val="28"/>
        </w:rPr>
      </w:pPr>
      <w:r w:rsidRPr="00903E1C">
        <w:rPr>
          <w:color w:val="FF0000"/>
          <w:sz w:val="28"/>
          <w:szCs w:val="28"/>
        </w:rPr>
        <w:lastRenderedPageBreak/>
        <w:t>Addendum</w:t>
      </w:r>
      <w:bookmarkStart w:id="116" w:name="Addendum"/>
      <w:bookmarkEnd w:id="116"/>
      <w:r w:rsidRPr="00903E1C">
        <w:rPr>
          <w:color w:val="FF0000"/>
          <w:sz w:val="28"/>
          <w:szCs w:val="28"/>
        </w:rPr>
        <w:t xml:space="preserve"> to the September 2023 PBAC </w:t>
      </w:r>
      <w:r>
        <w:rPr>
          <w:color w:val="FF0000"/>
          <w:sz w:val="28"/>
          <w:szCs w:val="28"/>
        </w:rPr>
        <w:t>PSD</w:t>
      </w:r>
      <w:r w:rsidRPr="00903E1C">
        <w:rPr>
          <w:color w:val="FF0000"/>
          <w:sz w:val="28"/>
          <w:szCs w:val="28"/>
        </w:rPr>
        <w:t>:</w:t>
      </w:r>
    </w:p>
    <w:p w14:paraId="5B3FA643" w14:textId="77777777" w:rsidR="00DD7590" w:rsidRPr="00903E1C" w:rsidRDefault="00DD7590" w:rsidP="00DD7590">
      <w:pPr>
        <w:pStyle w:val="COMH1-non-numbered"/>
      </w:pPr>
      <w:r w:rsidRPr="00903E1C">
        <w:t>7.02</w:t>
      </w:r>
      <w:r w:rsidRPr="00903E1C">
        <w:tab/>
        <w:t>PATISIRAN,</w:t>
      </w:r>
      <w:r w:rsidRPr="00903E1C">
        <w:br/>
        <w:t>Solution concentrate for I.V. infusion 10 mg in 5 mL,</w:t>
      </w:r>
      <w:r w:rsidRPr="00903E1C">
        <w:br/>
        <w:t>Onpattro®,</w:t>
      </w:r>
      <w:r w:rsidRPr="00903E1C">
        <w:br/>
        <w:t>Alnylam Australia Pty Ltd</w:t>
      </w:r>
    </w:p>
    <w:p w14:paraId="33DA35B4" w14:textId="77777777" w:rsidR="00DD7590" w:rsidRPr="00903E1C" w:rsidRDefault="00DD7590" w:rsidP="00DD7590">
      <w:pPr>
        <w:pStyle w:val="COMH1numbered"/>
      </w:pPr>
      <w:r w:rsidRPr="00903E1C">
        <w:t>Background</w:t>
      </w:r>
    </w:p>
    <w:p w14:paraId="554AFA4E" w14:textId="796816D3" w:rsidR="00DD7590" w:rsidRPr="000E28B0" w:rsidRDefault="00DD7590" w:rsidP="00DD7590">
      <w:pPr>
        <w:pStyle w:val="COMexecsumnumberedpara"/>
        <w:numPr>
          <w:ilvl w:val="1"/>
          <w:numId w:val="35"/>
        </w:numPr>
        <w:rPr>
          <w:rFonts w:ascii="Calibri" w:eastAsiaTheme="majorEastAsia" w:hAnsi="Calibri" w:cstheme="majorBidi"/>
          <w:lang w:bidi="en-US"/>
        </w:rPr>
      </w:pPr>
      <w:r w:rsidRPr="000E28B0">
        <w:rPr>
          <w:rFonts w:ascii="Calibri" w:eastAsiaTheme="majorEastAsia" w:hAnsi="Calibri" w:cstheme="majorBidi"/>
          <w:lang w:bidi="en-US"/>
        </w:rPr>
        <w:t xml:space="preserve">At the </w:t>
      </w:r>
      <w:r w:rsidRPr="00903E1C">
        <w:t xml:space="preserve">September 2023 intracycle meeting, the PBAC deferred making a recommendation to allow further consultation with the sponsor (see paragraph </w:t>
      </w:r>
      <w:r w:rsidRPr="00903E1C">
        <w:fldChar w:fldCharType="begin" w:fldLock="1"/>
      </w:r>
      <w:r w:rsidRPr="00903E1C">
        <w:instrText xml:space="preserve"> REF _Ref153276765 \r \h </w:instrText>
      </w:r>
      <w:r w:rsidRPr="00903E1C">
        <w:fldChar w:fldCharType="separate"/>
      </w:r>
      <w:r>
        <w:t>1</w:t>
      </w:r>
      <w:r w:rsidR="00C31834">
        <w:t>3</w:t>
      </w:r>
      <w:r>
        <w:t>.1</w:t>
      </w:r>
      <w:r w:rsidRPr="00903E1C">
        <w:fldChar w:fldCharType="end"/>
      </w:r>
      <w:r w:rsidRPr="00903E1C">
        <w:t xml:space="preserve">). A revised proposal </w:t>
      </w:r>
      <w:proofErr w:type="gramStart"/>
      <w:r w:rsidRPr="00903E1C">
        <w:t>was submitted</w:t>
      </w:r>
      <w:proofErr w:type="gramEnd"/>
      <w:r w:rsidRPr="00903E1C">
        <w:t xml:space="preserve"> to address the deferral as outlined in </w:t>
      </w:r>
      <w:r w:rsidRPr="00903E1C">
        <w:fldChar w:fldCharType="begin" w:fldLock="1"/>
      </w:r>
      <w:r w:rsidRPr="00903E1C">
        <w:instrText xml:space="preserve"> REF _Ref151634019 \h </w:instrText>
      </w:r>
      <w:r w:rsidRPr="00903E1C">
        <w:fldChar w:fldCharType="separate"/>
      </w:r>
      <w:r w:rsidRPr="00903E1C">
        <w:t xml:space="preserve">Table </w:t>
      </w:r>
      <w:r>
        <w:rPr>
          <w:noProof/>
        </w:rPr>
        <w:t>21</w:t>
      </w:r>
      <w:r w:rsidRPr="00903E1C">
        <w:fldChar w:fldCharType="end"/>
      </w:r>
      <w:r w:rsidRPr="00903E1C">
        <w:t>.</w:t>
      </w:r>
    </w:p>
    <w:p w14:paraId="387159DA" w14:textId="77777777" w:rsidR="00DD7590" w:rsidRPr="00903E1C" w:rsidRDefault="00DD7590" w:rsidP="00DD7590">
      <w:pPr>
        <w:pStyle w:val="COMtablefigcaption"/>
      </w:pPr>
      <w:bookmarkStart w:id="117" w:name="_Ref151634019"/>
      <w:r w:rsidRPr="00903E1C">
        <w:t xml:space="preserve">Table </w:t>
      </w:r>
      <w:fldSimple w:instr=" SEQ Table \* ARABIC " w:fldLock="1">
        <w:r>
          <w:rPr>
            <w:noProof/>
          </w:rPr>
          <w:t>21</w:t>
        </w:r>
      </w:fldSimple>
      <w:bookmarkEnd w:id="117"/>
      <w:r w:rsidRPr="00903E1C">
        <w:t>: Summary of issues</w:t>
      </w:r>
    </w:p>
    <w:tbl>
      <w:tblPr>
        <w:tblStyle w:val="TableGrid"/>
        <w:tblW w:w="0" w:type="auto"/>
        <w:tblLook w:val="04A0" w:firstRow="1" w:lastRow="0" w:firstColumn="1" w:lastColumn="0" w:noHBand="0" w:noVBand="1"/>
        <w:tblCaption w:val="Table 21: Summary of issues"/>
        <w:tblDescription w:val="Table 21: Summary of issues"/>
      </w:tblPr>
      <w:tblGrid>
        <w:gridCol w:w="1654"/>
        <w:gridCol w:w="2566"/>
        <w:gridCol w:w="2706"/>
        <w:gridCol w:w="2091"/>
      </w:tblGrid>
      <w:tr w:rsidR="00DD7590" w:rsidRPr="00903E1C" w14:paraId="09C0105A" w14:textId="77777777" w:rsidTr="0038178F">
        <w:trPr>
          <w:tblHeader/>
        </w:trPr>
        <w:tc>
          <w:tcPr>
            <w:tcW w:w="0" w:type="auto"/>
          </w:tcPr>
          <w:p w14:paraId="6F90E007" w14:textId="77777777" w:rsidR="00DD7590" w:rsidRPr="00903E1C" w:rsidRDefault="00DD7590" w:rsidP="00305BF2">
            <w:pPr>
              <w:pStyle w:val="TableText"/>
              <w:rPr>
                <w:b/>
                <w:bCs w:val="0"/>
              </w:rPr>
            </w:pPr>
            <w:r w:rsidRPr="00903E1C">
              <w:rPr>
                <w:b/>
                <w:bCs w:val="0"/>
              </w:rPr>
              <w:t>Topic</w:t>
            </w:r>
          </w:p>
        </w:tc>
        <w:tc>
          <w:tcPr>
            <w:tcW w:w="0" w:type="auto"/>
          </w:tcPr>
          <w:p w14:paraId="23EF5299" w14:textId="77777777" w:rsidR="00DD7590" w:rsidRPr="00903E1C" w:rsidRDefault="00DD7590" w:rsidP="00305BF2">
            <w:pPr>
              <w:pStyle w:val="TableText"/>
              <w:rPr>
                <w:b/>
                <w:bCs w:val="0"/>
              </w:rPr>
            </w:pPr>
            <w:r w:rsidRPr="00903E1C">
              <w:rPr>
                <w:b/>
                <w:bCs w:val="0"/>
              </w:rPr>
              <w:t>Revised proposal</w:t>
            </w:r>
          </w:p>
        </w:tc>
        <w:tc>
          <w:tcPr>
            <w:tcW w:w="0" w:type="auto"/>
          </w:tcPr>
          <w:p w14:paraId="2F407A58" w14:textId="77777777" w:rsidR="00DD7590" w:rsidRPr="00903E1C" w:rsidRDefault="00DD7590" w:rsidP="00305BF2">
            <w:pPr>
              <w:pStyle w:val="TableText"/>
              <w:rPr>
                <w:b/>
                <w:bCs w:val="0"/>
              </w:rPr>
            </w:pPr>
            <w:r w:rsidRPr="00903E1C">
              <w:rPr>
                <w:b/>
                <w:bCs w:val="0"/>
              </w:rPr>
              <w:t>Comment</w:t>
            </w:r>
          </w:p>
        </w:tc>
        <w:tc>
          <w:tcPr>
            <w:tcW w:w="0" w:type="auto"/>
          </w:tcPr>
          <w:p w14:paraId="57A255BD" w14:textId="77777777" w:rsidR="00DD7590" w:rsidRPr="00903E1C" w:rsidRDefault="00DD7590" w:rsidP="00305BF2">
            <w:pPr>
              <w:pStyle w:val="TableText"/>
              <w:rPr>
                <w:b/>
                <w:bCs w:val="0"/>
              </w:rPr>
            </w:pPr>
            <w:r w:rsidRPr="00903E1C">
              <w:rPr>
                <w:b/>
                <w:bCs w:val="0"/>
              </w:rPr>
              <w:t>PBAC Advice</w:t>
            </w:r>
          </w:p>
        </w:tc>
      </w:tr>
      <w:tr w:rsidR="00DD7590" w:rsidRPr="00903E1C" w14:paraId="5A4062F3" w14:textId="77777777" w:rsidTr="00305BF2">
        <w:tc>
          <w:tcPr>
            <w:tcW w:w="0" w:type="auto"/>
          </w:tcPr>
          <w:p w14:paraId="283FF442" w14:textId="77777777" w:rsidR="00DD7590" w:rsidRPr="00903E1C" w:rsidRDefault="00DD7590" w:rsidP="001D7B74">
            <w:pPr>
              <w:pStyle w:val="TableText"/>
            </w:pPr>
            <w:r w:rsidRPr="00903E1C">
              <w:t>Revision of inputs in the economic model</w:t>
            </w:r>
          </w:p>
        </w:tc>
        <w:tc>
          <w:tcPr>
            <w:tcW w:w="0" w:type="auto"/>
          </w:tcPr>
          <w:p w14:paraId="388A5E38" w14:textId="5F20B07C" w:rsidR="00DD7590" w:rsidRPr="00903E1C" w:rsidRDefault="00DD7590" w:rsidP="00305BF2">
            <w:pPr>
              <w:pStyle w:val="TableText"/>
            </w:pPr>
            <w:r w:rsidRPr="00903E1C">
              <w:t>The t</w:t>
            </w:r>
            <w:r w:rsidRPr="00903E1C">
              <w:rPr>
                <w:iCs/>
              </w:rPr>
              <w:t>reatment</w:t>
            </w:r>
            <w:r w:rsidRPr="00903E1C">
              <w:rPr>
                <w:iCs/>
              </w:rPr>
              <w:noBreakHyphen/>
              <w:t xml:space="preserve">related utility increment/decrements </w:t>
            </w:r>
            <w:proofErr w:type="gramStart"/>
            <w:r w:rsidRPr="00903E1C">
              <w:rPr>
                <w:iCs/>
              </w:rPr>
              <w:t>were halved</w:t>
            </w:r>
            <w:proofErr w:type="gramEnd"/>
            <w:r w:rsidRPr="00903E1C">
              <w:rPr>
                <w:iCs/>
              </w:rPr>
              <w:t xml:space="preserve"> as requested. </w:t>
            </w:r>
            <w:r w:rsidRPr="00903E1C">
              <w:t>The proposed AEMP was $</w:t>
            </w:r>
            <w:r w:rsidR="000A7F6B" w:rsidRPr="000A7F6B">
              <w:rPr>
                <w:color w:val="000000"/>
                <w:spacing w:val="48"/>
                <w:shd w:val="solid" w:color="000000" w:fill="000000"/>
                <w:fitText w:val="315" w:id="-1013195520"/>
                <w14:textFill>
                  <w14:solidFill>
                    <w14:srgbClr w14:val="000000">
                      <w14:alpha w14:val="100000"/>
                    </w14:srgbClr>
                  </w14:solidFill>
                </w14:textFill>
              </w:rPr>
              <w:t>|||</w:t>
            </w:r>
            <w:r w:rsidR="000A7F6B" w:rsidRPr="000A7F6B">
              <w:rPr>
                <w:color w:val="000000"/>
                <w:spacing w:val="1"/>
                <w:shd w:val="solid" w:color="000000" w:fill="000000"/>
                <w:fitText w:val="315" w:id="-1013195520"/>
                <w14:textFill>
                  <w14:solidFill>
                    <w14:srgbClr w14:val="000000">
                      <w14:alpha w14:val="100000"/>
                    </w14:srgbClr>
                  </w14:solidFill>
                </w14:textFill>
              </w:rPr>
              <w:t>|</w:t>
            </w:r>
            <w:r w:rsidRPr="00903E1C">
              <w:t xml:space="preserve"> per 10 mg vial. </w:t>
            </w:r>
            <w:r w:rsidRPr="00903E1C">
              <w:rPr>
                <w:iCs/>
              </w:rPr>
              <w:t>The b</w:t>
            </w:r>
            <w:r w:rsidRPr="00903E1C">
              <w:t>ase case ICER was $</w:t>
            </w:r>
            <w:r w:rsidR="000A7F6B" w:rsidRPr="000A7F6B">
              <w:rPr>
                <w:color w:val="000000"/>
                <w:spacing w:val="45"/>
                <w:shd w:val="solid" w:color="000000" w:fill="000000"/>
                <w:fitText w:val="330" w:id="-1013195519"/>
                <w14:textFill>
                  <w14:solidFill>
                    <w14:srgbClr w14:val="000000">
                      <w14:alpha w14:val="100000"/>
                    </w14:srgbClr>
                  </w14:solidFill>
                </w14:textFill>
              </w:rPr>
              <w:t>|||</w:t>
            </w:r>
            <w:r w:rsidR="000A7F6B" w:rsidRPr="000A7F6B">
              <w:rPr>
                <w:color w:val="000000"/>
                <w:spacing w:val="15"/>
                <w:shd w:val="solid" w:color="000000" w:fill="000000"/>
                <w:fitText w:val="330" w:id="-1013195519"/>
                <w14:textFill>
                  <w14:solidFill>
                    <w14:srgbClr w14:val="000000">
                      <w14:alpha w14:val="100000"/>
                    </w14:srgbClr>
                  </w14:solidFill>
                </w14:textFill>
              </w:rPr>
              <w:t>|</w:t>
            </w:r>
            <w:r w:rsidR="008A255E" w:rsidRPr="00B80329">
              <w:rPr>
                <w:vertAlign w:val="superscript"/>
              </w:rPr>
              <w:t>1</w:t>
            </w:r>
            <w:r w:rsidRPr="00903E1C">
              <w:t xml:space="preserve">/QALY. </w:t>
            </w:r>
          </w:p>
        </w:tc>
        <w:tc>
          <w:tcPr>
            <w:tcW w:w="0" w:type="auto"/>
          </w:tcPr>
          <w:p w14:paraId="2F4D66CE" w14:textId="29408BEC" w:rsidR="00DD7590" w:rsidRPr="00903E1C" w:rsidRDefault="00DD7590" w:rsidP="00305BF2">
            <w:pPr>
              <w:pStyle w:val="TableText"/>
            </w:pPr>
            <w:r w:rsidRPr="00903E1C">
              <w:t xml:space="preserve">The revisions were consistent with PBAC advice as outlined in paragraph </w:t>
            </w:r>
            <w:r w:rsidRPr="00903E1C">
              <w:fldChar w:fldCharType="begin" w:fldLock="1"/>
            </w:r>
            <w:r w:rsidRPr="00903E1C">
              <w:instrText xml:space="preserve"> REF _Ref146723192 \r \h </w:instrText>
            </w:r>
            <w:r w:rsidRPr="00903E1C">
              <w:fldChar w:fldCharType="separate"/>
            </w:r>
            <w:r>
              <w:t>1</w:t>
            </w:r>
            <w:r w:rsidR="00C31834">
              <w:t>3</w:t>
            </w:r>
            <w:r>
              <w:t>.3</w:t>
            </w:r>
            <w:r w:rsidRPr="00903E1C">
              <w:fldChar w:fldCharType="end"/>
            </w:r>
            <w:r w:rsidRPr="00903E1C">
              <w:t>.</w:t>
            </w:r>
          </w:p>
        </w:tc>
        <w:tc>
          <w:tcPr>
            <w:tcW w:w="0" w:type="auto"/>
          </w:tcPr>
          <w:p w14:paraId="476DCC38" w14:textId="2C44AC89" w:rsidR="00DD7590" w:rsidRPr="00903E1C" w:rsidRDefault="00DD7590" w:rsidP="00305BF2">
            <w:pPr>
              <w:pStyle w:val="TableText"/>
            </w:pPr>
            <w:r w:rsidRPr="00903E1C">
              <w:t xml:space="preserve">The revised inputs </w:t>
            </w:r>
            <w:proofErr w:type="gramStart"/>
            <w:r w:rsidRPr="00903E1C">
              <w:t>were accepted</w:t>
            </w:r>
            <w:proofErr w:type="gramEnd"/>
            <w:r w:rsidRPr="00903E1C">
              <w:t xml:space="preserve">, see paragraph </w:t>
            </w:r>
            <w:r w:rsidRPr="00903E1C">
              <w:fldChar w:fldCharType="begin" w:fldLock="1"/>
            </w:r>
            <w:r w:rsidRPr="00903E1C">
              <w:instrText xml:space="preserve"> REF _Ref153304969 \r \h  \* MERGEFORMAT </w:instrText>
            </w:r>
            <w:r w:rsidRPr="00903E1C">
              <w:fldChar w:fldCharType="separate"/>
            </w:r>
            <w:r>
              <w:t>1</w:t>
            </w:r>
            <w:r w:rsidR="00C31834">
              <w:t>9</w:t>
            </w:r>
            <w:r>
              <w:t>.3</w:t>
            </w:r>
            <w:r w:rsidRPr="00903E1C">
              <w:fldChar w:fldCharType="end"/>
            </w:r>
            <w:r w:rsidRPr="00903E1C">
              <w:t>.</w:t>
            </w:r>
          </w:p>
        </w:tc>
      </w:tr>
      <w:tr w:rsidR="00DD7590" w:rsidRPr="00903E1C" w14:paraId="5B655E5A" w14:textId="77777777" w:rsidTr="00305BF2">
        <w:tc>
          <w:tcPr>
            <w:tcW w:w="0" w:type="auto"/>
          </w:tcPr>
          <w:p w14:paraId="7320DF9D" w14:textId="77777777" w:rsidR="00DD7590" w:rsidRPr="00903E1C" w:rsidRDefault="00DD7590" w:rsidP="00305BF2">
            <w:pPr>
              <w:pStyle w:val="TableText"/>
            </w:pPr>
            <w:r w:rsidRPr="00903E1C">
              <w:t>Financial estimates and RSA</w:t>
            </w:r>
          </w:p>
        </w:tc>
        <w:tc>
          <w:tcPr>
            <w:tcW w:w="0" w:type="auto"/>
          </w:tcPr>
          <w:p w14:paraId="4F2F73FC" w14:textId="5A1B63BE" w:rsidR="00DD7590" w:rsidRPr="00903E1C" w:rsidRDefault="00DD7590" w:rsidP="00305BF2">
            <w:pPr>
              <w:pStyle w:val="TableText"/>
              <w:rPr>
                <w:lang w:eastAsia="en-US"/>
              </w:rPr>
            </w:pPr>
            <w:r w:rsidRPr="00903E1C">
              <w:t>The p</w:t>
            </w:r>
            <w:r w:rsidRPr="00903E1C">
              <w:rPr>
                <w:lang w:eastAsia="en-US"/>
              </w:rPr>
              <w:t xml:space="preserve">roposed RSA </w:t>
            </w:r>
            <w:r w:rsidRPr="00903E1C">
              <w:t xml:space="preserve">was </w:t>
            </w:r>
            <w:r w:rsidRPr="00903E1C">
              <w:rPr>
                <w:lang w:eastAsia="en-US"/>
              </w:rPr>
              <w:t>based on estimated utilisation</w:t>
            </w:r>
            <w:r w:rsidRPr="00903E1C">
              <w:t xml:space="preserve"> and assumed </w:t>
            </w:r>
            <w:r w:rsidR="000A7F6B" w:rsidRPr="000A7F6B">
              <w:rPr>
                <w:color w:val="000000"/>
                <w:spacing w:val="45"/>
                <w:shd w:val="solid" w:color="000000" w:fill="000000"/>
                <w:fitText w:val="330" w:id="-1013195518"/>
                <w:lang w:eastAsia="en-US"/>
                <w14:textFill>
                  <w14:solidFill>
                    <w14:srgbClr w14:val="000000">
                      <w14:alpha w14:val="100000"/>
                    </w14:srgbClr>
                  </w14:solidFill>
                </w14:textFill>
              </w:rPr>
              <w:t>|||</w:t>
            </w:r>
            <w:r w:rsidR="000A7F6B" w:rsidRPr="000A7F6B">
              <w:rPr>
                <w:color w:val="000000"/>
                <w:spacing w:val="15"/>
                <w:shd w:val="solid" w:color="000000" w:fill="000000"/>
                <w:fitText w:val="330" w:id="-1013195518"/>
                <w:lang w:eastAsia="en-US"/>
                <w14:textFill>
                  <w14:solidFill>
                    <w14:srgbClr w14:val="000000">
                      <w14:alpha w14:val="100000"/>
                    </w14:srgbClr>
                  </w14:solidFill>
                </w14:textFill>
              </w:rPr>
              <w:t>|</w:t>
            </w:r>
            <w:r w:rsidRPr="00903E1C">
              <w:rPr>
                <w:lang w:eastAsia="en-US"/>
              </w:rPr>
              <w:t xml:space="preserve">% rebate above the caps and </w:t>
            </w:r>
            <w:proofErr w:type="gramStart"/>
            <w:r w:rsidRPr="00903E1C">
              <w:rPr>
                <w:lang w:eastAsia="en-US"/>
              </w:rPr>
              <w:t>were calculated</w:t>
            </w:r>
            <w:proofErr w:type="gramEnd"/>
            <w:r w:rsidRPr="00903E1C">
              <w:rPr>
                <w:lang w:eastAsia="en-US"/>
              </w:rPr>
              <w:t xml:space="preserve"> with the revised patisiran price.</w:t>
            </w:r>
          </w:p>
        </w:tc>
        <w:tc>
          <w:tcPr>
            <w:tcW w:w="0" w:type="auto"/>
          </w:tcPr>
          <w:p w14:paraId="6A815E64" w14:textId="77777777" w:rsidR="00DD7590" w:rsidRPr="00903E1C" w:rsidRDefault="00DD7590" w:rsidP="00305BF2">
            <w:pPr>
              <w:pStyle w:val="TableText"/>
            </w:pPr>
            <w:r w:rsidRPr="00903E1C">
              <w:t xml:space="preserve">The estimated patient numbers were consistent with previous PBAC </w:t>
            </w:r>
            <w:proofErr w:type="gramStart"/>
            <w:r w:rsidRPr="00903E1C">
              <w:t>advice,</w:t>
            </w:r>
            <w:proofErr w:type="gramEnd"/>
            <w:r w:rsidRPr="00903E1C">
              <w:t xml:space="preserve"> however the estimates did not take account of patient discontinuations which was inconsistent with the economic model which assumed 57% persistence at Year 6 (</w:t>
            </w:r>
            <w:r w:rsidRPr="00903E1C">
              <w:fldChar w:fldCharType="begin" w:fldLock="1"/>
            </w:r>
            <w:r w:rsidRPr="00903E1C">
              <w:instrText xml:space="preserve"> REF _Ref132583386 \h </w:instrText>
            </w:r>
            <w:r w:rsidRPr="00903E1C">
              <w:fldChar w:fldCharType="separate"/>
            </w:r>
            <w:r w:rsidRPr="00903E1C">
              <w:t xml:space="preserve">Table </w:t>
            </w:r>
            <w:r>
              <w:rPr>
                <w:noProof/>
              </w:rPr>
              <w:t>14</w:t>
            </w:r>
            <w:r w:rsidRPr="00903E1C">
              <w:fldChar w:fldCharType="end"/>
            </w:r>
            <w:r w:rsidRPr="00903E1C">
              <w:t>).</w:t>
            </w:r>
          </w:p>
        </w:tc>
        <w:tc>
          <w:tcPr>
            <w:tcW w:w="0" w:type="auto"/>
          </w:tcPr>
          <w:p w14:paraId="000F05FD" w14:textId="619BC867" w:rsidR="00DD7590" w:rsidRPr="00903E1C" w:rsidRDefault="00DD7590" w:rsidP="00305BF2">
            <w:pPr>
              <w:pStyle w:val="TableText"/>
            </w:pPr>
            <w:r w:rsidRPr="00903E1C">
              <w:t xml:space="preserve">The revised price and rebate were </w:t>
            </w:r>
            <w:proofErr w:type="gramStart"/>
            <w:r w:rsidRPr="00903E1C">
              <w:t>accepted,</w:t>
            </w:r>
            <w:proofErr w:type="gramEnd"/>
            <w:r w:rsidRPr="00903E1C">
              <w:t xml:space="preserve"> however a discontinuation rate should be applied in the financial estimates, see paragraph </w:t>
            </w:r>
            <w:r w:rsidRPr="00903E1C">
              <w:fldChar w:fldCharType="begin" w:fldLock="1"/>
            </w:r>
            <w:r w:rsidRPr="00903E1C">
              <w:instrText xml:space="preserve"> REF _Ref153305109 \r \h </w:instrText>
            </w:r>
            <w:r w:rsidRPr="00903E1C">
              <w:fldChar w:fldCharType="separate"/>
            </w:r>
            <w:r>
              <w:t>1</w:t>
            </w:r>
            <w:r w:rsidR="00C31834">
              <w:t>9</w:t>
            </w:r>
            <w:r>
              <w:t>.4</w:t>
            </w:r>
            <w:r w:rsidRPr="00903E1C">
              <w:fldChar w:fldCharType="end"/>
            </w:r>
            <w:r w:rsidRPr="00903E1C">
              <w:t>.</w:t>
            </w:r>
          </w:p>
        </w:tc>
      </w:tr>
      <w:tr w:rsidR="00DD7590" w:rsidRPr="00903E1C" w14:paraId="7462F194" w14:textId="77777777" w:rsidTr="00305BF2">
        <w:tc>
          <w:tcPr>
            <w:tcW w:w="0" w:type="auto"/>
          </w:tcPr>
          <w:p w14:paraId="5AE17950" w14:textId="77777777" w:rsidR="00DD7590" w:rsidRPr="00903E1C" w:rsidRDefault="00DD7590" w:rsidP="00305BF2">
            <w:pPr>
              <w:pStyle w:val="TableText"/>
            </w:pPr>
            <w:r w:rsidRPr="00903E1C">
              <w:t xml:space="preserve">Commitment from the sponsor with respect to reassessment of the data 3 years after PBS listing </w:t>
            </w:r>
          </w:p>
        </w:tc>
        <w:tc>
          <w:tcPr>
            <w:tcW w:w="0" w:type="auto"/>
          </w:tcPr>
          <w:p w14:paraId="16F7D8A4" w14:textId="77777777" w:rsidR="00DD7590" w:rsidRPr="00903E1C" w:rsidRDefault="00DD7590" w:rsidP="00305BF2">
            <w:pPr>
              <w:pStyle w:val="TableText"/>
            </w:pPr>
            <w:r w:rsidRPr="00903E1C">
              <w:t xml:space="preserve">The sponsor proposed </w:t>
            </w:r>
            <w:r w:rsidRPr="00903E1C">
              <w:rPr>
                <w:lang w:eastAsia="en-US"/>
              </w:rPr>
              <w:t xml:space="preserve">review of data at 3 years and </w:t>
            </w:r>
            <w:r w:rsidRPr="00903E1C">
              <w:t xml:space="preserve">provided </w:t>
            </w:r>
            <w:r w:rsidRPr="00903E1C">
              <w:rPr>
                <w:lang w:eastAsia="en-US"/>
              </w:rPr>
              <w:t>a summary of ongoing trial</w:t>
            </w:r>
            <w:r w:rsidRPr="00903E1C">
              <w:t xml:space="preserve">s and </w:t>
            </w:r>
            <w:r w:rsidRPr="00903E1C">
              <w:rPr>
                <w:lang w:eastAsia="en-US"/>
              </w:rPr>
              <w:t>endpoints in these trials.</w:t>
            </w:r>
          </w:p>
        </w:tc>
        <w:tc>
          <w:tcPr>
            <w:tcW w:w="0" w:type="auto"/>
          </w:tcPr>
          <w:p w14:paraId="3D3ED89B" w14:textId="3063FFF2" w:rsidR="00DD7590" w:rsidRPr="00903E1C" w:rsidRDefault="00DD7590" w:rsidP="00305BF2">
            <w:pPr>
              <w:pStyle w:val="TableText"/>
            </w:pPr>
            <w:r w:rsidRPr="00903E1C">
              <w:t>The sponsor’s proposal appeared consistent with PBAC’s request for review of the data 3 years after PBS listing to address PBAC’s concern regarding uncertain cost</w:t>
            </w:r>
            <w:r w:rsidRPr="00903E1C">
              <w:noBreakHyphen/>
              <w:t>effectiveness (paragraph 1</w:t>
            </w:r>
            <w:r w:rsidR="00C31834">
              <w:t>3</w:t>
            </w:r>
            <w:r w:rsidRPr="00903E1C">
              <w:t>.6).</w:t>
            </w:r>
          </w:p>
        </w:tc>
        <w:tc>
          <w:tcPr>
            <w:tcW w:w="0" w:type="auto"/>
          </w:tcPr>
          <w:p w14:paraId="2F0881A9" w14:textId="075EA94E" w:rsidR="00DD7590" w:rsidRPr="00903E1C" w:rsidRDefault="00DD7590" w:rsidP="00305BF2">
            <w:pPr>
              <w:pStyle w:val="TableText"/>
            </w:pPr>
            <w:r w:rsidRPr="00903E1C">
              <w:t xml:space="preserve">The commitment from the sponsor with respect to reassessment of the data 3 years after PBS listing must </w:t>
            </w:r>
            <w:proofErr w:type="gramStart"/>
            <w:r w:rsidRPr="00903E1C">
              <w:t>be documented</w:t>
            </w:r>
            <w:proofErr w:type="gramEnd"/>
            <w:r w:rsidRPr="00903E1C">
              <w:t xml:space="preserve"> in the deed of agreement, see paragraph </w:t>
            </w:r>
            <w:r w:rsidRPr="00903E1C">
              <w:fldChar w:fldCharType="begin" w:fldLock="1"/>
            </w:r>
            <w:r w:rsidRPr="00903E1C">
              <w:instrText xml:space="preserve"> REF _Ref153305277 \r \h </w:instrText>
            </w:r>
            <w:r w:rsidRPr="00903E1C">
              <w:fldChar w:fldCharType="separate"/>
            </w:r>
            <w:r>
              <w:t>1</w:t>
            </w:r>
            <w:r w:rsidR="00C31834">
              <w:t>9</w:t>
            </w:r>
            <w:r>
              <w:t>.6</w:t>
            </w:r>
            <w:r w:rsidRPr="00903E1C">
              <w:fldChar w:fldCharType="end"/>
            </w:r>
            <w:r w:rsidRPr="00903E1C">
              <w:t>.</w:t>
            </w:r>
          </w:p>
        </w:tc>
      </w:tr>
      <w:tr w:rsidR="00DD7590" w:rsidRPr="00903E1C" w14:paraId="0138D29D" w14:textId="77777777" w:rsidTr="00305BF2">
        <w:tc>
          <w:tcPr>
            <w:tcW w:w="0" w:type="auto"/>
          </w:tcPr>
          <w:p w14:paraId="12DABC05" w14:textId="77777777" w:rsidR="00DD7590" w:rsidRPr="00903E1C" w:rsidRDefault="00DD7590" w:rsidP="00305BF2">
            <w:pPr>
              <w:pStyle w:val="TableText"/>
            </w:pPr>
            <w:r w:rsidRPr="00903E1C">
              <w:t>Restriction</w:t>
            </w:r>
          </w:p>
        </w:tc>
        <w:tc>
          <w:tcPr>
            <w:tcW w:w="0" w:type="auto"/>
          </w:tcPr>
          <w:p w14:paraId="6C6BCC07" w14:textId="77777777" w:rsidR="00DD7590" w:rsidRPr="00903E1C" w:rsidRDefault="00DD7590" w:rsidP="00305BF2">
            <w:pPr>
              <w:pStyle w:val="TableText"/>
            </w:pPr>
            <w:r w:rsidRPr="00903E1C">
              <w:t xml:space="preserve">Proposed revised restriction </w:t>
            </w:r>
          </w:p>
        </w:tc>
        <w:tc>
          <w:tcPr>
            <w:tcW w:w="0" w:type="auto"/>
          </w:tcPr>
          <w:p w14:paraId="7E7F1BEE" w14:textId="546FE9A1" w:rsidR="00DD7590" w:rsidRPr="00903E1C" w:rsidRDefault="00DD7590" w:rsidP="00305BF2">
            <w:pPr>
              <w:pStyle w:val="TableText"/>
            </w:pPr>
            <w:r w:rsidRPr="00903E1C">
              <w:t xml:space="preserve">The sponsor’s proposal appeared consistent with PBAC’s advice (paragraphs </w:t>
            </w:r>
            <w:r w:rsidRPr="00903E1C">
              <w:fldChar w:fldCharType="begin" w:fldLock="1"/>
            </w:r>
            <w:r w:rsidRPr="00903E1C">
              <w:instrText xml:space="preserve"> REF _Ref153279074 \r \h </w:instrText>
            </w:r>
            <w:r w:rsidRPr="00903E1C">
              <w:fldChar w:fldCharType="separate"/>
            </w:r>
            <w:r>
              <w:t>1</w:t>
            </w:r>
            <w:r w:rsidR="00C31834">
              <w:t>3</w:t>
            </w:r>
            <w:r>
              <w:t>.8</w:t>
            </w:r>
            <w:r w:rsidRPr="00903E1C">
              <w:fldChar w:fldCharType="end"/>
            </w:r>
            <w:r w:rsidRPr="00903E1C">
              <w:t xml:space="preserve"> to </w:t>
            </w:r>
            <w:r w:rsidRPr="00903E1C">
              <w:fldChar w:fldCharType="begin" w:fldLock="1"/>
            </w:r>
            <w:r w:rsidRPr="00903E1C">
              <w:instrText xml:space="preserve"> REF _Ref146725002 \r \h </w:instrText>
            </w:r>
            <w:r w:rsidRPr="00903E1C">
              <w:fldChar w:fldCharType="separate"/>
            </w:r>
            <w:r>
              <w:t>1</w:t>
            </w:r>
            <w:r w:rsidR="00C31834">
              <w:t>3</w:t>
            </w:r>
            <w:r>
              <w:t>.9</w:t>
            </w:r>
            <w:r w:rsidRPr="00903E1C">
              <w:fldChar w:fldCharType="end"/>
            </w:r>
            <w:r w:rsidRPr="00903E1C">
              <w:t>)</w:t>
            </w:r>
          </w:p>
        </w:tc>
        <w:tc>
          <w:tcPr>
            <w:tcW w:w="0" w:type="auto"/>
          </w:tcPr>
          <w:p w14:paraId="6D5F6F2C" w14:textId="6462B7E7" w:rsidR="00DD7590" w:rsidRPr="00903E1C" w:rsidRDefault="00DD7590" w:rsidP="00305BF2">
            <w:pPr>
              <w:pStyle w:val="TableText"/>
            </w:pPr>
            <w:r w:rsidRPr="00903E1C">
              <w:t xml:space="preserve">The revisions </w:t>
            </w:r>
            <w:proofErr w:type="gramStart"/>
            <w:r w:rsidRPr="00903E1C">
              <w:t>were accepted</w:t>
            </w:r>
            <w:proofErr w:type="gramEnd"/>
            <w:r w:rsidRPr="00903E1C">
              <w:t xml:space="preserve">, see paragraph </w:t>
            </w:r>
            <w:r w:rsidRPr="00903E1C">
              <w:fldChar w:fldCharType="begin" w:fldLock="1"/>
            </w:r>
            <w:r w:rsidRPr="00903E1C">
              <w:instrText xml:space="preserve"> REF _Ref153305484 \r \h  \* MERGEFORMAT </w:instrText>
            </w:r>
            <w:r w:rsidRPr="00903E1C">
              <w:fldChar w:fldCharType="separate"/>
            </w:r>
            <w:r>
              <w:t>1</w:t>
            </w:r>
            <w:r w:rsidR="00C31834">
              <w:t>9</w:t>
            </w:r>
            <w:r>
              <w:t>.11</w:t>
            </w:r>
            <w:r w:rsidRPr="00903E1C">
              <w:fldChar w:fldCharType="end"/>
            </w:r>
            <w:r w:rsidRPr="00903E1C">
              <w:t>.</w:t>
            </w:r>
          </w:p>
        </w:tc>
      </w:tr>
    </w:tbl>
    <w:p w14:paraId="190FCD04" w14:textId="77777777" w:rsidR="008A255E" w:rsidRPr="00B80329" w:rsidRDefault="008A255E" w:rsidP="008A255E">
      <w:pPr>
        <w:rPr>
          <w:rFonts w:ascii="Arial Narrow" w:hAnsi="Arial Narrow"/>
          <w:i/>
          <w:iCs/>
          <w:sz w:val="18"/>
          <w:szCs w:val="18"/>
        </w:rPr>
      </w:pPr>
      <w:r w:rsidRPr="00B80329">
        <w:rPr>
          <w:rFonts w:ascii="Arial Narrow" w:hAnsi="Arial Narrow"/>
          <w:i/>
          <w:iCs/>
          <w:sz w:val="18"/>
          <w:szCs w:val="18"/>
        </w:rPr>
        <w:t xml:space="preserve">The redacted values correspond to the following ranges: </w:t>
      </w:r>
    </w:p>
    <w:p w14:paraId="7BF48C9A" w14:textId="6DF14039" w:rsidR="001D7B74" w:rsidRDefault="008A255E" w:rsidP="008A255E">
      <w:pPr>
        <w:rPr>
          <w:rFonts w:ascii="Arial Narrow" w:hAnsi="Arial Narrow"/>
          <w:i/>
          <w:iCs/>
          <w:sz w:val="18"/>
          <w:szCs w:val="18"/>
        </w:rPr>
      </w:pPr>
      <w:r w:rsidRPr="00B80329">
        <w:rPr>
          <w:rFonts w:ascii="Arial Narrow" w:hAnsi="Arial Narrow"/>
          <w:i/>
          <w:iCs/>
          <w:sz w:val="18"/>
          <w:szCs w:val="18"/>
          <w:vertAlign w:val="superscript"/>
        </w:rPr>
        <w:t>1</w:t>
      </w:r>
      <w:r>
        <w:rPr>
          <w:rFonts w:ascii="Arial Narrow" w:hAnsi="Arial Narrow"/>
          <w:i/>
          <w:iCs/>
          <w:sz w:val="18"/>
          <w:szCs w:val="18"/>
        </w:rPr>
        <w:t xml:space="preserve"> </w:t>
      </w:r>
      <w:r w:rsidRPr="008A255E">
        <w:rPr>
          <w:rFonts w:ascii="Arial Narrow" w:hAnsi="Arial Narrow"/>
          <w:i/>
          <w:iCs/>
          <w:sz w:val="18"/>
          <w:szCs w:val="18"/>
        </w:rPr>
        <w:t>$155,000 to &lt; $255,000</w:t>
      </w:r>
    </w:p>
    <w:p w14:paraId="5B39C8CF" w14:textId="77777777" w:rsidR="001D7B74" w:rsidRDefault="001D7B74">
      <w:pPr>
        <w:spacing w:after="160" w:line="259" w:lineRule="auto"/>
        <w:jc w:val="left"/>
        <w:rPr>
          <w:rFonts w:ascii="Arial Narrow" w:hAnsi="Arial Narrow"/>
          <w:i/>
          <w:iCs/>
          <w:sz w:val="18"/>
          <w:szCs w:val="18"/>
        </w:rPr>
      </w:pPr>
      <w:r>
        <w:rPr>
          <w:rFonts w:ascii="Arial Narrow" w:hAnsi="Arial Narrow"/>
          <w:i/>
          <w:iCs/>
          <w:sz w:val="18"/>
          <w:szCs w:val="18"/>
        </w:rPr>
        <w:br w:type="page"/>
      </w:r>
    </w:p>
    <w:p w14:paraId="6FC2D94B" w14:textId="77777777" w:rsidR="00DD7590" w:rsidRPr="00903E1C" w:rsidRDefault="00DD7590" w:rsidP="00DD7590">
      <w:pPr>
        <w:pStyle w:val="2-SectionHeading"/>
        <w:numPr>
          <w:ilvl w:val="0"/>
          <w:numId w:val="1"/>
        </w:numPr>
        <w:snapToGrid/>
      </w:pPr>
      <w:r w:rsidRPr="00903E1C">
        <w:lastRenderedPageBreak/>
        <w:t xml:space="preserve">Requested listing </w:t>
      </w:r>
    </w:p>
    <w:p w14:paraId="21170676" w14:textId="77777777" w:rsidR="00DD7590" w:rsidRPr="000E28B0" w:rsidRDefault="00DD7590" w:rsidP="00DD7590">
      <w:pPr>
        <w:pStyle w:val="COMexecsumnumberedpara"/>
        <w:numPr>
          <w:ilvl w:val="1"/>
          <w:numId w:val="36"/>
        </w:numPr>
        <w:rPr>
          <w:iCs/>
        </w:rPr>
      </w:pPr>
      <w:r w:rsidRPr="00903E1C">
        <w:t>Secretariat additions are in italic and deletions in strikethrough.</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707"/>
        <w:gridCol w:w="2306"/>
        <w:gridCol w:w="812"/>
        <w:gridCol w:w="1416"/>
        <w:gridCol w:w="1418"/>
      </w:tblGrid>
      <w:tr w:rsidR="00DD7590" w:rsidRPr="00903E1C" w14:paraId="438BD2D6" w14:textId="77777777" w:rsidTr="00305BF2">
        <w:trPr>
          <w:cantSplit/>
          <w:trHeight w:val="20"/>
        </w:trPr>
        <w:tc>
          <w:tcPr>
            <w:tcW w:w="1384" w:type="pct"/>
            <w:vAlign w:val="center"/>
          </w:tcPr>
          <w:p w14:paraId="0B5FAC38" w14:textId="77777777" w:rsidR="00DD7590" w:rsidRPr="00903E1C" w:rsidRDefault="00DD7590" w:rsidP="00305BF2">
            <w:pPr>
              <w:keepNext/>
              <w:keepLines/>
              <w:rPr>
                <w:rFonts w:ascii="Arial Narrow" w:hAnsi="Arial Narrow"/>
                <w:b/>
                <w:bCs/>
                <w:sz w:val="20"/>
                <w:szCs w:val="20"/>
              </w:rPr>
            </w:pPr>
            <w:r w:rsidRPr="00903E1C">
              <w:rPr>
                <w:rFonts w:ascii="Arial Narrow" w:hAnsi="Arial Narrow"/>
                <w:b/>
                <w:bCs/>
                <w:sz w:val="20"/>
                <w:szCs w:val="20"/>
              </w:rPr>
              <w:t>MEDICINAL PRODUCT</w:t>
            </w:r>
          </w:p>
          <w:p w14:paraId="705EA187" w14:textId="77777777" w:rsidR="00DD7590" w:rsidRPr="00903E1C" w:rsidRDefault="00DD7590" w:rsidP="00305BF2">
            <w:pPr>
              <w:keepNext/>
              <w:keepLines/>
              <w:rPr>
                <w:rFonts w:ascii="Arial Narrow" w:hAnsi="Arial Narrow"/>
                <w:b/>
                <w:sz w:val="20"/>
                <w:szCs w:val="20"/>
              </w:rPr>
            </w:pPr>
            <w:r w:rsidRPr="00903E1C">
              <w:rPr>
                <w:rFonts w:ascii="Arial Narrow" w:hAnsi="Arial Narrow"/>
                <w:b/>
                <w:bCs/>
                <w:sz w:val="20"/>
                <w:szCs w:val="20"/>
              </w:rPr>
              <w:t>medicinal product pack</w:t>
            </w:r>
          </w:p>
        </w:tc>
        <w:tc>
          <w:tcPr>
            <w:tcW w:w="384" w:type="pct"/>
          </w:tcPr>
          <w:p w14:paraId="7967B94B" w14:textId="77777777" w:rsidR="00DD7590" w:rsidRPr="00903E1C" w:rsidRDefault="00DD7590" w:rsidP="00305BF2">
            <w:pPr>
              <w:pStyle w:val="COMTabletext"/>
              <w:rPr>
                <w:b/>
                <w:bCs w:val="0"/>
                <w:szCs w:val="20"/>
              </w:rPr>
            </w:pPr>
            <w:r w:rsidRPr="00903E1C">
              <w:rPr>
                <w:rFonts w:cs="Arial"/>
                <w:b/>
                <w:szCs w:val="20"/>
              </w:rPr>
              <w:t>PBS item code</w:t>
            </w:r>
          </w:p>
        </w:tc>
        <w:tc>
          <w:tcPr>
            <w:tcW w:w="1252" w:type="pct"/>
          </w:tcPr>
          <w:p w14:paraId="1B3C58D3" w14:textId="77777777" w:rsidR="00DD7590" w:rsidRPr="00903E1C" w:rsidRDefault="00DD7590" w:rsidP="00305BF2">
            <w:pPr>
              <w:keepNext/>
              <w:keepLines/>
              <w:jc w:val="center"/>
              <w:rPr>
                <w:rFonts w:ascii="Arial Narrow" w:hAnsi="Arial Narrow"/>
                <w:b/>
                <w:sz w:val="20"/>
                <w:szCs w:val="20"/>
              </w:rPr>
            </w:pPr>
            <w:r w:rsidRPr="00903E1C">
              <w:rPr>
                <w:rFonts w:ascii="Arial Narrow" w:hAnsi="Arial Narrow"/>
                <w:b/>
                <w:sz w:val="20"/>
                <w:szCs w:val="20"/>
              </w:rPr>
              <w:t>Dispensed Price for Max. Qty</w:t>
            </w:r>
          </w:p>
        </w:tc>
        <w:tc>
          <w:tcPr>
            <w:tcW w:w="441" w:type="pct"/>
          </w:tcPr>
          <w:p w14:paraId="752863C0" w14:textId="77777777" w:rsidR="00DD7590" w:rsidRPr="00903E1C" w:rsidRDefault="00DD7590" w:rsidP="00305BF2">
            <w:pPr>
              <w:keepNext/>
              <w:keepLines/>
              <w:jc w:val="center"/>
              <w:rPr>
                <w:rFonts w:ascii="Arial Narrow" w:hAnsi="Arial Narrow"/>
                <w:b/>
                <w:sz w:val="20"/>
                <w:szCs w:val="20"/>
              </w:rPr>
            </w:pPr>
            <w:r w:rsidRPr="00903E1C">
              <w:rPr>
                <w:rFonts w:ascii="Arial Narrow" w:hAnsi="Arial Narrow"/>
                <w:b/>
                <w:sz w:val="20"/>
                <w:szCs w:val="20"/>
              </w:rPr>
              <w:t>Max. qty units</w:t>
            </w:r>
          </w:p>
        </w:tc>
        <w:tc>
          <w:tcPr>
            <w:tcW w:w="769" w:type="pct"/>
            <w:vAlign w:val="center"/>
          </w:tcPr>
          <w:p w14:paraId="2987B96F" w14:textId="77777777" w:rsidR="00DD7590" w:rsidRPr="00903E1C" w:rsidRDefault="00DD7590" w:rsidP="00305BF2">
            <w:pPr>
              <w:keepNext/>
              <w:keepLines/>
              <w:jc w:val="center"/>
              <w:rPr>
                <w:rFonts w:ascii="Arial Narrow" w:hAnsi="Arial Narrow"/>
                <w:b/>
                <w:sz w:val="20"/>
                <w:szCs w:val="20"/>
              </w:rPr>
            </w:pPr>
            <w:r w:rsidRPr="00903E1C">
              <w:rPr>
                <w:rFonts w:ascii="Arial Narrow" w:hAnsi="Arial Narrow"/>
                <w:b/>
                <w:sz w:val="20"/>
                <w:szCs w:val="20"/>
              </w:rPr>
              <w:t>№.of</w:t>
            </w:r>
          </w:p>
          <w:p w14:paraId="56E19464" w14:textId="77777777" w:rsidR="00DD7590" w:rsidRPr="00903E1C" w:rsidRDefault="00DD7590" w:rsidP="00305BF2">
            <w:pPr>
              <w:keepNext/>
              <w:keepLines/>
              <w:jc w:val="center"/>
              <w:rPr>
                <w:rFonts w:ascii="Arial Narrow" w:hAnsi="Arial Narrow"/>
                <w:b/>
                <w:sz w:val="20"/>
                <w:szCs w:val="20"/>
              </w:rPr>
            </w:pPr>
            <w:r w:rsidRPr="00903E1C">
              <w:rPr>
                <w:rFonts w:ascii="Arial Narrow" w:hAnsi="Arial Narrow"/>
                <w:b/>
                <w:sz w:val="20"/>
                <w:szCs w:val="20"/>
              </w:rPr>
              <w:t>Rpts</w:t>
            </w:r>
          </w:p>
        </w:tc>
        <w:tc>
          <w:tcPr>
            <w:tcW w:w="770" w:type="pct"/>
            <w:vAlign w:val="center"/>
          </w:tcPr>
          <w:p w14:paraId="27069B98" w14:textId="77777777" w:rsidR="00DD7590" w:rsidRPr="00903E1C" w:rsidRDefault="00DD7590" w:rsidP="00305BF2">
            <w:pPr>
              <w:keepNext/>
              <w:keepLines/>
              <w:rPr>
                <w:rFonts w:ascii="Arial Narrow" w:hAnsi="Arial Narrow"/>
                <w:b/>
                <w:sz w:val="20"/>
                <w:szCs w:val="20"/>
              </w:rPr>
            </w:pPr>
            <w:r w:rsidRPr="00903E1C">
              <w:rPr>
                <w:rFonts w:ascii="Arial Narrow" w:hAnsi="Arial Narrow"/>
                <w:b/>
                <w:sz w:val="20"/>
                <w:szCs w:val="20"/>
              </w:rPr>
              <w:t>Available brands</w:t>
            </w:r>
          </w:p>
        </w:tc>
      </w:tr>
      <w:tr w:rsidR="00DD7590" w:rsidRPr="00903E1C" w14:paraId="15DACA4C" w14:textId="77777777" w:rsidTr="00305BF2">
        <w:trPr>
          <w:cantSplit/>
          <w:trHeight w:val="20"/>
        </w:trPr>
        <w:tc>
          <w:tcPr>
            <w:tcW w:w="5000" w:type="pct"/>
            <w:gridSpan w:val="6"/>
            <w:vAlign w:val="center"/>
          </w:tcPr>
          <w:p w14:paraId="6624338E" w14:textId="77777777" w:rsidR="00DD7590" w:rsidRPr="00903E1C" w:rsidRDefault="00DD7590" w:rsidP="00305BF2">
            <w:pPr>
              <w:pStyle w:val="COMTabletext"/>
              <w:rPr>
                <w:rFonts w:cs="Arial"/>
                <w:szCs w:val="20"/>
              </w:rPr>
            </w:pPr>
            <w:r w:rsidRPr="00903E1C">
              <w:rPr>
                <w:szCs w:val="20"/>
              </w:rPr>
              <w:t>PATISIRAN</w:t>
            </w:r>
          </w:p>
        </w:tc>
      </w:tr>
      <w:tr w:rsidR="00DD7590" w:rsidRPr="00903E1C" w14:paraId="7C0C0767" w14:textId="77777777" w:rsidTr="00305BF2">
        <w:trPr>
          <w:cantSplit/>
          <w:trHeight w:val="20"/>
        </w:trPr>
        <w:tc>
          <w:tcPr>
            <w:tcW w:w="1384" w:type="pct"/>
          </w:tcPr>
          <w:p w14:paraId="058F74D1" w14:textId="77777777" w:rsidR="00DD7590" w:rsidRPr="00903E1C" w:rsidRDefault="00DD7590" w:rsidP="00305BF2">
            <w:pPr>
              <w:pStyle w:val="COMTabletext"/>
              <w:keepLines/>
              <w:rPr>
                <w:strike/>
                <w:szCs w:val="20"/>
              </w:rPr>
            </w:pPr>
            <w:r w:rsidRPr="00903E1C">
              <w:rPr>
                <w:strike/>
                <w:szCs w:val="20"/>
              </w:rPr>
              <w:t>10 mg (5 mL) vial for complex IV infusion, 1</w:t>
            </w:r>
          </w:p>
          <w:p w14:paraId="6B813A09" w14:textId="77777777" w:rsidR="00DD7590" w:rsidRPr="00903E1C" w:rsidRDefault="00DD7590" w:rsidP="00305BF2">
            <w:pPr>
              <w:pStyle w:val="COMTabletext"/>
              <w:keepLines/>
              <w:rPr>
                <w:color w:val="0066FF"/>
                <w:szCs w:val="20"/>
              </w:rPr>
            </w:pPr>
          </w:p>
          <w:p w14:paraId="579C4961" w14:textId="77777777" w:rsidR="00DD7590" w:rsidRPr="00903E1C" w:rsidRDefault="00DD7590" w:rsidP="00305BF2">
            <w:pPr>
              <w:pStyle w:val="COMTabletext"/>
              <w:keepLines/>
              <w:rPr>
                <w:i/>
                <w:iCs/>
                <w:color w:val="0066FF"/>
                <w:szCs w:val="20"/>
              </w:rPr>
            </w:pPr>
            <w:r w:rsidRPr="00903E1C">
              <w:rPr>
                <w:i/>
                <w:iCs/>
              </w:rPr>
              <w:t>Patisiran 10 mg/5 mL injection, 5 mL vial</w:t>
            </w:r>
          </w:p>
        </w:tc>
        <w:tc>
          <w:tcPr>
            <w:tcW w:w="384" w:type="pct"/>
          </w:tcPr>
          <w:p w14:paraId="21B7ED79" w14:textId="77777777" w:rsidR="00DD7590" w:rsidRPr="00903E1C" w:rsidRDefault="00DD7590" w:rsidP="00305BF2">
            <w:pPr>
              <w:pStyle w:val="COMTabletext"/>
              <w:jc w:val="center"/>
              <w:rPr>
                <w:iCs/>
                <w:szCs w:val="20"/>
              </w:rPr>
            </w:pPr>
            <w:r w:rsidRPr="00903E1C">
              <w:rPr>
                <w:iCs/>
                <w:szCs w:val="20"/>
              </w:rPr>
              <w:t>NEW</w:t>
            </w:r>
          </w:p>
          <w:p w14:paraId="281E0FA1" w14:textId="77777777" w:rsidR="00DD7590" w:rsidRPr="00903E1C" w:rsidRDefault="00DD7590" w:rsidP="00305BF2">
            <w:pPr>
              <w:pStyle w:val="COMTabletext"/>
              <w:jc w:val="center"/>
              <w:rPr>
                <w:iCs/>
                <w:szCs w:val="20"/>
              </w:rPr>
            </w:pPr>
          </w:p>
          <w:p w14:paraId="244A50B5" w14:textId="77777777" w:rsidR="00DD7590" w:rsidRPr="00903E1C" w:rsidRDefault="00DD7590" w:rsidP="00305BF2">
            <w:pPr>
              <w:pStyle w:val="COMTabletext"/>
              <w:jc w:val="center"/>
              <w:rPr>
                <w:iCs/>
                <w:szCs w:val="20"/>
              </w:rPr>
            </w:pPr>
          </w:p>
          <w:p w14:paraId="5206F297" w14:textId="77777777" w:rsidR="00DD7590" w:rsidRPr="00903E1C" w:rsidRDefault="00DD7590" w:rsidP="00305BF2">
            <w:pPr>
              <w:pStyle w:val="COMTabletext"/>
              <w:jc w:val="center"/>
              <w:rPr>
                <w:iCs/>
                <w:szCs w:val="20"/>
              </w:rPr>
            </w:pPr>
            <w:r w:rsidRPr="00903E1C">
              <w:rPr>
                <w:iCs/>
                <w:szCs w:val="20"/>
              </w:rPr>
              <w:t>NEW</w:t>
            </w:r>
          </w:p>
        </w:tc>
        <w:tc>
          <w:tcPr>
            <w:tcW w:w="1252" w:type="pct"/>
          </w:tcPr>
          <w:p w14:paraId="6F956597" w14:textId="77777777" w:rsidR="00DD7590" w:rsidRPr="00903E1C" w:rsidRDefault="00DD7590" w:rsidP="00305BF2">
            <w:pPr>
              <w:pStyle w:val="COMTabletext"/>
              <w:jc w:val="center"/>
            </w:pPr>
            <w:r w:rsidRPr="00903E1C">
              <w:t xml:space="preserve">Public: </w:t>
            </w:r>
          </w:p>
          <w:p w14:paraId="516750C9" w14:textId="7D30E95D" w:rsidR="00DD7590" w:rsidRPr="00993FCB" w:rsidRDefault="00DD7590" w:rsidP="00305BF2">
            <w:pPr>
              <w:pStyle w:val="COMTabletext"/>
              <w:jc w:val="center"/>
              <w:rPr>
                <w:szCs w:val="20"/>
              </w:rPr>
            </w:pPr>
            <w:r w:rsidRPr="00993FCB">
              <w:t>$</w:t>
            </w:r>
            <w:r w:rsidR="000A7F6B" w:rsidRPr="000A7F6B">
              <w:rPr>
                <w:rFonts w:hint="eastAsia"/>
                <w:color w:val="000000"/>
                <w:w w:val="27"/>
                <w:shd w:val="solid" w:color="000000" w:fill="000000"/>
                <w:fitText w:val="120" w:id="-1013195517"/>
                <w14:textFill>
                  <w14:solidFill>
                    <w14:srgbClr w14:val="000000">
                      <w14:alpha w14:val="100000"/>
                    </w14:srgbClr>
                  </w14:solidFill>
                </w14:textFill>
              </w:rPr>
              <w:t xml:space="preserve">　</w:t>
            </w:r>
            <w:r w:rsidR="000A7F6B" w:rsidRPr="000A7F6B">
              <w:rPr>
                <w:color w:val="000000"/>
                <w:w w:val="27"/>
                <w:shd w:val="solid" w:color="000000" w:fill="000000"/>
                <w:fitText w:val="120" w:id="-1013195517"/>
                <w14:textFill>
                  <w14:solidFill>
                    <w14:srgbClr w14:val="000000">
                      <w14:alpha w14:val="100000"/>
                    </w14:srgbClr>
                  </w14:solidFill>
                </w14:textFill>
              </w:rPr>
              <w:t>|</w:t>
            </w:r>
            <w:r w:rsidR="000A7F6B" w:rsidRPr="000A7F6B">
              <w:rPr>
                <w:rFonts w:hint="eastAsia"/>
                <w:color w:val="000000"/>
                <w:spacing w:val="1"/>
                <w:w w:val="27"/>
                <w:shd w:val="solid" w:color="000000" w:fill="000000"/>
                <w:fitText w:val="120" w:id="-1013195517"/>
                <w14:textFill>
                  <w14:solidFill>
                    <w14:srgbClr w14:val="000000">
                      <w14:alpha w14:val="100000"/>
                    </w14:srgbClr>
                  </w14:solidFill>
                </w14:textFill>
              </w:rPr>
              <w:t xml:space="preserve">　</w:t>
            </w:r>
            <w:r w:rsidRPr="00993FCB">
              <w:rPr>
                <w:szCs w:val="20"/>
              </w:rPr>
              <w:t xml:space="preserve"> published price</w:t>
            </w:r>
          </w:p>
          <w:p w14:paraId="0392FD79" w14:textId="06B1329F" w:rsidR="00DD7590" w:rsidRPr="00993FCB" w:rsidRDefault="00DD7590" w:rsidP="00305BF2">
            <w:pPr>
              <w:pStyle w:val="COMTabletext"/>
              <w:jc w:val="center"/>
              <w:rPr>
                <w:szCs w:val="20"/>
              </w:rPr>
            </w:pPr>
            <w:r w:rsidRPr="00993FCB">
              <w:t>$</w:t>
            </w:r>
            <w:r w:rsidR="000A7F6B" w:rsidRPr="000A7F6B">
              <w:rPr>
                <w:rFonts w:hint="eastAsia"/>
                <w:color w:val="000000"/>
                <w:w w:val="16"/>
                <w:shd w:val="solid" w:color="000000" w:fill="000000"/>
                <w:fitText w:val="75" w:id="-1013195516"/>
                <w14:textFill>
                  <w14:solidFill>
                    <w14:srgbClr w14:val="000000">
                      <w14:alpha w14:val="100000"/>
                    </w14:srgbClr>
                  </w14:solidFill>
                </w14:textFill>
              </w:rPr>
              <w:t xml:space="preserve">　</w:t>
            </w:r>
            <w:r w:rsidR="000A7F6B" w:rsidRPr="000A7F6B">
              <w:rPr>
                <w:color w:val="000000"/>
                <w:w w:val="16"/>
                <w:shd w:val="solid" w:color="000000" w:fill="000000"/>
                <w:fitText w:val="75" w:id="-1013195516"/>
                <w14:textFill>
                  <w14:solidFill>
                    <w14:srgbClr w14:val="000000">
                      <w14:alpha w14:val="100000"/>
                    </w14:srgbClr>
                  </w14:solidFill>
                </w14:textFill>
              </w:rPr>
              <w:t>|</w:t>
            </w:r>
            <w:r w:rsidR="000A7F6B" w:rsidRPr="000A7F6B">
              <w:rPr>
                <w:rFonts w:hint="eastAsia"/>
                <w:color w:val="000000"/>
                <w:w w:val="16"/>
                <w:shd w:val="solid" w:color="000000" w:fill="000000"/>
                <w:fitText w:val="75" w:id="-1013195516"/>
                <w14:textFill>
                  <w14:solidFill>
                    <w14:srgbClr w14:val="000000">
                      <w14:alpha w14:val="100000"/>
                    </w14:srgbClr>
                  </w14:solidFill>
                </w14:textFill>
              </w:rPr>
              <w:t xml:space="preserve">　</w:t>
            </w:r>
            <w:r w:rsidRPr="00993FCB">
              <w:t xml:space="preserve"> </w:t>
            </w:r>
            <w:r w:rsidRPr="00993FCB">
              <w:rPr>
                <w:szCs w:val="20"/>
              </w:rPr>
              <w:t>effective price (based on AEMP of $</w:t>
            </w:r>
            <w:r w:rsidR="000A7F6B" w:rsidRPr="000A7F6B">
              <w:rPr>
                <w:color w:val="000000"/>
                <w:spacing w:val="109"/>
                <w:shd w:val="solid" w:color="000000" w:fill="000000"/>
                <w:fitText w:val="195" w:id="-1013195515"/>
                <w14:textFill>
                  <w14:solidFill>
                    <w14:srgbClr w14:val="000000">
                      <w14:alpha w14:val="100000"/>
                    </w14:srgbClr>
                  </w14:solidFill>
                </w14:textFill>
              </w:rPr>
              <w:t>|</w:t>
            </w:r>
            <w:r w:rsidR="000A7F6B" w:rsidRPr="000A7F6B">
              <w:rPr>
                <w:color w:val="000000"/>
                <w:shd w:val="solid" w:color="000000" w:fill="000000"/>
                <w:fitText w:val="195" w:id="-1013195515"/>
                <w14:textFill>
                  <w14:solidFill>
                    <w14:srgbClr w14:val="000000">
                      <w14:alpha w14:val="100000"/>
                    </w14:srgbClr>
                  </w14:solidFill>
                </w14:textFill>
              </w:rPr>
              <w:t>|</w:t>
            </w:r>
            <w:r w:rsidRPr="00993FCB">
              <w:t xml:space="preserve"> per vial)</w:t>
            </w:r>
          </w:p>
          <w:p w14:paraId="3912C541" w14:textId="77777777" w:rsidR="00DD7590" w:rsidRPr="00993FCB" w:rsidRDefault="00DD7590" w:rsidP="00305BF2">
            <w:pPr>
              <w:pStyle w:val="COMTabletext"/>
              <w:jc w:val="center"/>
              <w:rPr>
                <w:szCs w:val="20"/>
              </w:rPr>
            </w:pPr>
          </w:p>
          <w:p w14:paraId="20260E3B" w14:textId="77777777" w:rsidR="00DD7590" w:rsidRPr="00993FCB" w:rsidRDefault="00DD7590" w:rsidP="00305BF2">
            <w:pPr>
              <w:pStyle w:val="COMTabletext"/>
              <w:jc w:val="center"/>
              <w:rPr>
                <w:szCs w:val="20"/>
              </w:rPr>
            </w:pPr>
            <w:r w:rsidRPr="00993FCB">
              <w:rPr>
                <w:szCs w:val="20"/>
              </w:rPr>
              <w:t>Private</w:t>
            </w:r>
          </w:p>
          <w:p w14:paraId="6EFCA913" w14:textId="1865E10D" w:rsidR="00DD7590" w:rsidRPr="00993FCB" w:rsidRDefault="00DD7590" w:rsidP="00305BF2">
            <w:pPr>
              <w:pStyle w:val="COMTabletext"/>
              <w:jc w:val="center"/>
              <w:rPr>
                <w:szCs w:val="20"/>
              </w:rPr>
            </w:pPr>
            <w:r w:rsidRPr="00993FCB">
              <w:t>$</w:t>
            </w:r>
            <w:r w:rsidR="000A7F6B" w:rsidRPr="000A7F6B">
              <w:rPr>
                <w:rFonts w:hint="eastAsia"/>
                <w:color w:val="000000"/>
                <w:w w:val="27"/>
                <w:shd w:val="solid" w:color="000000" w:fill="000000"/>
                <w:fitText w:val="120" w:id="-1013195514"/>
                <w14:textFill>
                  <w14:solidFill>
                    <w14:srgbClr w14:val="000000">
                      <w14:alpha w14:val="100000"/>
                    </w14:srgbClr>
                  </w14:solidFill>
                </w14:textFill>
              </w:rPr>
              <w:t xml:space="preserve">　</w:t>
            </w:r>
            <w:r w:rsidR="000A7F6B" w:rsidRPr="000A7F6B">
              <w:rPr>
                <w:color w:val="000000"/>
                <w:w w:val="27"/>
                <w:shd w:val="solid" w:color="000000" w:fill="000000"/>
                <w:fitText w:val="120" w:id="-1013195514"/>
                <w14:textFill>
                  <w14:solidFill>
                    <w14:srgbClr w14:val="000000">
                      <w14:alpha w14:val="100000"/>
                    </w14:srgbClr>
                  </w14:solidFill>
                </w14:textFill>
              </w:rPr>
              <w:t>|</w:t>
            </w:r>
            <w:r w:rsidR="000A7F6B" w:rsidRPr="000A7F6B">
              <w:rPr>
                <w:rFonts w:hint="eastAsia"/>
                <w:color w:val="000000"/>
                <w:spacing w:val="1"/>
                <w:w w:val="27"/>
                <w:shd w:val="solid" w:color="000000" w:fill="000000"/>
                <w:fitText w:val="120" w:id="-1013195514"/>
                <w14:textFill>
                  <w14:solidFill>
                    <w14:srgbClr w14:val="000000">
                      <w14:alpha w14:val="100000"/>
                    </w14:srgbClr>
                  </w14:solidFill>
                </w14:textFill>
              </w:rPr>
              <w:t xml:space="preserve">　</w:t>
            </w:r>
            <w:r w:rsidRPr="00993FCB">
              <w:rPr>
                <w:szCs w:val="20"/>
              </w:rPr>
              <w:t xml:space="preserve"> published price</w:t>
            </w:r>
          </w:p>
          <w:p w14:paraId="6DEF2E38" w14:textId="121C89E8" w:rsidR="00DD7590" w:rsidRPr="00993FCB" w:rsidRDefault="00DD7590" w:rsidP="00305BF2">
            <w:pPr>
              <w:pStyle w:val="COMTabletext"/>
              <w:jc w:val="center"/>
              <w:rPr>
                <w:szCs w:val="20"/>
              </w:rPr>
            </w:pPr>
            <w:r w:rsidRPr="00993FCB">
              <w:t>$</w:t>
            </w:r>
            <w:r w:rsidR="000A7F6B" w:rsidRPr="000A7F6B">
              <w:rPr>
                <w:rFonts w:hint="eastAsia"/>
                <w:color w:val="000000"/>
                <w:w w:val="16"/>
                <w:shd w:val="solid" w:color="000000" w:fill="000000"/>
                <w:fitText w:val="75" w:id="-1013195513"/>
                <w14:textFill>
                  <w14:solidFill>
                    <w14:srgbClr w14:val="000000">
                      <w14:alpha w14:val="100000"/>
                    </w14:srgbClr>
                  </w14:solidFill>
                </w14:textFill>
              </w:rPr>
              <w:t xml:space="preserve">　</w:t>
            </w:r>
            <w:r w:rsidR="000A7F6B" w:rsidRPr="000A7F6B">
              <w:rPr>
                <w:color w:val="000000"/>
                <w:w w:val="16"/>
                <w:shd w:val="solid" w:color="000000" w:fill="000000"/>
                <w:fitText w:val="75" w:id="-1013195513"/>
                <w14:textFill>
                  <w14:solidFill>
                    <w14:srgbClr w14:val="000000">
                      <w14:alpha w14:val="100000"/>
                    </w14:srgbClr>
                  </w14:solidFill>
                </w14:textFill>
              </w:rPr>
              <w:t>|</w:t>
            </w:r>
            <w:r w:rsidR="000A7F6B" w:rsidRPr="000A7F6B">
              <w:rPr>
                <w:rFonts w:hint="eastAsia"/>
                <w:color w:val="000000"/>
                <w:w w:val="16"/>
                <w:shd w:val="solid" w:color="000000" w:fill="000000"/>
                <w:fitText w:val="75" w:id="-1013195513"/>
                <w14:textFill>
                  <w14:solidFill>
                    <w14:srgbClr w14:val="000000">
                      <w14:alpha w14:val="100000"/>
                    </w14:srgbClr>
                  </w14:solidFill>
                </w14:textFill>
              </w:rPr>
              <w:t xml:space="preserve">　</w:t>
            </w:r>
            <w:r w:rsidRPr="00993FCB">
              <w:t xml:space="preserve"> </w:t>
            </w:r>
            <w:r w:rsidRPr="00993FCB">
              <w:rPr>
                <w:szCs w:val="20"/>
              </w:rPr>
              <w:t>effective price</w:t>
            </w:r>
          </w:p>
          <w:p w14:paraId="0BCCFEFA" w14:textId="310D777A" w:rsidR="00DD7590" w:rsidRPr="00903E1C" w:rsidRDefault="00DD7590" w:rsidP="00305BF2">
            <w:pPr>
              <w:pStyle w:val="COMTabletext"/>
              <w:jc w:val="center"/>
              <w:rPr>
                <w:szCs w:val="20"/>
              </w:rPr>
            </w:pPr>
            <w:r w:rsidRPr="00993FCB">
              <w:rPr>
                <w:szCs w:val="20"/>
              </w:rPr>
              <w:t>(based on AEMP of $</w:t>
            </w:r>
            <w:r w:rsidR="000A7F6B" w:rsidRPr="000A7F6B">
              <w:rPr>
                <w:color w:val="000000"/>
                <w:spacing w:val="199"/>
                <w:shd w:val="solid" w:color="000000" w:fill="000000"/>
                <w:fitText w:val="285" w:id="-1013195512"/>
                <w14:textFill>
                  <w14:solidFill>
                    <w14:srgbClr w14:val="000000">
                      <w14:alpha w14:val="100000"/>
                    </w14:srgbClr>
                  </w14:solidFill>
                </w14:textFill>
              </w:rPr>
              <w:t>|</w:t>
            </w:r>
            <w:r w:rsidR="000A7F6B" w:rsidRPr="000A7F6B">
              <w:rPr>
                <w:color w:val="000000"/>
                <w:shd w:val="solid" w:color="000000" w:fill="000000"/>
                <w:fitText w:val="285" w:id="-1013195512"/>
                <w14:textFill>
                  <w14:solidFill>
                    <w14:srgbClr w14:val="000000">
                      <w14:alpha w14:val="100000"/>
                    </w14:srgbClr>
                  </w14:solidFill>
                </w14:textFill>
              </w:rPr>
              <w:t>|</w:t>
            </w:r>
            <w:r w:rsidRPr="00903E1C">
              <w:t xml:space="preserve"> per vial)</w:t>
            </w:r>
          </w:p>
        </w:tc>
        <w:tc>
          <w:tcPr>
            <w:tcW w:w="441" w:type="pct"/>
          </w:tcPr>
          <w:p w14:paraId="525E6E33" w14:textId="77777777" w:rsidR="00DD7590" w:rsidRPr="00903E1C" w:rsidRDefault="00DD7590" w:rsidP="00305BF2">
            <w:pPr>
              <w:keepNext/>
              <w:keepLines/>
              <w:jc w:val="center"/>
              <w:rPr>
                <w:rFonts w:ascii="Arial Narrow" w:hAnsi="Arial Narrow"/>
                <w:sz w:val="20"/>
                <w:szCs w:val="20"/>
              </w:rPr>
            </w:pPr>
            <w:r w:rsidRPr="00903E1C">
              <w:rPr>
                <w:rFonts w:ascii="Arial Narrow" w:hAnsi="Arial Narrow"/>
                <w:sz w:val="20"/>
                <w:szCs w:val="20"/>
              </w:rPr>
              <w:t>3</w:t>
            </w:r>
          </w:p>
        </w:tc>
        <w:tc>
          <w:tcPr>
            <w:tcW w:w="769" w:type="pct"/>
          </w:tcPr>
          <w:p w14:paraId="0BB668E8" w14:textId="77777777" w:rsidR="00DD7590" w:rsidRPr="00903E1C" w:rsidRDefault="00DD7590" w:rsidP="00305BF2">
            <w:pPr>
              <w:keepNext/>
              <w:keepLines/>
              <w:jc w:val="center"/>
              <w:rPr>
                <w:rFonts w:ascii="Arial Narrow" w:hAnsi="Arial Narrow"/>
                <w:sz w:val="20"/>
                <w:szCs w:val="20"/>
              </w:rPr>
            </w:pPr>
            <w:r w:rsidRPr="00903E1C">
              <w:rPr>
                <w:rFonts w:ascii="Arial Narrow" w:hAnsi="Arial Narrow"/>
                <w:sz w:val="20"/>
                <w:szCs w:val="20"/>
              </w:rPr>
              <w:t>7</w:t>
            </w:r>
          </w:p>
        </w:tc>
        <w:tc>
          <w:tcPr>
            <w:tcW w:w="770" w:type="pct"/>
          </w:tcPr>
          <w:p w14:paraId="6FE33F9B" w14:textId="77777777" w:rsidR="00DD7590" w:rsidRPr="00903E1C" w:rsidRDefault="00DD7590" w:rsidP="00305BF2">
            <w:pPr>
              <w:keepNext/>
              <w:keepLines/>
              <w:jc w:val="center"/>
              <w:rPr>
                <w:rFonts w:ascii="Arial Narrow" w:hAnsi="Arial Narrow"/>
                <w:color w:val="0066FF"/>
                <w:sz w:val="20"/>
                <w:szCs w:val="20"/>
              </w:rPr>
            </w:pPr>
            <w:r w:rsidRPr="00903E1C">
              <w:rPr>
                <w:rFonts w:ascii="Arial Narrow" w:hAnsi="Arial Narrow"/>
                <w:sz w:val="20"/>
                <w:szCs w:val="20"/>
              </w:rPr>
              <w:t>Onpattro</w:t>
            </w:r>
          </w:p>
        </w:tc>
      </w:tr>
      <w:tr w:rsidR="00DD7590" w:rsidRPr="00903E1C" w14:paraId="63839B49" w14:textId="77777777" w:rsidTr="00305BF2">
        <w:tblPrEx>
          <w:tblCellMar>
            <w:top w:w="15" w:type="dxa"/>
            <w:bottom w:w="15" w:type="dxa"/>
          </w:tblCellMar>
          <w:tblLook w:val="04A0" w:firstRow="1" w:lastRow="0" w:firstColumn="1" w:lastColumn="0" w:noHBand="0" w:noVBand="1"/>
        </w:tblPrEx>
        <w:trPr>
          <w:cantSplit/>
          <w:trHeight w:val="20"/>
        </w:trPr>
        <w:tc>
          <w:tcPr>
            <w:tcW w:w="5000" w:type="pct"/>
            <w:gridSpan w:val="6"/>
          </w:tcPr>
          <w:p w14:paraId="74850269" w14:textId="77777777" w:rsidR="00DD7590" w:rsidRPr="00903E1C" w:rsidRDefault="00DD7590" w:rsidP="00305BF2">
            <w:pPr>
              <w:pStyle w:val="COMTabletext"/>
              <w:keepLines/>
              <w:rPr>
                <w:szCs w:val="20"/>
              </w:rPr>
            </w:pPr>
            <w:r w:rsidRPr="00903E1C">
              <w:rPr>
                <w:b/>
                <w:szCs w:val="20"/>
              </w:rPr>
              <w:t xml:space="preserve">Category / Program: </w:t>
            </w:r>
            <w:r w:rsidRPr="00903E1C">
              <w:rPr>
                <w:b/>
                <w:szCs w:val="20"/>
              </w:rPr>
              <w:tab/>
            </w:r>
            <w:r w:rsidRPr="00903E1C">
              <w:rPr>
                <w:szCs w:val="20"/>
              </w:rPr>
              <w:t>Section 100 HSD – Public Hospital</w:t>
            </w:r>
          </w:p>
          <w:p w14:paraId="2DBA6A0F" w14:textId="77777777" w:rsidR="00DD7590" w:rsidRPr="00903E1C" w:rsidRDefault="00DD7590" w:rsidP="00305BF2">
            <w:pPr>
              <w:pStyle w:val="COMTabletext"/>
              <w:keepLines/>
              <w:rPr>
                <w:szCs w:val="20"/>
              </w:rPr>
            </w:pPr>
            <w:r w:rsidRPr="00903E1C">
              <w:rPr>
                <w:szCs w:val="20"/>
              </w:rPr>
              <w:tab/>
            </w:r>
            <w:r w:rsidRPr="00903E1C">
              <w:rPr>
                <w:szCs w:val="20"/>
              </w:rPr>
              <w:tab/>
            </w:r>
            <w:r w:rsidRPr="00903E1C">
              <w:rPr>
                <w:szCs w:val="20"/>
              </w:rPr>
              <w:tab/>
              <w:t>Section 100 HSD – Private Hospital</w:t>
            </w:r>
          </w:p>
        </w:tc>
      </w:tr>
      <w:tr w:rsidR="00DD7590" w:rsidRPr="00903E1C" w14:paraId="70051BF9" w14:textId="77777777" w:rsidTr="00305BF2">
        <w:tblPrEx>
          <w:tblCellMar>
            <w:top w:w="15" w:type="dxa"/>
            <w:bottom w:w="15" w:type="dxa"/>
          </w:tblCellMar>
          <w:tblLook w:val="04A0" w:firstRow="1" w:lastRow="0" w:firstColumn="1" w:lastColumn="0" w:noHBand="0" w:noVBand="1"/>
        </w:tblPrEx>
        <w:trPr>
          <w:cantSplit/>
          <w:trHeight w:val="20"/>
        </w:trPr>
        <w:tc>
          <w:tcPr>
            <w:tcW w:w="5000" w:type="pct"/>
            <w:gridSpan w:val="6"/>
          </w:tcPr>
          <w:p w14:paraId="4AE9378E" w14:textId="77777777" w:rsidR="00DD7590" w:rsidRPr="00903E1C" w:rsidRDefault="00DD7590" w:rsidP="00305BF2">
            <w:pPr>
              <w:pStyle w:val="COMTabletext"/>
              <w:keepLines/>
              <w:rPr>
                <w:b/>
                <w:szCs w:val="20"/>
              </w:rPr>
            </w:pPr>
            <w:r w:rsidRPr="00903E1C">
              <w:rPr>
                <w:b/>
              </w:rPr>
              <w:t xml:space="preserve">Prescriber type: </w:t>
            </w:r>
            <w:r w:rsidRPr="00903E1C">
              <w:fldChar w:fldCharType="begin" w:fldLock="1">
                <w:ffData>
                  <w:name w:val=""/>
                  <w:enabled/>
                  <w:calcOnExit w:val="0"/>
                  <w:checkBox>
                    <w:sizeAuto/>
                    <w:default w:val="1"/>
                  </w:checkBox>
                </w:ffData>
              </w:fldChar>
            </w:r>
            <w:r w:rsidRPr="00903E1C">
              <w:instrText xml:space="preserve"> FORMCHECKBOX </w:instrText>
            </w:r>
            <w:r w:rsidR="00867C25">
              <w:fldChar w:fldCharType="separate"/>
            </w:r>
            <w:r w:rsidRPr="00903E1C">
              <w:fldChar w:fldCharType="end"/>
            </w:r>
            <w:r w:rsidRPr="00903E1C">
              <w:t>Medical Practitioners</w:t>
            </w:r>
          </w:p>
        </w:tc>
      </w:tr>
    </w:tbl>
    <w:tbl>
      <w:tblPr>
        <w:tblStyle w:val="TableGrid1"/>
        <w:tblW w:w="5106" w:type="pct"/>
        <w:tblLook w:val="04A0" w:firstRow="1" w:lastRow="0" w:firstColumn="1" w:lastColumn="0" w:noHBand="0" w:noVBand="1"/>
      </w:tblPr>
      <w:tblGrid>
        <w:gridCol w:w="1696"/>
        <w:gridCol w:w="7512"/>
      </w:tblGrid>
      <w:tr w:rsidR="00DD7590" w:rsidRPr="00903E1C" w14:paraId="7A891082" w14:textId="77777777" w:rsidTr="00305BF2">
        <w:trPr>
          <w:trHeight w:val="136"/>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F140C" w14:textId="77777777" w:rsidR="00DD7590" w:rsidRPr="00903E1C" w:rsidRDefault="00DD7590" w:rsidP="00305BF2">
            <w:pPr>
              <w:pStyle w:val="TableLeft"/>
              <w:keepNext/>
              <w:jc w:val="left"/>
              <w:rPr>
                <w:rFonts w:ascii="Arial Narrow" w:hAnsi="Arial Narrow"/>
                <w:sz w:val="20"/>
                <w:szCs w:val="20"/>
                <w:lang w:val="en-AU"/>
              </w:rPr>
            </w:pPr>
            <w:r w:rsidRPr="00903E1C">
              <w:rPr>
                <w:rFonts w:ascii="Arial Narrow" w:hAnsi="Arial Narrow" w:cs="Arial"/>
                <w:b/>
                <w:sz w:val="20"/>
                <w:szCs w:val="20"/>
                <w:lang w:val="en-AU"/>
              </w:rPr>
              <w:t>Condition: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0DC1C" w14:textId="77777777" w:rsidR="00DD7590" w:rsidRPr="00903E1C" w:rsidRDefault="00DD7590" w:rsidP="00305BF2">
            <w:pPr>
              <w:keepNext/>
              <w:rPr>
                <w:rFonts w:ascii="Arial Narrow" w:hAnsi="Arial Narrow"/>
                <w:sz w:val="20"/>
                <w:szCs w:val="20"/>
                <w:lang w:val="en-AU"/>
              </w:rPr>
            </w:pPr>
            <w:r w:rsidRPr="00903E1C">
              <w:rPr>
                <w:rFonts w:ascii="Arial Narrow" w:hAnsi="Arial Narrow"/>
                <w:sz w:val="20"/>
                <w:szCs w:val="20"/>
                <w:lang w:val="en-AU"/>
              </w:rPr>
              <w:t>Hereditary transthyretin amyloidosis with polyneuropathy.</w:t>
            </w:r>
          </w:p>
        </w:tc>
      </w:tr>
      <w:tr w:rsidR="00DD7590" w:rsidRPr="00903E1C" w14:paraId="0192BDEA" w14:textId="77777777" w:rsidTr="00305BF2">
        <w:trPr>
          <w:trHeight w:val="158"/>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B5278" w14:textId="77777777" w:rsidR="00DD7590" w:rsidRPr="00903E1C" w:rsidRDefault="00DD7590" w:rsidP="00305BF2">
            <w:pPr>
              <w:pStyle w:val="TableLeft"/>
              <w:keepNext/>
              <w:jc w:val="left"/>
              <w:rPr>
                <w:rFonts w:ascii="Arial Narrow" w:hAnsi="Arial Narrow"/>
                <w:sz w:val="20"/>
                <w:szCs w:val="20"/>
                <w:lang w:val="en-AU"/>
              </w:rPr>
            </w:pPr>
            <w:r w:rsidRPr="00903E1C">
              <w:rPr>
                <w:rFonts w:ascii="Arial Narrow" w:hAnsi="Arial Narrow" w:cs="Arial"/>
                <w:b/>
                <w:sz w:val="20"/>
                <w:szCs w:val="20"/>
                <w:lang w:val="en-AU"/>
              </w:rPr>
              <w:t>PBS indication: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7C08E" w14:textId="77777777" w:rsidR="00DD7590" w:rsidRPr="00903E1C" w:rsidRDefault="00DD7590" w:rsidP="00305BF2">
            <w:pPr>
              <w:keepNext/>
              <w:rPr>
                <w:rFonts w:ascii="Arial Narrow" w:hAnsi="Arial Narrow"/>
                <w:sz w:val="20"/>
                <w:szCs w:val="20"/>
                <w:lang w:val="en-AU"/>
              </w:rPr>
            </w:pPr>
            <w:r w:rsidRPr="00903E1C">
              <w:rPr>
                <w:rFonts w:ascii="Arial Narrow" w:hAnsi="Arial Narrow"/>
                <w:sz w:val="20"/>
                <w:szCs w:val="20"/>
                <w:lang w:val="en-AU"/>
              </w:rPr>
              <w:t>Hereditary transthyretin amyloidosis in adult patients with stage 1 or stage 2 polyneuropathy</w:t>
            </w:r>
          </w:p>
        </w:tc>
      </w:tr>
      <w:tr w:rsidR="00DD7590" w:rsidRPr="00903E1C" w14:paraId="6BB3563B" w14:textId="77777777" w:rsidTr="00305BF2">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6191"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Restriction: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F449" w14:textId="77777777" w:rsidR="00DD7590" w:rsidRPr="00903E1C" w:rsidRDefault="00DD7590" w:rsidP="00305BF2">
            <w:pPr>
              <w:keepNext/>
              <w:rPr>
                <w:rFonts w:ascii="Arial Narrow" w:hAnsi="Arial Narrow"/>
                <w:sz w:val="20"/>
                <w:szCs w:val="20"/>
                <w:lang w:val="en-AU"/>
              </w:rPr>
            </w:pPr>
            <w:r w:rsidRPr="00903E1C">
              <w:rPr>
                <w:rFonts w:ascii="Arial Narrow" w:hAnsi="Arial Narrow"/>
                <w:sz w:val="20"/>
                <w:szCs w:val="20"/>
              </w:rPr>
              <w:fldChar w:fldCharType="begin" w:fldLock="1">
                <w:ffData>
                  <w:name w:val=""/>
                  <w:enabled/>
                  <w:calcOnExit w:val="0"/>
                  <w:checkBox>
                    <w:sizeAuto/>
                    <w:default w:val="1"/>
                  </w:checkBox>
                </w:ffData>
              </w:fldChar>
            </w:r>
            <w:r w:rsidRPr="00903E1C">
              <w:rPr>
                <w:rFonts w:ascii="Arial Narrow" w:hAnsi="Arial Narrow"/>
                <w:sz w:val="20"/>
                <w:szCs w:val="20"/>
                <w:lang w:val="en-AU"/>
              </w:rPr>
              <w:instrText xml:space="preserve"> FORMCHECKBOX </w:instrText>
            </w:r>
            <w:r w:rsidR="00867C25">
              <w:rPr>
                <w:rFonts w:ascii="Arial Narrow" w:hAnsi="Arial Narrow"/>
                <w:sz w:val="20"/>
                <w:szCs w:val="20"/>
              </w:rPr>
            </w:r>
            <w:r w:rsidR="00867C25">
              <w:rPr>
                <w:rFonts w:ascii="Arial Narrow" w:hAnsi="Arial Narrow"/>
                <w:sz w:val="20"/>
                <w:szCs w:val="20"/>
              </w:rPr>
              <w:fldChar w:fldCharType="separate"/>
            </w:r>
            <w:r w:rsidRPr="00903E1C">
              <w:rPr>
                <w:rFonts w:ascii="Arial Narrow" w:hAnsi="Arial Narrow"/>
                <w:sz w:val="20"/>
                <w:szCs w:val="20"/>
              </w:rPr>
              <w:fldChar w:fldCharType="end"/>
            </w:r>
            <w:r w:rsidRPr="00903E1C">
              <w:rPr>
                <w:rFonts w:ascii="Arial Narrow" w:hAnsi="Arial Narrow"/>
                <w:sz w:val="20"/>
                <w:szCs w:val="20"/>
                <w:lang w:val="en-AU"/>
              </w:rPr>
              <w:t>Authority Required - In Writing</w:t>
            </w:r>
          </w:p>
        </w:tc>
      </w:tr>
      <w:tr w:rsidR="00DD7590" w:rsidRPr="00903E1C" w14:paraId="026986FF" w14:textId="77777777" w:rsidTr="00305BF2">
        <w:trPr>
          <w:trHeight w:val="209"/>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FFABC" w14:textId="77777777" w:rsidR="00DD7590" w:rsidRPr="00903E1C" w:rsidRDefault="00DD7590" w:rsidP="00305BF2">
            <w:pPr>
              <w:keepNext/>
              <w:rPr>
                <w:rFonts w:ascii="Arial Narrow" w:hAnsi="Arial Narrow"/>
                <w:i/>
                <w:sz w:val="20"/>
                <w:szCs w:val="20"/>
                <w:lang w:val="en-AU"/>
              </w:rPr>
            </w:pPr>
            <w:r w:rsidRPr="00903E1C">
              <w:rPr>
                <w:rFonts w:ascii="Arial Narrow" w:hAnsi="Arial Narrow"/>
                <w:b/>
                <w:sz w:val="20"/>
                <w:szCs w:val="20"/>
                <w:lang w:val="en-AU"/>
              </w:rPr>
              <w:t>Treatment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2EE50" w14:textId="77777777" w:rsidR="00DD7590" w:rsidRPr="00903E1C" w:rsidRDefault="00DD7590" w:rsidP="00305BF2">
            <w:pPr>
              <w:pStyle w:val="ListParagraph"/>
              <w:keepNext/>
              <w:numPr>
                <w:ilvl w:val="0"/>
                <w:numId w:val="7"/>
              </w:numPr>
              <w:spacing w:after="60"/>
              <w:ind w:left="360"/>
              <w:contextualSpacing/>
              <w:rPr>
                <w:rFonts w:ascii="Arial Narrow" w:hAnsi="Arial Narrow"/>
                <w:sz w:val="20"/>
                <w:szCs w:val="20"/>
                <w:lang w:val="en-AU"/>
              </w:rPr>
            </w:pPr>
            <w:r w:rsidRPr="00903E1C">
              <w:rPr>
                <w:rFonts w:ascii="Arial Narrow" w:hAnsi="Arial Narrow"/>
                <w:sz w:val="20"/>
                <w:szCs w:val="20"/>
                <w:lang w:val="en-AU"/>
              </w:rPr>
              <w:t xml:space="preserve">Must </w:t>
            </w:r>
            <w:proofErr w:type="gramStart"/>
            <w:r w:rsidRPr="00903E1C">
              <w:rPr>
                <w:rFonts w:ascii="Arial Narrow" w:hAnsi="Arial Narrow"/>
                <w:sz w:val="20"/>
                <w:szCs w:val="20"/>
                <w:lang w:val="en-AU"/>
              </w:rPr>
              <w:t>be treated</w:t>
            </w:r>
            <w:proofErr w:type="gramEnd"/>
            <w:r w:rsidRPr="00903E1C">
              <w:rPr>
                <w:rFonts w:ascii="Arial Narrow" w:hAnsi="Arial Narrow"/>
                <w:sz w:val="20"/>
                <w:szCs w:val="20"/>
                <w:lang w:val="en-AU"/>
              </w:rPr>
              <w:t xml:space="preserve"> by a consultant with experience in the management of amyloid disorders or in consultation with a consultant with experience in the management of amyloid disorders.</w:t>
            </w:r>
          </w:p>
          <w:p w14:paraId="3EBD621B" w14:textId="77777777" w:rsidR="00DD7590" w:rsidRPr="00903E1C" w:rsidRDefault="00DD7590" w:rsidP="00305BF2">
            <w:pPr>
              <w:pStyle w:val="ListParagraph"/>
              <w:keepNext/>
              <w:numPr>
                <w:ilvl w:val="0"/>
                <w:numId w:val="7"/>
              </w:numPr>
              <w:spacing w:after="60"/>
              <w:ind w:left="360"/>
              <w:contextualSpacing/>
              <w:rPr>
                <w:rFonts w:ascii="Arial Narrow" w:hAnsi="Arial Narrow"/>
                <w:sz w:val="20"/>
                <w:szCs w:val="20"/>
                <w:lang w:val="en-AU"/>
              </w:rPr>
            </w:pPr>
            <w:r w:rsidRPr="00903E1C">
              <w:rPr>
                <w:rFonts w:ascii="Arial Narrow" w:hAnsi="Arial Narrow"/>
                <w:sz w:val="20"/>
                <w:szCs w:val="20"/>
                <w:lang w:val="en-AU"/>
              </w:rPr>
              <w:t xml:space="preserve">Patisiran is to </w:t>
            </w:r>
            <w:proofErr w:type="gramStart"/>
            <w:r w:rsidRPr="00903E1C">
              <w:rPr>
                <w:rFonts w:ascii="Arial Narrow" w:hAnsi="Arial Narrow"/>
                <w:sz w:val="20"/>
                <w:szCs w:val="20"/>
                <w:lang w:val="en-AU"/>
              </w:rPr>
              <w:t>be used</w:t>
            </w:r>
            <w:proofErr w:type="gramEnd"/>
            <w:r w:rsidRPr="00903E1C">
              <w:rPr>
                <w:rFonts w:ascii="Arial Narrow" w:hAnsi="Arial Narrow"/>
                <w:sz w:val="20"/>
                <w:szCs w:val="20"/>
                <w:lang w:val="en-AU"/>
              </w:rPr>
              <w:t xml:space="preserve"> as a monotherapy (i.e. not in combination with any other disease modifying medicines for amyloidosis disorders).</w:t>
            </w:r>
          </w:p>
        </w:tc>
      </w:tr>
      <w:tr w:rsidR="00DD7590" w:rsidRPr="00903E1C" w14:paraId="0EFF34B8" w14:textId="77777777" w:rsidTr="00305BF2">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6C884E"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Treatment phase:</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B5DD7F"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Initiating treatment</w:t>
            </w:r>
          </w:p>
        </w:tc>
      </w:tr>
      <w:tr w:rsidR="00DD7590" w:rsidRPr="00903E1C" w14:paraId="73A7A8D4" w14:textId="77777777" w:rsidTr="00305BF2">
        <w:trPr>
          <w:trHeight w:val="1118"/>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639AD" w14:textId="77777777" w:rsidR="00DD7590" w:rsidRPr="00903E1C" w:rsidRDefault="00DD7590" w:rsidP="00305BF2">
            <w:pPr>
              <w:keepNext/>
              <w:rPr>
                <w:rFonts w:ascii="Arial Narrow" w:hAnsi="Arial Narrow"/>
                <w:sz w:val="20"/>
                <w:szCs w:val="20"/>
                <w:lang w:val="en-AU"/>
              </w:rPr>
            </w:pPr>
            <w:r w:rsidRPr="00903E1C">
              <w:rPr>
                <w:rFonts w:ascii="Arial Narrow" w:hAnsi="Arial Narrow"/>
                <w:b/>
                <w:sz w:val="20"/>
                <w:szCs w:val="20"/>
                <w:lang w:val="en-AU"/>
              </w:rPr>
              <w:t>Clinical criteria:</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FA2F2" w14:textId="77777777" w:rsidR="00DD7590" w:rsidRPr="00903E1C" w:rsidRDefault="00DD7590" w:rsidP="00305BF2">
            <w:pPr>
              <w:pStyle w:val="ListParagraph"/>
              <w:keepNext/>
              <w:numPr>
                <w:ilvl w:val="0"/>
                <w:numId w:val="7"/>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condition must be hereditary transthyretin amyloidosis confirmed by genetic testing; and</w:t>
            </w:r>
          </w:p>
          <w:p w14:paraId="4B8B1CEB" w14:textId="77777777" w:rsidR="00DD7590" w:rsidRPr="00903E1C" w:rsidRDefault="00DD7590" w:rsidP="00305BF2">
            <w:pPr>
              <w:pStyle w:val="ListParagraph"/>
              <w:keepNext/>
              <w:numPr>
                <w:ilvl w:val="0"/>
                <w:numId w:val="7"/>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have a PND score description of I, II, IIIA, or IIIB or the patient must have an FAP stage description of 1 or 2.</w:t>
            </w:r>
          </w:p>
          <w:p w14:paraId="32E138B7" w14:textId="77777777" w:rsidR="00DD7590" w:rsidRPr="00903E1C" w:rsidRDefault="00DD7590" w:rsidP="00305BF2">
            <w:pPr>
              <w:pStyle w:val="ListParagraph"/>
              <w:keepNext/>
              <w:numPr>
                <w:ilvl w:val="0"/>
                <w:numId w:val="7"/>
              </w:numPr>
              <w:spacing w:after="60"/>
              <w:ind w:left="360"/>
              <w:contextualSpacing/>
              <w:rPr>
                <w:rFonts w:ascii="Arial Narrow" w:hAnsi="Arial Narrow"/>
                <w:sz w:val="20"/>
                <w:szCs w:val="20"/>
                <w:lang w:val="en-AU"/>
              </w:rPr>
            </w:pPr>
            <w:r w:rsidRPr="00903E1C">
              <w:rPr>
                <w:rFonts w:ascii="Arial Narrow" w:hAnsi="Arial Narrow"/>
                <w:sz w:val="20"/>
                <w:szCs w:val="20"/>
                <w:lang w:val="en-AU"/>
              </w:rPr>
              <w:t>Patient must not have previously undergone a liver transplant.</w:t>
            </w:r>
          </w:p>
          <w:p w14:paraId="05499A0D" w14:textId="77777777" w:rsidR="00DD7590" w:rsidRPr="00903E1C" w:rsidRDefault="00DD7590" w:rsidP="00305BF2">
            <w:pPr>
              <w:pStyle w:val="ListParagraph"/>
              <w:keepNext/>
              <w:numPr>
                <w:ilvl w:val="0"/>
                <w:numId w:val="7"/>
              </w:numPr>
              <w:spacing w:after="0"/>
              <w:ind w:left="360"/>
              <w:contextualSpacing/>
              <w:rPr>
                <w:rFonts w:ascii="Arial Narrow" w:hAnsi="Arial Narrow"/>
                <w:sz w:val="20"/>
                <w:szCs w:val="20"/>
                <w:lang w:val="en-AU"/>
              </w:rPr>
            </w:pPr>
            <w:r w:rsidRPr="00903E1C">
              <w:rPr>
                <w:rFonts w:ascii="Arial Narrow" w:hAnsi="Arial Narrow"/>
                <w:sz w:val="20"/>
                <w:szCs w:val="20"/>
                <w:lang w:val="en-AU"/>
              </w:rPr>
              <w:t>Patient must not exhibit heart failure symptoms (defined as New York Heart Association [NYHA] class III or IV).</w:t>
            </w:r>
          </w:p>
        </w:tc>
      </w:tr>
      <w:tr w:rsidR="00DD7590" w:rsidRPr="00903E1C" w14:paraId="06BB564A" w14:textId="77777777" w:rsidTr="00305BF2">
        <w:trPr>
          <w:trHeight w:val="70"/>
        </w:trPr>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4D17E" w14:textId="77777777" w:rsidR="00DD7590" w:rsidRPr="00903E1C" w:rsidRDefault="00DD7590" w:rsidP="00305BF2">
            <w:pPr>
              <w:rPr>
                <w:rFonts w:ascii="Arial Narrow" w:hAnsi="Arial Narrow"/>
                <w:b/>
                <w:i/>
                <w:iCs/>
                <w:sz w:val="20"/>
                <w:szCs w:val="20"/>
                <w:lang w:val="en-AU"/>
              </w:rPr>
            </w:pPr>
            <w:r w:rsidRPr="00903E1C">
              <w:rPr>
                <w:rFonts w:ascii="Arial Narrow" w:hAnsi="Arial Narrow"/>
                <w:b/>
                <w:i/>
                <w:iCs/>
                <w:sz w:val="20"/>
                <w:szCs w:val="20"/>
                <w:lang w:val="en-AU"/>
              </w:rPr>
              <w:t>Prescriber Instruction</w:t>
            </w:r>
          </w:p>
        </w:tc>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587A6" w14:textId="77777777" w:rsidR="00DD7590" w:rsidRPr="00903E1C" w:rsidRDefault="00DD7590" w:rsidP="00305BF2">
            <w:pPr>
              <w:pStyle w:val="COMtablefigcaption"/>
              <w:keepNext w:val="0"/>
              <w:rPr>
                <w:szCs w:val="20"/>
                <w:lang w:val="en-AU"/>
              </w:rPr>
            </w:pPr>
            <w:r w:rsidRPr="00903E1C">
              <w:rPr>
                <w:szCs w:val="20"/>
                <w:lang w:val="en-AU"/>
              </w:rPr>
              <w:t xml:space="preserve">Clinical staging scales relevant to clinical criteria </w:t>
            </w:r>
            <w:r w:rsidRPr="00903E1C">
              <w:rPr>
                <w:rStyle w:val="FootnoteReference"/>
                <w:szCs w:val="20"/>
                <w:lang w:val="en-AU"/>
              </w:rPr>
              <w:footnoteReference w:id="14"/>
            </w:r>
          </w:p>
          <w:tbl>
            <w:tblPr>
              <w:tblStyle w:val="Submissionstandard"/>
              <w:tblW w:w="0" w:type="auto"/>
              <w:tblLook w:val="04A0" w:firstRow="1" w:lastRow="0" w:firstColumn="1" w:lastColumn="0" w:noHBand="0" w:noVBand="1"/>
            </w:tblPr>
            <w:tblGrid>
              <w:gridCol w:w="818"/>
              <w:gridCol w:w="1480"/>
              <w:gridCol w:w="992"/>
              <w:gridCol w:w="3712"/>
            </w:tblGrid>
            <w:tr w:rsidR="00DD7590" w:rsidRPr="00903E1C" w14:paraId="3513CDBF" w14:textId="77777777" w:rsidTr="00305BF2">
              <w:trPr>
                <w:cnfStyle w:val="100000000000" w:firstRow="1" w:lastRow="0" w:firstColumn="0" w:lastColumn="0" w:oddVBand="0" w:evenVBand="0" w:oddHBand="0" w:evenHBand="0" w:firstRowFirstColumn="0" w:firstRowLastColumn="0" w:lastRowFirstColumn="0" w:lastRowLastColumn="0"/>
              </w:trPr>
              <w:tc>
                <w:tcPr>
                  <w:tcW w:w="22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91999D" w14:textId="77777777" w:rsidR="00DD7590" w:rsidRPr="00903E1C" w:rsidRDefault="00DD7590" w:rsidP="00305BF2">
                  <w:pPr>
                    <w:pStyle w:val="COMTableheadingrow"/>
                    <w:keepNext w:val="0"/>
                    <w:rPr>
                      <w:b/>
                      <w:bCs/>
                      <w:szCs w:val="20"/>
                      <w:lang w:val="en-AU"/>
                    </w:rPr>
                  </w:pPr>
                  <w:r w:rsidRPr="00903E1C">
                    <w:rPr>
                      <w:b/>
                      <w:bCs/>
                      <w:szCs w:val="20"/>
                      <w:lang w:val="en-AU"/>
                    </w:rPr>
                    <w:t>Familial Amyloid Polyneuropathy (FAP) stage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BEF042" w14:textId="77777777" w:rsidR="00DD7590" w:rsidRPr="00903E1C" w:rsidRDefault="00DD7590" w:rsidP="00305BF2">
                  <w:pPr>
                    <w:pStyle w:val="COMTableheadingrow"/>
                    <w:keepNext w:val="0"/>
                    <w:rPr>
                      <w:b/>
                      <w:bCs/>
                      <w:szCs w:val="20"/>
                      <w:lang w:val="en-AU"/>
                    </w:rPr>
                  </w:pPr>
                  <w:r w:rsidRPr="00903E1C">
                    <w:rPr>
                      <w:b/>
                      <w:bCs/>
                      <w:szCs w:val="20"/>
                      <w:lang w:val="en-AU"/>
                    </w:rPr>
                    <w:t>Polyneuropathy Disability (PND) Score</w:t>
                  </w:r>
                </w:p>
              </w:tc>
            </w:tr>
            <w:tr w:rsidR="00DD7590" w:rsidRPr="00903E1C" w14:paraId="4D8ABF89" w14:textId="77777777" w:rsidTr="00305BF2">
              <w:tc>
                <w:tcPr>
                  <w:tcW w:w="818" w:type="dxa"/>
                  <w:tcBorders>
                    <w:top w:val="single" w:sz="4" w:space="0" w:color="auto"/>
                    <w:left w:val="single" w:sz="4" w:space="0" w:color="auto"/>
                    <w:bottom w:val="single" w:sz="4" w:space="0" w:color="auto"/>
                    <w:right w:val="single" w:sz="4" w:space="0" w:color="auto"/>
                  </w:tcBorders>
                </w:tcPr>
                <w:p w14:paraId="53C8F3F3" w14:textId="77777777" w:rsidR="00DD7590" w:rsidRPr="00903E1C" w:rsidRDefault="00DD7590" w:rsidP="00305BF2">
                  <w:pPr>
                    <w:pStyle w:val="COMTabletext"/>
                    <w:keepNext w:val="0"/>
                    <w:rPr>
                      <w:szCs w:val="20"/>
                      <w:lang w:val="en-AU"/>
                    </w:rPr>
                  </w:pPr>
                  <w:r w:rsidRPr="00903E1C">
                    <w:rPr>
                      <w:szCs w:val="20"/>
                      <w:lang w:val="en-AU"/>
                    </w:rPr>
                    <w:t>Stage 0</w:t>
                  </w:r>
                </w:p>
              </w:tc>
              <w:tc>
                <w:tcPr>
                  <w:tcW w:w="1480" w:type="dxa"/>
                  <w:tcBorders>
                    <w:top w:val="single" w:sz="4" w:space="0" w:color="auto"/>
                    <w:left w:val="single" w:sz="4" w:space="0" w:color="auto"/>
                    <w:bottom w:val="single" w:sz="4" w:space="0" w:color="auto"/>
                    <w:right w:val="single" w:sz="4" w:space="0" w:color="auto"/>
                  </w:tcBorders>
                </w:tcPr>
                <w:p w14:paraId="5F4389C4" w14:textId="77777777" w:rsidR="00DD7590" w:rsidRPr="00903E1C" w:rsidRDefault="00DD7590" w:rsidP="00305BF2">
                  <w:pPr>
                    <w:pStyle w:val="COMTabletext"/>
                    <w:keepNext w:val="0"/>
                    <w:rPr>
                      <w:szCs w:val="20"/>
                      <w:lang w:val="en-AU"/>
                    </w:rPr>
                  </w:pPr>
                  <w:r w:rsidRPr="00903E1C">
                    <w:rPr>
                      <w:szCs w:val="20"/>
                      <w:lang w:val="en-AU"/>
                    </w:rPr>
                    <w:t>No symptoms</w:t>
                  </w:r>
                </w:p>
              </w:tc>
              <w:tc>
                <w:tcPr>
                  <w:tcW w:w="992" w:type="dxa"/>
                  <w:tcBorders>
                    <w:top w:val="single" w:sz="4" w:space="0" w:color="auto"/>
                    <w:left w:val="single" w:sz="4" w:space="0" w:color="auto"/>
                    <w:bottom w:val="single" w:sz="4" w:space="0" w:color="auto"/>
                    <w:right w:val="single" w:sz="4" w:space="0" w:color="auto"/>
                  </w:tcBorders>
                  <w:vAlign w:val="center"/>
                </w:tcPr>
                <w:p w14:paraId="3D0911E6" w14:textId="77777777" w:rsidR="00DD7590" w:rsidRPr="00903E1C" w:rsidRDefault="00DD7590" w:rsidP="00305BF2">
                  <w:pPr>
                    <w:pStyle w:val="COMTabletext"/>
                    <w:keepNext w:val="0"/>
                    <w:rPr>
                      <w:szCs w:val="20"/>
                      <w:lang w:val="en-AU"/>
                    </w:rPr>
                  </w:pPr>
                  <w:r w:rsidRPr="00903E1C">
                    <w:rPr>
                      <w:szCs w:val="20"/>
                      <w:lang w:val="en-AU"/>
                    </w:rPr>
                    <w:t>Stage 0</w:t>
                  </w:r>
                </w:p>
              </w:tc>
              <w:tc>
                <w:tcPr>
                  <w:tcW w:w="3712" w:type="dxa"/>
                  <w:tcBorders>
                    <w:top w:val="single" w:sz="4" w:space="0" w:color="auto"/>
                    <w:left w:val="single" w:sz="4" w:space="0" w:color="auto"/>
                    <w:bottom w:val="single" w:sz="4" w:space="0" w:color="auto"/>
                    <w:right w:val="single" w:sz="4" w:space="0" w:color="auto"/>
                  </w:tcBorders>
                </w:tcPr>
                <w:p w14:paraId="20007B66" w14:textId="77777777" w:rsidR="00DD7590" w:rsidRPr="00903E1C" w:rsidRDefault="00DD7590" w:rsidP="00305BF2">
                  <w:pPr>
                    <w:pStyle w:val="COMTabletext"/>
                    <w:keepNext w:val="0"/>
                    <w:rPr>
                      <w:szCs w:val="20"/>
                      <w:lang w:val="en-AU"/>
                    </w:rPr>
                  </w:pPr>
                  <w:r w:rsidRPr="00903E1C">
                    <w:rPr>
                      <w:szCs w:val="20"/>
                      <w:lang w:val="en-AU"/>
                    </w:rPr>
                    <w:t>No symptoms</w:t>
                  </w:r>
                </w:p>
              </w:tc>
            </w:tr>
            <w:tr w:rsidR="00DD7590" w:rsidRPr="00903E1C" w14:paraId="1DCC69EF" w14:textId="77777777" w:rsidTr="00305BF2">
              <w:tc>
                <w:tcPr>
                  <w:tcW w:w="818" w:type="dxa"/>
                  <w:tcBorders>
                    <w:top w:val="single" w:sz="4" w:space="0" w:color="auto"/>
                    <w:left w:val="single" w:sz="4" w:space="0" w:color="auto"/>
                    <w:bottom w:val="single" w:sz="4" w:space="0" w:color="auto"/>
                    <w:right w:val="single" w:sz="4" w:space="0" w:color="auto"/>
                  </w:tcBorders>
                </w:tcPr>
                <w:p w14:paraId="5EE2CF8C" w14:textId="77777777" w:rsidR="00DD7590" w:rsidRPr="00903E1C" w:rsidRDefault="00DD7590" w:rsidP="00305BF2">
                  <w:pPr>
                    <w:pStyle w:val="COMTabletext"/>
                    <w:keepNext w:val="0"/>
                    <w:rPr>
                      <w:szCs w:val="20"/>
                      <w:lang w:val="en-AU"/>
                    </w:rPr>
                  </w:pPr>
                  <w:r w:rsidRPr="00903E1C">
                    <w:rPr>
                      <w:szCs w:val="20"/>
                      <w:lang w:val="en-AU"/>
                    </w:rPr>
                    <w:t>Stage 1</w:t>
                  </w:r>
                </w:p>
              </w:tc>
              <w:tc>
                <w:tcPr>
                  <w:tcW w:w="1480" w:type="dxa"/>
                  <w:tcBorders>
                    <w:top w:val="single" w:sz="4" w:space="0" w:color="auto"/>
                    <w:left w:val="single" w:sz="4" w:space="0" w:color="auto"/>
                    <w:bottom w:val="single" w:sz="4" w:space="0" w:color="auto"/>
                    <w:right w:val="single" w:sz="4" w:space="0" w:color="auto"/>
                  </w:tcBorders>
                </w:tcPr>
                <w:p w14:paraId="3E411376" w14:textId="77777777" w:rsidR="00DD7590" w:rsidRPr="00903E1C" w:rsidRDefault="00DD7590" w:rsidP="00305BF2">
                  <w:pPr>
                    <w:pStyle w:val="COMTabletext"/>
                    <w:keepNext w:val="0"/>
                    <w:rPr>
                      <w:szCs w:val="20"/>
                      <w:lang w:val="en-AU"/>
                    </w:rPr>
                  </w:pPr>
                  <w:r w:rsidRPr="00903E1C">
                    <w:rPr>
                      <w:szCs w:val="20"/>
                      <w:lang w:val="en-AU"/>
                    </w:rPr>
                    <w:t>Unimpaired ambulation</w:t>
                  </w:r>
                </w:p>
              </w:tc>
              <w:tc>
                <w:tcPr>
                  <w:tcW w:w="992" w:type="dxa"/>
                  <w:tcBorders>
                    <w:top w:val="single" w:sz="4" w:space="0" w:color="auto"/>
                    <w:left w:val="single" w:sz="4" w:space="0" w:color="auto"/>
                    <w:bottom w:val="single" w:sz="4" w:space="0" w:color="auto"/>
                    <w:right w:val="single" w:sz="4" w:space="0" w:color="auto"/>
                  </w:tcBorders>
                  <w:vAlign w:val="center"/>
                </w:tcPr>
                <w:p w14:paraId="61947B65" w14:textId="77777777" w:rsidR="00DD7590" w:rsidRPr="00903E1C" w:rsidRDefault="00DD7590" w:rsidP="00305BF2">
                  <w:pPr>
                    <w:pStyle w:val="COMTabletext"/>
                    <w:keepNext w:val="0"/>
                    <w:rPr>
                      <w:szCs w:val="20"/>
                      <w:lang w:val="en-AU"/>
                    </w:rPr>
                  </w:pPr>
                  <w:r w:rsidRPr="00903E1C">
                    <w:rPr>
                      <w:szCs w:val="20"/>
                      <w:lang w:val="en-AU"/>
                    </w:rPr>
                    <w:t>Stage I</w:t>
                  </w:r>
                </w:p>
              </w:tc>
              <w:tc>
                <w:tcPr>
                  <w:tcW w:w="3712" w:type="dxa"/>
                  <w:tcBorders>
                    <w:top w:val="single" w:sz="4" w:space="0" w:color="auto"/>
                    <w:left w:val="single" w:sz="4" w:space="0" w:color="auto"/>
                    <w:bottom w:val="single" w:sz="4" w:space="0" w:color="auto"/>
                    <w:right w:val="single" w:sz="4" w:space="0" w:color="auto"/>
                  </w:tcBorders>
                </w:tcPr>
                <w:p w14:paraId="184EB041" w14:textId="77777777" w:rsidR="00DD7590" w:rsidRPr="00903E1C" w:rsidRDefault="00DD7590" w:rsidP="00305BF2">
                  <w:pPr>
                    <w:pStyle w:val="COMTabletext"/>
                    <w:keepNext w:val="0"/>
                    <w:rPr>
                      <w:szCs w:val="20"/>
                      <w:lang w:val="en-AU"/>
                    </w:rPr>
                  </w:pPr>
                  <w:r w:rsidRPr="00903E1C">
                    <w:rPr>
                      <w:szCs w:val="20"/>
                      <w:lang w:val="en-AU"/>
                    </w:rPr>
                    <w:t>Sensory disturbances but preserved walking capability</w:t>
                  </w:r>
                </w:p>
              </w:tc>
            </w:tr>
            <w:tr w:rsidR="00DD7590" w:rsidRPr="00903E1C" w14:paraId="3EA39242" w14:textId="77777777" w:rsidTr="00305BF2">
              <w:tc>
                <w:tcPr>
                  <w:tcW w:w="818" w:type="dxa"/>
                  <w:vMerge w:val="restart"/>
                  <w:tcBorders>
                    <w:top w:val="single" w:sz="4" w:space="0" w:color="auto"/>
                    <w:left w:val="single" w:sz="4" w:space="0" w:color="auto"/>
                    <w:right w:val="single" w:sz="4" w:space="0" w:color="auto"/>
                  </w:tcBorders>
                  <w:vAlign w:val="center"/>
                </w:tcPr>
                <w:p w14:paraId="4608B1C4" w14:textId="77777777" w:rsidR="00DD7590" w:rsidRPr="00903E1C" w:rsidRDefault="00DD7590" w:rsidP="00305BF2">
                  <w:pPr>
                    <w:pStyle w:val="COMTabletext"/>
                    <w:keepNext w:val="0"/>
                    <w:rPr>
                      <w:szCs w:val="20"/>
                      <w:lang w:val="en-AU"/>
                    </w:rPr>
                  </w:pPr>
                  <w:r w:rsidRPr="00903E1C">
                    <w:rPr>
                      <w:szCs w:val="20"/>
                      <w:lang w:val="en-AU"/>
                    </w:rPr>
                    <w:t>Stage 2</w:t>
                  </w:r>
                </w:p>
              </w:tc>
              <w:tc>
                <w:tcPr>
                  <w:tcW w:w="1480" w:type="dxa"/>
                  <w:vMerge w:val="restart"/>
                  <w:tcBorders>
                    <w:top w:val="single" w:sz="4" w:space="0" w:color="auto"/>
                    <w:left w:val="single" w:sz="4" w:space="0" w:color="auto"/>
                    <w:right w:val="single" w:sz="4" w:space="0" w:color="auto"/>
                  </w:tcBorders>
                  <w:vAlign w:val="center"/>
                </w:tcPr>
                <w:p w14:paraId="56989208" w14:textId="77777777" w:rsidR="00DD7590" w:rsidRPr="00903E1C" w:rsidRDefault="00DD7590" w:rsidP="00305BF2">
                  <w:pPr>
                    <w:pStyle w:val="COMTabletext"/>
                    <w:keepNext w:val="0"/>
                    <w:rPr>
                      <w:szCs w:val="20"/>
                      <w:lang w:val="en-AU"/>
                    </w:rPr>
                  </w:pPr>
                  <w:r w:rsidRPr="00903E1C">
                    <w:rPr>
                      <w:szCs w:val="20"/>
                      <w:lang w:val="en-AU"/>
                    </w:rPr>
                    <w:t>Assistance with ambulation required</w:t>
                  </w:r>
                </w:p>
              </w:tc>
              <w:tc>
                <w:tcPr>
                  <w:tcW w:w="992" w:type="dxa"/>
                  <w:tcBorders>
                    <w:top w:val="single" w:sz="4" w:space="0" w:color="auto"/>
                    <w:left w:val="single" w:sz="4" w:space="0" w:color="auto"/>
                    <w:bottom w:val="single" w:sz="4" w:space="0" w:color="auto"/>
                    <w:right w:val="single" w:sz="4" w:space="0" w:color="auto"/>
                  </w:tcBorders>
                  <w:vAlign w:val="center"/>
                </w:tcPr>
                <w:p w14:paraId="362710FA" w14:textId="77777777" w:rsidR="00DD7590" w:rsidRPr="00903E1C" w:rsidRDefault="00DD7590" w:rsidP="00305BF2">
                  <w:pPr>
                    <w:pStyle w:val="COMTabletext"/>
                    <w:keepNext w:val="0"/>
                    <w:rPr>
                      <w:szCs w:val="20"/>
                      <w:lang w:val="en-AU"/>
                    </w:rPr>
                  </w:pPr>
                  <w:r w:rsidRPr="00903E1C">
                    <w:rPr>
                      <w:szCs w:val="20"/>
                      <w:lang w:val="en-AU"/>
                    </w:rPr>
                    <w:t>Stage II</w:t>
                  </w:r>
                </w:p>
              </w:tc>
              <w:tc>
                <w:tcPr>
                  <w:tcW w:w="3712" w:type="dxa"/>
                  <w:tcBorders>
                    <w:top w:val="single" w:sz="4" w:space="0" w:color="auto"/>
                    <w:left w:val="single" w:sz="4" w:space="0" w:color="auto"/>
                    <w:bottom w:val="single" w:sz="4" w:space="0" w:color="auto"/>
                    <w:right w:val="single" w:sz="4" w:space="0" w:color="auto"/>
                  </w:tcBorders>
                </w:tcPr>
                <w:p w14:paraId="13C31905" w14:textId="77777777" w:rsidR="00DD7590" w:rsidRPr="00903E1C" w:rsidRDefault="00DD7590" w:rsidP="00305BF2">
                  <w:pPr>
                    <w:pStyle w:val="COMTabletext"/>
                    <w:keepNext w:val="0"/>
                    <w:rPr>
                      <w:szCs w:val="20"/>
                      <w:lang w:val="en-AU"/>
                    </w:rPr>
                  </w:pPr>
                  <w:r w:rsidRPr="00903E1C">
                    <w:rPr>
                      <w:szCs w:val="20"/>
                      <w:lang w:val="en-AU"/>
                    </w:rPr>
                    <w:t>Impaired walking capacity but able to walk without stick or crutches</w:t>
                  </w:r>
                </w:p>
              </w:tc>
            </w:tr>
            <w:tr w:rsidR="00DD7590" w:rsidRPr="00903E1C" w14:paraId="3DF2F8FF" w14:textId="77777777" w:rsidTr="00305BF2">
              <w:tc>
                <w:tcPr>
                  <w:tcW w:w="818" w:type="dxa"/>
                  <w:vMerge/>
                  <w:tcBorders>
                    <w:left w:val="single" w:sz="4" w:space="0" w:color="auto"/>
                    <w:right w:val="single" w:sz="4" w:space="0" w:color="auto"/>
                  </w:tcBorders>
                </w:tcPr>
                <w:p w14:paraId="242EC5B8" w14:textId="77777777" w:rsidR="00DD7590" w:rsidRPr="00903E1C" w:rsidRDefault="00DD7590" w:rsidP="00305BF2">
                  <w:pPr>
                    <w:pStyle w:val="COMTabletext"/>
                    <w:keepNext w:val="0"/>
                    <w:rPr>
                      <w:szCs w:val="20"/>
                      <w:lang w:val="en-AU"/>
                    </w:rPr>
                  </w:pPr>
                </w:p>
              </w:tc>
              <w:tc>
                <w:tcPr>
                  <w:tcW w:w="1480" w:type="dxa"/>
                  <w:vMerge/>
                  <w:tcBorders>
                    <w:left w:val="single" w:sz="4" w:space="0" w:color="auto"/>
                    <w:right w:val="single" w:sz="4" w:space="0" w:color="auto"/>
                  </w:tcBorders>
                </w:tcPr>
                <w:p w14:paraId="3163F238" w14:textId="77777777" w:rsidR="00DD7590" w:rsidRPr="00903E1C" w:rsidRDefault="00DD7590" w:rsidP="00305BF2">
                  <w:pPr>
                    <w:pStyle w:val="COMTabletext"/>
                    <w:keepNext w:val="0"/>
                    <w:rPr>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62502808" w14:textId="77777777" w:rsidR="00DD7590" w:rsidRPr="00903E1C" w:rsidRDefault="00DD7590" w:rsidP="00305BF2">
                  <w:pPr>
                    <w:pStyle w:val="COMTabletext"/>
                    <w:keepNext w:val="0"/>
                    <w:rPr>
                      <w:szCs w:val="20"/>
                      <w:lang w:val="en-AU"/>
                    </w:rPr>
                  </w:pPr>
                  <w:r w:rsidRPr="00903E1C">
                    <w:rPr>
                      <w:szCs w:val="20"/>
                      <w:lang w:val="en-AU"/>
                    </w:rPr>
                    <w:t>Stage IIIA</w:t>
                  </w:r>
                </w:p>
              </w:tc>
              <w:tc>
                <w:tcPr>
                  <w:tcW w:w="3712" w:type="dxa"/>
                  <w:tcBorders>
                    <w:top w:val="single" w:sz="4" w:space="0" w:color="auto"/>
                    <w:left w:val="single" w:sz="4" w:space="0" w:color="auto"/>
                    <w:bottom w:val="single" w:sz="4" w:space="0" w:color="auto"/>
                    <w:right w:val="single" w:sz="4" w:space="0" w:color="auto"/>
                  </w:tcBorders>
                </w:tcPr>
                <w:p w14:paraId="381CA501" w14:textId="77777777" w:rsidR="00DD7590" w:rsidRPr="00903E1C" w:rsidRDefault="00DD7590" w:rsidP="00305BF2">
                  <w:pPr>
                    <w:pStyle w:val="COMTabletext"/>
                    <w:keepNext w:val="0"/>
                    <w:rPr>
                      <w:szCs w:val="20"/>
                      <w:lang w:val="en-AU"/>
                    </w:rPr>
                  </w:pPr>
                  <w:r w:rsidRPr="00903E1C">
                    <w:rPr>
                      <w:szCs w:val="20"/>
                      <w:lang w:val="en-AU"/>
                    </w:rPr>
                    <w:t>Walking with help of one stick or crutch</w:t>
                  </w:r>
                </w:p>
              </w:tc>
            </w:tr>
            <w:tr w:rsidR="00DD7590" w:rsidRPr="00903E1C" w14:paraId="2F4AA07E" w14:textId="77777777" w:rsidTr="00305BF2">
              <w:tc>
                <w:tcPr>
                  <w:tcW w:w="818" w:type="dxa"/>
                  <w:vMerge/>
                  <w:tcBorders>
                    <w:left w:val="single" w:sz="4" w:space="0" w:color="auto"/>
                    <w:bottom w:val="single" w:sz="4" w:space="0" w:color="auto"/>
                    <w:right w:val="single" w:sz="4" w:space="0" w:color="auto"/>
                  </w:tcBorders>
                </w:tcPr>
                <w:p w14:paraId="2D471C1D" w14:textId="77777777" w:rsidR="00DD7590" w:rsidRPr="00903E1C" w:rsidRDefault="00DD7590" w:rsidP="00305BF2">
                  <w:pPr>
                    <w:pStyle w:val="COMTabletext"/>
                    <w:keepNext w:val="0"/>
                    <w:rPr>
                      <w:szCs w:val="20"/>
                      <w:lang w:val="en-AU"/>
                    </w:rPr>
                  </w:pPr>
                </w:p>
              </w:tc>
              <w:tc>
                <w:tcPr>
                  <w:tcW w:w="1480" w:type="dxa"/>
                  <w:vMerge/>
                  <w:tcBorders>
                    <w:left w:val="single" w:sz="4" w:space="0" w:color="auto"/>
                    <w:bottom w:val="single" w:sz="4" w:space="0" w:color="auto"/>
                    <w:right w:val="single" w:sz="4" w:space="0" w:color="auto"/>
                  </w:tcBorders>
                </w:tcPr>
                <w:p w14:paraId="1C0E5755" w14:textId="77777777" w:rsidR="00DD7590" w:rsidRPr="00903E1C" w:rsidRDefault="00DD7590" w:rsidP="00305BF2">
                  <w:pPr>
                    <w:pStyle w:val="COMTabletext"/>
                    <w:keepNext w:val="0"/>
                    <w:rPr>
                      <w:szCs w:val="20"/>
                      <w:lang w:val="en-AU"/>
                    </w:rPr>
                  </w:pPr>
                </w:p>
              </w:tc>
              <w:tc>
                <w:tcPr>
                  <w:tcW w:w="992" w:type="dxa"/>
                  <w:tcBorders>
                    <w:top w:val="single" w:sz="4" w:space="0" w:color="auto"/>
                    <w:left w:val="single" w:sz="4" w:space="0" w:color="auto"/>
                    <w:bottom w:val="single" w:sz="4" w:space="0" w:color="auto"/>
                    <w:right w:val="single" w:sz="4" w:space="0" w:color="auto"/>
                  </w:tcBorders>
                  <w:vAlign w:val="center"/>
                </w:tcPr>
                <w:p w14:paraId="6D3926B3" w14:textId="77777777" w:rsidR="00DD7590" w:rsidRPr="00903E1C" w:rsidRDefault="00DD7590" w:rsidP="00305BF2">
                  <w:pPr>
                    <w:pStyle w:val="COMTabletext"/>
                    <w:keepNext w:val="0"/>
                    <w:rPr>
                      <w:szCs w:val="20"/>
                      <w:lang w:val="en-AU"/>
                    </w:rPr>
                  </w:pPr>
                  <w:r w:rsidRPr="00903E1C">
                    <w:rPr>
                      <w:szCs w:val="20"/>
                      <w:lang w:val="en-AU"/>
                    </w:rPr>
                    <w:t>Stage IIIB</w:t>
                  </w:r>
                </w:p>
              </w:tc>
              <w:tc>
                <w:tcPr>
                  <w:tcW w:w="3712" w:type="dxa"/>
                  <w:tcBorders>
                    <w:top w:val="single" w:sz="4" w:space="0" w:color="auto"/>
                    <w:left w:val="single" w:sz="4" w:space="0" w:color="auto"/>
                    <w:bottom w:val="single" w:sz="4" w:space="0" w:color="auto"/>
                    <w:right w:val="single" w:sz="4" w:space="0" w:color="auto"/>
                  </w:tcBorders>
                </w:tcPr>
                <w:p w14:paraId="448EA487" w14:textId="77777777" w:rsidR="00DD7590" w:rsidRPr="00903E1C" w:rsidRDefault="00DD7590" w:rsidP="00305BF2">
                  <w:pPr>
                    <w:pStyle w:val="COMTabletext"/>
                    <w:keepNext w:val="0"/>
                    <w:rPr>
                      <w:szCs w:val="20"/>
                      <w:lang w:val="en-AU"/>
                    </w:rPr>
                  </w:pPr>
                  <w:r w:rsidRPr="00903E1C">
                    <w:rPr>
                      <w:szCs w:val="20"/>
                      <w:lang w:val="en-AU"/>
                    </w:rPr>
                    <w:t>Walking with help of two sticks or crutches</w:t>
                  </w:r>
                </w:p>
              </w:tc>
            </w:tr>
            <w:tr w:rsidR="00DD7590" w:rsidRPr="00903E1C" w14:paraId="785F00C8" w14:textId="77777777" w:rsidTr="00305BF2">
              <w:trPr>
                <w:trHeight w:val="70"/>
              </w:trPr>
              <w:tc>
                <w:tcPr>
                  <w:tcW w:w="818" w:type="dxa"/>
                  <w:tcBorders>
                    <w:top w:val="single" w:sz="4" w:space="0" w:color="auto"/>
                    <w:left w:val="single" w:sz="4" w:space="0" w:color="auto"/>
                    <w:bottom w:val="single" w:sz="4" w:space="0" w:color="auto"/>
                    <w:right w:val="single" w:sz="4" w:space="0" w:color="auto"/>
                  </w:tcBorders>
                </w:tcPr>
                <w:p w14:paraId="5CFBC642" w14:textId="77777777" w:rsidR="00DD7590" w:rsidRPr="00903E1C" w:rsidRDefault="00DD7590" w:rsidP="00305BF2">
                  <w:pPr>
                    <w:pStyle w:val="COMTabletext"/>
                    <w:keepNext w:val="0"/>
                    <w:rPr>
                      <w:szCs w:val="20"/>
                      <w:lang w:val="en-AU"/>
                    </w:rPr>
                  </w:pPr>
                  <w:r w:rsidRPr="00903E1C">
                    <w:rPr>
                      <w:szCs w:val="20"/>
                      <w:lang w:val="en-AU"/>
                    </w:rPr>
                    <w:t>Stage 3</w:t>
                  </w:r>
                </w:p>
              </w:tc>
              <w:tc>
                <w:tcPr>
                  <w:tcW w:w="1480" w:type="dxa"/>
                  <w:tcBorders>
                    <w:top w:val="single" w:sz="4" w:space="0" w:color="auto"/>
                    <w:left w:val="single" w:sz="4" w:space="0" w:color="auto"/>
                    <w:bottom w:val="single" w:sz="4" w:space="0" w:color="auto"/>
                    <w:right w:val="single" w:sz="4" w:space="0" w:color="auto"/>
                  </w:tcBorders>
                </w:tcPr>
                <w:p w14:paraId="41F1AC91" w14:textId="77777777" w:rsidR="00DD7590" w:rsidRPr="00903E1C" w:rsidRDefault="00DD7590" w:rsidP="00305BF2">
                  <w:pPr>
                    <w:pStyle w:val="COMTabletext"/>
                    <w:keepNext w:val="0"/>
                    <w:rPr>
                      <w:szCs w:val="20"/>
                      <w:lang w:val="en-AU"/>
                    </w:rPr>
                  </w:pPr>
                  <w:r w:rsidRPr="00903E1C">
                    <w:rPr>
                      <w:szCs w:val="20"/>
                      <w:lang w:val="en-AU"/>
                    </w:rPr>
                    <w:t>Wheelchair-bound or bedridden</w:t>
                  </w:r>
                </w:p>
              </w:tc>
              <w:tc>
                <w:tcPr>
                  <w:tcW w:w="992" w:type="dxa"/>
                  <w:tcBorders>
                    <w:top w:val="single" w:sz="4" w:space="0" w:color="auto"/>
                    <w:left w:val="single" w:sz="4" w:space="0" w:color="auto"/>
                    <w:bottom w:val="single" w:sz="4" w:space="0" w:color="auto"/>
                    <w:right w:val="single" w:sz="4" w:space="0" w:color="auto"/>
                  </w:tcBorders>
                  <w:vAlign w:val="center"/>
                </w:tcPr>
                <w:p w14:paraId="6F76014D" w14:textId="77777777" w:rsidR="00DD7590" w:rsidRPr="00903E1C" w:rsidRDefault="00DD7590" w:rsidP="00305BF2">
                  <w:pPr>
                    <w:pStyle w:val="COMTabletext"/>
                    <w:keepNext w:val="0"/>
                    <w:rPr>
                      <w:szCs w:val="20"/>
                      <w:lang w:val="en-AU"/>
                    </w:rPr>
                  </w:pPr>
                  <w:r w:rsidRPr="00903E1C">
                    <w:rPr>
                      <w:szCs w:val="20"/>
                      <w:lang w:val="en-AU"/>
                    </w:rPr>
                    <w:t>Stage IV</w:t>
                  </w:r>
                </w:p>
              </w:tc>
              <w:tc>
                <w:tcPr>
                  <w:tcW w:w="3712" w:type="dxa"/>
                  <w:tcBorders>
                    <w:top w:val="single" w:sz="4" w:space="0" w:color="auto"/>
                    <w:left w:val="single" w:sz="4" w:space="0" w:color="auto"/>
                    <w:bottom w:val="single" w:sz="4" w:space="0" w:color="auto"/>
                    <w:right w:val="single" w:sz="4" w:space="0" w:color="auto"/>
                  </w:tcBorders>
                </w:tcPr>
                <w:p w14:paraId="1D1CE3E1" w14:textId="77777777" w:rsidR="00DD7590" w:rsidRPr="00903E1C" w:rsidRDefault="00DD7590" w:rsidP="00305BF2">
                  <w:pPr>
                    <w:pStyle w:val="COMTabletext"/>
                    <w:keepNext w:val="0"/>
                    <w:rPr>
                      <w:szCs w:val="20"/>
                      <w:lang w:val="en-AU"/>
                    </w:rPr>
                  </w:pPr>
                  <w:r w:rsidRPr="00903E1C">
                    <w:rPr>
                      <w:szCs w:val="20"/>
                      <w:lang w:val="en-AU"/>
                    </w:rPr>
                    <w:t>Confined to wheelchair or bedridden</w:t>
                  </w:r>
                </w:p>
              </w:tc>
            </w:tr>
          </w:tbl>
          <w:p w14:paraId="6FADF4E3" w14:textId="77777777" w:rsidR="00DD7590" w:rsidRPr="00903E1C" w:rsidRDefault="00DD7590" w:rsidP="00305BF2">
            <w:pPr>
              <w:pStyle w:val="COMTableheadingrow"/>
              <w:keepNext w:val="0"/>
              <w:rPr>
                <w:szCs w:val="20"/>
                <w:lang w:val="en-AU"/>
              </w:rPr>
            </w:pPr>
          </w:p>
          <w:p w14:paraId="7F988898" w14:textId="77777777" w:rsidR="00DD7590" w:rsidRPr="00903E1C" w:rsidRDefault="00DD7590" w:rsidP="00305BF2">
            <w:pPr>
              <w:keepNext/>
              <w:keepLines/>
              <w:rPr>
                <w:rFonts w:ascii="Arial Narrow" w:eastAsiaTheme="majorEastAsia" w:hAnsi="Arial Narrow"/>
                <w:b/>
                <w:sz w:val="20"/>
                <w:szCs w:val="20"/>
                <w:vertAlign w:val="superscript"/>
                <w:lang w:val="en-AU"/>
              </w:rPr>
            </w:pPr>
            <w:r w:rsidRPr="00903E1C">
              <w:rPr>
                <w:rFonts w:ascii="Arial Narrow" w:eastAsiaTheme="majorEastAsia" w:hAnsi="Arial Narrow"/>
                <w:b/>
                <w:sz w:val="20"/>
                <w:szCs w:val="20"/>
                <w:lang w:val="en-AU"/>
              </w:rPr>
              <w:t>Clinical staging of heart failure</w:t>
            </w:r>
            <w:r w:rsidRPr="00903E1C">
              <w:rPr>
                <w:rStyle w:val="FootnoteReference"/>
                <w:rFonts w:ascii="Arial Narrow" w:eastAsiaTheme="majorEastAsia" w:hAnsi="Arial Narrow"/>
                <w:b/>
                <w:sz w:val="20"/>
                <w:szCs w:val="20"/>
                <w:lang w:val="en-AU"/>
              </w:rPr>
              <w:footnoteReference w:id="15"/>
            </w:r>
          </w:p>
          <w:tbl>
            <w:tblPr>
              <w:tblStyle w:val="Submissionstandard"/>
              <w:tblW w:w="0" w:type="auto"/>
              <w:tblLook w:val="04A0" w:firstRow="1" w:lastRow="0" w:firstColumn="1" w:lastColumn="0" w:noHBand="0" w:noVBand="1"/>
            </w:tblPr>
            <w:tblGrid>
              <w:gridCol w:w="818"/>
              <w:gridCol w:w="6293"/>
            </w:tblGrid>
            <w:tr w:rsidR="00DD7590" w:rsidRPr="00903E1C" w14:paraId="0A1610E2" w14:textId="77777777" w:rsidTr="00305BF2">
              <w:trPr>
                <w:cnfStyle w:val="100000000000" w:firstRow="1" w:lastRow="0" w:firstColumn="0" w:lastColumn="0" w:oddVBand="0" w:evenVBand="0" w:oddHBand="0" w:evenHBand="0" w:firstRowFirstColumn="0" w:firstRowLastColumn="0" w:lastRowFirstColumn="0" w:lastRowLastColumn="0"/>
                <w:cantSplit/>
                <w:trHeight w:val="159"/>
              </w:trPr>
              <w:tc>
                <w:tcPr>
                  <w:tcW w:w="7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BD3139" w14:textId="77777777" w:rsidR="00DD7590" w:rsidRPr="00903E1C" w:rsidRDefault="00DD7590" w:rsidP="00305BF2">
                  <w:pPr>
                    <w:keepNext/>
                    <w:keepLines/>
                    <w:rPr>
                      <w:rFonts w:ascii="Arial Narrow" w:hAnsi="Arial Narrow" w:cs="Times New Roman"/>
                      <w:bCs/>
                      <w:sz w:val="20"/>
                      <w:szCs w:val="20"/>
                      <w:lang w:val="en-AU"/>
                    </w:rPr>
                  </w:pPr>
                  <w:r w:rsidRPr="00903E1C">
                    <w:rPr>
                      <w:rFonts w:ascii="Arial Narrow" w:hAnsi="Arial Narrow" w:cs="Times New Roman"/>
                      <w:bCs/>
                      <w:sz w:val="20"/>
                      <w:szCs w:val="20"/>
                      <w:lang w:val="en-AU"/>
                    </w:rPr>
                    <w:t>New York Heart Association (NYHA) functional classification</w:t>
                  </w:r>
                </w:p>
              </w:tc>
            </w:tr>
            <w:tr w:rsidR="00DD7590" w:rsidRPr="00903E1C" w14:paraId="27BCFAEE" w14:textId="77777777" w:rsidTr="00305BF2">
              <w:trPr>
                <w:cantSplit/>
              </w:trPr>
              <w:tc>
                <w:tcPr>
                  <w:tcW w:w="818" w:type="dxa"/>
                  <w:tcBorders>
                    <w:top w:val="single" w:sz="4" w:space="0" w:color="auto"/>
                    <w:left w:val="single" w:sz="4" w:space="0" w:color="auto"/>
                    <w:bottom w:val="single" w:sz="4" w:space="0" w:color="auto"/>
                    <w:right w:val="single" w:sz="4" w:space="0" w:color="auto"/>
                  </w:tcBorders>
                </w:tcPr>
                <w:p w14:paraId="0B9251EC"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bCs/>
                      <w:sz w:val="20"/>
                      <w:szCs w:val="20"/>
                      <w:lang w:val="en-AU"/>
                    </w:rPr>
                    <w:t>Class I</w:t>
                  </w:r>
                </w:p>
              </w:tc>
              <w:tc>
                <w:tcPr>
                  <w:tcW w:w="6293" w:type="dxa"/>
                  <w:tcBorders>
                    <w:top w:val="single" w:sz="4" w:space="0" w:color="auto"/>
                    <w:left w:val="single" w:sz="4" w:space="0" w:color="auto"/>
                    <w:bottom w:val="single" w:sz="4" w:space="0" w:color="auto"/>
                    <w:right w:val="single" w:sz="4" w:space="0" w:color="auto"/>
                  </w:tcBorders>
                </w:tcPr>
                <w:p w14:paraId="075D7778"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sz w:val="20"/>
                      <w:szCs w:val="20"/>
                      <w:lang w:val="en-AU"/>
                    </w:rPr>
                    <w:t xml:space="preserve">No limitation of physical activity. Ordinary physical activity does not cause undue fatigue, </w:t>
                  </w:r>
                  <w:proofErr w:type="gramStart"/>
                  <w:r w:rsidRPr="00903E1C">
                    <w:rPr>
                      <w:rFonts w:ascii="Arial Narrow" w:hAnsi="Arial Narrow"/>
                      <w:sz w:val="20"/>
                      <w:szCs w:val="20"/>
                      <w:lang w:val="en-AU"/>
                    </w:rPr>
                    <w:t>palpitation</w:t>
                  </w:r>
                  <w:proofErr w:type="gramEnd"/>
                  <w:r w:rsidRPr="00903E1C">
                    <w:rPr>
                      <w:rFonts w:ascii="Arial Narrow" w:hAnsi="Arial Narrow"/>
                      <w:sz w:val="20"/>
                      <w:szCs w:val="20"/>
                      <w:lang w:val="en-AU"/>
                    </w:rPr>
                    <w:t xml:space="preserve"> or shortness of breath.</w:t>
                  </w:r>
                </w:p>
              </w:tc>
            </w:tr>
            <w:tr w:rsidR="00DD7590" w:rsidRPr="00903E1C" w14:paraId="5EA45B93" w14:textId="77777777" w:rsidTr="00305BF2">
              <w:trPr>
                <w:cantSplit/>
              </w:trPr>
              <w:tc>
                <w:tcPr>
                  <w:tcW w:w="818" w:type="dxa"/>
                  <w:tcBorders>
                    <w:top w:val="single" w:sz="4" w:space="0" w:color="auto"/>
                    <w:left w:val="single" w:sz="4" w:space="0" w:color="auto"/>
                    <w:bottom w:val="single" w:sz="4" w:space="0" w:color="auto"/>
                    <w:right w:val="single" w:sz="4" w:space="0" w:color="auto"/>
                  </w:tcBorders>
                </w:tcPr>
                <w:p w14:paraId="17F3491E"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bCs/>
                      <w:sz w:val="20"/>
                      <w:szCs w:val="20"/>
                      <w:lang w:val="en-AU"/>
                    </w:rPr>
                    <w:t>Class II</w:t>
                  </w:r>
                </w:p>
              </w:tc>
              <w:tc>
                <w:tcPr>
                  <w:tcW w:w="6293" w:type="dxa"/>
                  <w:tcBorders>
                    <w:top w:val="single" w:sz="4" w:space="0" w:color="auto"/>
                    <w:left w:val="single" w:sz="4" w:space="0" w:color="auto"/>
                    <w:bottom w:val="single" w:sz="4" w:space="0" w:color="auto"/>
                    <w:right w:val="single" w:sz="4" w:space="0" w:color="auto"/>
                  </w:tcBorders>
                </w:tcPr>
                <w:p w14:paraId="6B48B067"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sz w:val="20"/>
                      <w:szCs w:val="20"/>
                      <w:lang w:val="en-AU"/>
                    </w:rPr>
                    <w:t>Slight limitation of physical activity. Comfortable at rest. Ordinary physical activity results in fatigue, palpitation, shortness of breath or chest pain.</w:t>
                  </w:r>
                </w:p>
              </w:tc>
            </w:tr>
            <w:tr w:rsidR="00DD7590" w:rsidRPr="00903E1C" w14:paraId="4FBE3AC8" w14:textId="77777777" w:rsidTr="00305BF2">
              <w:trPr>
                <w:cantSplit/>
                <w:trHeight w:val="293"/>
              </w:trPr>
              <w:tc>
                <w:tcPr>
                  <w:tcW w:w="818" w:type="dxa"/>
                  <w:vMerge w:val="restart"/>
                  <w:tcBorders>
                    <w:top w:val="single" w:sz="4" w:space="0" w:color="auto"/>
                    <w:left w:val="single" w:sz="4" w:space="0" w:color="auto"/>
                    <w:right w:val="single" w:sz="4" w:space="0" w:color="auto"/>
                  </w:tcBorders>
                  <w:vAlign w:val="center"/>
                </w:tcPr>
                <w:p w14:paraId="6259EF7E"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bCs/>
                      <w:sz w:val="20"/>
                      <w:szCs w:val="20"/>
                      <w:lang w:val="en-AU"/>
                    </w:rPr>
                    <w:t>Class III</w:t>
                  </w:r>
                </w:p>
              </w:tc>
              <w:tc>
                <w:tcPr>
                  <w:tcW w:w="6293" w:type="dxa"/>
                  <w:vMerge w:val="restart"/>
                  <w:tcBorders>
                    <w:top w:val="single" w:sz="4" w:space="0" w:color="auto"/>
                    <w:left w:val="single" w:sz="4" w:space="0" w:color="auto"/>
                    <w:right w:val="single" w:sz="4" w:space="0" w:color="auto"/>
                  </w:tcBorders>
                </w:tcPr>
                <w:p w14:paraId="2F458D7D"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sz w:val="20"/>
                      <w:szCs w:val="20"/>
                      <w:lang w:val="en-AU"/>
                    </w:rPr>
                    <w:t>Marked limitation of physical activity. Comfortable at rest. Less than ordinary activity causes fatigue, palpitation, shortness of breath or chest pain.</w:t>
                  </w:r>
                </w:p>
                <w:p w14:paraId="1A51D0A6" w14:textId="77777777" w:rsidR="00DD7590" w:rsidRPr="00903E1C" w:rsidRDefault="00DD7590" w:rsidP="00305BF2">
                  <w:pPr>
                    <w:keepNext/>
                    <w:keepLines/>
                    <w:rPr>
                      <w:rFonts w:ascii="Arial Narrow" w:hAnsi="Arial Narrow"/>
                      <w:bCs/>
                      <w:strike/>
                      <w:sz w:val="20"/>
                      <w:szCs w:val="20"/>
                      <w:lang w:val="en-AU"/>
                    </w:rPr>
                  </w:pPr>
                  <w:r w:rsidRPr="00903E1C">
                    <w:rPr>
                      <w:rFonts w:ascii="Arial Narrow" w:hAnsi="Arial Narrow"/>
                      <w:strike/>
                      <w:sz w:val="20"/>
                      <w:szCs w:val="20"/>
                      <w:lang w:val="en-AU"/>
                    </w:rPr>
                    <w:t xml:space="preserve">No limitation of physical activity. Ordinary physical activity does not cause undue fatigue, </w:t>
                  </w:r>
                  <w:proofErr w:type="gramStart"/>
                  <w:r w:rsidRPr="00903E1C">
                    <w:rPr>
                      <w:rFonts w:ascii="Arial Narrow" w:hAnsi="Arial Narrow"/>
                      <w:strike/>
                      <w:sz w:val="20"/>
                      <w:szCs w:val="20"/>
                      <w:lang w:val="en-AU"/>
                    </w:rPr>
                    <w:t>palpitation</w:t>
                  </w:r>
                  <w:proofErr w:type="gramEnd"/>
                  <w:r w:rsidRPr="00903E1C">
                    <w:rPr>
                      <w:rFonts w:ascii="Arial Narrow" w:hAnsi="Arial Narrow"/>
                      <w:strike/>
                      <w:sz w:val="20"/>
                      <w:szCs w:val="20"/>
                      <w:lang w:val="en-AU"/>
                    </w:rPr>
                    <w:t xml:space="preserve"> or shortness of breath.</w:t>
                  </w:r>
                </w:p>
              </w:tc>
            </w:tr>
            <w:tr w:rsidR="00DD7590" w:rsidRPr="00903E1C" w14:paraId="43345CC1" w14:textId="77777777" w:rsidTr="00305BF2">
              <w:trPr>
                <w:cantSplit/>
                <w:trHeight w:val="293"/>
              </w:trPr>
              <w:tc>
                <w:tcPr>
                  <w:tcW w:w="818" w:type="dxa"/>
                  <w:vMerge/>
                  <w:tcBorders>
                    <w:left w:val="single" w:sz="4" w:space="0" w:color="auto"/>
                    <w:right w:val="single" w:sz="4" w:space="0" w:color="auto"/>
                  </w:tcBorders>
                </w:tcPr>
                <w:p w14:paraId="4FE1F9A0" w14:textId="77777777" w:rsidR="00DD7590" w:rsidRPr="00903E1C" w:rsidRDefault="00DD7590" w:rsidP="00305BF2">
                  <w:pPr>
                    <w:keepNext/>
                    <w:keepLines/>
                    <w:rPr>
                      <w:rFonts w:ascii="Arial Narrow" w:hAnsi="Arial Narrow"/>
                      <w:bCs/>
                      <w:sz w:val="20"/>
                      <w:szCs w:val="20"/>
                      <w:lang w:val="en-AU"/>
                    </w:rPr>
                  </w:pPr>
                </w:p>
              </w:tc>
              <w:tc>
                <w:tcPr>
                  <w:tcW w:w="6293" w:type="dxa"/>
                  <w:vMerge/>
                  <w:tcBorders>
                    <w:left w:val="single" w:sz="4" w:space="0" w:color="auto"/>
                    <w:right w:val="single" w:sz="4" w:space="0" w:color="auto"/>
                  </w:tcBorders>
                </w:tcPr>
                <w:p w14:paraId="2B324957" w14:textId="77777777" w:rsidR="00DD7590" w:rsidRPr="00903E1C" w:rsidRDefault="00DD7590" w:rsidP="00305BF2">
                  <w:pPr>
                    <w:keepNext/>
                    <w:keepLines/>
                    <w:rPr>
                      <w:rFonts w:ascii="Arial Narrow" w:hAnsi="Arial Narrow"/>
                      <w:bCs/>
                      <w:sz w:val="20"/>
                      <w:szCs w:val="20"/>
                      <w:lang w:val="en-AU"/>
                    </w:rPr>
                  </w:pPr>
                </w:p>
              </w:tc>
            </w:tr>
            <w:tr w:rsidR="00DD7590" w:rsidRPr="00903E1C" w14:paraId="03417633" w14:textId="77777777" w:rsidTr="00305BF2">
              <w:trPr>
                <w:cantSplit/>
                <w:trHeight w:val="293"/>
              </w:trPr>
              <w:tc>
                <w:tcPr>
                  <w:tcW w:w="818" w:type="dxa"/>
                  <w:vMerge/>
                  <w:tcBorders>
                    <w:left w:val="single" w:sz="4" w:space="0" w:color="auto"/>
                    <w:bottom w:val="single" w:sz="4" w:space="0" w:color="auto"/>
                    <w:right w:val="single" w:sz="4" w:space="0" w:color="auto"/>
                  </w:tcBorders>
                </w:tcPr>
                <w:p w14:paraId="4AD74343" w14:textId="77777777" w:rsidR="00DD7590" w:rsidRPr="00903E1C" w:rsidRDefault="00DD7590" w:rsidP="00305BF2">
                  <w:pPr>
                    <w:keepNext/>
                    <w:keepLines/>
                    <w:rPr>
                      <w:rFonts w:ascii="Arial Narrow" w:hAnsi="Arial Narrow"/>
                      <w:bCs/>
                      <w:sz w:val="20"/>
                      <w:szCs w:val="20"/>
                      <w:lang w:val="en-AU"/>
                    </w:rPr>
                  </w:pPr>
                </w:p>
              </w:tc>
              <w:tc>
                <w:tcPr>
                  <w:tcW w:w="6293" w:type="dxa"/>
                  <w:vMerge/>
                  <w:tcBorders>
                    <w:left w:val="single" w:sz="4" w:space="0" w:color="auto"/>
                    <w:bottom w:val="single" w:sz="4" w:space="0" w:color="auto"/>
                    <w:right w:val="single" w:sz="4" w:space="0" w:color="auto"/>
                  </w:tcBorders>
                </w:tcPr>
                <w:p w14:paraId="3F3C3170" w14:textId="77777777" w:rsidR="00DD7590" w:rsidRPr="00903E1C" w:rsidRDefault="00DD7590" w:rsidP="00305BF2">
                  <w:pPr>
                    <w:keepNext/>
                    <w:keepLines/>
                    <w:rPr>
                      <w:rFonts w:ascii="Arial Narrow" w:hAnsi="Arial Narrow"/>
                      <w:bCs/>
                      <w:sz w:val="20"/>
                      <w:szCs w:val="20"/>
                      <w:lang w:val="en-AU"/>
                    </w:rPr>
                  </w:pPr>
                </w:p>
              </w:tc>
            </w:tr>
            <w:tr w:rsidR="00DD7590" w:rsidRPr="00903E1C" w14:paraId="4A5CCB94" w14:textId="77777777" w:rsidTr="00305BF2">
              <w:trPr>
                <w:cantSplit/>
                <w:trHeight w:val="70"/>
              </w:trPr>
              <w:tc>
                <w:tcPr>
                  <w:tcW w:w="818" w:type="dxa"/>
                  <w:tcBorders>
                    <w:top w:val="single" w:sz="4" w:space="0" w:color="auto"/>
                    <w:left w:val="single" w:sz="4" w:space="0" w:color="auto"/>
                    <w:bottom w:val="single" w:sz="4" w:space="0" w:color="auto"/>
                    <w:right w:val="single" w:sz="4" w:space="0" w:color="auto"/>
                  </w:tcBorders>
                </w:tcPr>
                <w:p w14:paraId="01603435" w14:textId="77777777" w:rsidR="00DD7590" w:rsidRPr="00903E1C" w:rsidRDefault="00DD7590" w:rsidP="00305BF2">
                  <w:pPr>
                    <w:keepNext/>
                    <w:keepLines/>
                    <w:rPr>
                      <w:rFonts w:ascii="Arial Narrow" w:hAnsi="Arial Narrow"/>
                      <w:bCs/>
                      <w:sz w:val="20"/>
                      <w:szCs w:val="20"/>
                      <w:lang w:val="en-AU"/>
                    </w:rPr>
                  </w:pPr>
                  <w:r w:rsidRPr="00903E1C">
                    <w:rPr>
                      <w:rFonts w:ascii="Arial Narrow" w:hAnsi="Arial Narrow"/>
                      <w:bCs/>
                      <w:sz w:val="20"/>
                      <w:szCs w:val="20"/>
                      <w:lang w:val="en-AU"/>
                    </w:rPr>
                    <w:t>Class IV</w:t>
                  </w:r>
                </w:p>
              </w:tc>
              <w:tc>
                <w:tcPr>
                  <w:tcW w:w="6293" w:type="dxa"/>
                  <w:tcBorders>
                    <w:top w:val="single" w:sz="4" w:space="0" w:color="auto"/>
                    <w:left w:val="single" w:sz="4" w:space="0" w:color="auto"/>
                    <w:bottom w:val="single" w:sz="4" w:space="0" w:color="auto"/>
                    <w:right w:val="single" w:sz="4" w:space="0" w:color="auto"/>
                  </w:tcBorders>
                </w:tcPr>
                <w:p w14:paraId="62BF9924" w14:textId="77777777" w:rsidR="00DD7590" w:rsidRPr="00903E1C" w:rsidRDefault="00DD7590" w:rsidP="00305BF2">
                  <w:pPr>
                    <w:keepNext/>
                    <w:keepLines/>
                    <w:rPr>
                      <w:rFonts w:ascii="Arial Narrow" w:hAnsi="Arial Narrow"/>
                      <w:strike/>
                      <w:sz w:val="20"/>
                      <w:szCs w:val="20"/>
                      <w:lang w:val="en-AU"/>
                    </w:rPr>
                  </w:pPr>
                  <w:r w:rsidRPr="00903E1C">
                    <w:rPr>
                      <w:rFonts w:ascii="Arial Narrow" w:hAnsi="Arial Narrow"/>
                      <w:strike/>
                      <w:sz w:val="20"/>
                      <w:szCs w:val="20"/>
                      <w:lang w:val="en-AU"/>
                    </w:rPr>
                    <w:t>Slight limitation of physical activity. Comfortable at rest. Ordinary physical activity results in fatigue, palpitation, shortness of breath or chest pain.</w:t>
                  </w:r>
                </w:p>
                <w:p w14:paraId="6B62DA47" w14:textId="77777777" w:rsidR="00DD7590" w:rsidRPr="00903E1C" w:rsidRDefault="00DD7590" w:rsidP="00305BF2">
                  <w:pPr>
                    <w:keepNext/>
                    <w:keepLines/>
                    <w:rPr>
                      <w:rFonts w:ascii="Arial Narrow" w:hAnsi="Arial Narrow"/>
                      <w:bCs/>
                      <w:i/>
                      <w:iCs/>
                      <w:sz w:val="20"/>
                      <w:szCs w:val="20"/>
                      <w:lang w:val="en-AU"/>
                    </w:rPr>
                  </w:pPr>
                  <w:r w:rsidRPr="00903E1C">
                    <w:rPr>
                      <w:rFonts w:ascii="Arial Narrow" w:hAnsi="Arial Narrow"/>
                      <w:bCs/>
                      <w:i/>
                      <w:iCs/>
                      <w:sz w:val="20"/>
                      <w:szCs w:val="20"/>
                      <w:lang w:val="en-AU"/>
                    </w:rPr>
                    <w:t>Symptoms of heart failure at rest. Any physical activity causes further discomfort.</w:t>
                  </w:r>
                </w:p>
              </w:tc>
            </w:tr>
          </w:tbl>
          <w:p w14:paraId="64FADB48" w14:textId="77777777" w:rsidR="00DD7590" w:rsidRPr="00903E1C" w:rsidRDefault="00DD7590" w:rsidP="00305BF2">
            <w:pPr>
              <w:pStyle w:val="COMTableheadingrow"/>
              <w:keepNext w:val="0"/>
              <w:rPr>
                <w:lang w:val="en-AU"/>
              </w:rPr>
            </w:pPr>
          </w:p>
        </w:tc>
      </w:tr>
      <w:tr w:rsidR="00DD7590" w:rsidRPr="00903E1C" w14:paraId="45410215" w14:textId="77777777" w:rsidTr="00305BF2">
        <w:trPr>
          <w:trHeight w:val="70"/>
        </w:trPr>
        <w:tc>
          <w:tcPr>
            <w:tcW w:w="921" w:type="pct"/>
            <w:shd w:val="clear" w:color="auto" w:fill="F2F2F2" w:themeFill="background1" w:themeFillShade="F2"/>
          </w:tcPr>
          <w:p w14:paraId="5BEA1565"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lastRenderedPageBreak/>
              <w:t>Treatment phase:</w:t>
            </w:r>
          </w:p>
        </w:tc>
        <w:tc>
          <w:tcPr>
            <w:tcW w:w="4079" w:type="pct"/>
            <w:shd w:val="clear" w:color="auto" w:fill="F2F2F2" w:themeFill="background1" w:themeFillShade="F2"/>
          </w:tcPr>
          <w:p w14:paraId="3E43AC97"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Continuing treatment</w:t>
            </w:r>
          </w:p>
        </w:tc>
      </w:tr>
      <w:tr w:rsidR="00DD7590" w:rsidRPr="00903E1C" w14:paraId="0B5EC994" w14:textId="77777777" w:rsidTr="00305BF2">
        <w:trPr>
          <w:trHeight w:val="70"/>
        </w:trPr>
        <w:tc>
          <w:tcPr>
            <w:tcW w:w="921" w:type="pct"/>
          </w:tcPr>
          <w:p w14:paraId="69F9C8AD" w14:textId="77777777" w:rsidR="00DD7590" w:rsidRPr="00903E1C" w:rsidRDefault="00DD7590" w:rsidP="00305BF2">
            <w:pPr>
              <w:rPr>
                <w:rFonts w:ascii="Arial Narrow" w:hAnsi="Arial Narrow"/>
                <w:sz w:val="20"/>
                <w:szCs w:val="20"/>
                <w:lang w:val="en-AU"/>
              </w:rPr>
            </w:pPr>
            <w:r w:rsidRPr="00903E1C">
              <w:rPr>
                <w:rFonts w:ascii="Arial Narrow" w:hAnsi="Arial Narrow"/>
                <w:b/>
                <w:sz w:val="20"/>
                <w:szCs w:val="20"/>
                <w:lang w:val="en-AU"/>
              </w:rPr>
              <w:t>Clinical criteria:</w:t>
            </w:r>
          </w:p>
        </w:tc>
        <w:tc>
          <w:tcPr>
            <w:tcW w:w="4079" w:type="pct"/>
          </w:tcPr>
          <w:p w14:paraId="2E948804" w14:textId="77777777" w:rsidR="00DD7590" w:rsidRPr="00903E1C" w:rsidRDefault="00DD7590" w:rsidP="00305BF2">
            <w:pPr>
              <w:pStyle w:val="ListParagraph"/>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have previously received PBS-subsidised treatment with this drug for this condition; and</w:t>
            </w:r>
          </w:p>
          <w:p w14:paraId="1332BBE6" w14:textId="77777777" w:rsidR="00DD7590" w:rsidRPr="00903E1C" w:rsidRDefault="00DD7590" w:rsidP="00305BF2">
            <w:pPr>
              <w:pStyle w:val="ListParagraph"/>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continue to demonstrate clinical benefit; and</w:t>
            </w:r>
          </w:p>
          <w:p w14:paraId="1C5F341C" w14:textId="77777777" w:rsidR="00DD7590" w:rsidRPr="00903E1C" w:rsidRDefault="00DD7590" w:rsidP="00305BF2">
            <w:pPr>
              <w:pStyle w:val="ListParagraph"/>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not be permanently bedridden or receiving end-of-life care.</w:t>
            </w:r>
          </w:p>
        </w:tc>
      </w:tr>
      <w:tr w:rsidR="00DD7590" w:rsidRPr="00903E1C" w14:paraId="15168BA4" w14:textId="77777777" w:rsidTr="00305BF2">
        <w:trPr>
          <w:trHeight w:val="70"/>
        </w:trPr>
        <w:tc>
          <w:tcPr>
            <w:tcW w:w="921" w:type="pct"/>
            <w:shd w:val="clear" w:color="auto" w:fill="F2F2F2" w:themeFill="background1" w:themeFillShade="F2"/>
          </w:tcPr>
          <w:p w14:paraId="4E67D71B"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Treatment phase:</w:t>
            </w:r>
          </w:p>
        </w:tc>
        <w:tc>
          <w:tcPr>
            <w:tcW w:w="4079" w:type="pct"/>
            <w:shd w:val="clear" w:color="auto" w:fill="F2F2F2" w:themeFill="background1" w:themeFillShade="F2"/>
          </w:tcPr>
          <w:p w14:paraId="00B40453" w14:textId="77777777" w:rsidR="00DD7590" w:rsidRPr="00903E1C" w:rsidRDefault="00DD7590" w:rsidP="00305BF2">
            <w:pPr>
              <w:keepNext/>
              <w:rPr>
                <w:b/>
                <w:lang w:val="en-AU"/>
              </w:rPr>
            </w:pPr>
            <w:r w:rsidRPr="00903E1C">
              <w:rPr>
                <w:rFonts w:ascii="Arial Narrow" w:hAnsi="Arial Narrow"/>
                <w:b/>
                <w:sz w:val="20"/>
                <w:szCs w:val="20"/>
                <w:lang w:val="en-AU"/>
              </w:rPr>
              <w:t>Grandfather arrangements</w:t>
            </w:r>
          </w:p>
        </w:tc>
      </w:tr>
      <w:tr w:rsidR="00DD7590" w:rsidRPr="00903E1C" w14:paraId="65684715" w14:textId="77777777" w:rsidTr="00305BF2">
        <w:trPr>
          <w:trHeight w:val="70"/>
        </w:trPr>
        <w:tc>
          <w:tcPr>
            <w:tcW w:w="921" w:type="pct"/>
          </w:tcPr>
          <w:p w14:paraId="1CF7E1DB" w14:textId="77777777" w:rsidR="00DD7590" w:rsidRPr="00903E1C" w:rsidRDefault="00DD7590" w:rsidP="00305BF2">
            <w:pPr>
              <w:keepNext/>
              <w:rPr>
                <w:rFonts w:ascii="Arial Narrow" w:hAnsi="Arial Narrow"/>
                <w:b/>
                <w:sz w:val="20"/>
                <w:szCs w:val="20"/>
                <w:lang w:val="en-AU"/>
              </w:rPr>
            </w:pPr>
            <w:r w:rsidRPr="00903E1C">
              <w:rPr>
                <w:rFonts w:ascii="Arial Narrow" w:hAnsi="Arial Narrow"/>
                <w:b/>
                <w:sz w:val="20"/>
                <w:szCs w:val="20"/>
                <w:lang w:val="en-AU"/>
              </w:rPr>
              <w:t>Clinical criteria:</w:t>
            </w:r>
          </w:p>
        </w:tc>
        <w:tc>
          <w:tcPr>
            <w:tcW w:w="4079" w:type="pct"/>
          </w:tcPr>
          <w:p w14:paraId="6CA05447" w14:textId="77777777" w:rsidR="00DD7590" w:rsidRPr="00903E1C" w:rsidRDefault="00DD7590" w:rsidP="00305BF2">
            <w:pPr>
              <w:pStyle w:val="ListParagraph"/>
              <w:keepNext/>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have previously received non-PBS-subsidised treatment with this drug for this condition; and</w:t>
            </w:r>
          </w:p>
          <w:p w14:paraId="5DCE1573" w14:textId="77777777" w:rsidR="00DD7590" w:rsidRPr="00903E1C" w:rsidRDefault="00DD7590" w:rsidP="00305BF2">
            <w:pPr>
              <w:pStyle w:val="ListParagraph"/>
              <w:keepNext/>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continue to demonstrate clinical benefit; and</w:t>
            </w:r>
          </w:p>
          <w:p w14:paraId="4619C35B" w14:textId="77777777" w:rsidR="00DD7590" w:rsidRPr="00903E1C" w:rsidRDefault="00DD7590" w:rsidP="00305BF2">
            <w:pPr>
              <w:pStyle w:val="ListParagraph"/>
              <w:keepNext/>
              <w:numPr>
                <w:ilvl w:val="0"/>
                <w:numId w:val="8"/>
              </w:numPr>
              <w:spacing w:after="60"/>
              <w:ind w:left="360"/>
              <w:contextualSpacing/>
              <w:rPr>
                <w:rFonts w:ascii="Arial Narrow" w:hAnsi="Arial Narrow"/>
                <w:sz w:val="20"/>
                <w:szCs w:val="20"/>
                <w:lang w:val="en-AU"/>
              </w:rPr>
            </w:pPr>
            <w:r w:rsidRPr="00903E1C">
              <w:rPr>
                <w:rFonts w:ascii="Arial Narrow" w:hAnsi="Arial Narrow"/>
                <w:sz w:val="20"/>
                <w:szCs w:val="20"/>
                <w:lang w:val="en-AU"/>
              </w:rPr>
              <w:t>The patient must not be permanently bedridden or receiving end-of-life care.</w:t>
            </w:r>
          </w:p>
        </w:tc>
      </w:tr>
    </w:tbl>
    <w:p w14:paraId="6C7BE657" w14:textId="77777777" w:rsidR="00DD7590" w:rsidRPr="00903E1C" w:rsidRDefault="00DD7590" w:rsidP="00DD7590"/>
    <w:p w14:paraId="68407F27" w14:textId="35871F4F" w:rsidR="00DD7590" w:rsidRPr="00903E1C" w:rsidRDefault="00DD7590" w:rsidP="00DD7590">
      <w:pPr>
        <w:pStyle w:val="COMexecsumnumberedpara"/>
        <w:rPr>
          <w:iCs/>
        </w:rPr>
      </w:pPr>
      <w:bookmarkStart w:id="118" w:name="_Ref153306893"/>
      <w:r w:rsidRPr="00903E1C">
        <w:rPr>
          <w:iCs/>
        </w:rPr>
        <w:t xml:space="preserve">The proposed restriction incorporated the PBAC’s advice concerning concomitant therapy (paragraph </w:t>
      </w:r>
      <w:r w:rsidRPr="00903E1C">
        <w:rPr>
          <w:iCs/>
        </w:rPr>
        <w:fldChar w:fldCharType="begin" w:fldLock="1"/>
      </w:r>
      <w:r w:rsidRPr="00903E1C">
        <w:rPr>
          <w:iCs/>
        </w:rPr>
        <w:instrText xml:space="preserve"> REF _Ref153279074 \r \h </w:instrText>
      </w:r>
      <w:r w:rsidRPr="00903E1C">
        <w:rPr>
          <w:iCs/>
        </w:rPr>
      </w:r>
      <w:r w:rsidRPr="00903E1C">
        <w:rPr>
          <w:iCs/>
        </w:rPr>
        <w:fldChar w:fldCharType="separate"/>
      </w:r>
      <w:r>
        <w:rPr>
          <w:iCs/>
        </w:rPr>
        <w:t>1</w:t>
      </w:r>
      <w:r w:rsidR="00C31834">
        <w:rPr>
          <w:iCs/>
        </w:rPr>
        <w:t>3</w:t>
      </w:r>
      <w:r>
        <w:rPr>
          <w:iCs/>
        </w:rPr>
        <w:t>.8</w:t>
      </w:r>
      <w:r w:rsidRPr="00903E1C">
        <w:rPr>
          <w:iCs/>
        </w:rPr>
        <w:fldChar w:fldCharType="end"/>
      </w:r>
      <w:r w:rsidRPr="00903E1C">
        <w:rPr>
          <w:iCs/>
        </w:rPr>
        <w:t xml:space="preserve">). The sponsor noted the PBAC’s request for clarification of two further aspects of the proposed restriction in paragraph </w:t>
      </w:r>
      <w:r w:rsidRPr="00903E1C">
        <w:rPr>
          <w:iCs/>
        </w:rPr>
        <w:fldChar w:fldCharType="begin" w:fldLock="1"/>
      </w:r>
      <w:r w:rsidRPr="00903E1C">
        <w:rPr>
          <w:iCs/>
        </w:rPr>
        <w:instrText xml:space="preserve"> REF _Ref146725002 \r \h </w:instrText>
      </w:r>
      <w:r w:rsidRPr="00903E1C">
        <w:rPr>
          <w:iCs/>
        </w:rPr>
      </w:r>
      <w:r w:rsidRPr="00903E1C">
        <w:rPr>
          <w:iCs/>
        </w:rPr>
        <w:fldChar w:fldCharType="separate"/>
      </w:r>
      <w:r>
        <w:rPr>
          <w:iCs/>
        </w:rPr>
        <w:t>1</w:t>
      </w:r>
      <w:r w:rsidR="00C31834">
        <w:rPr>
          <w:iCs/>
        </w:rPr>
        <w:t>3</w:t>
      </w:r>
      <w:r>
        <w:rPr>
          <w:iCs/>
        </w:rPr>
        <w:t>.9</w:t>
      </w:r>
      <w:r w:rsidRPr="00903E1C">
        <w:rPr>
          <w:iCs/>
        </w:rPr>
        <w:fldChar w:fldCharType="end"/>
      </w:r>
      <w:r w:rsidRPr="00903E1C">
        <w:rPr>
          <w:iCs/>
        </w:rPr>
        <w:t xml:space="preserve">, and proposed that no further changes were required as outlined below (paragraphs </w:t>
      </w:r>
      <w:r w:rsidRPr="00903E1C">
        <w:rPr>
          <w:iCs/>
        </w:rPr>
        <w:fldChar w:fldCharType="begin" w:fldLock="1"/>
      </w:r>
      <w:r w:rsidRPr="00903E1C">
        <w:rPr>
          <w:iCs/>
        </w:rPr>
        <w:instrText xml:space="preserve"> REF _Ref153785955 \r \h </w:instrText>
      </w:r>
      <w:r w:rsidRPr="00903E1C">
        <w:rPr>
          <w:iCs/>
        </w:rPr>
      </w:r>
      <w:r w:rsidRPr="00903E1C">
        <w:rPr>
          <w:iCs/>
        </w:rPr>
        <w:fldChar w:fldCharType="separate"/>
      </w:r>
      <w:r>
        <w:rPr>
          <w:iCs/>
        </w:rPr>
        <w:t>1</w:t>
      </w:r>
      <w:r w:rsidR="00C31834">
        <w:rPr>
          <w:iCs/>
        </w:rPr>
        <w:t>7</w:t>
      </w:r>
      <w:r>
        <w:rPr>
          <w:iCs/>
        </w:rPr>
        <w:t>.3</w:t>
      </w:r>
      <w:r w:rsidRPr="00903E1C">
        <w:rPr>
          <w:iCs/>
        </w:rPr>
        <w:fldChar w:fldCharType="end"/>
      </w:r>
      <w:r w:rsidRPr="00903E1C">
        <w:rPr>
          <w:iCs/>
        </w:rPr>
        <w:t xml:space="preserve"> and </w:t>
      </w:r>
      <w:r w:rsidRPr="00903E1C">
        <w:rPr>
          <w:iCs/>
        </w:rPr>
        <w:fldChar w:fldCharType="begin" w:fldLock="1"/>
      </w:r>
      <w:r w:rsidRPr="00903E1C">
        <w:rPr>
          <w:iCs/>
        </w:rPr>
        <w:instrText xml:space="preserve"> REF _Ref153306895 \r \h </w:instrText>
      </w:r>
      <w:r w:rsidRPr="00903E1C">
        <w:rPr>
          <w:iCs/>
        </w:rPr>
      </w:r>
      <w:r w:rsidRPr="00903E1C">
        <w:rPr>
          <w:iCs/>
        </w:rPr>
        <w:fldChar w:fldCharType="separate"/>
      </w:r>
      <w:r>
        <w:rPr>
          <w:iCs/>
        </w:rPr>
        <w:t>1</w:t>
      </w:r>
      <w:r w:rsidR="00C31834">
        <w:rPr>
          <w:iCs/>
        </w:rPr>
        <w:t>7</w:t>
      </w:r>
      <w:r>
        <w:rPr>
          <w:iCs/>
        </w:rPr>
        <w:t>.4</w:t>
      </w:r>
      <w:r w:rsidRPr="00903E1C">
        <w:rPr>
          <w:iCs/>
        </w:rPr>
        <w:fldChar w:fldCharType="end"/>
      </w:r>
      <w:r w:rsidRPr="00903E1C">
        <w:rPr>
          <w:iCs/>
        </w:rPr>
        <w:t>).</w:t>
      </w:r>
      <w:bookmarkEnd w:id="118"/>
      <w:r w:rsidRPr="00903E1C">
        <w:rPr>
          <w:iCs/>
        </w:rPr>
        <w:t xml:space="preserve"> </w:t>
      </w:r>
    </w:p>
    <w:p w14:paraId="0D5AFC93" w14:textId="77777777" w:rsidR="00DD7590" w:rsidRPr="00903E1C" w:rsidRDefault="00DD7590" w:rsidP="00DD7590">
      <w:pPr>
        <w:pStyle w:val="COMexecsumnumberedpara"/>
        <w:rPr>
          <w:iCs/>
        </w:rPr>
      </w:pPr>
      <w:bookmarkStart w:id="119" w:name="_Ref153785955"/>
      <w:r w:rsidRPr="00903E1C">
        <w:rPr>
          <w:iCs/>
        </w:rPr>
        <w:t>The sponsor noted there is an established history of clinical practice in Australia involving haematologists as the main specialists in the management of hATTR amyloidosis with polyneuropathy and stated that limiting treatment initiation to neurologists would be disadvantageous to patients and may result in treatment delays or inequity in access</w:t>
      </w:r>
      <w:bookmarkEnd w:id="119"/>
      <w:r w:rsidRPr="00903E1C">
        <w:rPr>
          <w:iCs/>
        </w:rPr>
        <w:t xml:space="preserve">. </w:t>
      </w:r>
    </w:p>
    <w:p w14:paraId="76983B1D" w14:textId="77777777" w:rsidR="00DD7590" w:rsidRPr="00903E1C" w:rsidRDefault="00DD7590" w:rsidP="00DD7590">
      <w:pPr>
        <w:pStyle w:val="COMexecsumnumberedpara"/>
        <w:rPr>
          <w:iCs/>
        </w:rPr>
      </w:pPr>
      <w:bookmarkStart w:id="120" w:name="_Ref153306895"/>
      <w:r w:rsidRPr="00903E1C">
        <w:rPr>
          <w:iCs/>
        </w:rPr>
        <w:t xml:space="preserve">The sponsor stated that access to patisiran should not </w:t>
      </w:r>
      <w:proofErr w:type="gramStart"/>
      <w:r w:rsidRPr="00903E1C">
        <w:rPr>
          <w:iCs/>
        </w:rPr>
        <w:t>be limited</w:t>
      </w:r>
      <w:proofErr w:type="gramEnd"/>
      <w:r w:rsidRPr="00903E1C">
        <w:rPr>
          <w:iCs/>
        </w:rPr>
        <w:t xml:space="preserve"> to clinical centres that are affiliated with the AAN. Infusions should take place at the patient’s local place of care. It </w:t>
      </w:r>
      <w:proofErr w:type="gramStart"/>
      <w:r w:rsidRPr="00903E1C">
        <w:rPr>
          <w:iCs/>
        </w:rPr>
        <w:t>was noted</w:t>
      </w:r>
      <w:proofErr w:type="gramEnd"/>
      <w:r w:rsidRPr="00903E1C">
        <w:rPr>
          <w:iCs/>
        </w:rPr>
        <w:t xml:space="preserve"> that AAN are available to support patient case reviews, as per their current practice, whereby the majority of patients are either seen by an AAN centre, an AAN affiliate centre, or the patient case is reviewed in consultation. Noting the geographical size of Australia, the sponsor stated that limiting access to patisiran </w:t>
      </w:r>
      <w:r w:rsidRPr="00903E1C">
        <w:rPr>
          <w:iCs/>
        </w:rPr>
        <w:lastRenderedPageBreak/>
        <w:t>to AAN or affiliated clinical centres may cause inequity of access and will not lead to optimal patient outcomes.</w:t>
      </w:r>
      <w:bookmarkEnd w:id="120"/>
    </w:p>
    <w:p w14:paraId="4920ABB7" w14:textId="77777777" w:rsidR="00DD7590" w:rsidRPr="00903E1C" w:rsidRDefault="00DD7590" w:rsidP="00DD7590">
      <w:pPr>
        <w:pStyle w:val="COMH1numbered"/>
      </w:pPr>
      <w:r w:rsidRPr="00903E1C">
        <w:t>Consideration of the evidence</w:t>
      </w:r>
    </w:p>
    <w:p w14:paraId="05685FC7" w14:textId="77777777" w:rsidR="00DD7590" w:rsidRPr="00903E1C" w:rsidRDefault="00DD7590" w:rsidP="00DD7590">
      <w:pPr>
        <w:pStyle w:val="3-SubsectionHeading"/>
        <w:rPr>
          <w:bCs/>
        </w:rPr>
      </w:pPr>
      <w:r w:rsidRPr="00903E1C">
        <w:t>Economic analysis</w:t>
      </w:r>
    </w:p>
    <w:p w14:paraId="102F1609" w14:textId="61790453" w:rsidR="00DD7590" w:rsidRPr="00903E1C" w:rsidRDefault="00DD7590" w:rsidP="00DD7590">
      <w:pPr>
        <w:pStyle w:val="COMexecsumnumberedpara"/>
        <w:numPr>
          <w:ilvl w:val="1"/>
          <w:numId w:val="42"/>
        </w:numPr>
      </w:pPr>
      <w:r w:rsidRPr="00903E1C">
        <w:t xml:space="preserve">A revised base case </w:t>
      </w:r>
      <w:proofErr w:type="gramStart"/>
      <w:r w:rsidRPr="00903E1C">
        <w:t>was presented</w:t>
      </w:r>
      <w:proofErr w:type="gramEnd"/>
      <w:r w:rsidRPr="00903E1C">
        <w:t xml:space="preserve"> in which the treatment related utility increment/decrements were halved consistent with PBAC advice and resulted in a base case ICER of </w:t>
      </w:r>
      <w:r w:rsidR="008A255E" w:rsidRPr="008A255E">
        <w:t>$155,000</w:t>
      </w:r>
      <w:r w:rsidR="008A255E">
        <w:t> </w:t>
      </w:r>
      <w:r w:rsidR="008A255E" w:rsidRPr="008A255E">
        <w:t>to</w:t>
      </w:r>
      <w:r w:rsidR="008A255E">
        <w:t> </w:t>
      </w:r>
      <w:r w:rsidR="008A255E" w:rsidRPr="008A255E">
        <w:t>&lt;</w:t>
      </w:r>
      <w:r w:rsidR="008A255E">
        <w:t> </w:t>
      </w:r>
      <w:r w:rsidR="008A255E" w:rsidRPr="008A255E">
        <w:t>$255,000</w:t>
      </w:r>
      <w:r w:rsidRPr="00903E1C">
        <w:t xml:space="preserve">/QALY when the proposed price was applied. The revisions to the economic model were consistent with PBAC advice as outlined in paragraph </w:t>
      </w:r>
      <w:r w:rsidRPr="00903E1C">
        <w:fldChar w:fldCharType="begin" w:fldLock="1"/>
      </w:r>
      <w:r w:rsidRPr="00903E1C">
        <w:instrText xml:space="preserve"> REF _Ref146723192 \r \h </w:instrText>
      </w:r>
      <w:r w:rsidRPr="00903E1C">
        <w:fldChar w:fldCharType="separate"/>
      </w:r>
      <w:r>
        <w:t>1</w:t>
      </w:r>
      <w:r w:rsidR="00C31834">
        <w:t>3</w:t>
      </w:r>
      <w:r>
        <w:t>.3</w:t>
      </w:r>
      <w:r w:rsidRPr="00903E1C">
        <w:fldChar w:fldCharType="end"/>
      </w:r>
      <w:r w:rsidRPr="00903E1C">
        <w:t xml:space="preserve">. Sensitivity analyses </w:t>
      </w:r>
      <w:proofErr w:type="gramStart"/>
      <w:r w:rsidRPr="00903E1C">
        <w:t>were also presented</w:t>
      </w:r>
      <w:proofErr w:type="gramEnd"/>
      <w:r w:rsidRPr="00903E1C">
        <w:t xml:space="preserve">, see </w:t>
      </w:r>
      <w:r w:rsidRPr="00903E1C">
        <w:fldChar w:fldCharType="begin" w:fldLock="1"/>
      </w:r>
      <w:r w:rsidRPr="00903E1C">
        <w:instrText xml:space="preserve"> REF _Ref153288461 \h  \* MERGEFORMAT </w:instrText>
      </w:r>
      <w:r w:rsidRPr="00903E1C">
        <w:fldChar w:fldCharType="separate"/>
      </w:r>
      <w:r w:rsidRPr="00903E1C">
        <w:t xml:space="preserve">Table </w:t>
      </w:r>
      <w:r>
        <w:t>22</w:t>
      </w:r>
      <w:r w:rsidRPr="00903E1C">
        <w:fldChar w:fldCharType="end"/>
      </w:r>
      <w:r w:rsidRPr="00903E1C">
        <w:t>.</w:t>
      </w:r>
    </w:p>
    <w:p w14:paraId="796D0858" w14:textId="77777777" w:rsidR="00DD7590" w:rsidRPr="00903E1C" w:rsidRDefault="00DD7590" w:rsidP="00DD7590">
      <w:pPr>
        <w:pStyle w:val="COMtablefigcaption"/>
        <w:rPr>
          <w:b w:val="0"/>
        </w:rPr>
      </w:pPr>
      <w:bookmarkStart w:id="121" w:name="_Ref153288461"/>
      <w:r w:rsidRPr="00903E1C">
        <w:t xml:space="preserve">Table </w:t>
      </w:r>
      <w:fldSimple w:instr=" SEQ Table \* ARABIC " w:fldLock="1">
        <w:r>
          <w:rPr>
            <w:noProof/>
          </w:rPr>
          <w:t>22</w:t>
        </w:r>
      </w:fldSimple>
      <w:bookmarkEnd w:id="121"/>
      <w:r w:rsidRPr="00903E1C">
        <w:t>: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Economic evaluation"/>
        <w:tblDescription w:val="Table 22: Economic evaluation"/>
      </w:tblPr>
      <w:tblGrid>
        <w:gridCol w:w="4853"/>
        <w:gridCol w:w="1527"/>
        <w:gridCol w:w="1448"/>
        <w:gridCol w:w="1189"/>
      </w:tblGrid>
      <w:tr w:rsidR="00DD7590" w:rsidRPr="00903E1C" w14:paraId="21D56F3B" w14:textId="77777777" w:rsidTr="00305BF2">
        <w:trPr>
          <w:tblHeader/>
        </w:trPr>
        <w:tc>
          <w:tcPr>
            <w:tcW w:w="0" w:type="auto"/>
          </w:tcPr>
          <w:p w14:paraId="66E61732" w14:textId="77777777" w:rsidR="00DD7590" w:rsidRPr="00903E1C" w:rsidRDefault="00DD7590" w:rsidP="00305BF2">
            <w:pPr>
              <w:pStyle w:val="COMTabletext"/>
              <w:rPr>
                <w:b/>
                <w:bCs w:val="0"/>
                <w:szCs w:val="20"/>
              </w:rPr>
            </w:pPr>
            <w:r w:rsidRPr="00903E1C">
              <w:rPr>
                <w:b/>
                <w:bCs w:val="0"/>
                <w:szCs w:val="20"/>
              </w:rPr>
              <w:t>Analyses</w:t>
            </w:r>
          </w:p>
        </w:tc>
        <w:tc>
          <w:tcPr>
            <w:tcW w:w="0" w:type="auto"/>
          </w:tcPr>
          <w:p w14:paraId="2414C37D" w14:textId="34F7F1EA" w:rsidR="00DD7590" w:rsidRPr="00903E1C" w:rsidRDefault="00DD7590" w:rsidP="00305BF2">
            <w:pPr>
              <w:pStyle w:val="COMTabletext"/>
              <w:rPr>
                <w:b/>
                <w:bCs w:val="0"/>
                <w:szCs w:val="20"/>
              </w:rPr>
            </w:pPr>
            <w:r w:rsidRPr="00903E1C">
              <w:rPr>
                <w:b/>
                <w:bCs w:val="0"/>
                <w:szCs w:val="20"/>
              </w:rPr>
              <w:t>Incremental cost</w:t>
            </w:r>
            <w:r w:rsidR="008A255E">
              <w:rPr>
                <w:b/>
                <w:bCs w:val="0"/>
                <w:szCs w:val="20"/>
              </w:rPr>
              <w:t xml:space="preserve"> ($)</w:t>
            </w:r>
          </w:p>
        </w:tc>
        <w:tc>
          <w:tcPr>
            <w:tcW w:w="0" w:type="auto"/>
          </w:tcPr>
          <w:p w14:paraId="4B9C6295" w14:textId="77777777" w:rsidR="00DD7590" w:rsidRPr="00903E1C" w:rsidRDefault="00DD7590" w:rsidP="00305BF2">
            <w:pPr>
              <w:pStyle w:val="COMTabletext"/>
              <w:rPr>
                <w:b/>
                <w:bCs w:val="0"/>
                <w:szCs w:val="20"/>
              </w:rPr>
            </w:pPr>
            <w:r w:rsidRPr="00903E1C">
              <w:rPr>
                <w:b/>
                <w:bCs w:val="0"/>
                <w:szCs w:val="20"/>
              </w:rPr>
              <w:t>Incremental QALY</w:t>
            </w:r>
          </w:p>
        </w:tc>
        <w:tc>
          <w:tcPr>
            <w:tcW w:w="0" w:type="auto"/>
          </w:tcPr>
          <w:p w14:paraId="497ED59B" w14:textId="77777777" w:rsidR="00DD7590" w:rsidRPr="00903E1C" w:rsidRDefault="00DD7590" w:rsidP="00305BF2">
            <w:pPr>
              <w:pStyle w:val="COMTabletext"/>
              <w:rPr>
                <w:b/>
                <w:bCs w:val="0"/>
                <w:szCs w:val="20"/>
              </w:rPr>
            </w:pPr>
            <w:r w:rsidRPr="00903E1C">
              <w:rPr>
                <w:b/>
                <w:bCs w:val="0"/>
                <w:szCs w:val="20"/>
              </w:rPr>
              <w:t>ICER ($/QALY)</w:t>
            </w:r>
          </w:p>
        </w:tc>
      </w:tr>
      <w:tr w:rsidR="00DD7590" w:rsidRPr="00903E1C" w14:paraId="1B89E85A" w14:textId="77777777" w:rsidTr="00305BF2">
        <w:trPr>
          <w:tblHeader/>
        </w:trPr>
        <w:tc>
          <w:tcPr>
            <w:tcW w:w="0" w:type="auto"/>
            <w:gridSpan w:val="4"/>
          </w:tcPr>
          <w:p w14:paraId="1418EEB2" w14:textId="77777777" w:rsidR="00DD7590" w:rsidRPr="00903E1C" w:rsidRDefault="00DD7590" w:rsidP="00305BF2">
            <w:pPr>
              <w:pStyle w:val="COMTabletext"/>
              <w:rPr>
                <w:b/>
                <w:bCs w:val="0"/>
                <w:szCs w:val="20"/>
              </w:rPr>
            </w:pPr>
            <w:r w:rsidRPr="00903E1C">
              <w:rPr>
                <w:b/>
                <w:bCs w:val="0"/>
                <w:szCs w:val="20"/>
              </w:rPr>
              <w:t>Base case</w:t>
            </w:r>
          </w:p>
        </w:tc>
      </w:tr>
      <w:tr w:rsidR="00DD7590" w:rsidRPr="00903E1C" w14:paraId="7EC32698" w14:textId="77777777" w:rsidTr="000A7F6B">
        <w:tc>
          <w:tcPr>
            <w:tcW w:w="0" w:type="auto"/>
          </w:tcPr>
          <w:p w14:paraId="14A37554" w14:textId="77777777" w:rsidR="00DD7590" w:rsidRPr="00903E1C" w:rsidRDefault="00DD7590" w:rsidP="00305BF2">
            <w:pPr>
              <w:pStyle w:val="COMTabletext"/>
              <w:rPr>
                <w:szCs w:val="20"/>
              </w:rPr>
            </w:pPr>
            <w:r w:rsidRPr="00903E1C">
              <w:rPr>
                <w:szCs w:val="20"/>
              </w:rPr>
              <w:t>December 2023 base case (Utility increments/decrements are 50% of base</w:t>
            </w:r>
            <w:r w:rsidRPr="00903E1C">
              <w:rPr>
                <w:szCs w:val="20"/>
              </w:rPr>
              <w:noBreakHyphen/>
              <w:t>case values)</w:t>
            </w:r>
          </w:p>
        </w:tc>
        <w:tc>
          <w:tcPr>
            <w:tcW w:w="0" w:type="auto"/>
            <w:shd w:val="solid" w:color="000000" w:fill="000000"/>
          </w:tcPr>
          <w:p w14:paraId="5DD8C692" w14:textId="05841FCF" w:rsidR="00DD7590" w:rsidRPr="00B80329" w:rsidRDefault="000A7F6B" w:rsidP="00305BF2">
            <w:pPr>
              <w:jc w:val="right"/>
              <w:rPr>
                <w:rFonts w:ascii="Arial Narrow" w:hAnsi="Arial Narrow" w:cs="Calibri"/>
                <w:color w:val="000000"/>
                <w:sz w:val="20"/>
                <w:szCs w:val="20"/>
                <w:highlight w:val="darkGray"/>
              </w:rPr>
            </w:pPr>
            <w:r w:rsidRPr="000A7F6B">
              <w:rPr>
                <w:rFonts w:ascii="Arial Narrow" w:hAnsi="Arial Narrow" w:cs="Calibri"/>
                <w:color w:val="000000"/>
                <w:sz w:val="20"/>
                <w:szCs w:val="20"/>
                <w14:textFill>
                  <w14:solidFill>
                    <w14:srgbClr w14:val="000000">
                      <w14:alpha w14:val="100000"/>
                    </w14:srgbClr>
                  </w14:solidFill>
                </w14:textFill>
              </w:rPr>
              <w:t>|</w:t>
            </w:r>
          </w:p>
        </w:tc>
        <w:tc>
          <w:tcPr>
            <w:tcW w:w="0" w:type="auto"/>
          </w:tcPr>
          <w:p w14:paraId="6046AB93" w14:textId="77777777" w:rsidR="00DD7590" w:rsidRPr="00903E1C" w:rsidRDefault="00DD7590" w:rsidP="00305BF2">
            <w:pPr>
              <w:jc w:val="right"/>
              <w:rPr>
                <w:rFonts w:ascii="Arial Narrow" w:hAnsi="Arial Narrow" w:cs="Calibri"/>
                <w:color w:val="000000"/>
                <w:sz w:val="20"/>
                <w:szCs w:val="20"/>
              </w:rPr>
            </w:pPr>
            <w:r w:rsidRPr="00903E1C">
              <w:rPr>
                <w:rFonts w:ascii="Arial Narrow" w:hAnsi="Arial Narrow" w:cs="Calibri"/>
                <w:color w:val="000000"/>
                <w:sz w:val="20"/>
                <w:szCs w:val="20"/>
              </w:rPr>
              <w:t>4.91</w:t>
            </w:r>
          </w:p>
        </w:tc>
        <w:tc>
          <w:tcPr>
            <w:tcW w:w="0" w:type="auto"/>
          </w:tcPr>
          <w:p w14:paraId="12310CC2" w14:textId="2C520D84" w:rsidR="00DD7590" w:rsidRPr="00903E1C" w:rsidRDefault="000A7F6B" w:rsidP="00305BF2">
            <w:pPr>
              <w:jc w:val="right"/>
              <w:rPr>
                <w:rFonts w:ascii="Arial Narrow" w:hAnsi="Arial Narrow" w:cs="Calibri"/>
                <w:color w:val="000000"/>
                <w:sz w:val="20"/>
                <w:szCs w:val="20"/>
              </w:rPr>
            </w:pPr>
            <w:r w:rsidRPr="000A7F6B">
              <w:rPr>
                <w:rFonts w:ascii="Arial Narrow" w:hAnsi="Arial Narrow" w:cs="Calibri"/>
                <w:color w:val="000000"/>
                <w:sz w:val="20"/>
                <w:szCs w:val="20"/>
                <w:shd w:val="solid" w:color="000000" w:fill="000000"/>
                <w14:textFill>
                  <w14:solidFill>
                    <w14:srgbClr w14:val="000000">
                      <w14:alpha w14:val="100000"/>
                    </w14:srgbClr>
                  </w14:solidFill>
                </w14:textFill>
              </w:rPr>
              <w:t>|</w:t>
            </w:r>
            <w:r w:rsidR="008A255E" w:rsidRPr="00B80329">
              <w:rPr>
                <w:rFonts w:ascii="Arial Narrow" w:hAnsi="Arial Narrow" w:cs="Calibri"/>
                <w:color w:val="000000"/>
                <w:sz w:val="20"/>
                <w:szCs w:val="20"/>
                <w:vertAlign w:val="superscript"/>
              </w:rPr>
              <w:t>1</w:t>
            </w:r>
          </w:p>
        </w:tc>
      </w:tr>
      <w:tr w:rsidR="00DD7590" w:rsidRPr="00903E1C" w14:paraId="3B34FEAC" w14:textId="77777777" w:rsidTr="00305BF2">
        <w:tc>
          <w:tcPr>
            <w:tcW w:w="0" w:type="auto"/>
            <w:gridSpan w:val="4"/>
          </w:tcPr>
          <w:p w14:paraId="1FAC974C" w14:textId="77777777" w:rsidR="00DD7590" w:rsidRPr="00903E1C" w:rsidRDefault="00DD7590" w:rsidP="00305BF2">
            <w:pPr>
              <w:pStyle w:val="COMTabletext"/>
              <w:rPr>
                <w:b/>
                <w:bCs w:val="0"/>
                <w:szCs w:val="20"/>
              </w:rPr>
            </w:pPr>
            <w:r w:rsidRPr="00903E1C">
              <w:rPr>
                <w:b/>
                <w:bCs w:val="0"/>
                <w:szCs w:val="20"/>
              </w:rPr>
              <w:t>Sensitivity analyses</w:t>
            </w:r>
          </w:p>
        </w:tc>
      </w:tr>
      <w:tr w:rsidR="00DD7590" w:rsidRPr="00903E1C" w14:paraId="217E8D8C" w14:textId="77777777" w:rsidTr="000A7F6B">
        <w:tc>
          <w:tcPr>
            <w:tcW w:w="0" w:type="auto"/>
          </w:tcPr>
          <w:p w14:paraId="7B1AF1EF" w14:textId="77777777" w:rsidR="00DD7590" w:rsidRPr="00903E1C" w:rsidRDefault="00DD7590" w:rsidP="00305BF2">
            <w:pPr>
              <w:pStyle w:val="COMTabletext"/>
              <w:rPr>
                <w:szCs w:val="20"/>
              </w:rPr>
            </w:pPr>
            <w:r w:rsidRPr="00903E1C">
              <w:rPr>
                <w:szCs w:val="20"/>
              </w:rPr>
              <w:t>SA.1 Inclusion of care giver utilities</w:t>
            </w:r>
          </w:p>
        </w:tc>
        <w:tc>
          <w:tcPr>
            <w:tcW w:w="0" w:type="auto"/>
            <w:tcBorders>
              <w:bottom w:val="single" w:sz="4" w:space="0" w:color="auto"/>
            </w:tcBorders>
            <w:shd w:val="solid" w:color="000000" w:fill="000000"/>
          </w:tcPr>
          <w:p w14:paraId="53C05BC7" w14:textId="13870E2A" w:rsidR="00DD7590" w:rsidRPr="00B80329" w:rsidRDefault="000A7F6B" w:rsidP="00305BF2">
            <w:pPr>
              <w:jc w:val="right"/>
              <w:rPr>
                <w:rFonts w:ascii="Arial Narrow" w:hAnsi="Arial Narrow" w:cs="Calibri"/>
                <w:color w:val="000000"/>
                <w:sz w:val="20"/>
                <w:szCs w:val="20"/>
                <w:highlight w:val="darkGray"/>
              </w:rPr>
            </w:pPr>
            <w:r w:rsidRPr="000A7F6B">
              <w:rPr>
                <w:rFonts w:ascii="Arial Narrow" w:hAnsi="Arial Narrow" w:cs="Calibri"/>
                <w:color w:val="000000"/>
                <w:sz w:val="20"/>
                <w:szCs w:val="20"/>
                <w14:textFill>
                  <w14:solidFill>
                    <w14:srgbClr w14:val="000000">
                      <w14:alpha w14:val="100000"/>
                    </w14:srgbClr>
                  </w14:solidFill>
                </w14:textFill>
              </w:rPr>
              <w:t>|</w:t>
            </w:r>
          </w:p>
        </w:tc>
        <w:tc>
          <w:tcPr>
            <w:tcW w:w="0" w:type="auto"/>
          </w:tcPr>
          <w:p w14:paraId="158DC82C" w14:textId="77777777" w:rsidR="00DD7590" w:rsidRPr="00903E1C" w:rsidRDefault="00DD7590" w:rsidP="00305BF2">
            <w:pPr>
              <w:jc w:val="right"/>
              <w:rPr>
                <w:rFonts w:ascii="Arial Narrow" w:hAnsi="Arial Narrow" w:cs="Calibri"/>
                <w:color w:val="000000"/>
                <w:sz w:val="20"/>
                <w:szCs w:val="20"/>
              </w:rPr>
            </w:pPr>
            <w:r w:rsidRPr="00903E1C">
              <w:rPr>
                <w:rFonts w:ascii="Arial Narrow" w:hAnsi="Arial Narrow" w:cs="Calibri"/>
                <w:color w:val="000000"/>
                <w:sz w:val="20"/>
                <w:szCs w:val="20"/>
              </w:rPr>
              <w:t>5.45</w:t>
            </w:r>
          </w:p>
        </w:tc>
        <w:tc>
          <w:tcPr>
            <w:tcW w:w="0" w:type="auto"/>
          </w:tcPr>
          <w:p w14:paraId="7B450284" w14:textId="49211CB8" w:rsidR="00DD7590" w:rsidRPr="00B80329" w:rsidRDefault="000A7F6B" w:rsidP="00305BF2">
            <w:pPr>
              <w:jc w:val="right"/>
              <w:rPr>
                <w:rFonts w:ascii="Arial Narrow" w:hAnsi="Arial Narrow" w:cs="Calibri"/>
                <w:color w:val="000000"/>
                <w:sz w:val="20"/>
                <w:szCs w:val="20"/>
                <w:highlight w:val="darkGray"/>
              </w:rPr>
            </w:pPr>
            <w:r w:rsidRPr="000A7F6B">
              <w:rPr>
                <w:rFonts w:ascii="Arial Narrow" w:hAnsi="Arial Narrow" w:cs="Calibri"/>
                <w:color w:val="000000"/>
                <w:sz w:val="20"/>
                <w:szCs w:val="20"/>
                <w:shd w:val="solid" w:color="000000" w:fill="000000"/>
                <w14:textFill>
                  <w14:solidFill>
                    <w14:srgbClr w14:val="000000">
                      <w14:alpha w14:val="100000"/>
                    </w14:srgbClr>
                  </w14:solidFill>
                </w14:textFill>
              </w:rPr>
              <w:t>|</w:t>
            </w:r>
            <w:r w:rsidR="008A255E" w:rsidRPr="00924690">
              <w:rPr>
                <w:rFonts w:ascii="Arial Narrow" w:hAnsi="Arial Narrow" w:cs="Calibri"/>
                <w:color w:val="000000"/>
                <w:sz w:val="20"/>
                <w:szCs w:val="20"/>
                <w:vertAlign w:val="superscript"/>
              </w:rPr>
              <w:t>1</w:t>
            </w:r>
          </w:p>
        </w:tc>
      </w:tr>
      <w:tr w:rsidR="00DD7590" w:rsidRPr="00903E1C" w14:paraId="6998652F" w14:textId="77777777" w:rsidTr="000A7F6B">
        <w:tc>
          <w:tcPr>
            <w:tcW w:w="0" w:type="auto"/>
          </w:tcPr>
          <w:p w14:paraId="0F08F6A0" w14:textId="77777777" w:rsidR="00DD7590" w:rsidRPr="00903E1C" w:rsidRDefault="00DD7590" w:rsidP="00305BF2">
            <w:pPr>
              <w:pStyle w:val="COMTabletext"/>
              <w:rPr>
                <w:szCs w:val="20"/>
              </w:rPr>
            </w:pPr>
            <w:r w:rsidRPr="00903E1C">
              <w:rPr>
                <w:szCs w:val="20"/>
              </w:rPr>
              <w:t>SA.2 Utility increments/decrements are 80% of July 2023 base</w:t>
            </w:r>
            <w:r w:rsidRPr="00903E1C">
              <w:rPr>
                <w:szCs w:val="20"/>
              </w:rPr>
              <w:noBreakHyphen/>
              <w:t>case values</w:t>
            </w:r>
          </w:p>
        </w:tc>
        <w:tc>
          <w:tcPr>
            <w:tcW w:w="0" w:type="auto"/>
            <w:shd w:val="solid" w:color="000000" w:fill="000000"/>
          </w:tcPr>
          <w:p w14:paraId="65EA0588" w14:textId="1022A484" w:rsidR="00DD7590" w:rsidRPr="00B80329" w:rsidRDefault="000A7F6B" w:rsidP="00305BF2">
            <w:pPr>
              <w:jc w:val="right"/>
              <w:rPr>
                <w:rFonts w:ascii="Arial Narrow" w:hAnsi="Arial Narrow" w:cs="Calibri"/>
                <w:color w:val="000000"/>
                <w:sz w:val="20"/>
                <w:szCs w:val="20"/>
                <w:highlight w:val="darkGray"/>
              </w:rPr>
            </w:pPr>
            <w:r w:rsidRPr="000A7F6B">
              <w:rPr>
                <w:rFonts w:ascii="Arial Narrow" w:hAnsi="Arial Narrow" w:cs="Calibri"/>
                <w:color w:val="000000"/>
                <w:sz w:val="20"/>
                <w:szCs w:val="20"/>
                <w14:textFill>
                  <w14:solidFill>
                    <w14:srgbClr w14:val="000000">
                      <w14:alpha w14:val="100000"/>
                    </w14:srgbClr>
                  </w14:solidFill>
                </w14:textFill>
              </w:rPr>
              <w:t>|</w:t>
            </w:r>
          </w:p>
        </w:tc>
        <w:tc>
          <w:tcPr>
            <w:tcW w:w="0" w:type="auto"/>
          </w:tcPr>
          <w:p w14:paraId="5DE30F17" w14:textId="77777777" w:rsidR="00DD7590" w:rsidRPr="00903E1C" w:rsidRDefault="00DD7590" w:rsidP="00305BF2">
            <w:pPr>
              <w:jc w:val="right"/>
              <w:rPr>
                <w:rFonts w:ascii="Arial Narrow" w:hAnsi="Arial Narrow" w:cs="Calibri"/>
                <w:color w:val="000000"/>
                <w:sz w:val="20"/>
                <w:szCs w:val="20"/>
              </w:rPr>
            </w:pPr>
            <w:r w:rsidRPr="00903E1C">
              <w:rPr>
                <w:rFonts w:ascii="Arial Narrow" w:hAnsi="Arial Narrow" w:cs="Calibri"/>
                <w:color w:val="000000"/>
                <w:sz w:val="20"/>
                <w:szCs w:val="20"/>
              </w:rPr>
              <w:t>5.75</w:t>
            </w:r>
          </w:p>
        </w:tc>
        <w:tc>
          <w:tcPr>
            <w:tcW w:w="0" w:type="auto"/>
          </w:tcPr>
          <w:p w14:paraId="6AC6D9A4" w14:textId="56C2DC91" w:rsidR="00DD7590" w:rsidRPr="00B80329" w:rsidRDefault="000A7F6B" w:rsidP="00305BF2">
            <w:pPr>
              <w:jc w:val="right"/>
              <w:rPr>
                <w:rFonts w:ascii="Arial Narrow" w:hAnsi="Arial Narrow" w:cs="Calibri"/>
                <w:color w:val="000000"/>
                <w:sz w:val="20"/>
                <w:szCs w:val="20"/>
                <w:highlight w:val="darkGray"/>
              </w:rPr>
            </w:pPr>
            <w:r w:rsidRPr="000A7F6B">
              <w:rPr>
                <w:rFonts w:ascii="Arial Narrow" w:hAnsi="Arial Narrow" w:cs="Calibri"/>
                <w:color w:val="000000"/>
                <w:sz w:val="20"/>
                <w:szCs w:val="20"/>
                <w:shd w:val="solid" w:color="000000" w:fill="000000"/>
                <w14:textFill>
                  <w14:solidFill>
                    <w14:srgbClr w14:val="000000">
                      <w14:alpha w14:val="100000"/>
                    </w14:srgbClr>
                  </w14:solidFill>
                </w14:textFill>
              </w:rPr>
              <w:t>|</w:t>
            </w:r>
            <w:r w:rsidR="008A255E" w:rsidRPr="00924690">
              <w:rPr>
                <w:rFonts w:ascii="Arial Narrow" w:hAnsi="Arial Narrow" w:cs="Calibri"/>
                <w:color w:val="000000"/>
                <w:sz w:val="20"/>
                <w:szCs w:val="20"/>
                <w:vertAlign w:val="superscript"/>
              </w:rPr>
              <w:t>1</w:t>
            </w:r>
          </w:p>
        </w:tc>
      </w:tr>
    </w:tbl>
    <w:p w14:paraId="340160B3" w14:textId="77777777" w:rsidR="008A255E" w:rsidRPr="00924690" w:rsidRDefault="008A255E" w:rsidP="008A255E">
      <w:pPr>
        <w:rPr>
          <w:rFonts w:ascii="Arial Narrow" w:hAnsi="Arial Narrow"/>
          <w:i/>
          <w:iCs/>
          <w:sz w:val="18"/>
          <w:szCs w:val="18"/>
        </w:rPr>
      </w:pPr>
      <w:r w:rsidRPr="00924690">
        <w:rPr>
          <w:rFonts w:ascii="Arial Narrow" w:hAnsi="Arial Narrow"/>
          <w:i/>
          <w:iCs/>
          <w:sz w:val="18"/>
          <w:szCs w:val="18"/>
        </w:rPr>
        <w:t xml:space="preserve">The redacted values correspond to the following ranges: </w:t>
      </w:r>
    </w:p>
    <w:p w14:paraId="33E78560" w14:textId="77777777" w:rsidR="008A255E" w:rsidRPr="00924690" w:rsidRDefault="008A255E" w:rsidP="008A255E">
      <w:pPr>
        <w:rPr>
          <w:rFonts w:ascii="Arial Narrow" w:hAnsi="Arial Narrow"/>
          <w:i/>
          <w:iCs/>
          <w:sz w:val="18"/>
          <w:szCs w:val="18"/>
        </w:rPr>
      </w:pPr>
      <w:r w:rsidRPr="00924690">
        <w:rPr>
          <w:rFonts w:ascii="Arial Narrow" w:hAnsi="Arial Narrow"/>
          <w:i/>
          <w:iCs/>
          <w:sz w:val="18"/>
          <w:szCs w:val="18"/>
          <w:vertAlign w:val="superscript"/>
        </w:rPr>
        <w:t>1</w:t>
      </w:r>
      <w:r>
        <w:rPr>
          <w:rFonts w:ascii="Arial Narrow" w:hAnsi="Arial Narrow"/>
          <w:i/>
          <w:iCs/>
          <w:sz w:val="18"/>
          <w:szCs w:val="18"/>
        </w:rPr>
        <w:t xml:space="preserve"> </w:t>
      </w:r>
      <w:r w:rsidRPr="008A255E">
        <w:rPr>
          <w:rFonts w:ascii="Arial Narrow" w:hAnsi="Arial Narrow"/>
          <w:i/>
          <w:iCs/>
          <w:sz w:val="18"/>
          <w:szCs w:val="18"/>
        </w:rPr>
        <w:t>$155,000 to &lt; $255,000</w:t>
      </w:r>
    </w:p>
    <w:p w14:paraId="166E989D" w14:textId="77777777" w:rsidR="00DD7590" w:rsidRPr="00903E1C" w:rsidRDefault="00DD7590" w:rsidP="00DD7590"/>
    <w:p w14:paraId="2BE17F07" w14:textId="7AA7C3E8" w:rsidR="00DD7590" w:rsidRPr="00903E1C" w:rsidRDefault="00DD7590" w:rsidP="00DD7590">
      <w:pPr>
        <w:pStyle w:val="COMexecsumnumberedpara"/>
        <w:rPr>
          <w:shd w:val="clear" w:color="auto" w:fill="FFFFFF"/>
        </w:rPr>
      </w:pPr>
      <w:r w:rsidRPr="00903E1C">
        <w:rPr>
          <w:iCs/>
        </w:rPr>
        <w:t xml:space="preserve">The assumed utilisation of patisiran per patient in the economic model was unchanged from the previous consideration. The average number of vials required per patient per </w:t>
      </w:r>
      <w:r w:rsidRPr="00B80329">
        <w:rPr>
          <w:iCs/>
        </w:rPr>
        <w:t xml:space="preserve">administration was calculated to be 2.38, based on the reported weight distribution for the non-V30M population in the APOLLO trial (34-66 kg: 62.0%; 67-99 kg: 34.1%; 100-132 kg: 3.9%), 62% of patients would require </w:t>
      </w:r>
      <w:proofErr w:type="gramStart"/>
      <w:r w:rsidRPr="00B80329">
        <w:rPr>
          <w:iCs/>
        </w:rPr>
        <w:t>2</w:t>
      </w:r>
      <w:proofErr w:type="gramEnd"/>
      <w:r w:rsidRPr="00B80329">
        <w:rPr>
          <w:iCs/>
        </w:rPr>
        <w:t xml:space="preserve"> vials, and 38% of patients would require 3 vials. The submission stated that t</w:t>
      </w:r>
      <w:r w:rsidRPr="00B80329">
        <w:rPr>
          <w:shd w:val="clear" w:color="auto" w:fill="FFFFFF"/>
        </w:rPr>
        <w:t>he Sydney site of the AAN have confirmed</w:t>
      </w:r>
      <w:r w:rsidRPr="00903E1C">
        <w:rPr>
          <w:shd w:val="clear" w:color="auto" w:fill="FFFFFF"/>
        </w:rPr>
        <w:t xml:space="preserve"> the weight distribution is reflective of the Australian symptomatic patient population.</w:t>
      </w:r>
    </w:p>
    <w:p w14:paraId="04D2E7AB" w14:textId="77777777" w:rsidR="00DD7590" w:rsidRPr="00903E1C" w:rsidRDefault="00DD7590" w:rsidP="00DD7590">
      <w:pPr>
        <w:pStyle w:val="3-SubsectionHeading"/>
      </w:pPr>
      <w:r w:rsidRPr="00903E1C">
        <w:t>Estimated PBS usage and financial implications</w:t>
      </w:r>
    </w:p>
    <w:p w14:paraId="2A0E4079" w14:textId="1113A0BB" w:rsidR="00DD7590" w:rsidRPr="00903E1C" w:rsidRDefault="00DD7590" w:rsidP="00DD7590">
      <w:pPr>
        <w:pStyle w:val="3-BodyText"/>
        <w:numPr>
          <w:ilvl w:val="1"/>
          <w:numId w:val="1"/>
        </w:numPr>
        <w:rPr>
          <w:bCs/>
        </w:rPr>
      </w:pPr>
      <w:r w:rsidRPr="00903E1C">
        <w:rPr>
          <w:bCs/>
        </w:rPr>
        <w:t xml:space="preserve">Revised financial estimates </w:t>
      </w:r>
      <w:proofErr w:type="gramStart"/>
      <w:r w:rsidRPr="00903E1C">
        <w:rPr>
          <w:bCs/>
        </w:rPr>
        <w:t>were provided</w:t>
      </w:r>
      <w:proofErr w:type="gramEnd"/>
      <w:r w:rsidRPr="00903E1C">
        <w:rPr>
          <w:bCs/>
        </w:rPr>
        <w:t xml:space="preserve"> as shown in </w:t>
      </w:r>
      <w:r w:rsidRPr="00903E1C">
        <w:rPr>
          <w:bCs/>
        </w:rPr>
        <w:fldChar w:fldCharType="begin" w:fldLock="1"/>
      </w:r>
      <w:r w:rsidRPr="00903E1C">
        <w:rPr>
          <w:bCs/>
        </w:rPr>
        <w:instrText xml:space="preserve"> REF _Ref153295342 \h  \* MERGEFORMAT </w:instrText>
      </w:r>
      <w:r w:rsidRPr="00903E1C">
        <w:rPr>
          <w:bCs/>
        </w:rPr>
      </w:r>
      <w:r w:rsidRPr="00903E1C">
        <w:rPr>
          <w:bCs/>
        </w:rPr>
        <w:fldChar w:fldCharType="separate"/>
      </w:r>
      <w:r w:rsidRPr="00903E1C">
        <w:t xml:space="preserve">Table </w:t>
      </w:r>
      <w:r>
        <w:t>23</w:t>
      </w:r>
      <w:r w:rsidRPr="00903E1C">
        <w:rPr>
          <w:bCs/>
        </w:rPr>
        <w:fldChar w:fldCharType="end"/>
      </w:r>
      <w:r w:rsidRPr="00903E1C">
        <w:rPr>
          <w:bCs/>
        </w:rPr>
        <w:t xml:space="preserve">. The estimated numbers of treated patients were consistent with the September resubmission, see paragraph </w:t>
      </w:r>
      <w:r w:rsidRPr="00903E1C">
        <w:rPr>
          <w:bCs/>
        </w:rPr>
        <w:fldChar w:fldCharType="begin" w:fldLock="1"/>
      </w:r>
      <w:r w:rsidRPr="00903E1C">
        <w:rPr>
          <w:bCs/>
        </w:rPr>
        <w:instrText xml:space="preserve"> REF _Ref146727192 \r \h  \* MERGEFORMAT </w:instrText>
      </w:r>
      <w:r w:rsidRPr="00903E1C">
        <w:rPr>
          <w:bCs/>
        </w:rPr>
      </w:r>
      <w:r w:rsidRPr="00903E1C">
        <w:rPr>
          <w:bCs/>
        </w:rPr>
        <w:fldChar w:fldCharType="separate"/>
      </w:r>
      <w:r>
        <w:rPr>
          <w:bCs/>
        </w:rPr>
        <w:t>1</w:t>
      </w:r>
      <w:r w:rsidR="00C31834">
        <w:rPr>
          <w:bCs/>
        </w:rPr>
        <w:t>3</w:t>
      </w:r>
      <w:r>
        <w:rPr>
          <w:bCs/>
        </w:rPr>
        <w:t>.5</w:t>
      </w:r>
      <w:r w:rsidRPr="00903E1C">
        <w:rPr>
          <w:bCs/>
        </w:rPr>
        <w:fldChar w:fldCharType="end"/>
      </w:r>
      <w:r w:rsidRPr="00903E1C">
        <w:rPr>
          <w:bCs/>
        </w:rPr>
        <w:t xml:space="preserve">). </w:t>
      </w:r>
    </w:p>
    <w:p w14:paraId="7FCC2204" w14:textId="77777777" w:rsidR="00DD7590" w:rsidRPr="00903E1C" w:rsidRDefault="00DD7590" w:rsidP="00DD7590">
      <w:pPr>
        <w:pStyle w:val="3-BodyText"/>
        <w:numPr>
          <w:ilvl w:val="1"/>
          <w:numId w:val="1"/>
        </w:numPr>
        <w:rPr>
          <w:bCs/>
        </w:rPr>
      </w:pPr>
      <w:r w:rsidRPr="00903E1C">
        <w:rPr>
          <w:bCs/>
        </w:rPr>
        <w:t xml:space="preserve">The estimates assumed an average of 40.11 vials per patient per year, which reflected an assumption of 100% treatment persistence over the first 6 years of listing. The PBAC considered this was not appropriate, noting that </w:t>
      </w:r>
      <w:r w:rsidRPr="00903E1C">
        <w:rPr>
          <w:iCs/>
        </w:rPr>
        <w:t xml:space="preserve">the proportion of patients on treatment (persistence) in the economic model ranged from 94% in Year 1 to 57% in Year 6 (inclusive of half cycle correction, see </w:t>
      </w:r>
      <w:r w:rsidRPr="00903E1C">
        <w:rPr>
          <w:iCs/>
        </w:rPr>
        <w:fldChar w:fldCharType="begin" w:fldLock="1"/>
      </w:r>
      <w:r w:rsidRPr="00903E1C">
        <w:rPr>
          <w:iCs/>
        </w:rPr>
        <w:instrText xml:space="preserve"> REF _Ref132583386 \h  \* MERGEFORMAT </w:instrText>
      </w:r>
      <w:r w:rsidRPr="00903E1C">
        <w:rPr>
          <w:iCs/>
        </w:rPr>
      </w:r>
      <w:r w:rsidRPr="00903E1C">
        <w:rPr>
          <w:iCs/>
        </w:rPr>
        <w:fldChar w:fldCharType="separate"/>
      </w:r>
      <w:r w:rsidRPr="00903E1C">
        <w:t xml:space="preserve">Table </w:t>
      </w:r>
      <w:r>
        <w:t>14</w:t>
      </w:r>
      <w:r w:rsidRPr="00903E1C">
        <w:rPr>
          <w:iCs/>
        </w:rPr>
        <w:fldChar w:fldCharType="end"/>
      </w:r>
      <w:r w:rsidRPr="00903E1C">
        <w:rPr>
          <w:iCs/>
        </w:rPr>
        <w:t xml:space="preserve">). The PBAC advised that the financial estimates should </w:t>
      </w:r>
      <w:proofErr w:type="gramStart"/>
      <w:r w:rsidRPr="00903E1C">
        <w:rPr>
          <w:iCs/>
        </w:rPr>
        <w:t>be revised</w:t>
      </w:r>
      <w:proofErr w:type="gramEnd"/>
      <w:r w:rsidRPr="00903E1C">
        <w:rPr>
          <w:iCs/>
        </w:rPr>
        <w:t xml:space="preserve"> to </w:t>
      </w:r>
      <w:r w:rsidRPr="00903E1C">
        <w:rPr>
          <w:iCs/>
        </w:rPr>
        <w:lastRenderedPageBreak/>
        <w:t xml:space="preserve">reflect a discontinuation rate as shown in </w:t>
      </w:r>
      <w:r w:rsidRPr="00903E1C">
        <w:rPr>
          <w:bCs/>
        </w:rPr>
        <w:fldChar w:fldCharType="begin" w:fldLock="1"/>
      </w:r>
      <w:r w:rsidRPr="00903E1C">
        <w:rPr>
          <w:bCs/>
        </w:rPr>
        <w:instrText xml:space="preserve"> REF _Ref153295342 \h  \* MERGEFORMAT </w:instrText>
      </w:r>
      <w:r w:rsidRPr="00903E1C">
        <w:rPr>
          <w:bCs/>
        </w:rPr>
      </w:r>
      <w:r w:rsidRPr="00903E1C">
        <w:rPr>
          <w:bCs/>
        </w:rPr>
        <w:fldChar w:fldCharType="separate"/>
      </w:r>
      <w:r w:rsidRPr="00903E1C">
        <w:t xml:space="preserve">Table </w:t>
      </w:r>
      <w:r>
        <w:t>23</w:t>
      </w:r>
      <w:r w:rsidRPr="00903E1C">
        <w:rPr>
          <w:bCs/>
        </w:rPr>
        <w:fldChar w:fldCharType="end"/>
      </w:r>
      <w:r w:rsidRPr="00903E1C">
        <w:rPr>
          <w:bCs/>
        </w:rPr>
        <w:t>.</w:t>
      </w:r>
    </w:p>
    <w:p w14:paraId="5541FF45" w14:textId="77777777" w:rsidR="00DD7590" w:rsidRPr="00903E1C" w:rsidRDefault="00DD7590" w:rsidP="00DD7590">
      <w:pPr>
        <w:pStyle w:val="COMtablefigcaption"/>
        <w:rPr>
          <w:b w:val="0"/>
        </w:rPr>
      </w:pPr>
      <w:bookmarkStart w:id="122" w:name="_Ref153295342"/>
      <w:r w:rsidRPr="00903E1C">
        <w:t xml:space="preserve">Table </w:t>
      </w:r>
      <w:fldSimple w:instr=" SEQ Table \* ARABIC " w:fldLock="1">
        <w:r>
          <w:rPr>
            <w:noProof/>
          </w:rPr>
          <w:t>23</w:t>
        </w:r>
      </w:fldSimple>
      <w:bookmarkEnd w:id="122"/>
      <w:r w:rsidRPr="00903E1C">
        <w:t>: Estimated utilisation and net cost of listing patisiran (effective price)</w:t>
      </w:r>
      <w:r w:rsidRPr="00903E1C">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3: Estimated utilisation and net cost of listing patisiran (effective price)"/>
        <w:tblDescription w:val="Table 23: Estimated utilisation and net cost of listing patisiran (effective price)"/>
      </w:tblPr>
      <w:tblGrid>
        <w:gridCol w:w="2115"/>
        <w:gridCol w:w="1089"/>
        <w:gridCol w:w="1089"/>
        <w:gridCol w:w="1181"/>
        <w:gridCol w:w="1181"/>
        <w:gridCol w:w="1181"/>
        <w:gridCol w:w="1181"/>
      </w:tblGrid>
      <w:tr w:rsidR="00DD7590" w:rsidRPr="00903E1C" w14:paraId="15E13D98" w14:textId="77777777" w:rsidTr="00305BF2">
        <w:trPr>
          <w:tblHeader/>
        </w:trPr>
        <w:tc>
          <w:tcPr>
            <w:tcW w:w="1172" w:type="pct"/>
            <w:shd w:val="clear" w:color="auto" w:fill="auto"/>
            <w:vAlign w:val="center"/>
          </w:tcPr>
          <w:p w14:paraId="5FEAD1CE" w14:textId="77777777" w:rsidR="00DD7590" w:rsidRPr="00903E1C" w:rsidRDefault="00DD7590" w:rsidP="00305BF2">
            <w:pPr>
              <w:pStyle w:val="COMTableheadingrow"/>
              <w:rPr>
                <w:szCs w:val="20"/>
                <w:lang w:val="en-AU"/>
              </w:rPr>
            </w:pPr>
          </w:p>
        </w:tc>
        <w:tc>
          <w:tcPr>
            <w:tcW w:w="604" w:type="pct"/>
            <w:shd w:val="clear" w:color="auto" w:fill="auto"/>
            <w:vAlign w:val="center"/>
          </w:tcPr>
          <w:p w14:paraId="4E7FC093" w14:textId="77777777" w:rsidR="00DD7590" w:rsidRPr="00903E1C" w:rsidRDefault="00DD7590" w:rsidP="00305BF2">
            <w:pPr>
              <w:pStyle w:val="COMTableheadingrow"/>
              <w:jc w:val="center"/>
              <w:rPr>
                <w:szCs w:val="20"/>
                <w:lang w:val="en-AU"/>
              </w:rPr>
            </w:pPr>
            <w:r w:rsidRPr="00903E1C">
              <w:rPr>
                <w:szCs w:val="20"/>
                <w:lang w:val="en-AU"/>
              </w:rPr>
              <w:t>Year 1</w:t>
            </w:r>
          </w:p>
        </w:tc>
        <w:tc>
          <w:tcPr>
            <w:tcW w:w="604" w:type="pct"/>
            <w:shd w:val="clear" w:color="auto" w:fill="auto"/>
            <w:vAlign w:val="center"/>
          </w:tcPr>
          <w:p w14:paraId="160BA118" w14:textId="77777777" w:rsidR="00DD7590" w:rsidRPr="00903E1C" w:rsidRDefault="00DD7590" w:rsidP="00305BF2">
            <w:pPr>
              <w:pStyle w:val="COMTableheadingrow"/>
              <w:jc w:val="center"/>
              <w:rPr>
                <w:szCs w:val="20"/>
                <w:lang w:val="en-AU"/>
              </w:rPr>
            </w:pPr>
            <w:r w:rsidRPr="00903E1C">
              <w:rPr>
                <w:szCs w:val="20"/>
                <w:lang w:val="en-AU"/>
              </w:rPr>
              <w:t>Year 2</w:t>
            </w:r>
          </w:p>
        </w:tc>
        <w:tc>
          <w:tcPr>
            <w:tcW w:w="655" w:type="pct"/>
            <w:shd w:val="clear" w:color="auto" w:fill="auto"/>
            <w:vAlign w:val="center"/>
          </w:tcPr>
          <w:p w14:paraId="572FD974" w14:textId="77777777" w:rsidR="00DD7590" w:rsidRPr="00903E1C" w:rsidRDefault="00DD7590" w:rsidP="00305BF2">
            <w:pPr>
              <w:pStyle w:val="COMTableheadingrow"/>
              <w:jc w:val="center"/>
              <w:rPr>
                <w:szCs w:val="20"/>
                <w:lang w:val="en-AU"/>
              </w:rPr>
            </w:pPr>
            <w:r w:rsidRPr="00903E1C">
              <w:rPr>
                <w:szCs w:val="20"/>
                <w:lang w:val="en-AU"/>
              </w:rPr>
              <w:t>Year 3</w:t>
            </w:r>
          </w:p>
        </w:tc>
        <w:tc>
          <w:tcPr>
            <w:tcW w:w="655" w:type="pct"/>
            <w:shd w:val="clear" w:color="auto" w:fill="auto"/>
            <w:vAlign w:val="center"/>
          </w:tcPr>
          <w:p w14:paraId="61B618C5" w14:textId="77777777" w:rsidR="00DD7590" w:rsidRPr="00903E1C" w:rsidRDefault="00DD7590" w:rsidP="00305BF2">
            <w:pPr>
              <w:pStyle w:val="COMTableheadingrow"/>
              <w:jc w:val="center"/>
              <w:rPr>
                <w:szCs w:val="20"/>
                <w:lang w:val="en-AU"/>
              </w:rPr>
            </w:pPr>
            <w:r w:rsidRPr="00903E1C">
              <w:rPr>
                <w:szCs w:val="20"/>
                <w:lang w:val="en-AU"/>
              </w:rPr>
              <w:t>Year 4</w:t>
            </w:r>
          </w:p>
        </w:tc>
        <w:tc>
          <w:tcPr>
            <w:tcW w:w="655" w:type="pct"/>
            <w:shd w:val="clear" w:color="auto" w:fill="auto"/>
            <w:vAlign w:val="center"/>
          </w:tcPr>
          <w:p w14:paraId="21E13168" w14:textId="77777777" w:rsidR="00DD7590" w:rsidRPr="00903E1C" w:rsidRDefault="00DD7590" w:rsidP="00305BF2">
            <w:pPr>
              <w:pStyle w:val="COMTableheadingrow"/>
              <w:jc w:val="center"/>
              <w:rPr>
                <w:szCs w:val="20"/>
                <w:lang w:val="en-AU"/>
              </w:rPr>
            </w:pPr>
            <w:r w:rsidRPr="00903E1C">
              <w:rPr>
                <w:szCs w:val="20"/>
                <w:lang w:val="en-AU"/>
              </w:rPr>
              <w:t>Year 5</w:t>
            </w:r>
          </w:p>
        </w:tc>
        <w:tc>
          <w:tcPr>
            <w:tcW w:w="653" w:type="pct"/>
            <w:shd w:val="clear" w:color="auto" w:fill="auto"/>
            <w:vAlign w:val="center"/>
          </w:tcPr>
          <w:p w14:paraId="57313593" w14:textId="77777777" w:rsidR="00DD7590" w:rsidRPr="00903E1C" w:rsidRDefault="00DD7590" w:rsidP="00305BF2">
            <w:pPr>
              <w:pStyle w:val="COMTableheadingrow"/>
              <w:jc w:val="center"/>
              <w:rPr>
                <w:szCs w:val="20"/>
                <w:lang w:val="en-AU"/>
              </w:rPr>
            </w:pPr>
            <w:r w:rsidRPr="00903E1C">
              <w:rPr>
                <w:szCs w:val="20"/>
                <w:lang w:val="en-AU"/>
              </w:rPr>
              <w:t>Year 6</w:t>
            </w:r>
          </w:p>
        </w:tc>
      </w:tr>
      <w:tr w:rsidR="00DD7590" w:rsidRPr="00903E1C" w14:paraId="36872FA5" w14:textId="77777777" w:rsidTr="00305BF2">
        <w:trPr>
          <w:tblHeader/>
        </w:trPr>
        <w:tc>
          <w:tcPr>
            <w:tcW w:w="5000" w:type="pct"/>
            <w:gridSpan w:val="7"/>
            <w:shd w:val="clear" w:color="auto" w:fill="auto"/>
            <w:vAlign w:val="center"/>
          </w:tcPr>
          <w:p w14:paraId="7D04A6FD" w14:textId="77777777" w:rsidR="00DD7590" w:rsidRPr="00903E1C" w:rsidRDefault="00DD7590" w:rsidP="00305BF2">
            <w:pPr>
              <w:pStyle w:val="COMTabletext"/>
              <w:rPr>
                <w:b/>
                <w:szCs w:val="20"/>
              </w:rPr>
            </w:pPr>
            <w:r w:rsidRPr="00903E1C">
              <w:rPr>
                <w:b/>
                <w:szCs w:val="20"/>
              </w:rPr>
              <w:t>Submitted estimates</w:t>
            </w:r>
          </w:p>
        </w:tc>
      </w:tr>
      <w:tr w:rsidR="00DD7590" w:rsidRPr="00903E1C" w14:paraId="29B3610F" w14:textId="77777777" w:rsidTr="00305BF2">
        <w:tc>
          <w:tcPr>
            <w:tcW w:w="1172" w:type="pct"/>
            <w:shd w:val="clear" w:color="auto" w:fill="auto"/>
            <w:vAlign w:val="bottom"/>
          </w:tcPr>
          <w:p w14:paraId="7B3BB0F8" w14:textId="77777777" w:rsidR="00DD7590" w:rsidRPr="00903E1C" w:rsidRDefault="00DD7590" w:rsidP="00305BF2">
            <w:pPr>
              <w:pStyle w:val="COMTabletext"/>
              <w:rPr>
                <w:b/>
                <w:bCs w:val="0"/>
                <w:szCs w:val="20"/>
              </w:rPr>
            </w:pPr>
            <w:r w:rsidRPr="00903E1C">
              <w:rPr>
                <w:szCs w:val="20"/>
              </w:rPr>
              <w:t>Total treated patients</w:t>
            </w:r>
          </w:p>
        </w:tc>
        <w:tc>
          <w:tcPr>
            <w:tcW w:w="604" w:type="pct"/>
            <w:shd w:val="clear" w:color="auto" w:fill="auto"/>
          </w:tcPr>
          <w:p w14:paraId="3C0106BE" w14:textId="775F36B2"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511"/>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511"/>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511"/>
                <w14:textFill>
                  <w14:solidFill>
                    <w14:srgbClr w14:val="000000">
                      <w14:alpha w14:val="100000"/>
                    </w14:srgbClr>
                  </w14:solidFill>
                </w14:textFill>
              </w:rPr>
              <w:t xml:space="preserve">　</w:t>
            </w:r>
            <w:r w:rsidR="008A255E" w:rsidRPr="00B80329">
              <w:rPr>
                <w:rFonts w:cstheme="minorHAnsi"/>
                <w:bCs w:val="0"/>
                <w:color w:val="000000"/>
                <w:szCs w:val="20"/>
                <w:vertAlign w:val="superscript"/>
              </w:rPr>
              <w:t>1</w:t>
            </w:r>
          </w:p>
        </w:tc>
        <w:tc>
          <w:tcPr>
            <w:tcW w:w="604" w:type="pct"/>
            <w:shd w:val="clear" w:color="auto" w:fill="auto"/>
          </w:tcPr>
          <w:p w14:paraId="0E6C6930" w14:textId="60D67C07"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510"/>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510"/>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510"/>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700C18D2" w14:textId="343DEB6A"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09"/>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09"/>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09"/>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1B212DF2" w14:textId="53F0E71A"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08"/>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08"/>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08"/>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62EC67EA" w14:textId="35943E3E"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07"/>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07"/>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07"/>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3" w:type="pct"/>
            <w:shd w:val="clear" w:color="auto" w:fill="auto"/>
          </w:tcPr>
          <w:p w14:paraId="225B7565" w14:textId="48E5F4A8"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06"/>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06"/>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06"/>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r>
      <w:tr w:rsidR="00DD7590" w:rsidRPr="00903E1C" w14:paraId="0C3A5BC9" w14:textId="77777777" w:rsidTr="00305BF2">
        <w:tc>
          <w:tcPr>
            <w:tcW w:w="1172" w:type="pct"/>
            <w:shd w:val="clear" w:color="auto" w:fill="auto"/>
            <w:vAlign w:val="bottom"/>
          </w:tcPr>
          <w:p w14:paraId="619F4D38" w14:textId="77777777" w:rsidR="00DD7590" w:rsidRPr="00903E1C" w:rsidRDefault="00DD7590" w:rsidP="00305BF2">
            <w:pPr>
              <w:pStyle w:val="COMTabletext"/>
              <w:rPr>
                <w:szCs w:val="20"/>
              </w:rPr>
            </w:pPr>
            <w:r w:rsidRPr="00903E1C">
              <w:rPr>
                <w:szCs w:val="20"/>
              </w:rPr>
              <w:t>Discontinuation</w:t>
            </w:r>
          </w:p>
        </w:tc>
        <w:tc>
          <w:tcPr>
            <w:tcW w:w="604" w:type="pct"/>
            <w:shd w:val="clear" w:color="auto" w:fill="auto"/>
          </w:tcPr>
          <w:p w14:paraId="37625634"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c>
          <w:tcPr>
            <w:tcW w:w="604" w:type="pct"/>
            <w:shd w:val="clear" w:color="auto" w:fill="auto"/>
          </w:tcPr>
          <w:p w14:paraId="5291E234"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c>
          <w:tcPr>
            <w:tcW w:w="655" w:type="pct"/>
            <w:shd w:val="clear" w:color="auto" w:fill="auto"/>
          </w:tcPr>
          <w:p w14:paraId="419FD283"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c>
          <w:tcPr>
            <w:tcW w:w="655" w:type="pct"/>
            <w:shd w:val="clear" w:color="auto" w:fill="auto"/>
          </w:tcPr>
          <w:p w14:paraId="2B5BBB77"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c>
          <w:tcPr>
            <w:tcW w:w="655" w:type="pct"/>
            <w:shd w:val="clear" w:color="auto" w:fill="auto"/>
          </w:tcPr>
          <w:p w14:paraId="79338FD4"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c>
          <w:tcPr>
            <w:tcW w:w="653" w:type="pct"/>
            <w:shd w:val="clear" w:color="auto" w:fill="auto"/>
          </w:tcPr>
          <w:p w14:paraId="4A21C2C8"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0%</w:t>
            </w:r>
          </w:p>
        </w:tc>
      </w:tr>
      <w:tr w:rsidR="00DD7590" w:rsidRPr="00903E1C" w14:paraId="327106ED" w14:textId="77777777" w:rsidTr="00305BF2">
        <w:tc>
          <w:tcPr>
            <w:tcW w:w="1172" w:type="pct"/>
            <w:shd w:val="clear" w:color="auto" w:fill="auto"/>
            <w:vAlign w:val="bottom"/>
          </w:tcPr>
          <w:p w14:paraId="35DFDB6D" w14:textId="77777777" w:rsidR="00DD7590" w:rsidRPr="00903E1C" w:rsidRDefault="00DD7590" w:rsidP="00305BF2">
            <w:pPr>
              <w:pStyle w:val="COMTabletext"/>
              <w:rPr>
                <w:szCs w:val="20"/>
              </w:rPr>
            </w:pPr>
            <w:r w:rsidRPr="00903E1C">
              <w:rPr>
                <w:szCs w:val="20"/>
              </w:rPr>
              <w:t>Scripts per patient per year</w:t>
            </w:r>
          </w:p>
        </w:tc>
        <w:tc>
          <w:tcPr>
            <w:tcW w:w="604" w:type="pct"/>
            <w:shd w:val="clear" w:color="auto" w:fill="auto"/>
          </w:tcPr>
          <w:p w14:paraId="67F1C148"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c>
          <w:tcPr>
            <w:tcW w:w="604" w:type="pct"/>
            <w:shd w:val="clear" w:color="auto" w:fill="auto"/>
          </w:tcPr>
          <w:p w14:paraId="4090DB72"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c>
          <w:tcPr>
            <w:tcW w:w="655" w:type="pct"/>
            <w:shd w:val="clear" w:color="auto" w:fill="auto"/>
          </w:tcPr>
          <w:p w14:paraId="103F7AA9"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c>
          <w:tcPr>
            <w:tcW w:w="655" w:type="pct"/>
            <w:shd w:val="clear" w:color="auto" w:fill="auto"/>
          </w:tcPr>
          <w:p w14:paraId="6E515B7E"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c>
          <w:tcPr>
            <w:tcW w:w="655" w:type="pct"/>
            <w:shd w:val="clear" w:color="auto" w:fill="auto"/>
          </w:tcPr>
          <w:p w14:paraId="422FD028"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c>
          <w:tcPr>
            <w:tcW w:w="653" w:type="pct"/>
            <w:shd w:val="clear" w:color="auto" w:fill="auto"/>
          </w:tcPr>
          <w:p w14:paraId="3F517136"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13.37</w:t>
            </w:r>
          </w:p>
        </w:tc>
      </w:tr>
      <w:tr w:rsidR="00DD7590" w:rsidRPr="00903E1C" w14:paraId="607BF329" w14:textId="77777777" w:rsidTr="00305BF2">
        <w:tc>
          <w:tcPr>
            <w:tcW w:w="1172" w:type="pct"/>
            <w:shd w:val="clear" w:color="auto" w:fill="auto"/>
          </w:tcPr>
          <w:p w14:paraId="35237190" w14:textId="77777777" w:rsidR="00DD7590" w:rsidRPr="00903E1C" w:rsidRDefault="00DD7590" w:rsidP="00305BF2">
            <w:pPr>
              <w:pStyle w:val="COMTabletext"/>
              <w:rPr>
                <w:b/>
                <w:bCs w:val="0"/>
                <w:szCs w:val="20"/>
              </w:rPr>
            </w:pPr>
            <w:r w:rsidRPr="00903E1C">
              <w:rPr>
                <w:szCs w:val="20"/>
              </w:rPr>
              <w:t>Total scripts</w:t>
            </w:r>
          </w:p>
        </w:tc>
        <w:tc>
          <w:tcPr>
            <w:tcW w:w="604" w:type="pct"/>
            <w:shd w:val="clear" w:color="auto" w:fill="auto"/>
          </w:tcPr>
          <w:p w14:paraId="2BC87562" w14:textId="6E44D4AA"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505"/>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505"/>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505"/>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c>
          <w:tcPr>
            <w:tcW w:w="604" w:type="pct"/>
            <w:shd w:val="clear" w:color="auto" w:fill="auto"/>
          </w:tcPr>
          <w:p w14:paraId="444C02CC" w14:textId="00C7D962"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504"/>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504"/>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504"/>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c>
          <w:tcPr>
            <w:tcW w:w="655" w:type="pct"/>
            <w:shd w:val="clear" w:color="auto" w:fill="auto"/>
          </w:tcPr>
          <w:p w14:paraId="33142FEA" w14:textId="55087620"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20"/>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20"/>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20"/>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c>
          <w:tcPr>
            <w:tcW w:w="655" w:type="pct"/>
            <w:shd w:val="clear" w:color="auto" w:fill="auto"/>
          </w:tcPr>
          <w:p w14:paraId="287EFBC0" w14:textId="44DFA905"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19"/>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19"/>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19"/>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c>
          <w:tcPr>
            <w:tcW w:w="655" w:type="pct"/>
            <w:shd w:val="clear" w:color="auto" w:fill="auto"/>
          </w:tcPr>
          <w:p w14:paraId="2A8CC320" w14:textId="018B2E31"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18"/>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18"/>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18"/>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c>
          <w:tcPr>
            <w:tcW w:w="653" w:type="pct"/>
            <w:shd w:val="clear" w:color="auto" w:fill="auto"/>
          </w:tcPr>
          <w:p w14:paraId="75267C50" w14:textId="4F9CFA48"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517"/>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517"/>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517"/>
                <w14:textFill>
                  <w14:solidFill>
                    <w14:srgbClr w14:val="000000">
                      <w14:alpha w14:val="100000"/>
                    </w14:srgbClr>
                  </w14:solidFill>
                </w14:textFill>
              </w:rPr>
              <w:t xml:space="preserve">　</w:t>
            </w:r>
            <w:r w:rsidR="008A255E">
              <w:rPr>
                <w:rFonts w:cstheme="minorHAnsi"/>
                <w:bCs w:val="0"/>
                <w:color w:val="000000"/>
                <w:szCs w:val="20"/>
                <w:vertAlign w:val="superscript"/>
              </w:rPr>
              <w:t>2</w:t>
            </w:r>
            <w:r w:rsidRPr="000A7F6B">
              <w:rPr>
                <w:rFonts w:cstheme="minorHAnsi"/>
                <w:bCs w:val="0"/>
                <w:szCs w:val="20"/>
              </w:rPr>
              <w:t xml:space="preserve"> </w:t>
            </w:r>
          </w:p>
        </w:tc>
      </w:tr>
      <w:tr w:rsidR="00DD7590" w:rsidRPr="00903E1C" w14:paraId="257529D5" w14:textId="77777777" w:rsidTr="00305BF2">
        <w:tc>
          <w:tcPr>
            <w:tcW w:w="1172" w:type="pct"/>
            <w:shd w:val="clear" w:color="auto" w:fill="auto"/>
          </w:tcPr>
          <w:p w14:paraId="0E2C4D88" w14:textId="77777777" w:rsidR="00DD7590" w:rsidRPr="00903E1C" w:rsidRDefault="00DD7590" w:rsidP="00305BF2">
            <w:pPr>
              <w:pStyle w:val="COMTabletext"/>
              <w:rPr>
                <w:b/>
                <w:bCs w:val="0"/>
                <w:szCs w:val="20"/>
              </w:rPr>
            </w:pPr>
            <w:r w:rsidRPr="00903E1C">
              <w:rPr>
                <w:szCs w:val="20"/>
              </w:rPr>
              <w:t>Total vials</w:t>
            </w:r>
          </w:p>
        </w:tc>
        <w:tc>
          <w:tcPr>
            <w:tcW w:w="604" w:type="pct"/>
            <w:shd w:val="clear" w:color="auto" w:fill="auto"/>
          </w:tcPr>
          <w:p w14:paraId="54A70185" w14:textId="2480B58E"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color w:val="000000"/>
                <w:w w:val="27"/>
                <w:szCs w:val="20"/>
                <w:shd w:val="solid" w:color="000000" w:fill="000000"/>
                <w:fitText w:val="120" w:id="-1013195516"/>
                <w14:textFill>
                  <w14:solidFill>
                    <w14:srgbClr w14:val="000000">
                      <w14:alpha w14:val="100000"/>
                    </w14:srgbClr>
                  </w14:solidFill>
                </w14:textFill>
              </w:rPr>
              <w:t xml:space="preserve">　</w:t>
            </w:r>
            <w:r w:rsidRPr="000A7F6B">
              <w:rPr>
                <w:rFonts w:cstheme="minorHAnsi"/>
                <w:color w:val="000000"/>
                <w:w w:val="27"/>
                <w:szCs w:val="20"/>
                <w:shd w:val="solid" w:color="000000" w:fill="000000"/>
                <w:fitText w:val="120" w:id="-1013195516"/>
                <w14:textFill>
                  <w14:solidFill>
                    <w14:srgbClr w14:val="000000">
                      <w14:alpha w14:val="100000"/>
                    </w14:srgbClr>
                  </w14:solidFill>
                </w14:textFill>
              </w:rPr>
              <w:t>|</w:t>
            </w:r>
            <w:r w:rsidRPr="000A7F6B">
              <w:rPr>
                <w:rFonts w:cstheme="minorHAnsi" w:hint="eastAsia"/>
                <w:color w:val="000000"/>
                <w:spacing w:val="2"/>
                <w:w w:val="27"/>
                <w:szCs w:val="20"/>
                <w:shd w:val="solid" w:color="000000" w:fill="000000"/>
                <w:fitText w:val="120" w:id="-1013195516"/>
                <w14:textFill>
                  <w14:solidFill>
                    <w14:srgbClr w14:val="000000">
                      <w14:alpha w14:val="100000"/>
                    </w14:srgbClr>
                  </w14:solidFill>
                </w14:textFill>
              </w:rPr>
              <w:t xml:space="preserve">　</w:t>
            </w:r>
            <w:r w:rsidR="008A255E">
              <w:rPr>
                <w:rFonts w:cstheme="minorHAnsi"/>
                <w:szCs w:val="20"/>
              </w:rPr>
              <w:t>N</w:t>
            </w:r>
            <w:r w:rsidR="008A255E">
              <w:rPr>
                <w:rFonts w:cstheme="minorHAnsi"/>
                <w:bCs w:val="0"/>
                <w:color w:val="000000"/>
                <w:szCs w:val="20"/>
                <w:vertAlign w:val="superscript"/>
              </w:rPr>
              <w:t>2</w:t>
            </w:r>
          </w:p>
        </w:tc>
        <w:tc>
          <w:tcPr>
            <w:tcW w:w="604" w:type="pct"/>
            <w:shd w:val="clear" w:color="auto" w:fill="auto"/>
          </w:tcPr>
          <w:p w14:paraId="25F21E1D" w14:textId="41DE61C3"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color w:val="000000"/>
                <w:w w:val="15"/>
                <w:szCs w:val="20"/>
                <w:shd w:val="solid" w:color="000000" w:fill="000000"/>
                <w:fitText w:val="60" w:id="-1013195515"/>
                <w14:textFill>
                  <w14:solidFill>
                    <w14:srgbClr w14:val="000000">
                      <w14:alpha w14:val="100000"/>
                    </w14:srgbClr>
                  </w14:solidFill>
                </w14:textFill>
              </w:rPr>
              <w:t xml:space="preserve">　</w:t>
            </w:r>
            <w:r w:rsidRPr="000A7F6B">
              <w:rPr>
                <w:rFonts w:cstheme="minorHAnsi"/>
                <w:color w:val="000000"/>
                <w:w w:val="15"/>
                <w:szCs w:val="20"/>
                <w:shd w:val="solid" w:color="000000" w:fill="000000"/>
                <w:fitText w:val="60" w:id="-1013195515"/>
                <w14:textFill>
                  <w14:solidFill>
                    <w14:srgbClr w14:val="000000">
                      <w14:alpha w14:val="100000"/>
                    </w14:srgbClr>
                  </w14:solidFill>
                </w14:textFill>
              </w:rPr>
              <w:t>|</w:t>
            </w:r>
            <w:r w:rsidRPr="000A7F6B">
              <w:rPr>
                <w:rFonts w:cstheme="minorHAnsi" w:hint="eastAsia"/>
                <w:color w:val="000000"/>
                <w:spacing w:val="-5"/>
                <w:w w:val="15"/>
                <w:szCs w:val="20"/>
                <w:shd w:val="solid" w:color="000000" w:fill="000000"/>
                <w:fitText w:val="60" w:id="-1013195515"/>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tcPr>
          <w:p w14:paraId="547A0D5C" w14:textId="6727F9E6"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color w:val="000000"/>
                <w:w w:val="15"/>
                <w:szCs w:val="20"/>
                <w:shd w:val="solid" w:color="000000" w:fill="000000"/>
                <w:fitText w:val="15" w:id="-1013195514"/>
                <w14:textFill>
                  <w14:solidFill>
                    <w14:srgbClr w14:val="000000">
                      <w14:alpha w14:val="100000"/>
                    </w14:srgbClr>
                  </w14:solidFill>
                </w14:textFill>
              </w:rPr>
              <w:t xml:space="preserve">　</w:t>
            </w:r>
            <w:r w:rsidRPr="00867C25">
              <w:rPr>
                <w:rFonts w:cstheme="minorHAnsi"/>
                <w:color w:val="000000"/>
                <w:w w:val="15"/>
                <w:szCs w:val="20"/>
                <w:shd w:val="solid" w:color="000000" w:fill="000000"/>
                <w:fitText w:val="15" w:id="-1013195514"/>
                <w14:textFill>
                  <w14:solidFill>
                    <w14:srgbClr w14:val="000000">
                      <w14:alpha w14:val="100000"/>
                    </w14:srgbClr>
                  </w14:solidFill>
                </w14:textFill>
              </w:rPr>
              <w:t>|</w:t>
            </w:r>
            <w:r w:rsidRPr="00867C25">
              <w:rPr>
                <w:rFonts w:cstheme="minorHAnsi" w:hint="eastAsia"/>
                <w:color w:val="000000"/>
                <w:spacing w:val="-51"/>
                <w:w w:val="15"/>
                <w:szCs w:val="20"/>
                <w:shd w:val="solid" w:color="000000" w:fill="000000"/>
                <w:fitText w:val="15" w:id="-1013195514"/>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tcPr>
          <w:p w14:paraId="695F5F8E" w14:textId="4F21C46F"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color w:val="000000"/>
                <w:w w:val="15"/>
                <w:szCs w:val="20"/>
                <w:shd w:val="solid" w:color="000000" w:fill="000000"/>
                <w:fitText w:val="15" w:id="-1013195513"/>
                <w14:textFill>
                  <w14:solidFill>
                    <w14:srgbClr w14:val="000000">
                      <w14:alpha w14:val="100000"/>
                    </w14:srgbClr>
                  </w14:solidFill>
                </w14:textFill>
              </w:rPr>
              <w:t xml:space="preserve">　</w:t>
            </w:r>
            <w:r w:rsidRPr="00867C25">
              <w:rPr>
                <w:rFonts w:cstheme="minorHAnsi"/>
                <w:color w:val="000000"/>
                <w:w w:val="15"/>
                <w:szCs w:val="20"/>
                <w:shd w:val="solid" w:color="000000" w:fill="000000"/>
                <w:fitText w:val="15" w:id="-1013195513"/>
                <w14:textFill>
                  <w14:solidFill>
                    <w14:srgbClr w14:val="000000">
                      <w14:alpha w14:val="100000"/>
                    </w14:srgbClr>
                  </w14:solidFill>
                </w14:textFill>
              </w:rPr>
              <w:t>|</w:t>
            </w:r>
            <w:r w:rsidRPr="00867C25">
              <w:rPr>
                <w:rFonts w:cstheme="minorHAnsi" w:hint="eastAsia"/>
                <w:color w:val="000000"/>
                <w:spacing w:val="-51"/>
                <w:w w:val="15"/>
                <w:szCs w:val="20"/>
                <w:shd w:val="solid" w:color="000000" w:fill="000000"/>
                <w:fitText w:val="15" w:id="-1013195513"/>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tcPr>
          <w:p w14:paraId="0AE1C253" w14:textId="5E33FB83"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color w:val="000000"/>
                <w:w w:val="15"/>
                <w:szCs w:val="20"/>
                <w:shd w:val="solid" w:color="000000" w:fill="000000"/>
                <w:fitText w:val="15" w:id="-1013195512"/>
                <w14:textFill>
                  <w14:solidFill>
                    <w14:srgbClr w14:val="000000">
                      <w14:alpha w14:val="100000"/>
                    </w14:srgbClr>
                  </w14:solidFill>
                </w14:textFill>
              </w:rPr>
              <w:t xml:space="preserve">　</w:t>
            </w:r>
            <w:r w:rsidRPr="00867C25">
              <w:rPr>
                <w:rFonts w:cstheme="minorHAnsi"/>
                <w:color w:val="000000"/>
                <w:w w:val="15"/>
                <w:szCs w:val="20"/>
                <w:shd w:val="solid" w:color="000000" w:fill="000000"/>
                <w:fitText w:val="15" w:id="-1013195512"/>
                <w14:textFill>
                  <w14:solidFill>
                    <w14:srgbClr w14:val="000000">
                      <w14:alpha w14:val="100000"/>
                    </w14:srgbClr>
                  </w14:solidFill>
                </w14:textFill>
              </w:rPr>
              <w:t>|</w:t>
            </w:r>
            <w:r w:rsidRPr="00867C25">
              <w:rPr>
                <w:rFonts w:cstheme="minorHAnsi" w:hint="eastAsia"/>
                <w:color w:val="000000"/>
                <w:spacing w:val="-51"/>
                <w:w w:val="15"/>
                <w:szCs w:val="20"/>
                <w:shd w:val="solid" w:color="000000" w:fill="000000"/>
                <w:fitText w:val="15" w:id="-1013195512"/>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3" w:type="pct"/>
            <w:shd w:val="clear" w:color="auto" w:fill="auto"/>
          </w:tcPr>
          <w:p w14:paraId="11E8A7AC" w14:textId="34690096"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color w:val="000000"/>
                <w:w w:val="15"/>
                <w:szCs w:val="20"/>
                <w:shd w:val="solid" w:color="000000" w:fill="000000"/>
                <w:fitText w:val="15" w:id="-1013195264"/>
                <w14:textFill>
                  <w14:solidFill>
                    <w14:srgbClr w14:val="000000">
                      <w14:alpha w14:val="100000"/>
                    </w14:srgbClr>
                  </w14:solidFill>
                </w14:textFill>
              </w:rPr>
              <w:t xml:space="preserve">　</w:t>
            </w:r>
            <w:r w:rsidRPr="00867C25">
              <w:rPr>
                <w:rFonts w:cstheme="minorHAnsi"/>
                <w:color w:val="000000"/>
                <w:w w:val="15"/>
                <w:szCs w:val="20"/>
                <w:shd w:val="solid" w:color="000000" w:fill="000000"/>
                <w:fitText w:val="15" w:id="-1013195264"/>
                <w14:textFill>
                  <w14:solidFill>
                    <w14:srgbClr w14:val="000000">
                      <w14:alpha w14:val="100000"/>
                    </w14:srgbClr>
                  </w14:solidFill>
                </w14:textFill>
              </w:rPr>
              <w:t>|</w:t>
            </w:r>
            <w:r w:rsidRPr="00867C25">
              <w:rPr>
                <w:rFonts w:cstheme="minorHAnsi" w:hint="eastAsia"/>
                <w:color w:val="000000"/>
                <w:spacing w:val="-51"/>
                <w:w w:val="15"/>
                <w:szCs w:val="20"/>
                <w:shd w:val="solid" w:color="000000" w:fill="000000"/>
                <w:fitText w:val="15" w:id="-1013195264"/>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r>
      <w:tr w:rsidR="00DD7590" w:rsidRPr="00903E1C" w14:paraId="2702EC12" w14:textId="77777777" w:rsidTr="00305BF2">
        <w:tc>
          <w:tcPr>
            <w:tcW w:w="1172" w:type="pct"/>
            <w:shd w:val="clear" w:color="auto" w:fill="auto"/>
            <w:vAlign w:val="bottom"/>
          </w:tcPr>
          <w:p w14:paraId="1AD29AA3" w14:textId="77777777" w:rsidR="00DD7590" w:rsidRPr="00903E1C" w:rsidRDefault="00DD7590" w:rsidP="00B80329">
            <w:pPr>
              <w:pStyle w:val="COMTabletext"/>
              <w:rPr>
                <w:szCs w:val="20"/>
              </w:rPr>
            </w:pPr>
            <w:r w:rsidRPr="00903E1C">
              <w:rPr>
                <w:szCs w:val="20"/>
              </w:rPr>
              <w:t>Net cost to PBS/RPBS</w:t>
            </w:r>
          </w:p>
        </w:tc>
        <w:tc>
          <w:tcPr>
            <w:tcW w:w="604" w:type="pct"/>
            <w:shd w:val="clear" w:color="auto" w:fill="auto"/>
          </w:tcPr>
          <w:p w14:paraId="1C8312EB" w14:textId="094B2AC4" w:rsidR="00DD7590" w:rsidRPr="00B80329" w:rsidRDefault="000A7F6B" w:rsidP="00305BF2">
            <w:pPr>
              <w:pStyle w:val="COMTabletext"/>
              <w:jc w:val="center"/>
              <w:rPr>
                <w:szCs w:val="20"/>
                <w:highlight w:val="darkGray"/>
              </w:rPr>
            </w:pPr>
            <w:r w:rsidRPr="000A7F6B">
              <w:rPr>
                <w:rFonts w:hint="eastAsia"/>
                <w:color w:val="000000"/>
                <w:w w:val="15"/>
                <w:szCs w:val="20"/>
                <w:shd w:val="solid" w:color="000000" w:fill="000000"/>
                <w:fitText w:val="60" w:id="-1013195263"/>
                <w14:textFill>
                  <w14:solidFill>
                    <w14:srgbClr w14:val="000000">
                      <w14:alpha w14:val="100000"/>
                    </w14:srgbClr>
                  </w14:solidFill>
                </w14:textFill>
              </w:rPr>
              <w:t xml:space="preserve">　</w:t>
            </w:r>
            <w:r w:rsidRPr="000A7F6B">
              <w:rPr>
                <w:color w:val="000000"/>
                <w:w w:val="15"/>
                <w:szCs w:val="20"/>
                <w:shd w:val="solid" w:color="000000" w:fill="000000"/>
                <w:fitText w:val="60" w:id="-1013195263"/>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5263"/>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tcPr>
          <w:p w14:paraId="6B798195" w14:textId="3C1686AE" w:rsidR="00DD7590" w:rsidRPr="00B80329" w:rsidRDefault="000A7F6B" w:rsidP="00305BF2">
            <w:pPr>
              <w:pStyle w:val="COMTabletext"/>
              <w:jc w:val="center"/>
              <w:rPr>
                <w:szCs w:val="20"/>
                <w:highlight w:val="darkGray"/>
              </w:rPr>
            </w:pPr>
            <w:r w:rsidRPr="000A7F6B">
              <w:rPr>
                <w:rFonts w:hint="eastAsia"/>
                <w:color w:val="000000"/>
                <w:w w:val="15"/>
                <w:szCs w:val="20"/>
                <w:shd w:val="solid" w:color="000000" w:fill="000000"/>
                <w:fitText w:val="60" w:id="-1013195262"/>
                <w14:textFill>
                  <w14:solidFill>
                    <w14:srgbClr w14:val="000000">
                      <w14:alpha w14:val="100000"/>
                    </w14:srgbClr>
                  </w14:solidFill>
                </w14:textFill>
              </w:rPr>
              <w:t xml:space="preserve">　</w:t>
            </w:r>
            <w:r w:rsidRPr="000A7F6B">
              <w:rPr>
                <w:color w:val="000000"/>
                <w:w w:val="15"/>
                <w:szCs w:val="20"/>
                <w:shd w:val="solid" w:color="000000" w:fill="000000"/>
                <w:fitText w:val="60" w:id="-1013195262"/>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5262"/>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tcPr>
          <w:p w14:paraId="2F6D2485" w14:textId="45E7706B"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5261"/>
                <w14:textFill>
                  <w14:solidFill>
                    <w14:srgbClr w14:val="000000">
                      <w14:alpha w14:val="100000"/>
                    </w14:srgbClr>
                  </w14:solidFill>
                </w14:textFill>
              </w:rPr>
              <w:t xml:space="preserve">　</w:t>
            </w:r>
            <w:r w:rsidRPr="00867C25">
              <w:rPr>
                <w:color w:val="000000"/>
                <w:w w:val="15"/>
                <w:szCs w:val="20"/>
                <w:shd w:val="solid" w:color="000000" w:fill="000000"/>
                <w:fitText w:val="15" w:id="-1013195261"/>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261"/>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tcPr>
          <w:p w14:paraId="091ED1AB" w14:textId="1391467F"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5260"/>
                <w14:textFill>
                  <w14:solidFill>
                    <w14:srgbClr w14:val="000000">
                      <w14:alpha w14:val="100000"/>
                    </w14:srgbClr>
                  </w14:solidFill>
                </w14:textFill>
              </w:rPr>
              <w:t xml:space="preserve">　</w:t>
            </w:r>
            <w:r w:rsidRPr="00867C25">
              <w:rPr>
                <w:color w:val="000000"/>
                <w:w w:val="15"/>
                <w:szCs w:val="20"/>
                <w:shd w:val="solid" w:color="000000" w:fill="000000"/>
                <w:fitText w:val="15" w:id="-1013195260"/>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260"/>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tcPr>
          <w:p w14:paraId="7E5E4E4E" w14:textId="3A13601F"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5259"/>
                <w14:textFill>
                  <w14:solidFill>
                    <w14:srgbClr w14:val="000000">
                      <w14:alpha w14:val="100000"/>
                    </w14:srgbClr>
                  </w14:solidFill>
                </w14:textFill>
              </w:rPr>
              <w:t xml:space="preserve">　</w:t>
            </w:r>
            <w:r w:rsidRPr="00867C25">
              <w:rPr>
                <w:color w:val="000000"/>
                <w:w w:val="15"/>
                <w:szCs w:val="20"/>
                <w:shd w:val="solid" w:color="000000" w:fill="000000"/>
                <w:fitText w:val="15" w:id="-1013195259"/>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259"/>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3" w:type="pct"/>
            <w:shd w:val="clear" w:color="auto" w:fill="auto"/>
          </w:tcPr>
          <w:p w14:paraId="02EF0797" w14:textId="69B58E1E"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5258"/>
                <w14:textFill>
                  <w14:solidFill>
                    <w14:srgbClr w14:val="000000">
                      <w14:alpha w14:val="100000"/>
                    </w14:srgbClr>
                  </w14:solidFill>
                </w14:textFill>
              </w:rPr>
              <w:t xml:space="preserve">　</w:t>
            </w:r>
            <w:r w:rsidRPr="00867C25">
              <w:rPr>
                <w:color w:val="000000"/>
                <w:w w:val="15"/>
                <w:szCs w:val="20"/>
                <w:shd w:val="solid" w:color="000000" w:fill="000000"/>
                <w:fitText w:val="15" w:id="-1013195258"/>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258"/>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r>
      <w:tr w:rsidR="00DD7590" w:rsidRPr="00903E1C" w14:paraId="1A690852" w14:textId="77777777" w:rsidTr="00305BF2">
        <w:tc>
          <w:tcPr>
            <w:tcW w:w="1172" w:type="pct"/>
            <w:shd w:val="clear" w:color="auto" w:fill="auto"/>
            <w:vAlign w:val="center"/>
          </w:tcPr>
          <w:p w14:paraId="36273B92" w14:textId="77777777" w:rsidR="00DD7590" w:rsidRPr="00903E1C" w:rsidRDefault="00DD7590" w:rsidP="00305BF2">
            <w:pPr>
              <w:pStyle w:val="COMTabletext"/>
              <w:rPr>
                <w:b/>
                <w:bCs w:val="0"/>
                <w:szCs w:val="20"/>
              </w:rPr>
            </w:pPr>
            <w:r w:rsidRPr="00903E1C">
              <w:rPr>
                <w:szCs w:val="20"/>
              </w:rPr>
              <w:t>Net cost to the MBS</w:t>
            </w:r>
            <w:r w:rsidRPr="00903E1C">
              <w:rPr>
                <w:szCs w:val="20"/>
                <w:vertAlign w:val="superscript"/>
              </w:rPr>
              <w:t>b</w:t>
            </w:r>
          </w:p>
        </w:tc>
        <w:tc>
          <w:tcPr>
            <w:tcW w:w="604" w:type="pct"/>
            <w:shd w:val="clear" w:color="auto" w:fill="auto"/>
          </w:tcPr>
          <w:p w14:paraId="1A251008" w14:textId="74584BC1"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257"/>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257"/>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257"/>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tcPr>
          <w:p w14:paraId="1AE4BB08" w14:textId="561F1308"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256"/>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256"/>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256"/>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53E7D741" w14:textId="3724F661"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5"/>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5"/>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5"/>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0039BF0B" w14:textId="0AAFF281"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4"/>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4"/>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4"/>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4262C816" w14:textId="6DAF38C6"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3"/>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3"/>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3"/>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3" w:type="pct"/>
            <w:shd w:val="clear" w:color="auto" w:fill="auto"/>
          </w:tcPr>
          <w:p w14:paraId="62A2CB95" w14:textId="509E41B2"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2"/>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2"/>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2"/>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r>
      <w:tr w:rsidR="00DD7590" w:rsidRPr="00903E1C" w14:paraId="38A4B09A" w14:textId="77777777" w:rsidTr="00305BF2">
        <w:tc>
          <w:tcPr>
            <w:tcW w:w="1172" w:type="pct"/>
            <w:shd w:val="clear" w:color="auto" w:fill="auto"/>
            <w:vAlign w:val="center"/>
          </w:tcPr>
          <w:p w14:paraId="4A70E890" w14:textId="77777777" w:rsidR="00DD7590" w:rsidRPr="00903E1C" w:rsidRDefault="00DD7590" w:rsidP="00305BF2">
            <w:pPr>
              <w:pStyle w:val="COMTabletext"/>
              <w:rPr>
                <w:b/>
                <w:bCs w:val="0"/>
                <w:szCs w:val="20"/>
              </w:rPr>
            </w:pPr>
            <w:r w:rsidRPr="00903E1C">
              <w:rPr>
                <w:b/>
                <w:bCs w:val="0"/>
                <w:szCs w:val="20"/>
              </w:rPr>
              <w:t>Net cost to the PBS/RPBS/MBS</w:t>
            </w:r>
          </w:p>
        </w:tc>
        <w:tc>
          <w:tcPr>
            <w:tcW w:w="604" w:type="pct"/>
            <w:shd w:val="clear" w:color="auto" w:fill="auto"/>
            <w:vAlign w:val="center"/>
          </w:tcPr>
          <w:p w14:paraId="6896ADAF" w14:textId="09C9858D" w:rsidR="00DD7590" w:rsidRPr="00B80329" w:rsidRDefault="000A7F6B" w:rsidP="00305BF2">
            <w:pPr>
              <w:pStyle w:val="COMTabletext"/>
              <w:jc w:val="center"/>
              <w:rPr>
                <w:b/>
                <w:bCs w:val="0"/>
                <w:szCs w:val="20"/>
                <w:highlight w:val="darkGray"/>
              </w:rPr>
            </w:pPr>
            <w:r w:rsidRPr="000A7F6B">
              <w:rPr>
                <w:rFonts w:hint="eastAsia"/>
                <w:b/>
                <w:bCs w:val="0"/>
                <w:color w:val="000000"/>
                <w:w w:val="20"/>
                <w:szCs w:val="20"/>
                <w:shd w:val="solid" w:color="000000" w:fill="000000"/>
                <w:fitText w:val="90" w:id="-1013195251"/>
                <w14:textFill>
                  <w14:solidFill>
                    <w14:srgbClr w14:val="000000">
                      <w14:alpha w14:val="100000"/>
                    </w14:srgbClr>
                  </w14:solidFill>
                </w14:textFill>
              </w:rPr>
              <w:t xml:space="preserve">　</w:t>
            </w:r>
            <w:r w:rsidRPr="000A7F6B">
              <w:rPr>
                <w:b/>
                <w:bCs w:val="0"/>
                <w:color w:val="000000"/>
                <w:w w:val="20"/>
                <w:szCs w:val="20"/>
                <w:shd w:val="solid" w:color="000000" w:fill="000000"/>
                <w:fitText w:val="90" w:id="-1013195251"/>
                <w14:textFill>
                  <w14:solidFill>
                    <w14:srgbClr w14:val="000000">
                      <w14:alpha w14:val="100000"/>
                    </w14:srgbClr>
                  </w14:solidFill>
                </w14:textFill>
              </w:rPr>
              <w:t>|</w:t>
            </w:r>
            <w:r w:rsidRPr="000A7F6B">
              <w:rPr>
                <w:rFonts w:hint="eastAsia"/>
                <w:b/>
                <w:bCs w:val="0"/>
                <w:color w:val="000000"/>
                <w:spacing w:val="2"/>
                <w:w w:val="20"/>
                <w:szCs w:val="20"/>
                <w:shd w:val="solid" w:color="000000" w:fill="000000"/>
                <w:fitText w:val="90" w:id="-1013195251"/>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vAlign w:val="center"/>
          </w:tcPr>
          <w:p w14:paraId="7791F673" w14:textId="75CE8216" w:rsidR="00DD7590" w:rsidRPr="00B80329" w:rsidRDefault="000A7F6B" w:rsidP="00305BF2">
            <w:pPr>
              <w:pStyle w:val="COMTabletext"/>
              <w:jc w:val="center"/>
              <w:rPr>
                <w:b/>
                <w:bCs w:val="0"/>
                <w:szCs w:val="20"/>
                <w:highlight w:val="darkGray"/>
              </w:rPr>
            </w:pPr>
            <w:r w:rsidRPr="000A7F6B">
              <w:rPr>
                <w:rFonts w:hint="eastAsia"/>
                <w:b/>
                <w:bCs w:val="0"/>
                <w:color w:val="000000"/>
                <w:w w:val="20"/>
                <w:szCs w:val="20"/>
                <w:shd w:val="solid" w:color="000000" w:fill="000000"/>
                <w:fitText w:val="90" w:id="-1013195250"/>
                <w14:textFill>
                  <w14:solidFill>
                    <w14:srgbClr w14:val="000000">
                      <w14:alpha w14:val="100000"/>
                    </w14:srgbClr>
                  </w14:solidFill>
                </w14:textFill>
              </w:rPr>
              <w:t xml:space="preserve">　</w:t>
            </w:r>
            <w:r w:rsidRPr="000A7F6B">
              <w:rPr>
                <w:b/>
                <w:bCs w:val="0"/>
                <w:color w:val="000000"/>
                <w:w w:val="20"/>
                <w:szCs w:val="20"/>
                <w:shd w:val="solid" w:color="000000" w:fill="000000"/>
                <w:fitText w:val="90" w:id="-1013195250"/>
                <w14:textFill>
                  <w14:solidFill>
                    <w14:srgbClr w14:val="000000">
                      <w14:alpha w14:val="100000"/>
                    </w14:srgbClr>
                  </w14:solidFill>
                </w14:textFill>
              </w:rPr>
              <w:t>|</w:t>
            </w:r>
            <w:r w:rsidRPr="000A7F6B">
              <w:rPr>
                <w:rFonts w:hint="eastAsia"/>
                <w:b/>
                <w:bCs w:val="0"/>
                <w:color w:val="000000"/>
                <w:spacing w:val="2"/>
                <w:w w:val="20"/>
                <w:szCs w:val="20"/>
                <w:shd w:val="solid" w:color="000000" w:fill="000000"/>
                <w:fitText w:val="90" w:id="-1013195250"/>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vAlign w:val="center"/>
          </w:tcPr>
          <w:p w14:paraId="35A89EDA" w14:textId="4B0089F8" w:rsidR="00DD7590" w:rsidRPr="00B80329" w:rsidRDefault="000A7F6B" w:rsidP="00305BF2">
            <w:pPr>
              <w:pStyle w:val="COMTabletext"/>
              <w:jc w:val="center"/>
              <w:rPr>
                <w:b/>
                <w:bCs w:val="0"/>
                <w:szCs w:val="20"/>
                <w:highlight w:val="darkGray"/>
              </w:rPr>
            </w:pPr>
            <w:r w:rsidRPr="000A7F6B">
              <w:rPr>
                <w:rFonts w:hint="eastAsia"/>
                <w:b/>
                <w:bCs w:val="0"/>
                <w:color w:val="000000"/>
                <w:w w:val="15"/>
                <w:szCs w:val="20"/>
                <w:shd w:val="solid" w:color="000000" w:fill="000000"/>
                <w:fitText w:val="45" w:id="-1013195249"/>
                <w14:textFill>
                  <w14:solidFill>
                    <w14:srgbClr w14:val="000000">
                      <w14:alpha w14:val="100000"/>
                    </w14:srgbClr>
                  </w14:solidFill>
                </w14:textFill>
              </w:rPr>
              <w:t xml:space="preserve">　</w:t>
            </w:r>
            <w:r w:rsidRPr="000A7F6B">
              <w:rPr>
                <w:b/>
                <w:bCs w:val="0"/>
                <w:color w:val="000000"/>
                <w:w w:val="15"/>
                <w:szCs w:val="20"/>
                <w:shd w:val="solid" w:color="000000" w:fill="000000"/>
                <w:fitText w:val="45" w:id="-1013195249"/>
                <w14:textFill>
                  <w14:solidFill>
                    <w14:srgbClr w14:val="000000">
                      <w14:alpha w14:val="100000"/>
                    </w14:srgbClr>
                  </w14:solidFill>
                </w14:textFill>
              </w:rPr>
              <w:t>|</w:t>
            </w:r>
            <w:r w:rsidRPr="000A7F6B">
              <w:rPr>
                <w:rFonts w:hint="eastAsia"/>
                <w:b/>
                <w:bCs w:val="0"/>
                <w:color w:val="000000"/>
                <w:spacing w:val="-21"/>
                <w:w w:val="15"/>
                <w:szCs w:val="20"/>
                <w:shd w:val="solid" w:color="000000" w:fill="000000"/>
                <w:fitText w:val="45" w:id="-1013195249"/>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vAlign w:val="center"/>
          </w:tcPr>
          <w:p w14:paraId="20E2DB74" w14:textId="1C8334EB" w:rsidR="00DD7590" w:rsidRPr="00B80329" w:rsidRDefault="000A7F6B" w:rsidP="00305BF2">
            <w:pPr>
              <w:pStyle w:val="COMTabletext"/>
              <w:jc w:val="center"/>
              <w:rPr>
                <w:b/>
                <w:bCs w:val="0"/>
                <w:szCs w:val="20"/>
                <w:highlight w:val="darkGray"/>
              </w:rPr>
            </w:pPr>
            <w:r w:rsidRPr="000A7F6B">
              <w:rPr>
                <w:rFonts w:hint="eastAsia"/>
                <w:b/>
                <w:bCs w:val="0"/>
                <w:color w:val="000000"/>
                <w:w w:val="15"/>
                <w:szCs w:val="20"/>
                <w:shd w:val="solid" w:color="000000" w:fill="000000"/>
                <w:fitText w:val="45" w:id="-1013195248"/>
                <w14:textFill>
                  <w14:solidFill>
                    <w14:srgbClr w14:val="000000">
                      <w14:alpha w14:val="100000"/>
                    </w14:srgbClr>
                  </w14:solidFill>
                </w14:textFill>
              </w:rPr>
              <w:t xml:space="preserve">　</w:t>
            </w:r>
            <w:r w:rsidRPr="000A7F6B">
              <w:rPr>
                <w:b/>
                <w:bCs w:val="0"/>
                <w:color w:val="000000"/>
                <w:w w:val="15"/>
                <w:szCs w:val="20"/>
                <w:shd w:val="solid" w:color="000000" w:fill="000000"/>
                <w:fitText w:val="45" w:id="-1013195248"/>
                <w14:textFill>
                  <w14:solidFill>
                    <w14:srgbClr w14:val="000000">
                      <w14:alpha w14:val="100000"/>
                    </w14:srgbClr>
                  </w14:solidFill>
                </w14:textFill>
              </w:rPr>
              <w:t>|</w:t>
            </w:r>
            <w:r w:rsidRPr="000A7F6B">
              <w:rPr>
                <w:rFonts w:hint="eastAsia"/>
                <w:b/>
                <w:bCs w:val="0"/>
                <w:color w:val="000000"/>
                <w:spacing w:val="-21"/>
                <w:w w:val="15"/>
                <w:szCs w:val="20"/>
                <w:shd w:val="solid" w:color="000000" w:fill="000000"/>
                <w:fitText w:val="45" w:id="-1013195248"/>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vAlign w:val="center"/>
          </w:tcPr>
          <w:p w14:paraId="3A09A4D8" w14:textId="74FDDDD8" w:rsidR="00DD7590" w:rsidRPr="00B80329" w:rsidRDefault="000A7F6B" w:rsidP="00305BF2">
            <w:pPr>
              <w:pStyle w:val="COMTabletext"/>
              <w:jc w:val="center"/>
              <w:rPr>
                <w:b/>
                <w:bCs w:val="0"/>
                <w:szCs w:val="20"/>
                <w:highlight w:val="darkGray"/>
              </w:rPr>
            </w:pPr>
            <w:r w:rsidRPr="000A7F6B">
              <w:rPr>
                <w:rFonts w:hint="eastAsia"/>
                <w:b/>
                <w:bCs w:val="0"/>
                <w:color w:val="000000"/>
                <w:w w:val="15"/>
                <w:szCs w:val="20"/>
                <w:shd w:val="solid" w:color="000000" w:fill="000000"/>
                <w:fitText w:val="45" w:id="-1013195264"/>
                <w14:textFill>
                  <w14:solidFill>
                    <w14:srgbClr w14:val="000000">
                      <w14:alpha w14:val="100000"/>
                    </w14:srgbClr>
                  </w14:solidFill>
                </w14:textFill>
              </w:rPr>
              <w:t xml:space="preserve">　</w:t>
            </w:r>
            <w:r w:rsidRPr="000A7F6B">
              <w:rPr>
                <w:b/>
                <w:bCs w:val="0"/>
                <w:color w:val="000000"/>
                <w:w w:val="15"/>
                <w:szCs w:val="20"/>
                <w:shd w:val="solid" w:color="000000" w:fill="000000"/>
                <w:fitText w:val="45" w:id="-1013195264"/>
                <w14:textFill>
                  <w14:solidFill>
                    <w14:srgbClr w14:val="000000">
                      <w14:alpha w14:val="100000"/>
                    </w14:srgbClr>
                  </w14:solidFill>
                </w14:textFill>
              </w:rPr>
              <w:t>|</w:t>
            </w:r>
            <w:r w:rsidRPr="000A7F6B">
              <w:rPr>
                <w:rFonts w:hint="eastAsia"/>
                <w:b/>
                <w:bCs w:val="0"/>
                <w:color w:val="000000"/>
                <w:spacing w:val="-21"/>
                <w:w w:val="15"/>
                <w:szCs w:val="20"/>
                <w:shd w:val="solid" w:color="000000" w:fill="000000"/>
                <w:fitText w:val="45" w:id="-1013195264"/>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3" w:type="pct"/>
            <w:shd w:val="clear" w:color="auto" w:fill="auto"/>
            <w:vAlign w:val="center"/>
          </w:tcPr>
          <w:p w14:paraId="1F05B2AF" w14:textId="7A24565C" w:rsidR="00DD7590" w:rsidRPr="00B80329" w:rsidRDefault="000A7F6B" w:rsidP="00305BF2">
            <w:pPr>
              <w:pStyle w:val="COMTabletext"/>
              <w:jc w:val="center"/>
              <w:rPr>
                <w:b/>
                <w:bCs w:val="0"/>
                <w:szCs w:val="20"/>
                <w:highlight w:val="darkGray"/>
              </w:rPr>
            </w:pPr>
            <w:r w:rsidRPr="000A7F6B">
              <w:rPr>
                <w:rFonts w:hint="eastAsia"/>
                <w:b/>
                <w:bCs w:val="0"/>
                <w:color w:val="000000"/>
                <w:w w:val="15"/>
                <w:szCs w:val="20"/>
                <w:shd w:val="solid" w:color="000000" w:fill="000000"/>
                <w:fitText w:val="45" w:id="-1013195263"/>
                <w14:textFill>
                  <w14:solidFill>
                    <w14:srgbClr w14:val="000000">
                      <w14:alpha w14:val="100000"/>
                    </w14:srgbClr>
                  </w14:solidFill>
                </w14:textFill>
              </w:rPr>
              <w:t xml:space="preserve">　</w:t>
            </w:r>
            <w:r w:rsidRPr="000A7F6B">
              <w:rPr>
                <w:b/>
                <w:bCs w:val="0"/>
                <w:color w:val="000000"/>
                <w:w w:val="15"/>
                <w:szCs w:val="20"/>
                <w:shd w:val="solid" w:color="000000" w:fill="000000"/>
                <w:fitText w:val="45" w:id="-1013195263"/>
                <w14:textFill>
                  <w14:solidFill>
                    <w14:srgbClr w14:val="000000">
                      <w14:alpha w14:val="100000"/>
                    </w14:srgbClr>
                  </w14:solidFill>
                </w14:textFill>
              </w:rPr>
              <w:t>|</w:t>
            </w:r>
            <w:r w:rsidRPr="000A7F6B">
              <w:rPr>
                <w:rFonts w:hint="eastAsia"/>
                <w:b/>
                <w:bCs w:val="0"/>
                <w:color w:val="000000"/>
                <w:spacing w:val="-21"/>
                <w:w w:val="15"/>
                <w:szCs w:val="20"/>
                <w:shd w:val="solid" w:color="000000" w:fill="000000"/>
                <w:fitText w:val="45" w:id="-1013195263"/>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r>
      <w:tr w:rsidR="00DD7590" w:rsidRPr="00903E1C" w14:paraId="2A11CBCC" w14:textId="77777777" w:rsidTr="00305BF2">
        <w:tc>
          <w:tcPr>
            <w:tcW w:w="5000" w:type="pct"/>
            <w:gridSpan w:val="7"/>
            <w:shd w:val="clear" w:color="auto" w:fill="auto"/>
            <w:vAlign w:val="center"/>
          </w:tcPr>
          <w:p w14:paraId="2117D34C" w14:textId="77777777" w:rsidR="00DD7590" w:rsidRPr="00903E1C" w:rsidRDefault="00DD7590" w:rsidP="00305BF2">
            <w:pPr>
              <w:pStyle w:val="COMTabletext"/>
              <w:rPr>
                <w:rFonts w:eastAsia="Times New Roman" w:cs="Arial"/>
                <w:b/>
                <w:bCs w:val="0"/>
                <w:color w:val="000000"/>
                <w:szCs w:val="20"/>
                <w:highlight w:val="yellow"/>
              </w:rPr>
            </w:pPr>
            <w:r w:rsidRPr="00903E1C">
              <w:rPr>
                <w:b/>
                <w:szCs w:val="20"/>
              </w:rPr>
              <w:t>Estimates corresponding to PBAC advice</w:t>
            </w:r>
          </w:p>
        </w:tc>
      </w:tr>
      <w:tr w:rsidR="00DD7590" w:rsidRPr="00903E1C" w14:paraId="05A42557" w14:textId="77777777" w:rsidTr="00305BF2">
        <w:tc>
          <w:tcPr>
            <w:tcW w:w="1172" w:type="pct"/>
            <w:shd w:val="clear" w:color="auto" w:fill="auto"/>
            <w:vAlign w:val="bottom"/>
          </w:tcPr>
          <w:p w14:paraId="07C42C00" w14:textId="77777777" w:rsidR="00DD7590" w:rsidRPr="00903E1C" w:rsidRDefault="00DD7590" w:rsidP="00305BF2">
            <w:pPr>
              <w:pStyle w:val="COMTabletext"/>
              <w:rPr>
                <w:b/>
                <w:bCs w:val="0"/>
                <w:szCs w:val="20"/>
              </w:rPr>
            </w:pPr>
            <w:r w:rsidRPr="00903E1C">
              <w:rPr>
                <w:szCs w:val="20"/>
              </w:rPr>
              <w:t>Total treated patients</w:t>
            </w:r>
          </w:p>
        </w:tc>
        <w:tc>
          <w:tcPr>
            <w:tcW w:w="604" w:type="pct"/>
            <w:shd w:val="clear" w:color="auto" w:fill="auto"/>
          </w:tcPr>
          <w:p w14:paraId="0BD8BC24" w14:textId="41061078"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262"/>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262"/>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262"/>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04" w:type="pct"/>
            <w:shd w:val="clear" w:color="auto" w:fill="auto"/>
          </w:tcPr>
          <w:p w14:paraId="14B67724" w14:textId="33D47E40" w:rsidR="00DD7590" w:rsidRPr="00B80329" w:rsidRDefault="000A7F6B" w:rsidP="00305BF2">
            <w:pPr>
              <w:pStyle w:val="COMTabletext"/>
              <w:jc w:val="center"/>
              <w:rPr>
                <w:rFonts w:eastAsia="Times New Roman" w:cs="Arial"/>
                <w:b/>
                <w:bCs w:val="0"/>
                <w:color w:val="000000"/>
                <w:szCs w:val="20"/>
                <w:highlight w:val="darkGray"/>
              </w:rPr>
            </w:pPr>
            <w:r w:rsidRPr="000A7F6B">
              <w:rPr>
                <w:rFonts w:cstheme="minorHAnsi" w:hint="eastAsia"/>
                <w:bCs w:val="0"/>
                <w:color w:val="000000"/>
                <w:w w:val="15"/>
                <w:szCs w:val="20"/>
                <w:shd w:val="solid" w:color="000000" w:fill="000000"/>
                <w:fitText w:val="60" w:id="-1013195261"/>
                <w14:textFill>
                  <w14:solidFill>
                    <w14:srgbClr w14:val="000000">
                      <w14:alpha w14:val="100000"/>
                    </w14:srgbClr>
                  </w14:solidFill>
                </w14:textFill>
              </w:rPr>
              <w:t xml:space="preserve">　</w:t>
            </w:r>
            <w:r w:rsidRPr="000A7F6B">
              <w:rPr>
                <w:rFonts w:cstheme="minorHAnsi"/>
                <w:bCs w:val="0"/>
                <w:color w:val="000000"/>
                <w:w w:val="15"/>
                <w:szCs w:val="20"/>
                <w:shd w:val="solid" w:color="000000" w:fill="000000"/>
                <w:fitText w:val="60" w:id="-1013195261"/>
                <w14:textFill>
                  <w14:solidFill>
                    <w14:srgbClr w14:val="000000">
                      <w14:alpha w14:val="100000"/>
                    </w14:srgbClr>
                  </w14:solidFill>
                </w14:textFill>
              </w:rPr>
              <w:t>|</w:t>
            </w:r>
            <w:r w:rsidRPr="000A7F6B">
              <w:rPr>
                <w:rFonts w:cstheme="minorHAnsi" w:hint="eastAsia"/>
                <w:bCs w:val="0"/>
                <w:color w:val="000000"/>
                <w:spacing w:val="-5"/>
                <w:w w:val="15"/>
                <w:szCs w:val="20"/>
                <w:shd w:val="solid" w:color="000000" w:fill="000000"/>
                <w:fitText w:val="60" w:id="-1013195261"/>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37054D30" w14:textId="3B1C711C"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60"/>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60"/>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60"/>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616EEB40" w14:textId="45F926EF"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9"/>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9"/>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9"/>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5" w:type="pct"/>
            <w:shd w:val="clear" w:color="auto" w:fill="auto"/>
          </w:tcPr>
          <w:p w14:paraId="7743D4A8" w14:textId="785FF5C7"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8"/>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8"/>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8"/>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c>
          <w:tcPr>
            <w:tcW w:w="653" w:type="pct"/>
            <w:shd w:val="clear" w:color="auto" w:fill="auto"/>
          </w:tcPr>
          <w:p w14:paraId="00422C25" w14:textId="351470E5" w:rsidR="00DD7590" w:rsidRPr="00B80329" w:rsidRDefault="000A7F6B" w:rsidP="00305BF2">
            <w:pPr>
              <w:pStyle w:val="COMTabletext"/>
              <w:jc w:val="center"/>
              <w:rPr>
                <w:rFonts w:eastAsia="Times New Roman" w:cs="Arial"/>
                <w:b/>
                <w:bCs w:val="0"/>
                <w:color w:val="000000"/>
                <w:szCs w:val="20"/>
                <w:highlight w:val="darkGray"/>
              </w:rPr>
            </w:pPr>
            <w:r w:rsidRPr="00867C25">
              <w:rPr>
                <w:rFonts w:cstheme="minorHAnsi" w:hint="eastAsia"/>
                <w:bCs w:val="0"/>
                <w:color w:val="000000"/>
                <w:w w:val="15"/>
                <w:szCs w:val="20"/>
                <w:shd w:val="solid" w:color="000000" w:fill="000000"/>
                <w:fitText w:val="15" w:id="-1013195257"/>
                <w14:textFill>
                  <w14:solidFill>
                    <w14:srgbClr w14:val="000000">
                      <w14:alpha w14:val="100000"/>
                    </w14:srgbClr>
                  </w14:solidFill>
                </w14:textFill>
              </w:rPr>
              <w:t xml:space="preserve">　</w:t>
            </w:r>
            <w:r w:rsidRPr="00867C25">
              <w:rPr>
                <w:rFonts w:cstheme="minorHAnsi"/>
                <w:bCs w:val="0"/>
                <w:color w:val="000000"/>
                <w:w w:val="15"/>
                <w:szCs w:val="20"/>
                <w:shd w:val="solid" w:color="000000" w:fill="000000"/>
                <w:fitText w:val="15" w:id="-1013195257"/>
                <w14:textFill>
                  <w14:solidFill>
                    <w14:srgbClr w14:val="000000">
                      <w14:alpha w14:val="100000"/>
                    </w14:srgbClr>
                  </w14:solidFill>
                </w14:textFill>
              </w:rPr>
              <w:t>|</w:t>
            </w:r>
            <w:r w:rsidRPr="00867C25">
              <w:rPr>
                <w:rFonts w:cstheme="minorHAnsi" w:hint="eastAsia"/>
                <w:bCs w:val="0"/>
                <w:color w:val="000000"/>
                <w:spacing w:val="-51"/>
                <w:w w:val="15"/>
                <w:szCs w:val="20"/>
                <w:shd w:val="solid" w:color="000000" w:fill="000000"/>
                <w:fitText w:val="15" w:id="-1013195257"/>
                <w14:textFill>
                  <w14:solidFill>
                    <w14:srgbClr w14:val="000000">
                      <w14:alpha w14:val="100000"/>
                    </w14:srgbClr>
                  </w14:solidFill>
                </w14:textFill>
              </w:rPr>
              <w:t xml:space="preserve">　</w:t>
            </w:r>
            <w:r w:rsidR="008A255E" w:rsidRPr="00924690">
              <w:rPr>
                <w:rFonts w:cstheme="minorHAnsi"/>
                <w:bCs w:val="0"/>
                <w:color w:val="000000"/>
                <w:szCs w:val="20"/>
                <w:vertAlign w:val="superscript"/>
              </w:rPr>
              <w:t>1</w:t>
            </w:r>
          </w:p>
        </w:tc>
      </w:tr>
      <w:tr w:rsidR="00DD7590" w:rsidRPr="00903E1C" w14:paraId="7DBE300F" w14:textId="77777777" w:rsidTr="00305BF2">
        <w:tc>
          <w:tcPr>
            <w:tcW w:w="1172" w:type="pct"/>
            <w:shd w:val="clear" w:color="auto" w:fill="auto"/>
            <w:vAlign w:val="bottom"/>
          </w:tcPr>
          <w:p w14:paraId="0539404B" w14:textId="77777777" w:rsidR="00DD7590" w:rsidRPr="00903E1C" w:rsidRDefault="00DD7590" w:rsidP="00305BF2">
            <w:pPr>
              <w:pStyle w:val="COMTabletext"/>
              <w:rPr>
                <w:szCs w:val="20"/>
              </w:rPr>
            </w:pPr>
            <w:r w:rsidRPr="00903E1C">
              <w:rPr>
                <w:szCs w:val="20"/>
              </w:rPr>
              <w:t>Persistence</w:t>
            </w:r>
          </w:p>
        </w:tc>
        <w:tc>
          <w:tcPr>
            <w:tcW w:w="604" w:type="pct"/>
            <w:shd w:val="clear" w:color="auto" w:fill="auto"/>
          </w:tcPr>
          <w:p w14:paraId="00643C40"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94%</w:t>
            </w:r>
          </w:p>
        </w:tc>
        <w:tc>
          <w:tcPr>
            <w:tcW w:w="604" w:type="pct"/>
            <w:shd w:val="clear" w:color="auto" w:fill="auto"/>
          </w:tcPr>
          <w:p w14:paraId="20681CFD"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84%</w:t>
            </w:r>
          </w:p>
        </w:tc>
        <w:tc>
          <w:tcPr>
            <w:tcW w:w="655" w:type="pct"/>
            <w:shd w:val="clear" w:color="auto" w:fill="auto"/>
          </w:tcPr>
          <w:p w14:paraId="552CE270"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75%</w:t>
            </w:r>
          </w:p>
        </w:tc>
        <w:tc>
          <w:tcPr>
            <w:tcW w:w="655" w:type="pct"/>
            <w:shd w:val="clear" w:color="auto" w:fill="auto"/>
          </w:tcPr>
          <w:p w14:paraId="35F7B5C9"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69%</w:t>
            </w:r>
          </w:p>
        </w:tc>
        <w:tc>
          <w:tcPr>
            <w:tcW w:w="655" w:type="pct"/>
            <w:shd w:val="clear" w:color="auto" w:fill="auto"/>
          </w:tcPr>
          <w:p w14:paraId="7B05A45A"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63%</w:t>
            </w:r>
          </w:p>
        </w:tc>
        <w:tc>
          <w:tcPr>
            <w:tcW w:w="653" w:type="pct"/>
            <w:shd w:val="clear" w:color="auto" w:fill="auto"/>
          </w:tcPr>
          <w:p w14:paraId="227F03B6" w14:textId="77777777" w:rsidR="00DD7590" w:rsidRPr="00903E1C" w:rsidRDefault="00DD7590" w:rsidP="00305BF2">
            <w:pPr>
              <w:pStyle w:val="COMTabletext"/>
              <w:jc w:val="center"/>
              <w:rPr>
                <w:rFonts w:cstheme="minorHAnsi"/>
                <w:bCs w:val="0"/>
                <w:color w:val="000000"/>
                <w:szCs w:val="20"/>
              </w:rPr>
            </w:pPr>
            <w:r w:rsidRPr="00903E1C">
              <w:rPr>
                <w:rFonts w:cstheme="minorHAnsi"/>
                <w:bCs w:val="0"/>
                <w:color w:val="000000"/>
                <w:szCs w:val="20"/>
              </w:rPr>
              <w:t>57%</w:t>
            </w:r>
          </w:p>
        </w:tc>
      </w:tr>
      <w:tr w:rsidR="00DD7590" w:rsidRPr="00903E1C" w14:paraId="7F4A479D" w14:textId="77777777" w:rsidTr="00305BF2">
        <w:tc>
          <w:tcPr>
            <w:tcW w:w="1172" w:type="pct"/>
            <w:shd w:val="clear" w:color="auto" w:fill="auto"/>
            <w:vAlign w:val="bottom"/>
          </w:tcPr>
          <w:p w14:paraId="0446B294" w14:textId="77777777" w:rsidR="00DD7590" w:rsidRPr="00903E1C" w:rsidRDefault="00DD7590" w:rsidP="00305BF2">
            <w:pPr>
              <w:pStyle w:val="COMTabletext"/>
              <w:rPr>
                <w:szCs w:val="20"/>
              </w:rPr>
            </w:pPr>
            <w:r w:rsidRPr="00903E1C">
              <w:rPr>
                <w:szCs w:val="20"/>
              </w:rPr>
              <w:t>Discontinuation</w:t>
            </w:r>
          </w:p>
        </w:tc>
        <w:tc>
          <w:tcPr>
            <w:tcW w:w="604" w:type="pct"/>
            <w:shd w:val="clear" w:color="auto" w:fill="auto"/>
          </w:tcPr>
          <w:p w14:paraId="273D8673"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6%</w:t>
            </w:r>
          </w:p>
        </w:tc>
        <w:tc>
          <w:tcPr>
            <w:tcW w:w="604" w:type="pct"/>
            <w:shd w:val="clear" w:color="auto" w:fill="auto"/>
          </w:tcPr>
          <w:p w14:paraId="7E5BA378"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16%</w:t>
            </w:r>
          </w:p>
        </w:tc>
        <w:tc>
          <w:tcPr>
            <w:tcW w:w="655" w:type="pct"/>
            <w:shd w:val="clear" w:color="auto" w:fill="auto"/>
          </w:tcPr>
          <w:p w14:paraId="1C9B2D8E"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25%</w:t>
            </w:r>
          </w:p>
        </w:tc>
        <w:tc>
          <w:tcPr>
            <w:tcW w:w="655" w:type="pct"/>
            <w:shd w:val="clear" w:color="auto" w:fill="auto"/>
          </w:tcPr>
          <w:p w14:paraId="082F56EA"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31%</w:t>
            </w:r>
          </w:p>
        </w:tc>
        <w:tc>
          <w:tcPr>
            <w:tcW w:w="655" w:type="pct"/>
            <w:shd w:val="clear" w:color="auto" w:fill="auto"/>
          </w:tcPr>
          <w:p w14:paraId="1B25F693"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37%</w:t>
            </w:r>
          </w:p>
        </w:tc>
        <w:tc>
          <w:tcPr>
            <w:tcW w:w="653" w:type="pct"/>
            <w:shd w:val="clear" w:color="auto" w:fill="auto"/>
          </w:tcPr>
          <w:p w14:paraId="1A711549" w14:textId="77777777" w:rsidR="00DD7590" w:rsidRPr="00903E1C" w:rsidRDefault="00DD7590" w:rsidP="00305BF2">
            <w:pPr>
              <w:pStyle w:val="COMTabletext"/>
              <w:jc w:val="center"/>
              <w:rPr>
                <w:rFonts w:cstheme="minorHAnsi"/>
                <w:bCs w:val="0"/>
                <w:szCs w:val="20"/>
              </w:rPr>
            </w:pPr>
            <w:r w:rsidRPr="00903E1C">
              <w:rPr>
                <w:rFonts w:cstheme="minorHAnsi"/>
                <w:bCs w:val="0"/>
                <w:color w:val="000000"/>
                <w:szCs w:val="20"/>
              </w:rPr>
              <w:t>43%</w:t>
            </w:r>
          </w:p>
        </w:tc>
      </w:tr>
      <w:tr w:rsidR="00DD7590" w:rsidRPr="00903E1C" w14:paraId="53667BDF" w14:textId="77777777" w:rsidTr="00305BF2">
        <w:tc>
          <w:tcPr>
            <w:tcW w:w="1172" w:type="pct"/>
            <w:shd w:val="clear" w:color="auto" w:fill="auto"/>
            <w:vAlign w:val="bottom"/>
          </w:tcPr>
          <w:p w14:paraId="5FAA57C8" w14:textId="77777777" w:rsidR="00DD7590" w:rsidRPr="00903E1C" w:rsidRDefault="00DD7590" w:rsidP="00305BF2">
            <w:pPr>
              <w:pStyle w:val="COMTabletext"/>
              <w:rPr>
                <w:szCs w:val="20"/>
              </w:rPr>
            </w:pPr>
            <w:r w:rsidRPr="00903E1C">
              <w:rPr>
                <w:szCs w:val="20"/>
              </w:rPr>
              <w:t>Scripts per patient per year</w:t>
            </w:r>
            <w:r w:rsidRPr="00903E1C">
              <w:rPr>
                <w:szCs w:val="20"/>
                <w:vertAlign w:val="superscript"/>
              </w:rPr>
              <w:t>c</w:t>
            </w:r>
          </w:p>
        </w:tc>
        <w:tc>
          <w:tcPr>
            <w:tcW w:w="604" w:type="pct"/>
            <w:shd w:val="clear" w:color="auto" w:fill="auto"/>
          </w:tcPr>
          <w:p w14:paraId="24F67657"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12.57</w:t>
            </w:r>
          </w:p>
        </w:tc>
        <w:tc>
          <w:tcPr>
            <w:tcW w:w="604" w:type="pct"/>
            <w:shd w:val="clear" w:color="auto" w:fill="auto"/>
          </w:tcPr>
          <w:p w14:paraId="1E26A38D"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11.23</w:t>
            </w:r>
          </w:p>
        </w:tc>
        <w:tc>
          <w:tcPr>
            <w:tcW w:w="655" w:type="pct"/>
            <w:shd w:val="clear" w:color="auto" w:fill="auto"/>
          </w:tcPr>
          <w:p w14:paraId="4B5D17B0"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10.03</w:t>
            </w:r>
          </w:p>
        </w:tc>
        <w:tc>
          <w:tcPr>
            <w:tcW w:w="655" w:type="pct"/>
            <w:shd w:val="clear" w:color="auto" w:fill="auto"/>
          </w:tcPr>
          <w:p w14:paraId="4D628F02"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9.22</w:t>
            </w:r>
          </w:p>
        </w:tc>
        <w:tc>
          <w:tcPr>
            <w:tcW w:w="655" w:type="pct"/>
            <w:shd w:val="clear" w:color="auto" w:fill="auto"/>
          </w:tcPr>
          <w:p w14:paraId="591511EC"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8.42</w:t>
            </w:r>
          </w:p>
        </w:tc>
        <w:tc>
          <w:tcPr>
            <w:tcW w:w="653" w:type="pct"/>
            <w:shd w:val="clear" w:color="auto" w:fill="auto"/>
          </w:tcPr>
          <w:p w14:paraId="185D6E8B" w14:textId="77777777" w:rsidR="00DD7590" w:rsidRPr="00903E1C" w:rsidRDefault="00DD7590" w:rsidP="00305BF2">
            <w:pPr>
              <w:pStyle w:val="COMTabletext"/>
              <w:jc w:val="center"/>
              <w:rPr>
                <w:rFonts w:cstheme="minorHAnsi"/>
                <w:bCs w:val="0"/>
                <w:color w:val="000000"/>
                <w:szCs w:val="20"/>
                <w:highlight w:val="yellow"/>
              </w:rPr>
            </w:pPr>
            <w:r w:rsidRPr="00903E1C">
              <w:rPr>
                <w:szCs w:val="20"/>
              </w:rPr>
              <w:t>7.62</w:t>
            </w:r>
          </w:p>
        </w:tc>
      </w:tr>
      <w:tr w:rsidR="00DD7590" w:rsidRPr="00903E1C" w14:paraId="2431F3AF" w14:textId="77777777" w:rsidTr="00305BF2">
        <w:tc>
          <w:tcPr>
            <w:tcW w:w="1172" w:type="pct"/>
            <w:shd w:val="clear" w:color="auto" w:fill="auto"/>
          </w:tcPr>
          <w:p w14:paraId="1DAB0EC1" w14:textId="77777777" w:rsidR="00DD7590" w:rsidRPr="00903E1C" w:rsidRDefault="00DD7590" w:rsidP="00305BF2">
            <w:pPr>
              <w:pStyle w:val="COMTabletext"/>
              <w:rPr>
                <w:b/>
                <w:bCs w:val="0"/>
                <w:szCs w:val="20"/>
              </w:rPr>
            </w:pPr>
            <w:r w:rsidRPr="00903E1C">
              <w:rPr>
                <w:szCs w:val="20"/>
              </w:rPr>
              <w:t>Total scripts</w:t>
            </w:r>
          </w:p>
        </w:tc>
        <w:tc>
          <w:tcPr>
            <w:tcW w:w="604" w:type="pct"/>
            <w:shd w:val="clear" w:color="auto" w:fill="auto"/>
            <w:vAlign w:val="center"/>
          </w:tcPr>
          <w:p w14:paraId="4661B570" w14:textId="3681E5D0" w:rsidR="00DD7590" w:rsidRPr="00B80329" w:rsidRDefault="000A7F6B" w:rsidP="00305BF2">
            <w:pPr>
              <w:pStyle w:val="COMTabletext"/>
              <w:jc w:val="center"/>
              <w:rPr>
                <w:rFonts w:eastAsia="Times New Roman" w:cs="Arial"/>
                <w:color w:val="000000"/>
                <w:szCs w:val="20"/>
                <w:highlight w:val="darkGray"/>
              </w:rPr>
            </w:pPr>
            <w:r w:rsidRPr="000A7F6B">
              <w:rPr>
                <w:rFonts w:cs="Arial" w:hint="eastAsia"/>
                <w:color w:val="000000"/>
                <w:w w:val="15"/>
                <w:szCs w:val="20"/>
                <w:shd w:val="solid" w:color="000000" w:fill="000000"/>
                <w:fitText w:val="60" w:id="-1013195256"/>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56"/>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56"/>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04" w:type="pct"/>
            <w:shd w:val="clear" w:color="auto" w:fill="auto"/>
            <w:vAlign w:val="center"/>
          </w:tcPr>
          <w:p w14:paraId="2D7A73CA" w14:textId="7C8EA11C" w:rsidR="00DD7590" w:rsidRPr="00B80329" w:rsidRDefault="000A7F6B" w:rsidP="00305BF2">
            <w:pPr>
              <w:pStyle w:val="COMTabletext"/>
              <w:jc w:val="center"/>
              <w:rPr>
                <w:rFonts w:eastAsia="Times New Roman" w:cs="Arial"/>
                <w:color w:val="000000"/>
                <w:szCs w:val="20"/>
                <w:highlight w:val="darkGray"/>
              </w:rPr>
            </w:pPr>
            <w:r w:rsidRPr="000A7F6B">
              <w:rPr>
                <w:rFonts w:cs="Arial" w:hint="eastAsia"/>
                <w:color w:val="000000"/>
                <w:w w:val="15"/>
                <w:szCs w:val="20"/>
                <w:shd w:val="solid" w:color="000000" w:fill="000000"/>
                <w:fitText w:val="60" w:id="-1013195255"/>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55"/>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55"/>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4DB8C7A7" w14:textId="32DFF739"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54"/>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54"/>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54"/>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44D01F25" w14:textId="549287E4"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53"/>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53"/>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53"/>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7F47A13C" w14:textId="08E032D3"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52"/>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52"/>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52"/>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3" w:type="pct"/>
            <w:shd w:val="clear" w:color="auto" w:fill="auto"/>
            <w:vAlign w:val="center"/>
          </w:tcPr>
          <w:p w14:paraId="7A016FFB" w14:textId="7D7FFD91"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51"/>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51"/>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51"/>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r>
      <w:tr w:rsidR="00DD7590" w:rsidRPr="00903E1C" w14:paraId="4CFF10C1" w14:textId="77777777" w:rsidTr="00305BF2">
        <w:tc>
          <w:tcPr>
            <w:tcW w:w="1172" w:type="pct"/>
            <w:shd w:val="clear" w:color="auto" w:fill="auto"/>
          </w:tcPr>
          <w:p w14:paraId="2B5E5206" w14:textId="77777777" w:rsidR="00DD7590" w:rsidRPr="00903E1C" w:rsidRDefault="00DD7590" w:rsidP="00305BF2">
            <w:pPr>
              <w:pStyle w:val="COMTabletext"/>
              <w:rPr>
                <w:b/>
                <w:bCs w:val="0"/>
                <w:szCs w:val="20"/>
              </w:rPr>
            </w:pPr>
            <w:r w:rsidRPr="00903E1C">
              <w:rPr>
                <w:szCs w:val="20"/>
              </w:rPr>
              <w:t>Total vials</w:t>
            </w:r>
          </w:p>
        </w:tc>
        <w:tc>
          <w:tcPr>
            <w:tcW w:w="604" w:type="pct"/>
            <w:shd w:val="clear" w:color="auto" w:fill="auto"/>
            <w:vAlign w:val="center"/>
          </w:tcPr>
          <w:p w14:paraId="5C7D74AA" w14:textId="15F25B83" w:rsidR="00DD7590" w:rsidRPr="00B80329" w:rsidRDefault="000A7F6B" w:rsidP="00305BF2">
            <w:pPr>
              <w:pStyle w:val="COMTabletext"/>
              <w:jc w:val="center"/>
              <w:rPr>
                <w:rFonts w:eastAsia="Times New Roman" w:cs="Arial"/>
                <w:color w:val="000000"/>
                <w:szCs w:val="20"/>
                <w:highlight w:val="darkGray"/>
              </w:rPr>
            </w:pPr>
            <w:r w:rsidRPr="000A7F6B">
              <w:rPr>
                <w:rFonts w:cs="Arial" w:hint="eastAsia"/>
                <w:color w:val="000000"/>
                <w:w w:val="15"/>
                <w:szCs w:val="20"/>
                <w:shd w:val="solid" w:color="000000" w:fill="000000"/>
                <w:fitText w:val="60" w:id="-1013195250"/>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50"/>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50"/>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04" w:type="pct"/>
            <w:shd w:val="clear" w:color="auto" w:fill="auto"/>
            <w:vAlign w:val="center"/>
          </w:tcPr>
          <w:p w14:paraId="53F17858" w14:textId="5A6BDF58" w:rsidR="00DD7590" w:rsidRPr="00B80329" w:rsidRDefault="000A7F6B" w:rsidP="00305BF2">
            <w:pPr>
              <w:pStyle w:val="COMTabletext"/>
              <w:jc w:val="center"/>
              <w:rPr>
                <w:rFonts w:eastAsia="Times New Roman" w:cs="Arial"/>
                <w:color w:val="000000"/>
                <w:szCs w:val="20"/>
                <w:highlight w:val="darkGray"/>
              </w:rPr>
            </w:pPr>
            <w:r w:rsidRPr="000A7F6B">
              <w:rPr>
                <w:rFonts w:cs="Arial" w:hint="eastAsia"/>
                <w:color w:val="000000"/>
                <w:w w:val="15"/>
                <w:szCs w:val="20"/>
                <w:shd w:val="solid" w:color="000000" w:fill="000000"/>
                <w:fitText w:val="60" w:id="-1013195249"/>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49"/>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49"/>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71A2B8F5" w14:textId="5EAF8135"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48"/>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48"/>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48"/>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0A9E8BEA" w14:textId="4B9EBBB0"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64"/>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64"/>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64"/>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5" w:type="pct"/>
            <w:shd w:val="clear" w:color="auto" w:fill="auto"/>
            <w:vAlign w:val="center"/>
          </w:tcPr>
          <w:p w14:paraId="7F6A3BB0" w14:textId="31D43C46"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63"/>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63"/>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63"/>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c>
          <w:tcPr>
            <w:tcW w:w="653" w:type="pct"/>
            <w:shd w:val="clear" w:color="auto" w:fill="auto"/>
            <w:vAlign w:val="center"/>
          </w:tcPr>
          <w:p w14:paraId="2980CB2C" w14:textId="4705D718" w:rsidR="00DD7590" w:rsidRPr="00B80329" w:rsidRDefault="000A7F6B" w:rsidP="00305BF2">
            <w:pPr>
              <w:pStyle w:val="COMTabletext"/>
              <w:jc w:val="center"/>
              <w:rPr>
                <w:rFonts w:eastAsia="Times New Roman" w:cs="Arial"/>
                <w:color w:val="000000"/>
                <w:szCs w:val="20"/>
                <w:highlight w:val="darkGray"/>
              </w:rPr>
            </w:pPr>
            <w:r w:rsidRPr="00867C25">
              <w:rPr>
                <w:rFonts w:cs="Arial" w:hint="eastAsia"/>
                <w:color w:val="000000"/>
                <w:w w:val="15"/>
                <w:szCs w:val="20"/>
                <w:shd w:val="solid" w:color="000000" w:fill="000000"/>
                <w:fitText w:val="15" w:id="-1013195262"/>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262"/>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262"/>
                <w14:textFill>
                  <w14:solidFill>
                    <w14:srgbClr w14:val="000000">
                      <w14:alpha w14:val="100000"/>
                    </w14:srgbClr>
                  </w14:solidFill>
                </w14:textFill>
              </w:rPr>
              <w:t xml:space="preserve">　</w:t>
            </w:r>
            <w:r w:rsidR="008A255E">
              <w:rPr>
                <w:rFonts w:cstheme="minorHAnsi"/>
                <w:bCs w:val="0"/>
                <w:color w:val="000000"/>
                <w:szCs w:val="20"/>
                <w:vertAlign w:val="superscript"/>
              </w:rPr>
              <w:t>2</w:t>
            </w:r>
          </w:p>
        </w:tc>
      </w:tr>
      <w:tr w:rsidR="00DD7590" w:rsidRPr="00903E1C" w14:paraId="3F2B928F" w14:textId="77777777" w:rsidTr="00305BF2">
        <w:tc>
          <w:tcPr>
            <w:tcW w:w="1172" w:type="pct"/>
            <w:shd w:val="clear" w:color="auto" w:fill="auto"/>
            <w:vAlign w:val="bottom"/>
          </w:tcPr>
          <w:p w14:paraId="703297AC" w14:textId="77777777" w:rsidR="00DD7590" w:rsidRPr="00903E1C" w:rsidRDefault="00DD7590" w:rsidP="00B80329">
            <w:pPr>
              <w:pStyle w:val="COMTabletext"/>
              <w:rPr>
                <w:szCs w:val="20"/>
              </w:rPr>
            </w:pPr>
            <w:r w:rsidRPr="00903E1C">
              <w:rPr>
                <w:szCs w:val="20"/>
              </w:rPr>
              <w:t>Net cost to PBS/RPBS</w:t>
            </w:r>
          </w:p>
        </w:tc>
        <w:tc>
          <w:tcPr>
            <w:tcW w:w="604" w:type="pct"/>
            <w:shd w:val="clear" w:color="auto" w:fill="auto"/>
            <w:vAlign w:val="center"/>
          </w:tcPr>
          <w:p w14:paraId="5FF1A056" w14:textId="333D45F3" w:rsidR="00DD7590" w:rsidRPr="00B80329" w:rsidRDefault="000A7F6B" w:rsidP="00305BF2">
            <w:pPr>
              <w:pStyle w:val="COMTabletext"/>
              <w:jc w:val="center"/>
              <w:rPr>
                <w:szCs w:val="20"/>
                <w:highlight w:val="darkGray"/>
              </w:rPr>
            </w:pPr>
            <w:r w:rsidRPr="000A7F6B">
              <w:rPr>
                <w:rFonts w:cs="Arial" w:hint="eastAsia"/>
                <w:color w:val="000000"/>
                <w:w w:val="15"/>
                <w:szCs w:val="20"/>
                <w:shd w:val="solid" w:color="000000" w:fill="000000"/>
                <w:fitText w:val="60" w:id="-1013195261"/>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61"/>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61"/>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vAlign w:val="center"/>
          </w:tcPr>
          <w:p w14:paraId="53A0F103" w14:textId="02194741" w:rsidR="00DD7590" w:rsidRPr="00B80329" w:rsidRDefault="000A7F6B" w:rsidP="00305BF2">
            <w:pPr>
              <w:pStyle w:val="COMTabletext"/>
              <w:jc w:val="center"/>
              <w:rPr>
                <w:szCs w:val="20"/>
                <w:highlight w:val="darkGray"/>
              </w:rPr>
            </w:pPr>
            <w:r w:rsidRPr="000A7F6B">
              <w:rPr>
                <w:rFonts w:cs="Arial" w:hint="eastAsia"/>
                <w:color w:val="000000"/>
                <w:w w:val="15"/>
                <w:szCs w:val="20"/>
                <w:shd w:val="solid" w:color="000000" w:fill="000000"/>
                <w:fitText w:val="60" w:id="-1013195260"/>
                <w14:textFill>
                  <w14:solidFill>
                    <w14:srgbClr w14:val="000000">
                      <w14:alpha w14:val="100000"/>
                    </w14:srgbClr>
                  </w14:solidFill>
                </w14:textFill>
              </w:rPr>
              <w:t xml:space="preserve">　</w:t>
            </w:r>
            <w:r w:rsidRPr="000A7F6B">
              <w:rPr>
                <w:rFonts w:cs="Arial"/>
                <w:color w:val="000000"/>
                <w:w w:val="15"/>
                <w:szCs w:val="20"/>
                <w:shd w:val="solid" w:color="000000" w:fill="000000"/>
                <w:fitText w:val="60" w:id="-1013195260"/>
                <w14:textFill>
                  <w14:solidFill>
                    <w14:srgbClr w14:val="000000">
                      <w14:alpha w14:val="100000"/>
                    </w14:srgbClr>
                  </w14:solidFill>
                </w14:textFill>
              </w:rPr>
              <w:t>|</w:t>
            </w:r>
            <w:r w:rsidRPr="000A7F6B">
              <w:rPr>
                <w:rFonts w:cs="Arial" w:hint="eastAsia"/>
                <w:color w:val="000000"/>
                <w:spacing w:val="-5"/>
                <w:w w:val="15"/>
                <w:szCs w:val="20"/>
                <w:shd w:val="solid" w:color="000000" w:fill="000000"/>
                <w:fitText w:val="60" w:id="-1013195260"/>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vAlign w:val="center"/>
          </w:tcPr>
          <w:p w14:paraId="604ADDE6" w14:textId="6A4F0FF4" w:rsidR="00DD7590" w:rsidRPr="00B80329" w:rsidRDefault="000A7F6B" w:rsidP="00305BF2">
            <w:pPr>
              <w:pStyle w:val="COMTabletext"/>
              <w:jc w:val="center"/>
              <w:rPr>
                <w:szCs w:val="20"/>
                <w:highlight w:val="darkGray"/>
              </w:rPr>
            </w:pPr>
            <w:r w:rsidRPr="00867C25">
              <w:rPr>
                <w:rFonts w:cs="Arial" w:hint="eastAsia"/>
                <w:color w:val="000000"/>
                <w:w w:val="15"/>
                <w:szCs w:val="20"/>
                <w:shd w:val="solid" w:color="000000" w:fill="000000"/>
                <w:fitText w:val="15" w:id="-1013195008"/>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008"/>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008"/>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vAlign w:val="center"/>
          </w:tcPr>
          <w:p w14:paraId="332FAA48" w14:textId="60670758" w:rsidR="00DD7590" w:rsidRPr="00B80329" w:rsidRDefault="000A7F6B" w:rsidP="00305BF2">
            <w:pPr>
              <w:pStyle w:val="COMTabletext"/>
              <w:jc w:val="center"/>
              <w:rPr>
                <w:szCs w:val="20"/>
                <w:highlight w:val="darkGray"/>
              </w:rPr>
            </w:pPr>
            <w:r w:rsidRPr="00867C25">
              <w:rPr>
                <w:rFonts w:cs="Arial" w:hint="eastAsia"/>
                <w:color w:val="000000"/>
                <w:w w:val="15"/>
                <w:szCs w:val="20"/>
                <w:shd w:val="solid" w:color="000000" w:fill="000000"/>
                <w:fitText w:val="15" w:id="-1013195007"/>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007"/>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007"/>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vAlign w:val="center"/>
          </w:tcPr>
          <w:p w14:paraId="46A44AF2" w14:textId="62E67B2F" w:rsidR="00DD7590" w:rsidRPr="00B80329" w:rsidRDefault="000A7F6B" w:rsidP="00305BF2">
            <w:pPr>
              <w:pStyle w:val="COMTabletext"/>
              <w:jc w:val="center"/>
              <w:rPr>
                <w:szCs w:val="20"/>
                <w:highlight w:val="darkGray"/>
              </w:rPr>
            </w:pPr>
            <w:r w:rsidRPr="00867C25">
              <w:rPr>
                <w:rFonts w:cs="Arial" w:hint="eastAsia"/>
                <w:color w:val="000000"/>
                <w:w w:val="15"/>
                <w:szCs w:val="20"/>
                <w:shd w:val="solid" w:color="000000" w:fill="000000"/>
                <w:fitText w:val="15" w:id="-1013195006"/>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006"/>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006"/>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3" w:type="pct"/>
            <w:shd w:val="clear" w:color="auto" w:fill="auto"/>
            <w:vAlign w:val="center"/>
          </w:tcPr>
          <w:p w14:paraId="27DC07FF" w14:textId="000B20EB" w:rsidR="00DD7590" w:rsidRPr="00B80329" w:rsidRDefault="000A7F6B" w:rsidP="00305BF2">
            <w:pPr>
              <w:pStyle w:val="COMTabletext"/>
              <w:jc w:val="center"/>
              <w:rPr>
                <w:szCs w:val="20"/>
                <w:highlight w:val="darkGray"/>
              </w:rPr>
            </w:pPr>
            <w:r w:rsidRPr="00867C25">
              <w:rPr>
                <w:rFonts w:cs="Arial" w:hint="eastAsia"/>
                <w:color w:val="000000"/>
                <w:w w:val="15"/>
                <w:szCs w:val="20"/>
                <w:shd w:val="solid" w:color="000000" w:fill="000000"/>
                <w:fitText w:val="15" w:id="-1013195005"/>
                <w14:textFill>
                  <w14:solidFill>
                    <w14:srgbClr w14:val="000000">
                      <w14:alpha w14:val="100000"/>
                    </w14:srgbClr>
                  </w14:solidFill>
                </w14:textFill>
              </w:rPr>
              <w:t xml:space="preserve">　</w:t>
            </w:r>
            <w:r w:rsidRPr="00867C25">
              <w:rPr>
                <w:rFonts w:cs="Arial"/>
                <w:color w:val="000000"/>
                <w:w w:val="15"/>
                <w:szCs w:val="20"/>
                <w:shd w:val="solid" w:color="000000" w:fill="000000"/>
                <w:fitText w:val="15" w:id="-1013195005"/>
                <w14:textFill>
                  <w14:solidFill>
                    <w14:srgbClr w14:val="000000">
                      <w14:alpha w14:val="100000"/>
                    </w14:srgbClr>
                  </w14:solidFill>
                </w14:textFill>
              </w:rPr>
              <w:t>|</w:t>
            </w:r>
            <w:r w:rsidRPr="00867C25">
              <w:rPr>
                <w:rFonts w:cs="Arial" w:hint="eastAsia"/>
                <w:color w:val="000000"/>
                <w:spacing w:val="-51"/>
                <w:w w:val="15"/>
                <w:szCs w:val="20"/>
                <w:shd w:val="solid" w:color="000000" w:fill="000000"/>
                <w:fitText w:val="15" w:id="-1013195005"/>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r>
      <w:tr w:rsidR="00DD7590" w:rsidRPr="00903E1C" w14:paraId="73E1AA35" w14:textId="77777777" w:rsidTr="00305BF2">
        <w:tc>
          <w:tcPr>
            <w:tcW w:w="1172" w:type="pct"/>
            <w:shd w:val="clear" w:color="auto" w:fill="auto"/>
            <w:vAlign w:val="center"/>
          </w:tcPr>
          <w:p w14:paraId="05A25863" w14:textId="77777777" w:rsidR="00DD7590" w:rsidRPr="00903E1C" w:rsidRDefault="00DD7590" w:rsidP="00305BF2">
            <w:pPr>
              <w:pStyle w:val="COMTabletext"/>
              <w:rPr>
                <w:b/>
                <w:bCs w:val="0"/>
                <w:szCs w:val="20"/>
              </w:rPr>
            </w:pPr>
            <w:r w:rsidRPr="00903E1C">
              <w:rPr>
                <w:szCs w:val="20"/>
              </w:rPr>
              <w:t>Net cost to the MBS</w:t>
            </w:r>
            <w:r w:rsidRPr="00903E1C">
              <w:rPr>
                <w:szCs w:val="20"/>
                <w:vertAlign w:val="superscript"/>
              </w:rPr>
              <w:t>b</w:t>
            </w:r>
          </w:p>
        </w:tc>
        <w:tc>
          <w:tcPr>
            <w:tcW w:w="604" w:type="pct"/>
            <w:shd w:val="clear" w:color="auto" w:fill="auto"/>
          </w:tcPr>
          <w:p w14:paraId="402578AD" w14:textId="259C0E95" w:rsidR="00DD7590" w:rsidRPr="00B80329" w:rsidRDefault="000A7F6B" w:rsidP="00305BF2">
            <w:pPr>
              <w:pStyle w:val="COMTabletext"/>
              <w:jc w:val="center"/>
              <w:rPr>
                <w:rFonts w:eastAsia="Times New Roman" w:cs="Arial"/>
                <w:color w:val="000000"/>
                <w:szCs w:val="20"/>
                <w:highlight w:val="darkGray"/>
              </w:rPr>
            </w:pPr>
            <w:r w:rsidRPr="000A7F6B">
              <w:rPr>
                <w:rFonts w:hint="eastAsia"/>
                <w:color w:val="000000"/>
                <w:w w:val="15"/>
                <w:szCs w:val="20"/>
                <w:shd w:val="solid" w:color="000000" w:fill="000000"/>
                <w:fitText w:val="60" w:id="-1013195004"/>
                <w14:textFill>
                  <w14:solidFill>
                    <w14:srgbClr w14:val="000000">
                      <w14:alpha w14:val="100000"/>
                    </w14:srgbClr>
                  </w14:solidFill>
                </w14:textFill>
              </w:rPr>
              <w:t xml:space="preserve">　</w:t>
            </w:r>
            <w:r w:rsidRPr="000A7F6B">
              <w:rPr>
                <w:color w:val="000000"/>
                <w:w w:val="15"/>
                <w:szCs w:val="20"/>
                <w:shd w:val="solid" w:color="000000" w:fill="000000"/>
                <w:fitText w:val="60" w:id="-1013195004"/>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5004"/>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tcPr>
          <w:p w14:paraId="78934CDA" w14:textId="325064B6" w:rsidR="00DD7590" w:rsidRPr="00B80329" w:rsidRDefault="000A7F6B" w:rsidP="00305BF2">
            <w:pPr>
              <w:pStyle w:val="COMTabletext"/>
              <w:jc w:val="center"/>
              <w:rPr>
                <w:rFonts w:eastAsia="Times New Roman" w:cs="Arial"/>
                <w:color w:val="000000"/>
                <w:szCs w:val="20"/>
                <w:highlight w:val="darkGray"/>
              </w:rPr>
            </w:pPr>
            <w:r w:rsidRPr="000A7F6B">
              <w:rPr>
                <w:rFonts w:hint="eastAsia"/>
                <w:color w:val="000000"/>
                <w:w w:val="15"/>
                <w:szCs w:val="20"/>
                <w:shd w:val="solid" w:color="000000" w:fill="000000"/>
                <w:fitText w:val="60" w:id="-1013195003"/>
                <w14:textFill>
                  <w14:solidFill>
                    <w14:srgbClr w14:val="000000">
                      <w14:alpha w14:val="100000"/>
                    </w14:srgbClr>
                  </w14:solidFill>
                </w14:textFill>
              </w:rPr>
              <w:t xml:space="preserve">　</w:t>
            </w:r>
            <w:r w:rsidRPr="000A7F6B">
              <w:rPr>
                <w:color w:val="000000"/>
                <w:w w:val="15"/>
                <w:szCs w:val="20"/>
                <w:shd w:val="solid" w:color="000000" w:fill="000000"/>
                <w:fitText w:val="60" w:id="-1013195003"/>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5003"/>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45F83664" w14:textId="3BFC46B4" w:rsidR="00DD7590" w:rsidRPr="00B80329" w:rsidRDefault="000A7F6B" w:rsidP="00305BF2">
            <w:pPr>
              <w:pStyle w:val="COMTabletext"/>
              <w:jc w:val="center"/>
              <w:rPr>
                <w:rFonts w:eastAsia="Times New Roman" w:cs="Arial"/>
                <w:color w:val="000000"/>
                <w:szCs w:val="20"/>
                <w:highlight w:val="darkGray"/>
              </w:rPr>
            </w:pPr>
            <w:r w:rsidRPr="00867C25">
              <w:rPr>
                <w:rFonts w:hint="eastAsia"/>
                <w:color w:val="000000"/>
                <w:w w:val="15"/>
                <w:szCs w:val="20"/>
                <w:shd w:val="solid" w:color="000000" w:fill="000000"/>
                <w:fitText w:val="15" w:id="-1013195002"/>
                <w14:textFill>
                  <w14:solidFill>
                    <w14:srgbClr w14:val="000000">
                      <w14:alpha w14:val="100000"/>
                    </w14:srgbClr>
                  </w14:solidFill>
                </w14:textFill>
              </w:rPr>
              <w:t xml:space="preserve">　</w:t>
            </w:r>
            <w:r w:rsidRPr="00867C25">
              <w:rPr>
                <w:color w:val="000000"/>
                <w:w w:val="15"/>
                <w:szCs w:val="20"/>
                <w:shd w:val="solid" w:color="000000" w:fill="000000"/>
                <w:fitText w:val="15" w:id="-1013195002"/>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002"/>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5E4B6315" w14:textId="0F269A5F" w:rsidR="00DD7590" w:rsidRPr="00B80329" w:rsidRDefault="000A7F6B" w:rsidP="00305BF2">
            <w:pPr>
              <w:pStyle w:val="COMTabletext"/>
              <w:jc w:val="center"/>
              <w:rPr>
                <w:rFonts w:eastAsia="Times New Roman" w:cs="Arial"/>
                <w:color w:val="000000"/>
                <w:szCs w:val="20"/>
                <w:highlight w:val="darkGray"/>
              </w:rPr>
            </w:pPr>
            <w:r w:rsidRPr="00867C25">
              <w:rPr>
                <w:rFonts w:hint="eastAsia"/>
                <w:color w:val="000000"/>
                <w:w w:val="15"/>
                <w:szCs w:val="20"/>
                <w:shd w:val="solid" w:color="000000" w:fill="000000"/>
                <w:fitText w:val="15" w:id="-1013195001"/>
                <w14:textFill>
                  <w14:solidFill>
                    <w14:srgbClr w14:val="000000">
                      <w14:alpha w14:val="100000"/>
                    </w14:srgbClr>
                  </w14:solidFill>
                </w14:textFill>
              </w:rPr>
              <w:t xml:space="preserve">　</w:t>
            </w:r>
            <w:r w:rsidRPr="00867C25">
              <w:rPr>
                <w:color w:val="000000"/>
                <w:w w:val="15"/>
                <w:szCs w:val="20"/>
                <w:shd w:val="solid" w:color="000000" w:fill="000000"/>
                <w:fitText w:val="15" w:id="-1013195001"/>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001"/>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0D2504C8" w14:textId="05AB9E98" w:rsidR="00DD7590" w:rsidRPr="00B80329" w:rsidRDefault="000A7F6B" w:rsidP="00305BF2">
            <w:pPr>
              <w:pStyle w:val="COMTabletext"/>
              <w:jc w:val="center"/>
              <w:rPr>
                <w:rFonts w:eastAsia="Times New Roman" w:cs="Arial"/>
                <w:color w:val="000000"/>
                <w:szCs w:val="20"/>
                <w:highlight w:val="darkGray"/>
              </w:rPr>
            </w:pPr>
            <w:r w:rsidRPr="00867C25">
              <w:rPr>
                <w:rFonts w:hint="eastAsia"/>
                <w:color w:val="000000"/>
                <w:w w:val="15"/>
                <w:szCs w:val="20"/>
                <w:shd w:val="solid" w:color="000000" w:fill="000000"/>
                <w:fitText w:val="15" w:id="-1013195000"/>
                <w14:textFill>
                  <w14:solidFill>
                    <w14:srgbClr w14:val="000000">
                      <w14:alpha w14:val="100000"/>
                    </w14:srgbClr>
                  </w14:solidFill>
                </w14:textFill>
              </w:rPr>
              <w:t xml:space="preserve">　</w:t>
            </w:r>
            <w:r w:rsidRPr="00867C25">
              <w:rPr>
                <w:color w:val="000000"/>
                <w:w w:val="15"/>
                <w:szCs w:val="20"/>
                <w:shd w:val="solid" w:color="000000" w:fill="000000"/>
                <w:fitText w:val="15" w:id="-1013195000"/>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5000"/>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3" w:type="pct"/>
            <w:shd w:val="clear" w:color="auto" w:fill="auto"/>
          </w:tcPr>
          <w:p w14:paraId="60353290" w14:textId="17C09DC8" w:rsidR="00DD7590" w:rsidRPr="00B80329" w:rsidRDefault="000A7F6B" w:rsidP="00305BF2">
            <w:pPr>
              <w:pStyle w:val="COMTabletext"/>
              <w:jc w:val="center"/>
              <w:rPr>
                <w:rFonts w:eastAsia="Times New Roman" w:cs="Arial"/>
                <w:color w:val="000000"/>
                <w:szCs w:val="20"/>
                <w:highlight w:val="darkGray"/>
              </w:rPr>
            </w:pPr>
            <w:r w:rsidRPr="00867C25">
              <w:rPr>
                <w:rFonts w:hint="eastAsia"/>
                <w:color w:val="000000"/>
                <w:w w:val="15"/>
                <w:szCs w:val="20"/>
                <w:shd w:val="solid" w:color="000000" w:fill="000000"/>
                <w:fitText w:val="15" w:id="-1013194999"/>
                <w14:textFill>
                  <w14:solidFill>
                    <w14:srgbClr w14:val="000000">
                      <w14:alpha w14:val="100000"/>
                    </w14:srgbClr>
                  </w14:solidFill>
                </w14:textFill>
              </w:rPr>
              <w:t xml:space="preserve">　</w:t>
            </w:r>
            <w:r w:rsidRPr="00867C25">
              <w:rPr>
                <w:color w:val="000000"/>
                <w:w w:val="15"/>
                <w:szCs w:val="20"/>
                <w:shd w:val="solid" w:color="000000" w:fill="000000"/>
                <w:fitText w:val="15" w:id="-1013194999"/>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4999"/>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r>
      <w:tr w:rsidR="00DD7590" w:rsidRPr="00903E1C" w14:paraId="1A32F4E8" w14:textId="77777777" w:rsidTr="00305BF2">
        <w:tc>
          <w:tcPr>
            <w:tcW w:w="1172" w:type="pct"/>
            <w:shd w:val="clear" w:color="auto" w:fill="auto"/>
            <w:vAlign w:val="center"/>
          </w:tcPr>
          <w:p w14:paraId="334BA2AC" w14:textId="77777777" w:rsidR="00DD7590" w:rsidRPr="00903E1C" w:rsidRDefault="00DD7590" w:rsidP="00305BF2">
            <w:pPr>
              <w:pStyle w:val="COMTabletext"/>
              <w:rPr>
                <w:b/>
                <w:bCs w:val="0"/>
                <w:szCs w:val="20"/>
              </w:rPr>
            </w:pPr>
            <w:r w:rsidRPr="00903E1C">
              <w:rPr>
                <w:b/>
                <w:bCs w:val="0"/>
                <w:szCs w:val="20"/>
              </w:rPr>
              <w:t>Net cost to the PBS/RPBS/MBS</w:t>
            </w:r>
          </w:p>
        </w:tc>
        <w:tc>
          <w:tcPr>
            <w:tcW w:w="604" w:type="pct"/>
            <w:shd w:val="clear" w:color="auto" w:fill="auto"/>
          </w:tcPr>
          <w:p w14:paraId="77AC7E37" w14:textId="1285E941" w:rsidR="00DD7590" w:rsidRPr="00B80329" w:rsidRDefault="000A7F6B" w:rsidP="00305BF2">
            <w:pPr>
              <w:pStyle w:val="COMTabletext"/>
              <w:jc w:val="center"/>
              <w:rPr>
                <w:szCs w:val="20"/>
                <w:highlight w:val="darkGray"/>
              </w:rPr>
            </w:pPr>
            <w:r w:rsidRPr="000A7F6B">
              <w:rPr>
                <w:rFonts w:hint="eastAsia"/>
                <w:color w:val="000000"/>
                <w:w w:val="15"/>
                <w:szCs w:val="20"/>
                <w:shd w:val="solid" w:color="000000" w:fill="000000"/>
                <w:fitText w:val="60" w:id="-1013194998"/>
                <w14:textFill>
                  <w14:solidFill>
                    <w14:srgbClr w14:val="000000">
                      <w14:alpha w14:val="100000"/>
                    </w14:srgbClr>
                  </w14:solidFill>
                </w14:textFill>
              </w:rPr>
              <w:t xml:space="preserve">　</w:t>
            </w:r>
            <w:r w:rsidRPr="000A7F6B">
              <w:rPr>
                <w:color w:val="000000"/>
                <w:w w:val="15"/>
                <w:szCs w:val="20"/>
                <w:shd w:val="solid" w:color="000000" w:fill="000000"/>
                <w:fitText w:val="60" w:id="-1013194998"/>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4998"/>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04" w:type="pct"/>
            <w:shd w:val="clear" w:color="auto" w:fill="auto"/>
          </w:tcPr>
          <w:p w14:paraId="2F730D1A" w14:textId="4007464A" w:rsidR="00DD7590" w:rsidRPr="00B80329" w:rsidRDefault="000A7F6B" w:rsidP="00305BF2">
            <w:pPr>
              <w:pStyle w:val="COMTabletext"/>
              <w:jc w:val="center"/>
              <w:rPr>
                <w:szCs w:val="20"/>
                <w:highlight w:val="darkGray"/>
              </w:rPr>
            </w:pPr>
            <w:r w:rsidRPr="000A7F6B">
              <w:rPr>
                <w:rFonts w:hint="eastAsia"/>
                <w:color w:val="000000"/>
                <w:w w:val="15"/>
                <w:szCs w:val="20"/>
                <w:shd w:val="solid" w:color="000000" w:fill="000000"/>
                <w:fitText w:val="60" w:id="-1013194997"/>
                <w14:textFill>
                  <w14:solidFill>
                    <w14:srgbClr w14:val="000000">
                      <w14:alpha w14:val="100000"/>
                    </w14:srgbClr>
                  </w14:solidFill>
                </w14:textFill>
              </w:rPr>
              <w:t xml:space="preserve">　</w:t>
            </w:r>
            <w:r w:rsidRPr="000A7F6B">
              <w:rPr>
                <w:color w:val="000000"/>
                <w:w w:val="15"/>
                <w:szCs w:val="20"/>
                <w:shd w:val="solid" w:color="000000" w:fill="000000"/>
                <w:fitText w:val="60" w:id="-1013194997"/>
                <w14:textFill>
                  <w14:solidFill>
                    <w14:srgbClr w14:val="000000">
                      <w14:alpha w14:val="100000"/>
                    </w14:srgbClr>
                  </w14:solidFill>
                </w14:textFill>
              </w:rPr>
              <w:t>|</w:t>
            </w:r>
            <w:r w:rsidRPr="000A7F6B">
              <w:rPr>
                <w:rFonts w:hint="eastAsia"/>
                <w:color w:val="000000"/>
                <w:spacing w:val="-5"/>
                <w:w w:val="15"/>
                <w:szCs w:val="20"/>
                <w:shd w:val="solid" w:color="000000" w:fill="000000"/>
                <w:fitText w:val="60" w:id="-1013194997"/>
                <w14:textFill>
                  <w14:solidFill>
                    <w14:srgbClr w14:val="000000">
                      <w14:alpha w14:val="100000"/>
                    </w14:srgbClr>
                  </w14:solidFill>
                </w14:textFill>
              </w:rPr>
              <w:t xml:space="preserve">　</w:t>
            </w:r>
            <w:r w:rsidR="008A255E">
              <w:rPr>
                <w:rFonts w:cstheme="minorHAnsi"/>
                <w:bCs w:val="0"/>
                <w:color w:val="000000"/>
                <w:szCs w:val="20"/>
                <w:vertAlign w:val="superscript"/>
              </w:rPr>
              <w:t>3</w:t>
            </w:r>
          </w:p>
        </w:tc>
        <w:tc>
          <w:tcPr>
            <w:tcW w:w="655" w:type="pct"/>
            <w:shd w:val="clear" w:color="auto" w:fill="auto"/>
          </w:tcPr>
          <w:p w14:paraId="6BCA6181" w14:textId="1A9CF6DB"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4996"/>
                <w14:textFill>
                  <w14:solidFill>
                    <w14:srgbClr w14:val="000000">
                      <w14:alpha w14:val="100000"/>
                    </w14:srgbClr>
                  </w14:solidFill>
                </w14:textFill>
              </w:rPr>
              <w:t xml:space="preserve">　</w:t>
            </w:r>
            <w:r w:rsidRPr="00867C25">
              <w:rPr>
                <w:color w:val="000000"/>
                <w:w w:val="15"/>
                <w:szCs w:val="20"/>
                <w:shd w:val="solid" w:color="000000" w:fill="000000"/>
                <w:fitText w:val="15" w:id="-1013194996"/>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4996"/>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tcPr>
          <w:p w14:paraId="4E0B8182" w14:textId="32FEAC28"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4995"/>
                <w14:textFill>
                  <w14:solidFill>
                    <w14:srgbClr w14:val="000000">
                      <w14:alpha w14:val="100000"/>
                    </w14:srgbClr>
                  </w14:solidFill>
                </w14:textFill>
              </w:rPr>
              <w:t xml:space="preserve">　</w:t>
            </w:r>
            <w:r w:rsidRPr="00867C25">
              <w:rPr>
                <w:color w:val="000000"/>
                <w:w w:val="15"/>
                <w:szCs w:val="20"/>
                <w:shd w:val="solid" w:color="000000" w:fill="000000"/>
                <w:fitText w:val="15" w:id="-1013194995"/>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4995"/>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5" w:type="pct"/>
            <w:shd w:val="clear" w:color="auto" w:fill="auto"/>
          </w:tcPr>
          <w:p w14:paraId="2A742495" w14:textId="5AD1F4EC"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4994"/>
                <w14:textFill>
                  <w14:solidFill>
                    <w14:srgbClr w14:val="000000">
                      <w14:alpha w14:val="100000"/>
                    </w14:srgbClr>
                  </w14:solidFill>
                </w14:textFill>
              </w:rPr>
              <w:t xml:space="preserve">　</w:t>
            </w:r>
            <w:r w:rsidRPr="00867C25">
              <w:rPr>
                <w:color w:val="000000"/>
                <w:w w:val="15"/>
                <w:szCs w:val="20"/>
                <w:shd w:val="solid" w:color="000000" w:fill="000000"/>
                <w:fitText w:val="15" w:id="-1013194994"/>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4994"/>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c>
          <w:tcPr>
            <w:tcW w:w="653" w:type="pct"/>
            <w:shd w:val="clear" w:color="auto" w:fill="auto"/>
          </w:tcPr>
          <w:p w14:paraId="44AC1F20" w14:textId="101849DC" w:rsidR="00DD7590" w:rsidRPr="00B80329" w:rsidRDefault="000A7F6B" w:rsidP="00305BF2">
            <w:pPr>
              <w:pStyle w:val="COMTabletext"/>
              <w:jc w:val="center"/>
              <w:rPr>
                <w:szCs w:val="20"/>
                <w:highlight w:val="darkGray"/>
              </w:rPr>
            </w:pPr>
            <w:r w:rsidRPr="00867C25">
              <w:rPr>
                <w:rFonts w:hint="eastAsia"/>
                <w:color w:val="000000"/>
                <w:w w:val="15"/>
                <w:szCs w:val="20"/>
                <w:shd w:val="solid" w:color="000000" w:fill="000000"/>
                <w:fitText w:val="15" w:id="-1013194993"/>
                <w14:textFill>
                  <w14:solidFill>
                    <w14:srgbClr w14:val="000000">
                      <w14:alpha w14:val="100000"/>
                    </w14:srgbClr>
                  </w14:solidFill>
                </w14:textFill>
              </w:rPr>
              <w:t xml:space="preserve">　</w:t>
            </w:r>
            <w:r w:rsidRPr="00867C25">
              <w:rPr>
                <w:color w:val="000000"/>
                <w:w w:val="15"/>
                <w:szCs w:val="20"/>
                <w:shd w:val="solid" w:color="000000" w:fill="000000"/>
                <w:fitText w:val="15" w:id="-1013194993"/>
                <w14:textFill>
                  <w14:solidFill>
                    <w14:srgbClr w14:val="000000">
                      <w14:alpha w14:val="100000"/>
                    </w14:srgbClr>
                  </w14:solidFill>
                </w14:textFill>
              </w:rPr>
              <w:t>|</w:t>
            </w:r>
            <w:r w:rsidRPr="00867C25">
              <w:rPr>
                <w:rFonts w:hint="eastAsia"/>
                <w:color w:val="000000"/>
                <w:spacing w:val="-51"/>
                <w:w w:val="15"/>
                <w:szCs w:val="20"/>
                <w:shd w:val="solid" w:color="000000" w:fill="000000"/>
                <w:fitText w:val="15" w:id="-1013194993"/>
                <w14:textFill>
                  <w14:solidFill>
                    <w14:srgbClr w14:val="000000">
                      <w14:alpha w14:val="100000"/>
                    </w14:srgbClr>
                  </w14:solidFill>
                </w14:textFill>
              </w:rPr>
              <w:t xml:space="preserve">　</w:t>
            </w:r>
            <w:r w:rsidR="008A255E">
              <w:rPr>
                <w:rFonts w:cstheme="minorHAnsi"/>
                <w:bCs w:val="0"/>
                <w:color w:val="000000"/>
                <w:szCs w:val="20"/>
                <w:vertAlign w:val="superscript"/>
              </w:rPr>
              <w:t>4</w:t>
            </w:r>
          </w:p>
        </w:tc>
      </w:tr>
    </w:tbl>
    <w:p w14:paraId="2FEA196F" w14:textId="04CC0AD3" w:rsidR="00DD7590" w:rsidRPr="00903E1C" w:rsidRDefault="00DD7590" w:rsidP="00DD7590">
      <w:pPr>
        <w:rPr>
          <w:rFonts w:ascii="Arial Narrow" w:hAnsi="Arial Narrow"/>
          <w:sz w:val="20"/>
          <w:szCs w:val="20"/>
        </w:rPr>
      </w:pPr>
      <w:r w:rsidRPr="00903E1C">
        <w:rPr>
          <w:rFonts w:ascii="Arial Narrow" w:hAnsi="Arial Narrow"/>
          <w:sz w:val="20"/>
          <w:szCs w:val="20"/>
        </w:rPr>
        <w:t>a. Assuming a weighted DPMQ of $</w:t>
      </w:r>
      <w:r w:rsidR="000A7F6B" w:rsidRPr="000A7F6B">
        <w:rPr>
          <w:rFonts w:ascii="Arial Narrow" w:hAnsi="Arial Narrow"/>
          <w:color w:val="000000"/>
          <w:spacing w:val="6"/>
          <w:sz w:val="20"/>
          <w:szCs w:val="20"/>
          <w:shd w:val="solid" w:color="000000" w:fill="000000"/>
          <w:fitText w:val="295" w:id="-1013194992"/>
          <w14:textFill>
            <w14:solidFill>
              <w14:srgbClr w14:val="000000">
                <w14:alpha w14:val="100000"/>
              </w14:srgbClr>
            </w14:solidFill>
          </w14:textFill>
        </w:rPr>
        <w:t>||  |</w:t>
      </w:r>
      <w:r w:rsidR="000A7F6B" w:rsidRPr="000A7F6B">
        <w:rPr>
          <w:rFonts w:ascii="Arial Narrow" w:hAnsi="Arial Narrow"/>
          <w:color w:val="000000"/>
          <w:spacing w:val="4"/>
          <w:sz w:val="20"/>
          <w:szCs w:val="20"/>
          <w:shd w:val="solid" w:color="000000" w:fill="000000"/>
          <w:fitText w:val="295" w:id="-1013194992"/>
          <w14:textFill>
            <w14:solidFill>
              <w14:srgbClr w14:val="000000">
                <w14:alpha w14:val="100000"/>
              </w14:srgbClr>
            </w14:solidFill>
          </w14:textFill>
        </w:rPr>
        <w:t>|</w:t>
      </w:r>
      <w:r w:rsidRPr="00903E1C">
        <w:rPr>
          <w:rFonts w:ascii="Arial Narrow" w:hAnsi="Arial Narrow"/>
          <w:sz w:val="20"/>
          <w:szCs w:val="20"/>
        </w:rPr>
        <w:t xml:space="preserve">, based on an anticipated 80% use in public hospitals. </w:t>
      </w:r>
    </w:p>
    <w:p w14:paraId="42DE9728" w14:textId="77777777" w:rsidR="00DD7590" w:rsidRPr="00903E1C" w:rsidRDefault="00DD7590" w:rsidP="00DD7590">
      <w:pPr>
        <w:rPr>
          <w:rFonts w:ascii="Arial Narrow" w:hAnsi="Arial Narrow"/>
          <w:sz w:val="20"/>
          <w:szCs w:val="20"/>
        </w:rPr>
      </w:pPr>
      <w:r w:rsidRPr="00903E1C">
        <w:rPr>
          <w:rFonts w:ascii="Arial Narrow" w:hAnsi="Arial Narrow"/>
          <w:sz w:val="20"/>
          <w:szCs w:val="20"/>
        </w:rPr>
        <w:t>b. MBS Item 116 - Professional attendance by consultant physician.</w:t>
      </w:r>
    </w:p>
    <w:p w14:paraId="7059BF95" w14:textId="77777777" w:rsidR="00DD7590" w:rsidRDefault="00DD7590" w:rsidP="00DD7590">
      <w:pPr>
        <w:rPr>
          <w:rFonts w:ascii="Arial Narrow" w:hAnsi="Arial Narrow"/>
          <w:sz w:val="20"/>
          <w:szCs w:val="20"/>
        </w:rPr>
      </w:pPr>
      <w:r w:rsidRPr="00903E1C">
        <w:rPr>
          <w:rFonts w:ascii="Arial Narrow" w:hAnsi="Arial Narrow"/>
          <w:sz w:val="20"/>
          <w:szCs w:val="20"/>
        </w:rPr>
        <w:t xml:space="preserve">c. Scripts per patient per year reduced to reflect persistence rate from economic model (rates from </w:t>
      </w:r>
      <w:r w:rsidRPr="00903E1C">
        <w:rPr>
          <w:rFonts w:ascii="Arial Narrow" w:hAnsi="Arial Narrow"/>
          <w:sz w:val="20"/>
          <w:szCs w:val="20"/>
        </w:rPr>
        <w:fldChar w:fldCharType="begin" w:fldLock="1"/>
      </w:r>
      <w:r w:rsidRPr="00903E1C">
        <w:rPr>
          <w:rFonts w:ascii="Arial Narrow" w:hAnsi="Arial Narrow"/>
          <w:sz w:val="20"/>
          <w:szCs w:val="20"/>
        </w:rPr>
        <w:instrText xml:space="preserve"> REF _Ref132583386 \h  \* MERGEFORMAT </w:instrText>
      </w:r>
      <w:r w:rsidRPr="00903E1C">
        <w:rPr>
          <w:rFonts w:ascii="Arial Narrow" w:hAnsi="Arial Narrow"/>
          <w:sz w:val="20"/>
          <w:szCs w:val="20"/>
        </w:rPr>
      </w:r>
      <w:r w:rsidRPr="00903E1C">
        <w:rPr>
          <w:rFonts w:ascii="Arial Narrow" w:hAnsi="Arial Narrow"/>
          <w:sz w:val="20"/>
          <w:szCs w:val="20"/>
        </w:rPr>
        <w:fldChar w:fldCharType="separate"/>
      </w:r>
      <w:r w:rsidRPr="00C573D8">
        <w:rPr>
          <w:rFonts w:ascii="Arial Narrow" w:hAnsi="Arial Narrow"/>
          <w:sz w:val="20"/>
          <w:szCs w:val="20"/>
        </w:rPr>
        <w:t>Table 14</w:t>
      </w:r>
      <w:r w:rsidRPr="00903E1C">
        <w:rPr>
          <w:rFonts w:ascii="Arial Narrow" w:hAnsi="Arial Narrow"/>
          <w:sz w:val="20"/>
          <w:szCs w:val="20"/>
        </w:rPr>
        <w:fldChar w:fldCharType="end"/>
      </w:r>
      <w:r w:rsidRPr="00903E1C">
        <w:rPr>
          <w:rFonts w:ascii="Arial Narrow" w:hAnsi="Arial Narrow"/>
          <w:sz w:val="20"/>
          <w:szCs w:val="20"/>
        </w:rPr>
        <w:t>).</w:t>
      </w:r>
    </w:p>
    <w:p w14:paraId="7F0E3575" w14:textId="77777777" w:rsidR="008A255E" w:rsidRPr="009A6D58" w:rsidRDefault="008A255E" w:rsidP="008A255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F25C1FD" w14:textId="77777777" w:rsidR="008A255E" w:rsidRPr="009A6D58" w:rsidRDefault="008A255E" w:rsidP="008A255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E5ABA">
        <w:rPr>
          <w:rFonts w:ascii="Arial Narrow" w:hAnsi="Arial Narrow"/>
          <w:i/>
          <w:sz w:val="18"/>
          <w:szCs w:val="18"/>
        </w:rPr>
        <w:t>&lt; 500</w:t>
      </w:r>
    </w:p>
    <w:p w14:paraId="468FE3BF" w14:textId="77777777" w:rsidR="008A255E" w:rsidRDefault="008A255E" w:rsidP="008A255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E5ABA">
        <w:rPr>
          <w:rFonts w:ascii="Arial Narrow" w:hAnsi="Arial Narrow"/>
          <w:i/>
          <w:sz w:val="18"/>
          <w:szCs w:val="18"/>
        </w:rPr>
        <w:t>500 to &lt; 5,000</w:t>
      </w:r>
    </w:p>
    <w:p w14:paraId="115A1C74" w14:textId="1E5B1CC6" w:rsidR="008A255E" w:rsidRDefault="008A255E" w:rsidP="008A255E">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F53355">
        <w:rPr>
          <w:rFonts w:ascii="Arial Narrow" w:hAnsi="Arial Narrow"/>
          <w:i/>
          <w:sz w:val="18"/>
          <w:szCs w:val="18"/>
        </w:rPr>
        <w:t>$0 to &lt; $10 million</w:t>
      </w:r>
    </w:p>
    <w:p w14:paraId="1920F240" w14:textId="7FFA38B2" w:rsidR="008A255E" w:rsidRDefault="008A255E" w:rsidP="008A255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53355">
        <w:rPr>
          <w:rFonts w:ascii="Arial Narrow" w:hAnsi="Arial Narrow"/>
          <w:i/>
          <w:sz w:val="18"/>
          <w:szCs w:val="18"/>
        </w:rPr>
        <w:t>$10 million to &lt; $20 million</w:t>
      </w:r>
    </w:p>
    <w:p w14:paraId="3E17A01B" w14:textId="77777777" w:rsidR="00DD7590" w:rsidRPr="00903E1C" w:rsidRDefault="00DD7590" w:rsidP="00DD7590">
      <w:pPr>
        <w:pStyle w:val="COMH2-non-numbered"/>
      </w:pPr>
      <w:r w:rsidRPr="00903E1C">
        <w:t>Financial Management – Risk Sharing Arrangements</w:t>
      </w:r>
    </w:p>
    <w:p w14:paraId="2B65F1B8" w14:textId="1A67F82A" w:rsidR="00DD7590" w:rsidRPr="00903E1C" w:rsidRDefault="00DD7590" w:rsidP="00DD7590">
      <w:pPr>
        <w:pStyle w:val="3-BodyText"/>
        <w:numPr>
          <w:ilvl w:val="1"/>
          <w:numId w:val="1"/>
        </w:numPr>
        <w:rPr>
          <w:bCs/>
        </w:rPr>
      </w:pPr>
      <w:r w:rsidRPr="00903E1C">
        <w:rPr>
          <w:bCs/>
        </w:rPr>
        <w:t xml:space="preserve">The sponsor proposed capped expenditure of patisiran set at the net cost to PBS/RPBS using the proposed effective price, with </w:t>
      </w:r>
      <w:r w:rsidR="000A7F6B" w:rsidRPr="0038178F">
        <w:rPr>
          <w:bCs/>
          <w:color w:val="000000"/>
          <w:w w:val="15"/>
          <w:shd w:val="solid" w:color="000000" w:fill="000000"/>
          <w:fitText w:val="-20" w:id="-1013195008"/>
          <w14:textFill>
            <w14:solidFill>
              <w14:srgbClr w14:val="000000">
                <w14:alpha w14:val="100000"/>
              </w14:srgbClr>
            </w14:solidFill>
          </w14:textFill>
        </w:rPr>
        <w:t xml:space="preserve">|  </w:t>
      </w:r>
      <w:r w:rsidR="000A7F6B" w:rsidRPr="0038178F">
        <w:rPr>
          <w:bCs/>
          <w:color w:val="000000"/>
          <w:spacing w:val="-69"/>
          <w:w w:val="15"/>
          <w:shd w:val="solid" w:color="000000" w:fill="000000"/>
          <w:fitText w:val="-20" w:id="-1013195008"/>
          <w14:textFill>
            <w14:solidFill>
              <w14:srgbClr w14:val="000000">
                <w14:alpha w14:val="100000"/>
              </w14:srgbClr>
            </w14:solidFill>
          </w14:textFill>
        </w:rPr>
        <w:t>|</w:t>
      </w:r>
      <w:r w:rsidRPr="00903E1C">
        <w:rPr>
          <w:bCs/>
        </w:rPr>
        <w:t xml:space="preserve">% rebate above the cap of the proposed Risk Share Arrangement. </w:t>
      </w:r>
    </w:p>
    <w:p w14:paraId="00F6E562" w14:textId="77777777" w:rsidR="00DD7590" w:rsidRPr="00903E1C" w:rsidRDefault="00DD7590" w:rsidP="00DD7590">
      <w:pPr>
        <w:pStyle w:val="COMH2-non-numbered"/>
      </w:pPr>
      <w:r w:rsidRPr="00903E1C">
        <w:lastRenderedPageBreak/>
        <w:t>Reassessment of data after 3 years</w:t>
      </w:r>
    </w:p>
    <w:p w14:paraId="1ACA834C" w14:textId="4CCC0173" w:rsidR="00DD7590" w:rsidRPr="00903E1C" w:rsidRDefault="00DD7590" w:rsidP="00DD7590">
      <w:pPr>
        <w:pStyle w:val="COMexecsumnumberedpara"/>
      </w:pPr>
      <w:r w:rsidRPr="00903E1C">
        <w:t>The revised proposal indicated that the sponsor would perform a reassessment of the cost-effectiveness of patisiran three years after PBS listing using data from the patisiran global OLE study</w:t>
      </w:r>
      <w:r w:rsidRPr="00903E1C">
        <w:rPr>
          <w:rStyle w:val="FootnoteReference"/>
        </w:rPr>
        <w:footnoteReference w:id="16"/>
      </w:r>
      <w:r w:rsidRPr="00903E1C">
        <w:t xml:space="preserve"> and the ConTTRibute Global observational study</w:t>
      </w:r>
      <w:r w:rsidRPr="00903E1C">
        <w:rPr>
          <w:rStyle w:val="FootnoteReference"/>
        </w:rPr>
        <w:footnoteReference w:id="17"/>
      </w:r>
      <w:r w:rsidRPr="00903E1C">
        <w:t xml:space="preserve">. </w:t>
      </w:r>
    </w:p>
    <w:p w14:paraId="661BB1E8" w14:textId="77777777" w:rsidR="00DD7590" w:rsidRPr="00903E1C" w:rsidRDefault="00DD7590" w:rsidP="00DD7590">
      <w:pPr>
        <w:pStyle w:val="COMexecsumnumberedpara"/>
      </w:pPr>
      <w:r w:rsidRPr="00903E1C">
        <w:t xml:space="preserve">A summary of the proposal </w:t>
      </w:r>
      <w:proofErr w:type="gramStart"/>
      <w:r w:rsidRPr="00903E1C">
        <w:t>is presented</w:t>
      </w:r>
      <w:proofErr w:type="gramEnd"/>
      <w:r w:rsidRPr="00903E1C">
        <w:t xml:space="preserve"> in </w:t>
      </w:r>
      <w:r w:rsidRPr="00903E1C">
        <w:fldChar w:fldCharType="begin" w:fldLock="1"/>
      </w:r>
      <w:r w:rsidRPr="00903E1C">
        <w:instrText xml:space="preserve"> REF _Ref153300340 \h  \* MERGEFORMAT </w:instrText>
      </w:r>
      <w:r w:rsidRPr="00903E1C">
        <w:fldChar w:fldCharType="separate"/>
      </w:r>
      <w:r w:rsidRPr="00903E1C">
        <w:t xml:space="preserve">Table </w:t>
      </w:r>
      <w:r>
        <w:t>24</w:t>
      </w:r>
      <w:r w:rsidRPr="00903E1C">
        <w:fldChar w:fldCharType="end"/>
      </w:r>
      <w:r w:rsidRPr="00903E1C">
        <w:t xml:space="preserve">. It </w:t>
      </w:r>
      <w:proofErr w:type="gramStart"/>
      <w:r w:rsidRPr="00903E1C">
        <w:t>was stated</w:t>
      </w:r>
      <w:proofErr w:type="gramEnd"/>
      <w:r w:rsidRPr="00903E1C">
        <w:t xml:space="preserve"> that the reassessment will provide further data to inform mortality hazard ratios for PND health states, as both the Global OLE and ConTTRibute are monitoring PND scores. Additionally, an updated survival estimate in patients treated long term with patisiran will be available from the Global OLE, and this can </w:t>
      </w:r>
      <w:proofErr w:type="gramStart"/>
      <w:r w:rsidRPr="00903E1C">
        <w:t>be compared</w:t>
      </w:r>
      <w:proofErr w:type="gramEnd"/>
      <w:r w:rsidRPr="00903E1C">
        <w:t xml:space="preserve"> with modelled survival in the patisiran arm. The Global OLE will provide long term data to further inform PND health state transitions in the patisiran arm, and data from ConTTRibute could also potentially inform these transitions in the BSC arm. In addition to PND scores, EQ-5D data from the Global OLE could potentially </w:t>
      </w:r>
      <w:proofErr w:type="gramStart"/>
      <w:r w:rsidRPr="00903E1C">
        <w:t>be used</w:t>
      </w:r>
      <w:proofErr w:type="gramEnd"/>
      <w:r w:rsidRPr="00903E1C">
        <w:t xml:space="preserve"> to inform HRQoL in the patisiran arm in the 3-year reassessment. Patisiran discontinuation will </w:t>
      </w:r>
      <w:proofErr w:type="gramStart"/>
      <w:r w:rsidRPr="00903E1C">
        <w:t>be updated</w:t>
      </w:r>
      <w:proofErr w:type="gramEnd"/>
      <w:r w:rsidRPr="00903E1C">
        <w:t xml:space="preserve"> based on findings from the Global OLE. Regarding safety, serious adverse events from the Global OLE will </w:t>
      </w:r>
      <w:proofErr w:type="gramStart"/>
      <w:r w:rsidRPr="00903E1C">
        <w:t>be used</w:t>
      </w:r>
      <w:proofErr w:type="gramEnd"/>
      <w:r w:rsidRPr="00903E1C">
        <w:t xml:space="preserve"> to inform their frequency in the patisiran arm, and it is possible that data from ConTTRibute can be used to inform the frequency of serious adverse events in the BSC arm.</w:t>
      </w:r>
    </w:p>
    <w:p w14:paraId="4F84F892" w14:textId="77777777" w:rsidR="00DD7590" w:rsidRPr="00903E1C" w:rsidRDefault="00DD7590" w:rsidP="00DD7590">
      <w:pPr>
        <w:pStyle w:val="COMtablefigcaption"/>
        <w:rPr>
          <w:b w:val="0"/>
        </w:rPr>
      </w:pPr>
      <w:bookmarkStart w:id="123" w:name="_Ref153300340"/>
      <w:r w:rsidRPr="00903E1C">
        <w:t xml:space="preserve">Table </w:t>
      </w:r>
      <w:fldSimple w:instr=" SEQ Table \* ARABIC " w:fldLock="1">
        <w:r>
          <w:rPr>
            <w:noProof/>
          </w:rPr>
          <w:t>24</w:t>
        </w:r>
      </w:fldSimple>
      <w:bookmarkEnd w:id="123"/>
      <w:r w:rsidRPr="00903E1C">
        <w:t>: Trials used to inform parameters in the original submission and proposed reassessment at 3 years</w:t>
      </w:r>
    </w:p>
    <w:tbl>
      <w:tblPr>
        <w:tblStyle w:val="TableGrid1"/>
        <w:tblW w:w="0" w:type="auto"/>
        <w:tblLook w:val="04A0" w:firstRow="1" w:lastRow="0" w:firstColumn="1" w:lastColumn="0" w:noHBand="0" w:noVBand="1"/>
        <w:tblCaption w:val="Table 24: Trials used to inform parameters in the original submission and proposed reassessment at 3 years"/>
        <w:tblDescription w:val="Table 24: Trials used to inform parameters in the original submission and proposed reassessment at 3 years"/>
      </w:tblPr>
      <w:tblGrid>
        <w:gridCol w:w="3397"/>
        <w:gridCol w:w="1227"/>
        <w:gridCol w:w="1071"/>
        <w:gridCol w:w="1001"/>
        <w:gridCol w:w="1075"/>
        <w:gridCol w:w="1246"/>
      </w:tblGrid>
      <w:tr w:rsidR="00DD7590" w:rsidRPr="00903E1C" w14:paraId="41287C8C" w14:textId="77777777" w:rsidTr="00305BF2">
        <w:trPr>
          <w:trHeight w:val="143"/>
          <w:tblHeader/>
        </w:trPr>
        <w:tc>
          <w:tcPr>
            <w:tcW w:w="3397" w:type="dxa"/>
            <w:vMerge w:val="restart"/>
            <w:hideMark/>
          </w:tcPr>
          <w:p w14:paraId="3B40CEC2" w14:textId="77777777" w:rsidR="00DD7590" w:rsidRPr="00903E1C" w:rsidRDefault="00DD7590" w:rsidP="00305BF2">
            <w:pPr>
              <w:pStyle w:val="Tabletext0"/>
              <w:rPr>
                <w:b/>
                <w:bCs/>
                <w:lang w:val="en-AU" w:eastAsia="en-US"/>
              </w:rPr>
            </w:pPr>
            <w:r w:rsidRPr="00903E1C">
              <w:rPr>
                <w:b/>
                <w:bCs/>
                <w:lang w:val="en-AU" w:eastAsia="en-US"/>
              </w:rPr>
              <w:t>Modelled parameter</w:t>
            </w:r>
          </w:p>
        </w:tc>
        <w:tc>
          <w:tcPr>
            <w:tcW w:w="5620" w:type="dxa"/>
            <w:gridSpan w:val="5"/>
          </w:tcPr>
          <w:p w14:paraId="4048BA86" w14:textId="77777777" w:rsidR="00DD7590" w:rsidRPr="00903E1C" w:rsidRDefault="00DD7590" w:rsidP="00305BF2">
            <w:pPr>
              <w:pStyle w:val="Tabletext0"/>
              <w:jc w:val="center"/>
              <w:rPr>
                <w:b/>
                <w:bCs/>
                <w:lang w:val="en-AU" w:eastAsia="en-US"/>
              </w:rPr>
            </w:pPr>
            <w:r w:rsidRPr="00903E1C">
              <w:rPr>
                <w:b/>
                <w:bCs/>
                <w:lang w:val="en-AU" w:eastAsia="en-US"/>
              </w:rPr>
              <w:t>Proposed reassessment</w:t>
            </w:r>
          </w:p>
        </w:tc>
      </w:tr>
      <w:tr w:rsidR="00DD7590" w:rsidRPr="00903E1C" w14:paraId="1076C218" w14:textId="77777777" w:rsidTr="00305BF2">
        <w:trPr>
          <w:trHeight w:val="142"/>
          <w:tblHeader/>
        </w:trPr>
        <w:tc>
          <w:tcPr>
            <w:tcW w:w="3397" w:type="dxa"/>
            <w:vMerge/>
          </w:tcPr>
          <w:p w14:paraId="493EE6D8" w14:textId="77777777" w:rsidR="00DD7590" w:rsidRPr="00903E1C" w:rsidRDefault="00DD7590" w:rsidP="00305BF2">
            <w:pPr>
              <w:pStyle w:val="Tabletext0"/>
              <w:rPr>
                <w:lang w:val="en-AU" w:eastAsia="en-US"/>
              </w:rPr>
            </w:pPr>
          </w:p>
        </w:tc>
        <w:tc>
          <w:tcPr>
            <w:tcW w:w="3299" w:type="dxa"/>
            <w:gridSpan w:val="3"/>
          </w:tcPr>
          <w:p w14:paraId="0D2ABA19" w14:textId="77777777" w:rsidR="00DD7590" w:rsidRPr="00903E1C" w:rsidRDefault="00DD7590" w:rsidP="00305BF2">
            <w:pPr>
              <w:pStyle w:val="Tabletext0"/>
              <w:rPr>
                <w:b/>
                <w:bCs/>
                <w:lang w:val="en-AU" w:eastAsia="en-US"/>
              </w:rPr>
            </w:pPr>
            <w:r w:rsidRPr="00903E1C">
              <w:rPr>
                <w:b/>
                <w:bCs/>
                <w:lang w:val="en-AU" w:eastAsia="en-US"/>
              </w:rPr>
              <w:t>Original submission</w:t>
            </w:r>
          </w:p>
        </w:tc>
        <w:tc>
          <w:tcPr>
            <w:tcW w:w="0" w:type="auto"/>
            <w:vMerge w:val="restart"/>
          </w:tcPr>
          <w:p w14:paraId="3B320B74" w14:textId="77777777" w:rsidR="00DD7590" w:rsidRPr="00903E1C" w:rsidRDefault="00DD7590" w:rsidP="00305BF2">
            <w:pPr>
              <w:pStyle w:val="Tabletext0"/>
              <w:rPr>
                <w:b/>
                <w:bCs/>
                <w:lang w:val="en-AU" w:eastAsia="en-US"/>
              </w:rPr>
            </w:pPr>
            <w:r w:rsidRPr="00903E1C">
              <w:rPr>
                <w:b/>
                <w:bCs/>
                <w:lang w:val="en-AU" w:eastAsia="en-US"/>
              </w:rPr>
              <w:t>Global OLE*</w:t>
            </w:r>
          </w:p>
        </w:tc>
        <w:tc>
          <w:tcPr>
            <w:tcW w:w="0" w:type="auto"/>
            <w:vMerge w:val="restart"/>
          </w:tcPr>
          <w:p w14:paraId="09EE27BA" w14:textId="77777777" w:rsidR="00DD7590" w:rsidRPr="00903E1C" w:rsidRDefault="00DD7590" w:rsidP="00305BF2">
            <w:pPr>
              <w:pStyle w:val="Tabletext0"/>
              <w:rPr>
                <w:b/>
                <w:bCs/>
                <w:lang w:val="en-AU" w:eastAsia="en-US"/>
              </w:rPr>
            </w:pPr>
            <w:r w:rsidRPr="00903E1C">
              <w:rPr>
                <w:b/>
                <w:bCs/>
                <w:lang w:val="en-AU" w:eastAsia="en-US"/>
              </w:rPr>
              <w:t>ConTTRibute</w:t>
            </w:r>
          </w:p>
        </w:tc>
      </w:tr>
      <w:tr w:rsidR="00DD7590" w:rsidRPr="00903E1C" w14:paraId="1FA1F23D" w14:textId="77777777" w:rsidTr="00305BF2">
        <w:trPr>
          <w:tblHeader/>
        </w:trPr>
        <w:tc>
          <w:tcPr>
            <w:tcW w:w="3397" w:type="dxa"/>
            <w:vMerge/>
            <w:hideMark/>
          </w:tcPr>
          <w:p w14:paraId="3700DD0C" w14:textId="77777777" w:rsidR="00DD7590" w:rsidRPr="00903E1C" w:rsidRDefault="00DD7590" w:rsidP="00305BF2">
            <w:pPr>
              <w:pStyle w:val="Tabletext0"/>
              <w:rPr>
                <w:lang w:val="en-AU" w:eastAsia="en-US"/>
              </w:rPr>
            </w:pPr>
          </w:p>
        </w:tc>
        <w:tc>
          <w:tcPr>
            <w:tcW w:w="1227" w:type="dxa"/>
            <w:hideMark/>
          </w:tcPr>
          <w:p w14:paraId="372CF664" w14:textId="77777777" w:rsidR="00DD7590" w:rsidRPr="00903E1C" w:rsidRDefault="00DD7590" w:rsidP="00305BF2">
            <w:pPr>
              <w:pStyle w:val="Tabletext0"/>
              <w:rPr>
                <w:b/>
                <w:bCs/>
                <w:lang w:val="en-AU" w:eastAsia="en-US"/>
              </w:rPr>
            </w:pPr>
            <w:r w:rsidRPr="00903E1C">
              <w:rPr>
                <w:b/>
                <w:bCs/>
                <w:lang w:val="en-AU" w:eastAsia="en-US"/>
              </w:rPr>
              <w:t>APOLLO</w:t>
            </w:r>
          </w:p>
        </w:tc>
        <w:tc>
          <w:tcPr>
            <w:tcW w:w="0" w:type="auto"/>
          </w:tcPr>
          <w:p w14:paraId="52F53CC8" w14:textId="77777777" w:rsidR="00DD7590" w:rsidRPr="00903E1C" w:rsidRDefault="00DD7590" w:rsidP="00305BF2">
            <w:pPr>
              <w:pStyle w:val="Tabletext0"/>
              <w:rPr>
                <w:b/>
                <w:bCs/>
                <w:lang w:val="en-AU" w:eastAsia="en-US"/>
              </w:rPr>
            </w:pPr>
            <w:r w:rsidRPr="00903E1C">
              <w:rPr>
                <w:b/>
                <w:bCs/>
                <w:lang w:val="en-AU" w:eastAsia="en-US"/>
              </w:rPr>
              <w:t>Phase 2 OLE</w:t>
            </w:r>
          </w:p>
        </w:tc>
        <w:tc>
          <w:tcPr>
            <w:tcW w:w="0" w:type="auto"/>
          </w:tcPr>
          <w:p w14:paraId="2529B86C" w14:textId="77777777" w:rsidR="00DD7590" w:rsidRPr="00903E1C" w:rsidRDefault="00DD7590" w:rsidP="00305BF2">
            <w:pPr>
              <w:pStyle w:val="Tabletext0"/>
              <w:rPr>
                <w:b/>
                <w:bCs/>
                <w:lang w:val="en-AU" w:eastAsia="en-US"/>
              </w:rPr>
            </w:pPr>
            <w:r w:rsidRPr="00903E1C">
              <w:rPr>
                <w:b/>
                <w:bCs/>
                <w:lang w:val="en-AU" w:eastAsia="en-US"/>
              </w:rPr>
              <w:t>Global OLE</w:t>
            </w:r>
          </w:p>
        </w:tc>
        <w:tc>
          <w:tcPr>
            <w:tcW w:w="0" w:type="auto"/>
            <w:vMerge/>
          </w:tcPr>
          <w:p w14:paraId="4C94D310" w14:textId="77777777" w:rsidR="00DD7590" w:rsidRPr="00903E1C" w:rsidRDefault="00DD7590" w:rsidP="00305BF2">
            <w:pPr>
              <w:pStyle w:val="Tabletext0"/>
              <w:rPr>
                <w:lang w:val="en-AU" w:eastAsia="en-US"/>
              </w:rPr>
            </w:pPr>
          </w:p>
        </w:tc>
        <w:tc>
          <w:tcPr>
            <w:tcW w:w="0" w:type="auto"/>
            <w:vMerge/>
          </w:tcPr>
          <w:p w14:paraId="0471DFC3" w14:textId="77777777" w:rsidR="00DD7590" w:rsidRPr="00903E1C" w:rsidRDefault="00DD7590" w:rsidP="00305BF2">
            <w:pPr>
              <w:pStyle w:val="Tabletext0"/>
              <w:rPr>
                <w:lang w:val="en-AU" w:eastAsia="en-US"/>
              </w:rPr>
            </w:pPr>
          </w:p>
        </w:tc>
      </w:tr>
      <w:tr w:rsidR="00DD7590" w:rsidRPr="00903E1C" w14:paraId="7BF6260C" w14:textId="77777777" w:rsidTr="00305BF2">
        <w:tc>
          <w:tcPr>
            <w:tcW w:w="3397" w:type="dxa"/>
            <w:hideMark/>
          </w:tcPr>
          <w:p w14:paraId="22D6E30E" w14:textId="77777777" w:rsidR="00DD7590" w:rsidRPr="00903E1C" w:rsidRDefault="00DD7590" w:rsidP="00305BF2">
            <w:pPr>
              <w:pStyle w:val="Tabletext0"/>
              <w:rPr>
                <w:lang w:val="en-AU" w:eastAsia="en-US"/>
              </w:rPr>
            </w:pPr>
            <w:r w:rsidRPr="00903E1C">
              <w:rPr>
                <w:lang w:val="en-AU" w:eastAsia="en-US"/>
              </w:rPr>
              <w:t>Mortality HRs for PND health states</w:t>
            </w:r>
          </w:p>
        </w:tc>
        <w:tc>
          <w:tcPr>
            <w:tcW w:w="1227" w:type="dxa"/>
            <w:hideMark/>
          </w:tcPr>
          <w:p w14:paraId="28D16236"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03B16818"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47F31638"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53A83058"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76537D2D" w14:textId="77777777" w:rsidR="00DD7590" w:rsidRPr="00903E1C" w:rsidRDefault="00DD7590" w:rsidP="00305BF2">
            <w:pPr>
              <w:pStyle w:val="Tabletext0"/>
              <w:rPr>
                <w:lang w:val="en-AU" w:eastAsia="en-US"/>
              </w:rPr>
            </w:pPr>
            <w:r w:rsidRPr="00903E1C">
              <w:rPr>
                <w:lang w:val="en-AU" w:eastAsia="en-US"/>
              </w:rPr>
              <w:t>Possibly</w:t>
            </w:r>
          </w:p>
        </w:tc>
      </w:tr>
      <w:tr w:rsidR="00DD7590" w:rsidRPr="00903E1C" w14:paraId="2B5DD977" w14:textId="77777777" w:rsidTr="00305BF2">
        <w:tc>
          <w:tcPr>
            <w:tcW w:w="3397" w:type="dxa"/>
          </w:tcPr>
          <w:p w14:paraId="2D1EA08F" w14:textId="77777777" w:rsidR="00DD7590" w:rsidRPr="00903E1C" w:rsidRDefault="00DD7590" w:rsidP="00305BF2">
            <w:pPr>
              <w:pStyle w:val="Tabletext0"/>
              <w:rPr>
                <w:lang w:val="en-AU" w:eastAsia="en-US"/>
              </w:rPr>
            </w:pPr>
            <w:r w:rsidRPr="00903E1C">
              <w:rPr>
                <w:lang w:val="en-AU" w:eastAsia="en-US"/>
              </w:rPr>
              <w:t xml:space="preserve">Survival estimate in patients treated long term with patisiran </w:t>
            </w:r>
            <w:r w:rsidRPr="00903E1C">
              <w:rPr>
                <w:rFonts w:eastAsiaTheme="minorHAnsi"/>
                <w:lang w:val="en-AU"/>
              </w:rPr>
              <w:t>a</w:t>
            </w:r>
          </w:p>
        </w:tc>
        <w:tc>
          <w:tcPr>
            <w:tcW w:w="1227" w:type="dxa"/>
          </w:tcPr>
          <w:p w14:paraId="0B024DB7"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726C2F0F"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3B563A86"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76100C0E"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60AB6C12"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6CF34E92" w14:textId="77777777" w:rsidTr="00305BF2">
        <w:tc>
          <w:tcPr>
            <w:tcW w:w="3397" w:type="dxa"/>
            <w:hideMark/>
          </w:tcPr>
          <w:p w14:paraId="4A6C656C" w14:textId="77777777" w:rsidR="00DD7590" w:rsidRPr="00903E1C" w:rsidRDefault="00DD7590" w:rsidP="00305BF2">
            <w:pPr>
              <w:pStyle w:val="Tabletext0"/>
              <w:rPr>
                <w:lang w:val="en-AU" w:eastAsia="en-US"/>
              </w:rPr>
            </w:pPr>
            <w:r w:rsidRPr="00903E1C">
              <w:rPr>
                <w:lang w:val="en-AU" w:eastAsia="en-US"/>
              </w:rPr>
              <w:t>Transition matrices between PND health states (patisiran)</w:t>
            </w:r>
          </w:p>
        </w:tc>
        <w:tc>
          <w:tcPr>
            <w:tcW w:w="1227" w:type="dxa"/>
            <w:hideMark/>
          </w:tcPr>
          <w:p w14:paraId="3B7BCD1B"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17785BBA"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7F63BD04"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3057497A"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1FAA8D16"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020DC85E" w14:textId="77777777" w:rsidTr="00305BF2">
        <w:tc>
          <w:tcPr>
            <w:tcW w:w="3397" w:type="dxa"/>
            <w:hideMark/>
          </w:tcPr>
          <w:p w14:paraId="4D1A1F1D" w14:textId="77777777" w:rsidR="00DD7590" w:rsidRPr="00903E1C" w:rsidRDefault="00DD7590" w:rsidP="00305BF2">
            <w:pPr>
              <w:pStyle w:val="Tabletext0"/>
              <w:rPr>
                <w:lang w:val="en-AU" w:eastAsia="en-US"/>
              </w:rPr>
            </w:pPr>
            <w:r w:rsidRPr="00903E1C">
              <w:rPr>
                <w:lang w:val="en-AU" w:eastAsia="en-US"/>
              </w:rPr>
              <w:t>Transition matrices between PND health states (BSC)</w:t>
            </w:r>
          </w:p>
        </w:tc>
        <w:tc>
          <w:tcPr>
            <w:tcW w:w="1227" w:type="dxa"/>
            <w:hideMark/>
          </w:tcPr>
          <w:p w14:paraId="7E2880E9"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72E661A1"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0B3C486A"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22B2C5C7"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3F5A30C5" w14:textId="77777777" w:rsidR="00DD7590" w:rsidRPr="00903E1C" w:rsidRDefault="00DD7590" w:rsidP="00305BF2">
            <w:pPr>
              <w:pStyle w:val="Tabletext0"/>
              <w:rPr>
                <w:lang w:val="en-AU" w:eastAsia="en-US"/>
              </w:rPr>
            </w:pPr>
            <w:r w:rsidRPr="00903E1C">
              <w:rPr>
                <w:lang w:val="en-AU" w:eastAsia="en-US"/>
              </w:rPr>
              <w:t>Possibly</w:t>
            </w:r>
          </w:p>
        </w:tc>
      </w:tr>
      <w:tr w:rsidR="00DD7590" w:rsidRPr="00903E1C" w14:paraId="0A8060BA" w14:textId="77777777" w:rsidTr="00305BF2">
        <w:tc>
          <w:tcPr>
            <w:tcW w:w="3397" w:type="dxa"/>
            <w:hideMark/>
          </w:tcPr>
          <w:p w14:paraId="65CC669C" w14:textId="77777777" w:rsidR="00DD7590" w:rsidRPr="00903E1C" w:rsidRDefault="00DD7590" w:rsidP="00305BF2">
            <w:pPr>
              <w:pStyle w:val="Tabletext0"/>
              <w:rPr>
                <w:lang w:val="en-AU" w:eastAsia="en-US"/>
              </w:rPr>
            </w:pPr>
            <w:r w:rsidRPr="00903E1C">
              <w:rPr>
                <w:lang w:val="en-AU" w:eastAsia="en-US"/>
              </w:rPr>
              <w:t>MMRM analysis for PND health-state utilities (patisiran)</w:t>
            </w:r>
          </w:p>
        </w:tc>
        <w:tc>
          <w:tcPr>
            <w:tcW w:w="1227" w:type="dxa"/>
            <w:hideMark/>
          </w:tcPr>
          <w:p w14:paraId="6D894BCF"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472E2C93"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5170DE4A"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720CA362" w14:textId="77777777" w:rsidR="00DD7590" w:rsidRPr="00903E1C" w:rsidRDefault="00DD7590" w:rsidP="00305BF2">
            <w:pPr>
              <w:pStyle w:val="Tabletext0"/>
              <w:rPr>
                <w:lang w:val="en-AU" w:eastAsia="en-US"/>
              </w:rPr>
            </w:pPr>
            <w:r w:rsidRPr="00903E1C">
              <w:rPr>
                <w:lang w:val="en-AU" w:eastAsia="en-US"/>
              </w:rPr>
              <w:t>Possibly</w:t>
            </w:r>
          </w:p>
        </w:tc>
        <w:tc>
          <w:tcPr>
            <w:tcW w:w="0" w:type="auto"/>
          </w:tcPr>
          <w:p w14:paraId="69E4D305"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0B3F45A6" w14:textId="77777777" w:rsidTr="00305BF2">
        <w:tc>
          <w:tcPr>
            <w:tcW w:w="3397" w:type="dxa"/>
            <w:hideMark/>
          </w:tcPr>
          <w:p w14:paraId="7A0B8759" w14:textId="77777777" w:rsidR="00DD7590" w:rsidRPr="00903E1C" w:rsidRDefault="00DD7590" w:rsidP="00305BF2">
            <w:pPr>
              <w:pStyle w:val="Tabletext0"/>
              <w:rPr>
                <w:lang w:val="en-AU" w:eastAsia="en-US"/>
              </w:rPr>
            </w:pPr>
            <w:r w:rsidRPr="00903E1C">
              <w:rPr>
                <w:lang w:val="en-AU" w:eastAsia="en-US"/>
              </w:rPr>
              <w:t>MMRM analysis for PND health-state utilities (BSC)</w:t>
            </w:r>
          </w:p>
        </w:tc>
        <w:tc>
          <w:tcPr>
            <w:tcW w:w="1227" w:type="dxa"/>
            <w:hideMark/>
          </w:tcPr>
          <w:p w14:paraId="275461FC"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6B3FD5BD"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0AF7A1A9"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59017662"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28276AF7"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0C715B11" w14:textId="77777777" w:rsidTr="00305BF2">
        <w:tc>
          <w:tcPr>
            <w:tcW w:w="3397" w:type="dxa"/>
            <w:hideMark/>
          </w:tcPr>
          <w:p w14:paraId="155FA276" w14:textId="77777777" w:rsidR="00DD7590" w:rsidRPr="00903E1C" w:rsidRDefault="00DD7590" w:rsidP="00305BF2">
            <w:pPr>
              <w:pStyle w:val="Tabletext0"/>
              <w:rPr>
                <w:lang w:val="en-AU" w:eastAsia="en-US"/>
              </w:rPr>
            </w:pPr>
            <w:r w:rsidRPr="00903E1C">
              <w:rPr>
                <w:lang w:val="en-AU" w:eastAsia="en-US"/>
              </w:rPr>
              <w:t>Maximum and minimum utilities for PND health states</w:t>
            </w:r>
          </w:p>
        </w:tc>
        <w:tc>
          <w:tcPr>
            <w:tcW w:w="1227" w:type="dxa"/>
            <w:hideMark/>
          </w:tcPr>
          <w:p w14:paraId="10E84257"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3945C34C"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4461FD38"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7E3C3989" w14:textId="77777777" w:rsidR="00DD7590" w:rsidRPr="00903E1C" w:rsidRDefault="00DD7590" w:rsidP="00305BF2">
            <w:pPr>
              <w:pStyle w:val="Tabletext0"/>
              <w:rPr>
                <w:lang w:val="en-AU" w:eastAsia="en-US"/>
              </w:rPr>
            </w:pPr>
            <w:r w:rsidRPr="00903E1C">
              <w:rPr>
                <w:lang w:val="en-AU" w:eastAsia="en-US"/>
              </w:rPr>
              <w:t>Possibly</w:t>
            </w:r>
          </w:p>
        </w:tc>
        <w:tc>
          <w:tcPr>
            <w:tcW w:w="0" w:type="auto"/>
          </w:tcPr>
          <w:p w14:paraId="6778480F"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35119EEF" w14:textId="77777777" w:rsidTr="00305BF2">
        <w:tc>
          <w:tcPr>
            <w:tcW w:w="3397" w:type="dxa"/>
            <w:hideMark/>
          </w:tcPr>
          <w:p w14:paraId="73BF5910" w14:textId="77777777" w:rsidR="00DD7590" w:rsidRPr="00903E1C" w:rsidRDefault="00DD7590" w:rsidP="00305BF2">
            <w:pPr>
              <w:pStyle w:val="Tabletext0"/>
              <w:rPr>
                <w:lang w:val="en-AU" w:eastAsia="en-US"/>
              </w:rPr>
            </w:pPr>
            <w:r w:rsidRPr="00903E1C">
              <w:rPr>
                <w:lang w:val="en-AU" w:eastAsia="en-US"/>
              </w:rPr>
              <w:t>Treatment discontinuation (patisiran)</w:t>
            </w:r>
          </w:p>
        </w:tc>
        <w:tc>
          <w:tcPr>
            <w:tcW w:w="1227" w:type="dxa"/>
            <w:hideMark/>
          </w:tcPr>
          <w:p w14:paraId="0EC8BC5E"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45EF17DF"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0073A8EC"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70241037"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328F0DCF"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132FE60F" w14:textId="77777777" w:rsidTr="00305BF2">
        <w:trPr>
          <w:trHeight w:val="87"/>
        </w:trPr>
        <w:tc>
          <w:tcPr>
            <w:tcW w:w="3397" w:type="dxa"/>
            <w:hideMark/>
          </w:tcPr>
          <w:p w14:paraId="000AFD69" w14:textId="77777777" w:rsidR="00DD7590" w:rsidRPr="00903E1C" w:rsidRDefault="00DD7590" w:rsidP="00305BF2">
            <w:pPr>
              <w:pStyle w:val="Tabletext0"/>
              <w:rPr>
                <w:lang w:val="en-AU" w:eastAsia="en-US"/>
              </w:rPr>
            </w:pPr>
            <w:r w:rsidRPr="00903E1C">
              <w:rPr>
                <w:lang w:val="en-AU" w:eastAsia="en-US"/>
              </w:rPr>
              <w:t>SAEs (patisiran)</w:t>
            </w:r>
          </w:p>
        </w:tc>
        <w:tc>
          <w:tcPr>
            <w:tcW w:w="1227" w:type="dxa"/>
            <w:hideMark/>
          </w:tcPr>
          <w:p w14:paraId="40A85CAB"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15F7D674"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5FEAE872"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51E4421E"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3CC95789" w14:textId="77777777" w:rsidR="00DD7590" w:rsidRPr="00903E1C" w:rsidRDefault="00DD7590" w:rsidP="00305BF2">
            <w:pPr>
              <w:pStyle w:val="Tabletext0"/>
              <w:rPr>
                <w:lang w:val="en-AU" w:eastAsia="en-US"/>
              </w:rPr>
            </w:pPr>
            <w:r w:rsidRPr="00903E1C">
              <w:rPr>
                <w:lang w:val="en-AU" w:eastAsia="en-US"/>
              </w:rPr>
              <w:t>–</w:t>
            </w:r>
          </w:p>
        </w:tc>
      </w:tr>
      <w:tr w:rsidR="00DD7590" w:rsidRPr="00903E1C" w14:paraId="4465B859" w14:textId="77777777" w:rsidTr="00305BF2">
        <w:trPr>
          <w:trHeight w:val="87"/>
        </w:trPr>
        <w:tc>
          <w:tcPr>
            <w:tcW w:w="3397" w:type="dxa"/>
          </w:tcPr>
          <w:p w14:paraId="2F998546" w14:textId="77777777" w:rsidR="00DD7590" w:rsidRPr="00903E1C" w:rsidRDefault="00DD7590" w:rsidP="00305BF2">
            <w:pPr>
              <w:pStyle w:val="Tabletext0"/>
              <w:rPr>
                <w:lang w:val="en-AU" w:eastAsia="en-US"/>
              </w:rPr>
            </w:pPr>
            <w:r w:rsidRPr="00903E1C">
              <w:rPr>
                <w:lang w:val="en-AU" w:eastAsia="en-US"/>
              </w:rPr>
              <w:t>SAEs (BSC)</w:t>
            </w:r>
          </w:p>
        </w:tc>
        <w:tc>
          <w:tcPr>
            <w:tcW w:w="1227" w:type="dxa"/>
          </w:tcPr>
          <w:p w14:paraId="2F9A8E45" w14:textId="77777777" w:rsidR="00DD7590" w:rsidRPr="00903E1C" w:rsidRDefault="00DD7590" w:rsidP="00305BF2">
            <w:pPr>
              <w:pStyle w:val="Tabletext0"/>
              <w:rPr>
                <w:lang w:val="en-AU" w:eastAsia="en-US"/>
              </w:rPr>
            </w:pPr>
            <w:r w:rsidRPr="00903E1C">
              <w:rPr>
                <w:lang w:val="en-AU" w:eastAsia="en-US"/>
              </w:rPr>
              <w:t>Yes</w:t>
            </w:r>
          </w:p>
        </w:tc>
        <w:tc>
          <w:tcPr>
            <w:tcW w:w="0" w:type="auto"/>
          </w:tcPr>
          <w:p w14:paraId="5750BD9D"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4F8713FD"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0C16B697" w14:textId="77777777" w:rsidR="00DD7590" w:rsidRPr="00903E1C" w:rsidRDefault="00DD7590" w:rsidP="00305BF2">
            <w:pPr>
              <w:pStyle w:val="Tabletext0"/>
              <w:rPr>
                <w:lang w:val="en-AU" w:eastAsia="en-US"/>
              </w:rPr>
            </w:pPr>
            <w:r w:rsidRPr="00903E1C">
              <w:rPr>
                <w:lang w:val="en-AU" w:eastAsia="en-US"/>
              </w:rPr>
              <w:t>–</w:t>
            </w:r>
          </w:p>
        </w:tc>
        <w:tc>
          <w:tcPr>
            <w:tcW w:w="0" w:type="auto"/>
          </w:tcPr>
          <w:p w14:paraId="5E6784FD" w14:textId="77777777" w:rsidR="00DD7590" w:rsidRPr="00903E1C" w:rsidRDefault="00DD7590" w:rsidP="00305BF2">
            <w:pPr>
              <w:pStyle w:val="Tabletext0"/>
              <w:rPr>
                <w:lang w:val="en-AU" w:eastAsia="en-US"/>
              </w:rPr>
            </w:pPr>
            <w:r w:rsidRPr="00903E1C">
              <w:rPr>
                <w:lang w:val="en-AU" w:eastAsia="en-US"/>
              </w:rPr>
              <w:t>Possibly</w:t>
            </w:r>
          </w:p>
        </w:tc>
      </w:tr>
    </w:tbl>
    <w:p w14:paraId="0D5E1164" w14:textId="77777777" w:rsidR="00DD7590" w:rsidRPr="00903E1C" w:rsidRDefault="00DD7590" w:rsidP="00DD7590">
      <w:pPr>
        <w:spacing w:after="120"/>
        <w:contextualSpacing/>
        <w:jc w:val="left"/>
        <w:rPr>
          <w:rFonts w:asciiTheme="minorHAnsi" w:eastAsiaTheme="minorHAnsi" w:hAnsiTheme="minorHAnsi" w:cstheme="minorBidi"/>
          <w:sz w:val="18"/>
          <w:szCs w:val="22"/>
          <w:lang w:eastAsia="en-US"/>
        </w:rPr>
      </w:pPr>
      <w:r w:rsidRPr="00903E1C">
        <w:rPr>
          <w:rFonts w:asciiTheme="minorHAnsi" w:eastAsiaTheme="minorHAnsi" w:hAnsiTheme="minorHAnsi" w:cstheme="minorBidi"/>
          <w:sz w:val="18"/>
          <w:szCs w:val="22"/>
          <w:lang w:eastAsia="en-US"/>
        </w:rPr>
        <w:lastRenderedPageBreak/>
        <w:t>a. Added to table based on description provided in text form in the submission.</w:t>
      </w:r>
    </w:p>
    <w:p w14:paraId="6CCDE1BF" w14:textId="77777777" w:rsidR="00DD7590" w:rsidRPr="00023384" w:rsidRDefault="00DD7590" w:rsidP="00DD7590">
      <w:pPr>
        <w:spacing w:after="120"/>
        <w:contextualSpacing/>
        <w:jc w:val="left"/>
        <w:rPr>
          <w:rFonts w:asciiTheme="minorHAnsi" w:eastAsiaTheme="minorHAnsi" w:hAnsiTheme="minorHAnsi" w:cstheme="minorBidi"/>
          <w:sz w:val="18"/>
          <w:szCs w:val="22"/>
          <w:lang w:eastAsia="en-US"/>
        </w:rPr>
      </w:pPr>
      <w:r w:rsidRPr="00903E1C">
        <w:rPr>
          <w:rFonts w:asciiTheme="minorHAnsi" w:eastAsiaTheme="minorHAnsi" w:hAnsiTheme="minorHAnsi" w:cstheme="minorBidi"/>
          <w:sz w:val="18"/>
          <w:szCs w:val="22"/>
          <w:lang w:eastAsia="en-US"/>
        </w:rPr>
        <w:t xml:space="preserve">Abbreviations: BSC, best supportive care; HR, hazard ratio; MAP, managed access program; MMRM, mixed-effects model for repeated measures; OLE, open-label extension; PND, polyneuropathy disability; SAE, serious adverse event. *The Global OLE </w:t>
      </w:r>
      <w:proofErr w:type="gramStart"/>
      <w:r w:rsidRPr="00903E1C">
        <w:rPr>
          <w:rFonts w:asciiTheme="minorHAnsi" w:eastAsiaTheme="minorHAnsi" w:hAnsiTheme="minorHAnsi" w:cstheme="minorBidi"/>
          <w:sz w:val="18"/>
          <w:szCs w:val="22"/>
          <w:lang w:eastAsia="en-US"/>
        </w:rPr>
        <w:t>was used</w:t>
      </w:r>
      <w:proofErr w:type="gramEnd"/>
      <w:r w:rsidRPr="00903E1C">
        <w:rPr>
          <w:rFonts w:asciiTheme="minorHAnsi" w:eastAsiaTheme="minorHAnsi" w:hAnsiTheme="minorHAnsi" w:cstheme="minorBidi"/>
          <w:sz w:val="18"/>
          <w:szCs w:val="22"/>
          <w:lang w:eastAsia="en-US"/>
        </w:rPr>
        <w:t xml:space="preserve"> to inform the original submission and updated data from the Global OLE will inform the MAP reassessment.</w:t>
      </w:r>
    </w:p>
    <w:p w14:paraId="315A53F9" w14:textId="77777777" w:rsidR="00DD7590" w:rsidRPr="00903E1C" w:rsidRDefault="00DD7590" w:rsidP="00DD7590">
      <w:pPr>
        <w:pStyle w:val="COMH1numbered"/>
      </w:pPr>
      <w:r w:rsidRPr="00903E1C">
        <w:t>PBAC Outcome</w:t>
      </w:r>
    </w:p>
    <w:p w14:paraId="71544D66" w14:textId="15AC56F8" w:rsidR="00DD7590" w:rsidRPr="00903E1C" w:rsidRDefault="00DD7590" w:rsidP="00DD7590">
      <w:pPr>
        <w:pStyle w:val="COMexecsumnumberedpara"/>
        <w:widowControl w:val="0"/>
        <w:numPr>
          <w:ilvl w:val="1"/>
          <w:numId w:val="43"/>
        </w:numPr>
      </w:pPr>
      <w:r w:rsidRPr="00903E1C">
        <w:t xml:space="preserve">The PBAC recommended patisiran for the treatment of patients with hATTR with polyneuropathy. The PBAC noted there was a high clinical need for effective treatment in this population. The PBAC noted the clinical benefits of patisiran in terms of delaying disease progression, reducing neuropathy symptoms, and improving health-related quality of life compared to placebo, based on the primary and secondary outcomes in the APOLLO trial over its 18-month trial period. The PBAC recalled that in September 2023 it had advised that revisions </w:t>
      </w:r>
      <w:proofErr w:type="gramStart"/>
      <w:r w:rsidRPr="00903E1C">
        <w:t>were required</w:t>
      </w:r>
      <w:proofErr w:type="gramEnd"/>
      <w:r w:rsidRPr="00903E1C">
        <w:t xml:space="preserve"> to the economic model and that concerns remained regarding uncertainty of the cost-effectiveness estimates and the financial estimates. The PBAC considered that the outstanding issues regarding the economic model had </w:t>
      </w:r>
      <w:proofErr w:type="gramStart"/>
      <w:r w:rsidRPr="00903E1C">
        <w:t>been satisfactorily resolved</w:t>
      </w:r>
      <w:proofErr w:type="gramEnd"/>
      <w:r w:rsidRPr="00903E1C">
        <w:t xml:space="preserve"> by the revised proposal provided by the sponsor, which included a commitment for reassessment of the data after three years. The PBAC advised that further amendments to the financial estimates were necessary to reflect the anticipated discontinuation rate. </w:t>
      </w:r>
    </w:p>
    <w:p w14:paraId="4A2A2902" w14:textId="4C90C513" w:rsidR="00DD7590" w:rsidRPr="00903E1C" w:rsidRDefault="00DD7590" w:rsidP="00DD7590">
      <w:pPr>
        <w:widowControl w:val="0"/>
        <w:numPr>
          <w:ilvl w:val="1"/>
          <w:numId w:val="1"/>
        </w:numPr>
        <w:spacing w:after="120"/>
        <w:rPr>
          <w:rFonts w:asciiTheme="minorHAnsi" w:hAnsiTheme="minorHAnsi"/>
          <w:snapToGrid w:val="0"/>
        </w:rPr>
      </w:pPr>
      <w:r w:rsidRPr="00903E1C">
        <w:rPr>
          <w:rFonts w:asciiTheme="minorHAnsi" w:hAnsiTheme="minorHAnsi"/>
          <w:snapToGrid w:val="0"/>
        </w:rPr>
        <w:t xml:space="preserve">The PBAC was satisfied that patisiran provides, for </w:t>
      </w:r>
      <w:proofErr w:type="gramStart"/>
      <w:r w:rsidRPr="00903E1C">
        <w:rPr>
          <w:rFonts w:asciiTheme="minorHAnsi" w:hAnsiTheme="minorHAnsi"/>
          <w:snapToGrid w:val="0"/>
        </w:rPr>
        <w:t>some</w:t>
      </w:r>
      <w:proofErr w:type="gramEnd"/>
      <w:r w:rsidRPr="00903E1C">
        <w:rPr>
          <w:rFonts w:asciiTheme="minorHAnsi" w:hAnsiTheme="minorHAnsi"/>
          <w:snapToGrid w:val="0"/>
        </w:rPr>
        <w:t xml:space="preserve"> patients, a significant improvement in efficacy over </w:t>
      </w:r>
      <w:r w:rsidRPr="00903E1C">
        <w:t>BSC.</w:t>
      </w:r>
    </w:p>
    <w:p w14:paraId="4E73FB61" w14:textId="68E53B59" w:rsidR="00DD7590" w:rsidRPr="00903E1C" w:rsidRDefault="00DD7590" w:rsidP="00DD7590">
      <w:pPr>
        <w:widowControl w:val="0"/>
        <w:numPr>
          <w:ilvl w:val="1"/>
          <w:numId w:val="1"/>
        </w:numPr>
        <w:spacing w:after="120"/>
      </w:pPr>
      <w:bookmarkStart w:id="124" w:name="_Ref153304969"/>
      <w:r w:rsidRPr="00903E1C">
        <w:rPr>
          <w:rFonts w:asciiTheme="minorHAnsi" w:hAnsiTheme="minorHAnsi" w:cstheme="minorHAnsi"/>
          <w:snapToGrid w:val="0"/>
        </w:rPr>
        <w:t>The PBAC noted that the r</w:t>
      </w:r>
      <w:r w:rsidRPr="00903E1C">
        <w:rPr>
          <w:rFonts w:cstheme="minorHAnsi"/>
        </w:rPr>
        <w:t>evised inputs in the economic model were consistent with its previous advice as outlined in paragraph 1</w:t>
      </w:r>
      <w:r w:rsidR="00C31834">
        <w:rPr>
          <w:rFonts w:cstheme="minorHAnsi"/>
        </w:rPr>
        <w:t>3</w:t>
      </w:r>
      <w:r w:rsidRPr="00903E1C">
        <w:rPr>
          <w:rFonts w:cstheme="minorHAnsi"/>
        </w:rPr>
        <w:t xml:space="preserve">.3. The PBAC accepted that its concerns about the economic evaluation had </w:t>
      </w:r>
      <w:proofErr w:type="gramStart"/>
      <w:r w:rsidRPr="00903E1C">
        <w:rPr>
          <w:rFonts w:cstheme="minorHAnsi"/>
        </w:rPr>
        <w:t>been sufficiently addressed</w:t>
      </w:r>
      <w:proofErr w:type="gramEnd"/>
      <w:r w:rsidRPr="00903E1C">
        <w:rPr>
          <w:rFonts w:cstheme="minorHAnsi"/>
        </w:rPr>
        <w:t xml:space="preserve"> to support a recommendation for listing patisiran at this time, however as outlined previously uncertainty remained in regard to long term cost-effectiveness given the limitations of the trial data currently available.</w:t>
      </w:r>
      <w:r w:rsidRPr="00903E1C">
        <w:rPr>
          <w:rFonts w:asciiTheme="minorHAnsi" w:hAnsiTheme="minorHAnsi"/>
          <w:snapToGrid w:val="0"/>
        </w:rPr>
        <w:t xml:space="preserve"> </w:t>
      </w:r>
      <w:bookmarkEnd w:id="124"/>
      <w:r w:rsidRPr="00903E1C">
        <w:t xml:space="preserve">The PBAC noted the economic model incorporated an improvement in overall survival however only a trend, and not a statistically significant improvement, </w:t>
      </w:r>
      <w:proofErr w:type="gramStart"/>
      <w:r w:rsidRPr="00903E1C">
        <w:t>was demonstrated</w:t>
      </w:r>
      <w:proofErr w:type="gramEnd"/>
      <w:r w:rsidRPr="00903E1C">
        <w:t xml:space="preserve"> in APOLLO.</w:t>
      </w:r>
    </w:p>
    <w:p w14:paraId="527FA748" w14:textId="3AAD83F7" w:rsidR="00DD7590" w:rsidRPr="00903E1C" w:rsidRDefault="00DD7590" w:rsidP="00DD7590">
      <w:pPr>
        <w:pStyle w:val="COMexecsumnumberedpara"/>
      </w:pPr>
      <w:bookmarkStart w:id="125" w:name="_Ref153305109"/>
      <w:r w:rsidRPr="00903E1C">
        <w:t xml:space="preserve">The PBAC noted the </w:t>
      </w:r>
      <w:r w:rsidRPr="00903E1C">
        <w:rPr>
          <w:bCs/>
        </w:rPr>
        <w:t xml:space="preserve">revised financial estimates presented in the submission, which resulted in an estimated </w:t>
      </w:r>
      <w:r w:rsidRPr="00903E1C">
        <w:rPr>
          <w:snapToGrid/>
        </w:rPr>
        <w:t xml:space="preserve">net cost to the PBS/RPBS of </w:t>
      </w:r>
      <w:r w:rsidR="008A255E" w:rsidRPr="008A255E">
        <w:rPr>
          <w:snapToGrid/>
        </w:rPr>
        <w:t>$80</w:t>
      </w:r>
      <w:r w:rsidR="008A255E">
        <w:rPr>
          <w:snapToGrid/>
        </w:rPr>
        <w:t> </w:t>
      </w:r>
      <w:r w:rsidR="008A255E" w:rsidRPr="008A255E">
        <w:rPr>
          <w:snapToGrid/>
        </w:rPr>
        <w:t>million</w:t>
      </w:r>
      <w:r w:rsidR="008A255E">
        <w:rPr>
          <w:snapToGrid/>
        </w:rPr>
        <w:t> </w:t>
      </w:r>
      <w:r w:rsidR="008A255E" w:rsidRPr="008A255E">
        <w:rPr>
          <w:snapToGrid/>
        </w:rPr>
        <w:t>to</w:t>
      </w:r>
      <w:r w:rsidR="008A255E">
        <w:rPr>
          <w:snapToGrid/>
        </w:rPr>
        <w:t> </w:t>
      </w:r>
      <w:r w:rsidR="008A255E" w:rsidRPr="008A255E">
        <w:rPr>
          <w:snapToGrid/>
        </w:rPr>
        <w:t>&lt;</w:t>
      </w:r>
      <w:r w:rsidR="008A255E">
        <w:rPr>
          <w:snapToGrid/>
        </w:rPr>
        <w:t> </w:t>
      </w:r>
      <w:r w:rsidR="008A255E" w:rsidRPr="008A255E">
        <w:rPr>
          <w:snapToGrid/>
        </w:rPr>
        <w:t>$90</w:t>
      </w:r>
      <w:r w:rsidR="008A255E">
        <w:rPr>
          <w:snapToGrid/>
        </w:rPr>
        <w:t> </w:t>
      </w:r>
      <w:r w:rsidRPr="00903E1C">
        <w:rPr>
          <w:snapToGrid/>
        </w:rPr>
        <w:t>million over the first six years of listing (</w:t>
      </w:r>
      <w:r w:rsidRPr="00903E1C">
        <w:rPr>
          <w:snapToGrid/>
        </w:rPr>
        <w:fldChar w:fldCharType="begin" w:fldLock="1"/>
      </w:r>
      <w:r w:rsidRPr="00903E1C">
        <w:rPr>
          <w:snapToGrid/>
        </w:rPr>
        <w:instrText xml:space="preserve"> REF _Ref153295342 \h  \* MERGEFORMAT </w:instrText>
      </w:r>
      <w:r w:rsidRPr="00903E1C">
        <w:rPr>
          <w:snapToGrid/>
        </w:rPr>
      </w:r>
      <w:r w:rsidRPr="00903E1C">
        <w:rPr>
          <w:snapToGrid/>
        </w:rPr>
        <w:fldChar w:fldCharType="separate"/>
      </w:r>
      <w:r w:rsidRPr="00903E1C">
        <w:t xml:space="preserve">Table </w:t>
      </w:r>
      <w:r>
        <w:t>23</w:t>
      </w:r>
      <w:r w:rsidRPr="00903E1C">
        <w:rPr>
          <w:snapToGrid/>
        </w:rPr>
        <w:fldChar w:fldCharType="end"/>
      </w:r>
      <w:r w:rsidRPr="00903E1C">
        <w:rPr>
          <w:snapToGrid/>
        </w:rPr>
        <w:t xml:space="preserve">). After revision to reflect the anticipated discontinuation rate, the estimates corresponding to PBAC advice correspond </w:t>
      </w:r>
      <w:r w:rsidRPr="00903E1C">
        <w:rPr>
          <w:bCs/>
        </w:rPr>
        <w:t xml:space="preserve">to an estimated </w:t>
      </w:r>
      <w:r w:rsidRPr="00903E1C">
        <w:rPr>
          <w:snapToGrid/>
        </w:rPr>
        <w:t xml:space="preserve">net cost to the PBS/RPBS of </w:t>
      </w:r>
      <w:r w:rsidR="008A255E" w:rsidRPr="008A255E">
        <w:rPr>
          <w:snapToGrid/>
        </w:rPr>
        <w:t>$50</w:t>
      </w:r>
      <w:r w:rsidR="008A255E">
        <w:rPr>
          <w:snapToGrid/>
        </w:rPr>
        <w:t> </w:t>
      </w:r>
      <w:r w:rsidR="008A255E" w:rsidRPr="008A255E">
        <w:rPr>
          <w:snapToGrid/>
        </w:rPr>
        <w:t>million</w:t>
      </w:r>
      <w:r w:rsidR="008A255E">
        <w:rPr>
          <w:snapToGrid/>
        </w:rPr>
        <w:t> </w:t>
      </w:r>
      <w:r w:rsidR="008A255E" w:rsidRPr="008A255E">
        <w:rPr>
          <w:snapToGrid/>
        </w:rPr>
        <w:t>to</w:t>
      </w:r>
      <w:r w:rsidR="008A255E">
        <w:rPr>
          <w:snapToGrid/>
        </w:rPr>
        <w:t> </w:t>
      </w:r>
      <w:r w:rsidR="008A255E" w:rsidRPr="008A255E">
        <w:rPr>
          <w:snapToGrid/>
        </w:rPr>
        <w:t>&lt;</w:t>
      </w:r>
      <w:r w:rsidR="008A255E">
        <w:rPr>
          <w:snapToGrid/>
        </w:rPr>
        <w:t> </w:t>
      </w:r>
      <w:r w:rsidR="008A255E" w:rsidRPr="008A255E">
        <w:rPr>
          <w:snapToGrid/>
        </w:rPr>
        <w:t>$60</w:t>
      </w:r>
      <w:r w:rsidR="008A255E">
        <w:rPr>
          <w:snapToGrid/>
        </w:rPr>
        <w:t> </w:t>
      </w:r>
      <w:r w:rsidRPr="00903E1C">
        <w:rPr>
          <w:snapToGrid/>
        </w:rPr>
        <w:t>million over the first six years of listing (</w:t>
      </w:r>
      <w:r w:rsidRPr="00903E1C">
        <w:rPr>
          <w:snapToGrid/>
        </w:rPr>
        <w:fldChar w:fldCharType="begin" w:fldLock="1"/>
      </w:r>
      <w:r w:rsidRPr="00903E1C">
        <w:rPr>
          <w:snapToGrid/>
        </w:rPr>
        <w:instrText xml:space="preserve"> REF _Ref153295342 \h  \* MERGEFORMAT </w:instrText>
      </w:r>
      <w:r w:rsidRPr="00903E1C">
        <w:rPr>
          <w:snapToGrid/>
        </w:rPr>
      </w:r>
      <w:r w:rsidRPr="00903E1C">
        <w:rPr>
          <w:snapToGrid/>
        </w:rPr>
        <w:fldChar w:fldCharType="separate"/>
      </w:r>
      <w:r w:rsidRPr="00903E1C">
        <w:t xml:space="preserve">Table </w:t>
      </w:r>
      <w:r>
        <w:t>23</w:t>
      </w:r>
      <w:r w:rsidRPr="00903E1C">
        <w:rPr>
          <w:snapToGrid/>
        </w:rPr>
        <w:fldChar w:fldCharType="end"/>
      </w:r>
      <w:r w:rsidRPr="00903E1C">
        <w:rPr>
          <w:snapToGrid/>
        </w:rPr>
        <w:t>).</w:t>
      </w:r>
      <w:bookmarkEnd w:id="125"/>
      <w:r w:rsidRPr="00903E1C">
        <w:rPr>
          <w:snapToGrid/>
        </w:rPr>
        <w:t xml:space="preserve"> </w:t>
      </w:r>
    </w:p>
    <w:p w14:paraId="06415658" w14:textId="6D08DE72" w:rsidR="00DD7590" w:rsidRPr="00903E1C" w:rsidRDefault="00DD7590" w:rsidP="00DD7590">
      <w:pPr>
        <w:pStyle w:val="COMexecsumnumberedpara"/>
      </w:pPr>
      <w:r w:rsidRPr="00903E1C">
        <w:rPr>
          <w:snapToGrid/>
        </w:rPr>
        <w:t xml:space="preserve">The PBAC noted that the revised proposal agreed to a RSA with a </w:t>
      </w:r>
      <w:r w:rsidR="000A7F6B" w:rsidRPr="000A7F6B">
        <w:rPr>
          <w:snapToGrid/>
          <w:color w:val="000000"/>
          <w:w w:val="61"/>
          <w:shd w:val="solid" w:color="000000" w:fill="000000"/>
          <w:fitText w:val="475" w:id="-1013195007"/>
          <w14:textFill>
            <w14:solidFill>
              <w14:srgbClr w14:val="000000">
                <w14:alpha w14:val="100000"/>
              </w14:srgbClr>
            </w14:solidFill>
          </w14:textFill>
        </w:rPr>
        <w:t>|||  ||</w:t>
      </w:r>
      <w:r w:rsidR="000A7F6B" w:rsidRPr="000A7F6B">
        <w:rPr>
          <w:snapToGrid/>
          <w:color w:val="000000"/>
          <w:spacing w:val="5"/>
          <w:w w:val="61"/>
          <w:shd w:val="solid" w:color="000000" w:fill="000000"/>
          <w:fitText w:val="475" w:id="-1013195007"/>
          <w14:textFill>
            <w14:solidFill>
              <w14:srgbClr w14:val="000000">
                <w14:alpha w14:val="100000"/>
              </w14:srgbClr>
            </w14:solidFill>
          </w14:textFill>
        </w:rPr>
        <w:t>|</w:t>
      </w:r>
      <w:r w:rsidRPr="00903E1C">
        <w:rPr>
          <w:snapToGrid/>
        </w:rPr>
        <w:t xml:space="preserve">% rebate above the caps as previously advised. The PBAC confirmed this was appropriate, and that caps should be based on the updated financial estimates as outlined above (paragraph </w:t>
      </w:r>
      <w:r w:rsidRPr="00903E1C">
        <w:rPr>
          <w:snapToGrid/>
        </w:rPr>
        <w:fldChar w:fldCharType="begin" w:fldLock="1"/>
      </w:r>
      <w:r w:rsidRPr="00903E1C">
        <w:rPr>
          <w:snapToGrid/>
        </w:rPr>
        <w:instrText xml:space="preserve"> REF _Ref153305109 \r \h </w:instrText>
      </w:r>
      <w:r w:rsidRPr="00903E1C">
        <w:rPr>
          <w:snapToGrid/>
        </w:rPr>
      </w:r>
      <w:r w:rsidRPr="00903E1C">
        <w:rPr>
          <w:snapToGrid/>
        </w:rPr>
        <w:fldChar w:fldCharType="separate"/>
      </w:r>
      <w:r>
        <w:rPr>
          <w:snapToGrid/>
        </w:rPr>
        <w:t>1</w:t>
      </w:r>
      <w:r w:rsidR="00C31834">
        <w:rPr>
          <w:snapToGrid/>
        </w:rPr>
        <w:t>9</w:t>
      </w:r>
      <w:r>
        <w:rPr>
          <w:snapToGrid/>
        </w:rPr>
        <w:t>.4</w:t>
      </w:r>
      <w:r w:rsidRPr="00903E1C">
        <w:rPr>
          <w:snapToGrid/>
        </w:rPr>
        <w:fldChar w:fldCharType="end"/>
      </w:r>
      <w:r w:rsidRPr="00903E1C">
        <w:rPr>
          <w:snapToGrid/>
        </w:rPr>
        <w:t>).</w:t>
      </w:r>
    </w:p>
    <w:p w14:paraId="139A11A3" w14:textId="77777777" w:rsidR="00DD7590" w:rsidRPr="00903E1C" w:rsidRDefault="00DD7590" w:rsidP="00DD7590">
      <w:pPr>
        <w:pStyle w:val="COMexecsumnumberedpara"/>
        <w:keepNext/>
        <w:keepLines/>
      </w:pPr>
      <w:bookmarkStart w:id="126" w:name="_Ref153907839"/>
      <w:bookmarkStart w:id="127" w:name="_Ref153305277"/>
      <w:r w:rsidRPr="00903E1C">
        <w:lastRenderedPageBreak/>
        <w:t xml:space="preserve">The PBAC noted that a commitment had </w:t>
      </w:r>
      <w:proofErr w:type="gramStart"/>
      <w:r w:rsidRPr="00903E1C">
        <w:t>been provided</w:t>
      </w:r>
      <w:proofErr w:type="gramEnd"/>
      <w:r w:rsidRPr="00903E1C">
        <w:t xml:space="preserve"> by the sponsor with respect to reassessment of the data three years after PBS listing to address the PBAC’s concern regarding uncertain cost-effectiveness. The PBAC advised that reassessment of patisiran should occur at a maximum of three years after PBS listing, noting that data from the global OLE and ConTTRibute should be available to enable this. Consistent with its previous advice, the PBAC considered that its future reassessment should consider: 1) whether the data were supportive of long term benefits of patisiran (based on QOL and PND score); 2) whether updated survival data supported the modelled survival benefit; 3) whether updated safety data were consistent with the safety data in the submission and that no new clinically significant safety signals were evident; and 4) whether patisiran was cost-effective based on the updated evidence base. The PBAC noted that the sponsor would </w:t>
      </w:r>
      <w:proofErr w:type="gramStart"/>
      <w:r w:rsidRPr="00903E1C">
        <w:t>be required</w:t>
      </w:r>
      <w:proofErr w:type="gramEnd"/>
      <w:r w:rsidRPr="00903E1C">
        <w:t xml:space="preserve"> to submit an updated cost-effectiveness analysis for patisiran using an updated economic model with any changes from the current model clearly identified and referenced.</w:t>
      </w:r>
      <w:bookmarkEnd w:id="126"/>
      <w:r w:rsidRPr="00903E1C">
        <w:t xml:space="preserve"> </w:t>
      </w:r>
    </w:p>
    <w:p w14:paraId="18A35F60" w14:textId="7EBA78C7" w:rsidR="00DD7590" w:rsidRPr="00903E1C" w:rsidRDefault="00DD7590" w:rsidP="00DD7590">
      <w:pPr>
        <w:pStyle w:val="COMexecsumnumberedpara"/>
      </w:pPr>
      <w:bookmarkStart w:id="128" w:name="_Ref153907807"/>
      <w:r w:rsidRPr="00903E1C">
        <w:t xml:space="preserve">The PBAC noted the summary provided in </w:t>
      </w:r>
      <w:r w:rsidRPr="00903E1C">
        <w:fldChar w:fldCharType="begin" w:fldLock="1"/>
      </w:r>
      <w:r w:rsidRPr="00903E1C">
        <w:instrText xml:space="preserve"> REF _Ref153300340 \h  \* MERGEFORMAT </w:instrText>
      </w:r>
      <w:r w:rsidRPr="00903E1C">
        <w:fldChar w:fldCharType="separate"/>
      </w:r>
      <w:r w:rsidRPr="00903E1C">
        <w:t xml:space="preserve">Table </w:t>
      </w:r>
      <w:r>
        <w:t>24</w:t>
      </w:r>
      <w:r w:rsidRPr="00903E1C">
        <w:fldChar w:fldCharType="end"/>
      </w:r>
      <w:r w:rsidRPr="00903E1C">
        <w:t xml:space="preserve">, and considered there remains some uncertainty whether the data that will be obtained will meet all of PBAC’s expectations regarding resolution of uncertainty. The PBAC discussed the limitations that will be inherent in interpreting the observational </w:t>
      </w:r>
      <w:r w:rsidR="007E075A" w:rsidRPr="00903E1C">
        <w:t>data but</w:t>
      </w:r>
      <w:r w:rsidRPr="00903E1C">
        <w:t xml:space="preserve"> accepted that relevant signals may emerge from the </w:t>
      </w:r>
      <w:r w:rsidR="00DE52B8" w:rsidRPr="00903E1C">
        <w:t>real-world</w:t>
      </w:r>
      <w:r w:rsidRPr="00903E1C">
        <w:t xml:space="preserve"> data that warrant review</w:t>
      </w:r>
      <w:r w:rsidR="00A0703E">
        <w:t>. The PBAC</w:t>
      </w:r>
      <w:r w:rsidRPr="00903E1C">
        <w:t xml:space="preserve"> considered that the proposed updated body of evidence would allow the proposed reassessment to occur. </w:t>
      </w:r>
      <w:bookmarkEnd w:id="127"/>
      <w:r w:rsidRPr="00903E1C">
        <w:t xml:space="preserve">The PBAC advised that the review of cost-effectiveness three years after PBS listing may impact the future PBS price of patisiran, noting that a price reduction would be needed if the review found that patisiran was less cost-effective based on updated data informing the review as set out in </w:t>
      </w:r>
      <w:r w:rsidRPr="00903E1C">
        <w:fldChar w:fldCharType="begin" w:fldLock="1"/>
      </w:r>
      <w:r w:rsidRPr="00903E1C">
        <w:instrText xml:space="preserve"> REF _Ref153300340 \h  \* MERGEFORMAT </w:instrText>
      </w:r>
      <w:r w:rsidRPr="00903E1C">
        <w:fldChar w:fldCharType="separate"/>
      </w:r>
      <w:r w:rsidRPr="00903E1C">
        <w:t xml:space="preserve">Table </w:t>
      </w:r>
      <w:r>
        <w:t>24</w:t>
      </w:r>
      <w:r w:rsidRPr="00903E1C">
        <w:fldChar w:fldCharType="end"/>
      </w:r>
      <w:r w:rsidRPr="00903E1C">
        <w:t>. The PBAC noted there would be no basis for a price increase given the high ICER accepted and inherent uncertainty in the estimated ICER due to the type of clinical evidence available to inform it.</w:t>
      </w:r>
      <w:bookmarkEnd w:id="128"/>
    </w:p>
    <w:p w14:paraId="4E8EB273" w14:textId="05F4BDED" w:rsidR="00DD7590" w:rsidRPr="00903E1C" w:rsidRDefault="00DD7590" w:rsidP="00DD7590">
      <w:pPr>
        <w:pStyle w:val="COMexecsumnumberedpara"/>
      </w:pPr>
      <w:bookmarkStart w:id="129" w:name="_Ref153907808"/>
      <w:r w:rsidRPr="00903E1C">
        <w:t xml:space="preserve">The PBAC considered that the studies listed in </w:t>
      </w:r>
      <w:r w:rsidRPr="00903E1C">
        <w:fldChar w:fldCharType="begin" w:fldLock="1"/>
      </w:r>
      <w:r w:rsidRPr="00903E1C">
        <w:instrText xml:space="preserve"> REF _Ref153300340 \h  \* MERGEFORMAT </w:instrText>
      </w:r>
      <w:r w:rsidRPr="00903E1C">
        <w:fldChar w:fldCharType="separate"/>
      </w:r>
      <w:r w:rsidRPr="00903E1C">
        <w:t xml:space="preserve">Table </w:t>
      </w:r>
      <w:r>
        <w:t>24</w:t>
      </w:r>
      <w:r w:rsidRPr="00903E1C">
        <w:fldChar w:fldCharType="end"/>
      </w:r>
      <w:r w:rsidRPr="00903E1C">
        <w:t xml:space="preserve"> would provide the basis for the reassessment as discussed above.</w:t>
      </w:r>
      <w:r w:rsidR="009F4992">
        <w:t xml:space="preserve"> </w:t>
      </w:r>
      <w:r w:rsidRPr="00903E1C">
        <w:t xml:space="preserve">In addition, the PBAC advised that the sponsor should </w:t>
      </w:r>
      <w:proofErr w:type="gramStart"/>
      <w:r w:rsidRPr="00903E1C">
        <w:t>be required</w:t>
      </w:r>
      <w:proofErr w:type="gramEnd"/>
      <w:r w:rsidRPr="00903E1C">
        <w:t xml:space="preserve"> to provide a systematic literature review, to ensure that any relevant clinical evidence is presented for consideration in a manner consistent with the PBAC guidelines. If the literature review identifies any relevant studies beyond those listed in </w:t>
      </w:r>
      <w:r w:rsidRPr="00903E1C">
        <w:fldChar w:fldCharType="begin" w:fldLock="1"/>
      </w:r>
      <w:r w:rsidRPr="00903E1C">
        <w:instrText xml:space="preserve"> REF _Ref153300340 \h  \* MERGEFORMAT </w:instrText>
      </w:r>
      <w:r w:rsidRPr="00903E1C">
        <w:fldChar w:fldCharType="separate"/>
      </w:r>
      <w:r w:rsidRPr="00903E1C">
        <w:t xml:space="preserve">Table </w:t>
      </w:r>
      <w:r>
        <w:t>24</w:t>
      </w:r>
      <w:r w:rsidRPr="00903E1C">
        <w:fldChar w:fldCharType="end"/>
      </w:r>
      <w:r w:rsidRPr="00903E1C">
        <w:t xml:space="preserve">, these should also </w:t>
      </w:r>
      <w:proofErr w:type="gramStart"/>
      <w:r w:rsidRPr="00903E1C">
        <w:t>be presented</w:t>
      </w:r>
      <w:proofErr w:type="gramEnd"/>
      <w:r w:rsidRPr="00903E1C">
        <w:t xml:space="preserve"> within the submission for PBAC consideration.</w:t>
      </w:r>
      <w:bookmarkEnd w:id="129"/>
    </w:p>
    <w:p w14:paraId="5360D80B" w14:textId="3D231417" w:rsidR="00DD7590" w:rsidRPr="00903E1C" w:rsidRDefault="00DD7590" w:rsidP="00DD7590">
      <w:pPr>
        <w:pStyle w:val="COMexecsumnumberedpara"/>
      </w:pPr>
      <w:r w:rsidRPr="00903E1C">
        <w:t xml:space="preserve">The PBAC advised that the requirement for a review at three years post the date of listing should be documented in a Deed of Agreement with the sponsor, including an expectation that the sponsor will provide a submission to the PBAC to inform a review of the cost-effectiveness of patisiran as described in paragraphs </w:t>
      </w:r>
      <w:r w:rsidRPr="00903E1C">
        <w:fldChar w:fldCharType="begin" w:fldLock="1"/>
      </w:r>
      <w:r w:rsidRPr="00903E1C">
        <w:instrText xml:space="preserve"> REF _Ref153907839 \r \h  \* MERGEFORMAT </w:instrText>
      </w:r>
      <w:r w:rsidRPr="00903E1C">
        <w:fldChar w:fldCharType="separate"/>
      </w:r>
      <w:r>
        <w:t>1</w:t>
      </w:r>
      <w:r w:rsidR="00C31834">
        <w:t>9</w:t>
      </w:r>
      <w:r>
        <w:t>.6</w:t>
      </w:r>
      <w:r w:rsidRPr="00903E1C">
        <w:fldChar w:fldCharType="end"/>
      </w:r>
      <w:r w:rsidRPr="00903E1C">
        <w:t xml:space="preserve"> to </w:t>
      </w:r>
      <w:r w:rsidRPr="00903E1C">
        <w:fldChar w:fldCharType="begin" w:fldLock="1"/>
      </w:r>
      <w:r w:rsidRPr="00903E1C">
        <w:instrText xml:space="preserve"> REF _Ref153907808 \r \h  \* MERGEFORMAT </w:instrText>
      </w:r>
      <w:r w:rsidRPr="00903E1C">
        <w:fldChar w:fldCharType="separate"/>
      </w:r>
      <w:r>
        <w:t>1</w:t>
      </w:r>
      <w:r w:rsidR="00C31834">
        <w:t>9</w:t>
      </w:r>
      <w:r>
        <w:t>.8</w:t>
      </w:r>
      <w:r w:rsidRPr="00903E1C">
        <w:fldChar w:fldCharType="end"/>
      </w:r>
      <w:r w:rsidRPr="00903E1C">
        <w:t>.</w:t>
      </w:r>
    </w:p>
    <w:p w14:paraId="454CF7E9" w14:textId="77777777" w:rsidR="00DD7590" w:rsidRPr="00903E1C" w:rsidRDefault="00DD7590" w:rsidP="00DD7590">
      <w:pPr>
        <w:pStyle w:val="COMexecsumnumberedpara"/>
      </w:pPr>
      <w:r w:rsidRPr="00903E1C">
        <w:lastRenderedPageBreak/>
        <w:t xml:space="preserve">The PBAC noted that a new criterion had appropriately </w:t>
      </w:r>
      <w:proofErr w:type="gramStart"/>
      <w:r w:rsidRPr="00903E1C">
        <w:t>been added</w:t>
      </w:r>
      <w:proofErr w:type="gramEnd"/>
      <w:r w:rsidRPr="00903E1C">
        <w:t xml:space="preserve"> to the proposed restriction to prevent concomitant use with any other disease modifying medicine for TTR amyloidosis, in the event that such medicines are PBS listed in the future.</w:t>
      </w:r>
    </w:p>
    <w:p w14:paraId="34CF7E49" w14:textId="2B23FC08" w:rsidR="00DD7590" w:rsidRPr="00903E1C" w:rsidRDefault="00DD7590" w:rsidP="00DD7590">
      <w:pPr>
        <w:pStyle w:val="COMexecsumnumberedpara"/>
        <w:rPr>
          <w:iCs/>
        </w:rPr>
      </w:pPr>
      <w:bookmarkStart w:id="130" w:name="_Ref153305484"/>
      <w:r w:rsidRPr="00903E1C">
        <w:rPr>
          <w:iCs/>
        </w:rPr>
        <w:t xml:space="preserve">The PBAC noted the revised restriction and considered this was appropriate, with minor amendments as shown in the recommended listing in Section </w:t>
      </w:r>
      <w:r w:rsidRPr="00903E1C">
        <w:rPr>
          <w:iCs/>
        </w:rPr>
        <w:fldChar w:fldCharType="begin" w:fldLock="1"/>
      </w:r>
      <w:r w:rsidRPr="00903E1C">
        <w:rPr>
          <w:iCs/>
        </w:rPr>
        <w:instrText xml:space="preserve"> REF _Ref153305436 \r \h </w:instrText>
      </w:r>
      <w:r w:rsidRPr="00903E1C">
        <w:rPr>
          <w:iCs/>
        </w:rPr>
      </w:r>
      <w:r w:rsidRPr="00903E1C">
        <w:rPr>
          <w:iCs/>
        </w:rPr>
        <w:fldChar w:fldCharType="separate"/>
      </w:r>
      <w:proofErr w:type="gramStart"/>
      <w:r>
        <w:rPr>
          <w:iCs/>
        </w:rPr>
        <w:t>16</w:t>
      </w:r>
      <w:proofErr w:type="gramEnd"/>
      <w:r w:rsidRPr="00903E1C">
        <w:rPr>
          <w:iCs/>
        </w:rPr>
        <w:fldChar w:fldCharType="end"/>
      </w:r>
      <w:bookmarkEnd w:id="130"/>
      <w:r w:rsidRPr="00903E1C">
        <w:rPr>
          <w:iCs/>
        </w:rPr>
        <w:t xml:space="preserve">. The PBAC noted that additional discussion </w:t>
      </w:r>
      <w:proofErr w:type="gramStart"/>
      <w:r w:rsidRPr="00903E1C">
        <w:rPr>
          <w:iCs/>
        </w:rPr>
        <w:t>was provided</w:t>
      </w:r>
      <w:proofErr w:type="gramEnd"/>
      <w:r w:rsidRPr="00903E1C">
        <w:rPr>
          <w:iCs/>
        </w:rPr>
        <w:t xml:space="preserve"> by the sponsor as requested (see paragraphs </w:t>
      </w:r>
      <w:r w:rsidRPr="00903E1C">
        <w:rPr>
          <w:iCs/>
        </w:rPr>
        <w:fldChar w:fldCharType="begin" w:fldLock="1"/>
      </w:r>
      <w:r w:rsidRPr="00903E1C">
        <w:rPr>
          <w:iCs/>
        </w:rPr>
        <w:instrText xml:space="preserve"> REF _Ref153306893 \r \h </w:instrText>
      </w:r>
      <w:r w:rsidRPr="00903E1C">
        <w:rPr>
          <w:iCs/>
        </w:rPr>
      </w:r>
      <w:r w:rsidRPr="00903E1C">
        <w:rPr>
          <w:iCs/>
        </w:rPr>
        <w:fldChar w:fldCharType="separate"/>
      </w:r>
      <w:r>
        <w:rPr>
          <w:iCs/>
        </w:rPr>
        <w:t>1</w:t>
      </w:r>
      <w:r w:rsidR="00C31834">
        <w:rPr>
          <w:iCs/>
        </w:rPr>
        <w:t>7</w:t>
      </w:r>
      <w:r>
        <w:rPr>
          <w:iCs/>
        </w:rPr>
        <w:t>.2</w:t>
      </w:r>
      <w:r w:rsidRPr="00903E1C">
        <w:rPr>
          <w:iCs/>
        </w:rPr>
        <w:fldChar w:fldCharType="end"/>
      </w:r>
      <w:r w:rsidRPr="00903E1C">
        <w:rPr>
          <w:iCs/>
        </w:rPr>
        <w:t xml:space="preserve"> to </w:t>
      </w:r>
      <w:r w:rsidRPr="00903E1C">
        <w:rPr>
          <w:iCs/>
        </w:rPr>
        <w:fldChar w:fldCharType="begin" w:fldLock="1"/>
      </w:r>
      <w:r w:rsidRPr="00903E1C">
        <w:rPr>
          <w:iCs/>
        </w:rPr>
        <w:instrText xml:space="preserve"> REF _Ref153306895 \r \h </w:instrText>
      </w:r>
      <w:r w:rsidRPr="00903E1C">
        <w:rPr>
          <w:iCs/>
        </w:rPr>
      </w:r>
      <w:r w:rsidRPr="00903E1C">
        <w:rPr>
          <w:iCs/>
        </w:rPr>
        <w:fldChar w:fldCharType="separate"/>
      </w:r>
      <w:r>
        <w:rPr>
          <w:iCs/>
        </w:rPr>
        <w:t>1</w:t>
      </w:r>
      <w:r w:rsidR="00C31834">
        <w:rPr>
          <w:iCs/>
        </w:rPr>
        <w:t>7</w:t>
      </w:r>
      <w:r>
        <w:rPr>
          <w:iCs/>
        </w:rPr>
        <w:t>.4</w:t>
      </w:r>
      <w:r w:rsidRPr="00903E1C">
        <w:rPr>
          <w:iCs/>
        </w:rPr>
        <w:fldChar w:fldCharType="end"/>
      </w:r>
      <w:r w:rsidRPr="00903E1C">
        <w:rPr>
          <w:iCs/>
        </w:rPr>
        <w:t>).</w:t>
      </w:r>
    </w:p>
    <w:p w14:paraId="172C8BCA" w14:textId="77777777" w:rsidR="00DD7590" w:rsidRPr="00903E1C" w:rsidRDefault="00DD7590" w:rsidP="00DD7590">
      <w:pPr>
        <w:widowControl w:val="0"/>
        <w:numPr>
          <w:ilvl w:val="1"/>
          <w:numId w:val="1"/>
        </w:numPr>
        <w:spacing w:after="120"/>
        <w:rPr>
          <w:rFonts w:asciiTheme="minorHAnsi" w:hAnsiTheme="minorHAnsi"/>
          <w:bCs/>
          <w:snapToGrid w:val="0"/>
        </w:rPr>
      </w:pPr>
      <w:r w:rsidRPr="00903E1C">
        <w:rPr>
          <w:rFonts w:asciiTheme="minorHAnsi" w:hAnsiTheme="minorHAnsi"/>
          <w:bCs/>
          <w:snapToGrid w:val="0"/>
        </w:rPr>
        <w:t>The PBAC advised that patisiran is not suitable for prescribing by nurse practitioners.</w:t>
      </w:r>
    </w:p>
    <w:p w14:paraId="22FB92FC" w14:textId="77777777" w:rsidR="00DD7590" w:rsidRPr="00903E1C" w:rsidRDefault="00DD7590" w:rsidP="00DD7590">
      <w:pPr>
        <w:widowControl w:val="0"/>
        <w:numPr>
          <w:ilvl w:val="1"/>
          <w:numId w:val="1"/>
        </w:numPr>
        <w:spacing w:after="120"/>
        <w:rPr>
          <w:rFonts w:asciiTheme="minorHAnsi" w:hAnsiTheme="minorHAnsi"/>
          <w:bCs/>
          <w:snapToGrid w:val="0"/>
        </w:rPr>
      </w:pPr>
      <w:r w:rsidRPr="00903E1C">
        <w:rPr>
          <w:rFonts w:asciiTheme="minorHAnsi" w:hAnsiTheme="minorHAnsi"/>
          <w:bCs/>
          <w:snapToGrid w:val="0"/>
        </w:rPr>
        <w:t xml:space="preserve">The PBAC recommended that the Early Supply Rule should not apply. </w:t>
      </w:r>
    </w:p>
    <w:p w14:paraId="284295C8" w14:textId="77777777" w:rsidR="00DD7590" w:rsidRPr="00903E1C" w:rsidRDefault="00DD7590" w:rsidP="00DD7590">
      <w:pPr>
        <w:widowControl w:val="0"/>
        <w:numPr>
          <w:ilvl w:val="1"/>
          <w:numId w:val="1"/>
        </w:numPr>
        <w:contextualSpacing/>
        <w:rPr>
          <w:rFonts w:asciiTheme="minorHAnsi" w:hAnsiTheme="minorHAnsi" w:cstheme="minorHAnsi"/>
        </w:rPr>
      </w:pPr>
      <w:r w:rsidRPr="00903E1C">
        <w:rPr>
          <w:rFonts w:asciiTheme="minorHAnsi" w:hAnsiTheme="minorHAnsi" w:cstheme="minorHAnsi"/>
        </w:rPr>
        <w:t xml:space="preserve">The PBAC found that the criteria prescribed by the </w:t>
      </w:r>
      <w:r w:rsidRPr="00903E1C">
        <w:rPr>
          <w:rFonts w:asciiTheme="minorHAnsi" w:hAnsiTheme="minorHAnsi" w:cstheme="minorHAnsi"/>
          <w:i/>
        </w:rPr>
        <w:t>National Health (Pharmaceuticals and Vaccines – Cost Recovery) Regulations 2022</w:t>
      </w:r>
      <w:r w:rsidRPr="00903E1C">
        <w:rPr>
          <w:rFonts w:asciiTheme="minorHAnsi" w:hAnsiTheme="minorHAnsi" w:cstheme="minorHAnsi"/>
        </w:rPr>
        <w:t xml:space="preserve"> for Pricing Pathway A </w:t>
      </w:r>
      <w:proofErr w:type="gramStart"/>
      <w:r w:rsidRPr="00903E1C">
        <w:rPr>
          <w:rFonts w:asciiTheme="minorHAnsi" w:hAnsiTheme="minorHAnsi" w:cstheme="minorHAnsi"/>
        </w:rPr>
        <w:t>were met</w:t>
      </w:r>
      <w:proofErr w:type="gramEnd"/>
      <w:r w:rsidRPr="00903E1C">
        <w:rPr>
          <w:rFonts w:asciiTheme="minorHAnsi" w:hAnsiTheme="minorHAnsi" w:cstheme="minorHAnsi"/>
        </w:rPr>
        <w:t>. Specifically the PBAC found that in the circumstances of its recommendation for patisiran:</w:t>
      </w:r>
    </w:p>
    <w:p w14:paraId="1D78D108" w14:textId="77777777" w:rsidR="00DD7590" w:rsidRPr="00903E1C" w:rsidRDefault="00DD7590" w:rsidP="00B80329">
      <w:pPr>
        <w:widowControl w:val="0"/>
        <w:numPr>
          <w:ilvl w:val="1"/>
          <w:numId w:val="37"/>
        </w:numPr>
        <w:spacing w:after="120"/>
        <w:ind w:left="1134"/>
        <w:rPr>
          <w:rFonts w:asciiTheme="minorHAnsi" w:hAnsiTheme="minorHAnsi" w:cstheme="minorHAnsi"/>
        </w:rPr>
      </w:pPr>
      <w:r w:rsidRPr="00903E1C">
        <w:rPr>
          <w:rFonts w:asciiTheme="minorHAnsi" w:hAnsiTheme="minorHAnsi" w:cstheme="minorHAnsi"/>
        </w:rPr>
        <w:t xml:space="preserve">The treatment </w:t>
      </w:r>
      <w:proofErr w:type="gramStart"/>
      <w:r w:rsidRPr="00903E1C">
        <w:rPr>
          <w:rFonts w:asciiTheme="minorHAnsi" w:hAnsiTheme="minorHAnsi" w:cstheme="minorHAnsi"/>
        </w:rPr>
        <w:t>is expected</w:t>
      </w:r>
      <w:proofErr w:type="gramEnd"/>
      <w:r w:rsidRPr="00903E1C">
        <w:rPr>
          <w:rFonts w:asciiTheme="minorHAnsi" w:hAnsiTheme="minorHAnsi" w:cstheme="minorHAnsi"/>
        </w:rPr>
        <w:t xml:space="preserve"> to provide a substantial and clinically relevant improvement in efficacy, over alternative therapies, on the basis of the </w:t>
      </w:r>
      <w:r w:rsidRPr="00903E1C">
        <w:t>APOLLO study</w:t>
      </w:r>
      <w:r w:rsidRPr="00903E1C">
        <w:rPr>
          <w:rFonts w:asciiTheme="minorHAnsi" w:hAnsiTheme="minorHAnsi" w:cstheme="minorHAnsi"/>
        </w:rPr>
        <w:t xml:space="preserve">; </w:t>
      </w:r>
    </w:p>
    <w:p w14:paraId="3EF7DC4D" w14:textId="77777777" w:rsidR="00DD7590" w:rsidRPr="00903E1C" w:rsidRDefault="00DD7590" w:rsidP="00B80329">
      <w:pPr>
        <w:widowControl w:val="0"/>
        <w:numPr>
          <w:ilvl w:val="1"/>
          <w:numId w:val="37"/>
        </w:numPr>
        <w:spacing w:after="120"/>
        <w:ind w:left="1134"/>
        <w:rPr>
          <w:rFonts w:asciiTheme="minorHAnsi" w:hAnsiTheme="minorHAnsi" w:cstheme="minorHAnsi"/>
        </w:rPr>
      </w:pPr>
      <w:r w:rsidRPr="00903E1C">
        <w:rPr>
          <w:rFonts w:asciiTheme="minorHAnsi" w:hAnsiTheme="minorHAnsi" w:cstheme="minorHAnsi"/>
        </w:rPr>
        <w:t xml:space="preserve">The treatment </w:t>
      </w:r>
      <w:proofErr w:type="gramStart"/>
      <w:r w:rsidRPr="00903E1C">
        <w:rPr>
          <w:rFonts w:asciiTheme="minorHAnsi" w:hAnsiTheme="minorHAnsi" w:cstheme="minorHAnsi"/>
        </w:rPr>
        <w:t>is expected</w:t>
      </w:r>
      <w:proofErr w:type="gramEnd"/>
      <w:r w:rsidRPr="00903E1C">
        <w:rPr>
          <w:rFonts w:asciiTheme="minorHAnsi" w:hAnsiTheme="minorHAnsi" w:cstheme="minorHAnsi"/>
        </w:rPr>
        <w:t xml:space="preserve"> to address a high and urgent unmet clinical need due to the lack of treatment options currently;</w:t>
      </w:r>
    </w:p>
    <w:p w14:paraId="45CB38E2" w14:textId="77777777" w:rsidR="00DD7590" w:rsidRPr="00903E1C" w:rsidRDefault="00DD7590" w:rsidP="00B80329">
      <w:pPr>
        <w:widowControl w:val="0"/>
        <w:numPr>
          <w:ilvl w:val="1"/>
          <w:numId w:val="37"/>
        </w:numPr>
        <w:spacing w:after="120"/>
        <w:ind w:left="1134"/>
        <w:rPr>
          <w:rFonts w:asciiTheme="minorHAnsi" w:hAnsiTheme="minorHAnsi" w:cstheme="minorHAnsi"/>
        </w:rPr>
      </w:pPr>
      <w:r w:rsidRPr="00903E1C">
        <w:rPr>
          <w:rFonts w:asciiTheme="minorHAnsi" w:hAnsiTheme="minorHAnsi" w:cstheme="minorHAnsi"/>
        </w:rPr>
        <w:t>It would be in the public interest for the subsequent pricing application to be progressed under Pricing Pathway A on the basis of the preceding findings.</w:t>
      </w:r>
    </w:p>
    <w:p w14:paraId="205217CF" w14:textId="1E8881F8" w:rsidR="00DD7590" w:rsidRPr="003A2205" w:rsidRDefault="00DD7590" w:rsidP="00DD7590">
      <w:pPr>
        <w:widowControl w:val="0"/>
        <w:numPr>
          <w:ilvl w:val="1"/>
          <w:numId w:val="1"/>
        </w:numPr>
        <w:spacing w:after="120"/>
        <w:rPr>
          <w:rFonts w:asciiTheme="minorHAnsi" w:hAnsiTheme="minorHAnsi"/>
          <w:bCs/>
          <w:snapToGrid w:val="0"/>
        </w:rPr>
      </w:pPr>
      <w:r w:rsidRPr="00903E1C">
        <w:rPr>
          <w:rFonts w:asciiTheme="minorHAnsi" w:hAnsiTheme="minorHAnsi"/>
          <w:bCs/>
          <w:snapToGrid w:val="0"/>
        </w:rPr>
        <w:t>The PBAC noted that this submission is not eligible for an Independent Review as it received a positive recommendation.</w:t>
      </w:r>
    </w:p>
    <w:p w14:paraId="086834A6" w14:textId="77777777" w:rsidR="00DD7590" w:rsidRPr="00903E1C" w:rsidRDefault="00DD7590" w:rsidP="00DD7590">
      <w:pPr>
        <w:spacing w:before="240"/>
        <w:rPr>
          <w:rFonts w:asciiTheme="minorHAnsi" w:hAnsiTheme="minorHAnsi"/>
          <w:b/>
          <w:bCs/>
          <w:snapToGrid w:val="0"/>
        </w:rPr>
      </w:pPr>
      <w:r w:rsidRPr="00903E1C">
        <w:rPr>
          <w:rFonts w:asciiTheme="minorHAnsi" w:hAnsiTheme="minorHAnsi"/>
          <w:b/>
          <w:bCs/>
          <w:snapToGrid w:val="0"/>
        </w:rPr>
        <w:t>Outcome:</w:t>
      </w:r>
    </w:p>
    <w:p w14:paraId="20B86C9E" w14:textId="77777777" w:rsidR="00DD7590" w:rsidRPr="00A32383" w:rsidRDefault="00DD7590" w:rsidP="00DD7590">
      <w:pPr>
        <w:rPr>
          <w:rFonts w:asciiTheme="minorHAnsi" w:hAnsiTheme="minorHAnsi"/>
          <w:bCs/>
          <w:snapToGrid w:val="0"/>
        </w:rPr>
      </w:pPr>
      <w:r w:rsidRPr="00903E1C">
        <w:rPr>
          <w:rFonts w:asciiTheme="minorHAnsi" w:hAnsiTheme="minorHAnsi"/>
          <w:bCs/>
          <w:snapToGrid w:val="0"/>
        </w:rPr>
        <w:t>Recommended</w:t>
      </w:r>
    </w:p>
    <w:p w14:paraId="5E2BB899" w14:textId="77777777" w:rsidR="00DD7590" w:rsidRPr="00903E1C" w:rsidRDefault="00DD7590" w:rsidP="00DD7590">
      <w:pPr>
        <w:pStyle w:val="COMH1numbered"/>
      </w:pPr>
      <w:bookmarkStart w:id="131" w:name="_Ref153305436"/>
      <w:r w:rsidRPr="00903E1C">
        <w:t>Recommended listing</w:t>
      </w:r>
      <w:bookmarkEnd w:id="131"/>
    </w:p>
    <w:p w14:paraId="45C9244B" w14:textId="00877DD3" w:rsidR="00DD7590" w:rsidRPr="00903E1C" w:rsidRDefault="00DD7590" w:rsidP="00403A9E">
      <w:pPr>
        <w:pStyle w:val="COMexecsumnumberedpara"/>
        <w:widowControl w:val="0"/>
        <w:numPr>
          <w:ilvl w:val="0"/>
          <w:numId w:val="0"/>
        </w:numPr>
        <w:contextualSpacing/>
      </w:pPr>
      <w:r w:rsidRPr="000E28B0">
        <w:rPr>
          <w:bCs/>
        </w:rPr>
        <w:t xml:space="preserve">Add </w:t>
      </w:r>
      <w:proofErr w:type="gramStart"/>
      <w:r w:rsidRPr="000E28B0">
        <w:rPr>
          <w:bCs/>
        </w:rPr>
        <w:t>new item</w:t>
      </w:r>
      <w:proofErr w:type="gramEnd"/>
      <w:r w:rsidRPr="000E28B0">
        <w:rPr>
          <w:bCs/>
        </w:rPr>
        <w:t>:</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3"/>
        <w:gridCol w:w="988"/>
        <w:gridCol w:w="846"/>
        <w:gridCol w:w="705"/>
        <w:gridCol w:w="705"/>
        <w:gridCol w:w="1830"/>
      </w:tblGrid>
      <w:tr w:rsidR="00DD7590" w:rsidRPr="00903E1C" w14:paraId="2A9B271E" w14:textId="77777777" w:rsidTr="00B80329">
        <w:trPr>
          <w:cantSplit/>
          <w:trHeight w:val="471"/>
        </w:trPr>
        <w:tc>
          <w:tcPr>
            <w:tcW w:w="2186" w:type="pct"/>
          </w:tcPr>
          <w:p w14:paraId="508236FF" w14:textId="77777777" w:rsidR="00DD7590" w:rsidRPr="00460CB3" w:rsidRDefault="00DD7590">
            <w:pPr>
              <w:keepNext/>
              <w:ind w:left="-57"/>
              <w:rPr>
                <w:rFonts w:ascii="Arial Narrow" w:hAnsi="Arial Narrow"/>
                <w:b/>
                <w:bCs/>
                <w:sz w:val="20"/>
                <w:szCs w:val="20"/>
              </w:rPr>
            </w:pPr>
            <w:r w:rsidRPr="00460CB3">
              <w:rPr>
                <w:rFonts w:ascii="Arial Narrow" w:hAnsi="Arial Narrow"/>
                <w:b/>
                <w:bCs/>
                <w:sz w:val="20"/>
                <w:szCs w:val="20"/>
              </w:rPr>
              <w:t>MEDICINAL PRODUCT</w:t>
            </w:r>
          </w:p>
          <w:p w14:paraId="2E84C81A" w14:textId="77777777" w:rsidR="00DD7590" w:rsidRPr="00460CB3" w:rsidRDefault="00DD7590">
            <w:pPr>
              <w:keepNext/>
              <w:ind w:left="-57"/>
              <w:rPr>
                <w:rFonts w:ascii="Arial Narrow" w:hAnsi="Arial Narrow"/>
                <w:b/>
                <w:sz w:val="20"/>
                <w:szCs w:val="20"/>
              </w:rPr>
            </w:pPr>
            <w:r w:rsidRPr="00460CB3">
              <w:rPr>
                <w:rFonts w:ascii="Arial Narrow" w:hAnsi="Arial Narrow"/>
                <w:b/>
                <w:bCs/>
                <w:sz w:val="20"/>
                <w:szCs w:val="20"/>
              </w:rPr>
              <w:t>medicinal product pack</w:t>
            </w:r>
          </w:p>
        </w:tc>
        <w:tc>
          <w:tcPr>
            <w:tcW w:w="548" w:type="pct"/>
          </w:tcPr>
          <w:p w14:paraId="36FD63C3" w14:textId="77777777" w:rsidR="00DD7590" w:rsidRPr="00460CB3" w:rsidRDefault="00DD7590">
            <w:pPr>
              <w:keepNext/>
              <w:ind w:left="-108"/>
              <w:jc w:val="center"/>
              <w:rPr>
                <w:rFonts w:ascii="Arial Narrow" w:hAnsi="Arial Narrow"/>
                <w:b/>
                <w:sz w:val="20"/>
                <w:szCs w:val="20"/>
              </w:rPr>
            </w:pPr>
            <w:r w:rsidRPr="00460CB3">
              <w:rPr>
                <w:rFonts w:ascii="Arial Narrow" w:hAnsi="Arial Narrow"/>
                <w:b/>
                <w:sz w:val="20"/>
                <w:szCs w:val="20"/>
              </w:rPr>
              <w:t>PBS item code</w:t>
            </w:r>
          </w:p>
        </w:tc>
        <w:tc>
          <w:tcPr>
            <w:tcW w:w="469" w:type="pct"/>
          </w:tcPr>
          <w:p w14:paraId="31E91345" w14:textId="77777777" w:rsidR="00DD7590" w:rsidRPr="00460CB3" w:rsidRDefault="00DD7590">
            <w:pPr>
              <w:keepNext/>
              <w:ind w:left="-108"/>
              <w:jc w:val="center"/>
              <w:rPr>
                <w:rFonts w:ascii="Arial Narrow" w:hAnsi="Arial Narrow"/>
                <w:b/>
                <w:sz w:val="20"/>
                <w:szCs w:val="20"/>
              </w:rPr>
            </w:pPr>
            <w:r w:rsidRPr="00460CB3">
              <w:rPr>
                <w:rFonts w:ascii="Arial Narrow" w:hAnsi="Arial Narrow"/>
                <w:b/>
                <w:sz w:val="20"/>
                <w:szCs w:val="20"/>
              </w:rPr>
              <w:t>Max. qty packs</w:t>
            </w:r>
          </w:p>
        </w:tc>
        <w:tc>
          <w:tcPr>
            <w:tcW w:w="391" w:type="pct"/>
          </w:tcPr>
          <w:p w14:paraId="55951954" w14:textId="77777777" w:rsidR="00DD7590" w:rsidRPr="00460CB3" w:rsidRDefault="00DD7590">
            <w:pPr>
              <w:keepNext/>
              <w:ind w:left="-108"/>
              <w:jc w:val="center"/>
              <w:rPr>
                <w:rFonts w:ascii="Arial Narrow" w:hAnsi="Arial Narrow"/>
                <w:b/>
                <w:sz w:val="20"/>
                <w:szCs w:val="20"/>
              </w:rPr>
            </w:pPr>
            <w:r w:rsidRPr="00460CB3">
              <w:rPr>
                <w:rFonts w:ascii="Arial Narrow" w:hAnsi="Arial Narrow"/>
                <w:b/>
                <w:sz w:val="20"/>
                <w:szCs w:val="20"/>
              </w:rPr>
              <w:t>Max. qty units</w:t>
            </w:r>
          </w:p>
        </w:tc>
        <w:tc>
          <w:tcPr>
            <w:tcW w:w="391" w:type="pct"/>
          </w:tcPr>
          <w:p w14:paraId="53F98E7F" w14:textId="77777777" w:rsidR="00DD7590" w:rsidRPr="00460CB3" w:rsidRDefault="00DD7590">
            <w:pPr>
              <w:keepNext/>
              <w:ind w:left="-108"/>
              <w:jc w:val="center"/>
              <w:rPr>
                <w:rFonts w:ascii="Arial Narrow" w:hAnsi="Arial Narrow"/>
                <w:b/>
                <w:sz w:val="20"/>
                <w:szCs w:val="20"/>
              </w:rPr>
            </w:pPr>
            <w:r w:rsidRPr="00460CB3">
              <w:rPr>
                <w:rFonts w:ascii="Arial Narrow" w:hAnsi="Arial Narrow"/>
                <w:b/>
                <w:sz w:val="20"/>
                <w:szCs w:val="20"/>
              </w:rPr>
              <w:t>№.of</w:t>
            </w:r>
          </w:p>
          <w:p w14:paraId="27DC75F4" w14:textId="77777777" w:rsidR="00DD7590" w:rsidRPr="00460CB3" w:rsidRDefault="00DD7590">
            <w:pPr>
              <w:keepNext/>
              <w:ind w:left="-108"/>
              <w:jc w:val="center"/>
              <w:rPr>
                <w:rFonts w:ascii="Arial Narrow" w:hAnsi="Arial Narrow"/>
                <w:b/>
                <w:sz w:val="20"/>
                <w:szCs w:val="20"/>
              </w:rPr>
            </w:pPr>
            <w:r w:rsidRPr="00460CB3">
              <w:rPr>
                <w:rFonts w:ascii="Arial Narrow" w:hAnsi="Arial Narrow"/>
                <w:b/>
                <w:sz w:val="20"/>
                <w:szCs w:val="20"/>
              </w:rPr>
              <w:t>Rpts</w:t>
            </w:r>
          </w:p>
        </w:tc>
        <w:tc>
          <w:tcPr>
            <w:tcW w:w="1016" w:type="pct"/>
          </w:tcPr>
          <w:p w14:paraId="4FA5E6FC" w14:textId="77777777" w:rsidR="00DD7590" w:rsidRPr="00460CB3" w:rsidRDefault="00DD7590">
            <w:pPr>
              <w:keepNext/>
              <w:rPr>
                <w:rFonts w:ascii="Arial Narrow" w:hAnsi="Arial Narrow"/>
                <w:b/>
                <w:sz w:val="20"/>
                <w:szCs w:val="20"/>
              </w:rPr>
            </w:pPr>
            <w:r w:rsidRPr="00460CB3">
              <w:rPr>
                <w:rFonts w:ascii="Arial Narrow" w:hAnsi="Arial Narrow"/>
                <w:b/>
                <w:sz w:val="20"/>
                <w:szCs w:val="20"/>
              </w:rPr>
              <w:t>Available brands</w:t>
            </w:r>
          </w:p>
        </w:tc>
      </w:tr>
      <w:tr w:rsidR="00DD7590" w:rsidRPr="00903E1C" w14:paraId="18E120D7" w14:textId="77777777" w:rsidTr="00B80329">
        <w:trPr>
          <w:cantSplit/>
          <w:trHeight w:val="224"/>
        </w:trPr>
        <w:tc>
          <w:tcPr>
            <w:tcW w:w="5000" w:type="pct"/>
            <w:gridSpan w:val="6"/>
          </w:tcPr>
          <w:p w14:paraId="1D386E03" w14:textId="77777777" w:rsidR="00DD7590" w:rsidRPr="00460CB3" w:rsidRDefault="00DD7590">
            <w:pPr>
              <w:keepNext/>
              <w:ind w:left="-57"/>
              <w:rPr>
                <w:rFonts w:ascii="Arial Narrow" w:hAnsi="Arial Narrow"/>
                <w:sz w:val="20"/>
                <w:szCs w:val="20"/>
              </w:rPr>
            </w:pPr>
            <w:r w:rsidRPr="00460CB3">
              <w:rPr>
                <w:rFonts w:ascii="Arial Narrow" w:hAnsi="Arial Narrow"/>
                <w:sz w:val="20"/>
                <w:szCs w:val="20"/>
              </w:rPr>
              <w:t>PATISIRAN</w:t>
            </w:r>
          </w:p>
        </w:tc>
      </w:tr>
      <w:tr w:rsidR="00DD7590" w:rsidRPr="00903E1C" w14:paraId="1D3D4E08" w14:textId="77777777" w:rsidTr="00B80329">
        <w:trPr>
          <w:cantSplit/>
          <w:trHeight w:val="553"/>
        </w:trPr>
        <w:tc>
          <w:tcPr>
            <w:tcW w:w="2186" w:type="pct"/>
          </w:tcPr>
          <w:p w14:paraId="4464EDFD" w14:textId="77777777" w:rsidR="00DD7590" w:rsidRPr="00B80329" w:rsidRDefault="00DD7590">
            <w:pPr>
              <w:keepNext/>
              <w:ind w:left="-57"/>
              <w:rPr>
                <w:rFonts w:ascii="Arial Narrow" w:hAnsi="Arial Narrow"/>
                <w:sz w:val="20"/>
                <w:szCs w:val="20"/>
              </w:rPr>
            </w:pPr>
            <w:r w:rsidRPr="00B80329">
              <w:rPr>
                <w:rFonts w:ascii="Arial Narrow" w:hAnsi="Arial Narrow"/>
                <w:sz w:val="20"/>
                <w:szCs w:val="20"/>
              </w:rPr>
              <w:t>patisiran 10 mg/5 mL injection, 5 mL vial</w:t>
            </w:r>
          </w:p>
        </w:tc>
        <w:tc>
          <w:tcPr>
            <w:tcW w:w="548" w:type="pct"/>
          </w:tcPr>
          <w:p w14:paraId="6F0AEC1B" w14:textId="77777777" w:rsidR="00DD7590" w:rsidRPr="00460CB3" w:rsidRDefault="00DD7590">
            <w:pPr>
              <w:keepNext/>
              <w:jc w:val="center"/>
              <w:rPr>
                <w:rFonts w:ascii="Arial Narrow" w:hAnsi="Arial Narrow"/>
                <w:sz w:val="20"/>
                <w:szCs w:val="20"/>
              </w:rPr>
            </w:pPr>
            <w:r w:rsidRPr="00460CB3">
              <w:rPr>
                <w:rFonts w:ascii="Arial Narrow" w:hAnsi="Arial Narrow"/>
                <w:sz w:val="20"/>
                <w:szCs w:val="20"/>
              </w:rPr>
              <w:t>NEW (pub)</w:t>
            </w:r>
          </w:p>
          <w:p w14:paraId="1110C8EA" w14:textId="77777777" w:rsidR="00DD7590" w:rsidRPr="00460CB3" w:rsidRDefault="00DD7590">
            <w:pPr>
              <w:keepNext/>
              <w:jc w:val="center"/>
              <w:rPr>
                <w:rFonts w:ascii="Arial Narrow" w:hAnsi="Arial Narrow"/>
                <w:sz w:val="20"/>
                <w:szCs w:val="20"/>
              </w:rPr>
            </w:pPr>
            <w:r w:rsidRPr="00460CB3">
              <w:rPr>
                <w:rFonts w:ascii="Arial Narrow" w:hAnsi="Arial Narrow"/>
                <w:sz w:val="20"/>
                <w:szCs w:val="20"/>
              </w:rPr>
              <w:t>NEW (priv)</w:t>
            </w:r>
          </w:p>
        </w:tc>
        <w:tc>
          <w:tcPr>
            <w:tcW w:w="469" w:type="pct"/>
          </w:tcPr>
          <w:p w14:paraId="4BF86B49" w14:textId="77777777" w:rsidR="00DD7590" w:rsidRPr="00460CB3" w:rsidRDefault="00DD7590">
            <w:pPr>
              <w:keepNext/>
              <w:jc w:val="center"/>
              <w:rPr>
                <w:rFonts w:ascii="Arial Narrow" w:hAnsi="Arial Narrow"/>
                <w:sz w:val="20"/>
                <w:szCs w:val="20"/>
              </w:rPr>
            </w:pPr>
            <w:r w:rsidRPr="00460CB3">
              <w:rPr>
                <w:rFonts w:ascii="Arial Narrow" w:hAnsi="Arial Narrow"/>
                <w:sz w:val="20"/>
                <w:szCs w:val="20"/>
              </w:rPr>
              <w:t>1</w:t>
            </w:r>
          </w:p>
        </w:tc>
        <w:tc>
          <w:tcPr>
            <w:tcW w:w="391" w:type="pct"/>
          </w:tcPr>
          <w:p w14:paraId="1438A4CA" w14:textId="77777777" w:rsidR="00DD7590" w:rsidRPr="00460CB3" w:rsidRDefault="00DD7590">
            <w:pPr>
              <w:keepNext/>
              <w:jc w:val="center"/>
              <w:rPr>
                <w:rFonts w:ascii="Arial Narrow" w:hAnsi="Arial Narrow"/>
                <w:sz w:val="20"/>
                <w:szCs w:val="20"/>
              </w:rPr>
            </w:pPr>
            <w:r w:rsidRPr="00460CB3">
              <w:rPr>
                <w:rFonts w:ascii="Arial Narrow" w:hAnsi="Arial Narrow"/>
                <w:sz w:val="20"/>
                <w:szCs w:val="20"/>
              </w:rPr>
              <w:t>3</w:t>
            </w:r>
          </w:p>
        </w:tc>
        <w:tc>
          <w:tcPr>
            <w:tcW w:w="391" w:type="pct"/>
          </w:tcPr>
          <w:p w14:paraId="5C16A7FB" w14:textId="77777777" w:rsidR="00DD7590" w:rsidRPr="00460CB3" w:rsidRDefault="00DD7590">
            <w:pPr>
              <w:keepNext/>
              <w:jc w:val="center"/>
              <w:rPr>
                <w:rFonts w:ascii="Arial Narrow" w:hAnsi="Arial Narrow"/>
                <w:sz w:val="20"/>
                <w:szCs w:val="20"/>
              </w:rPr>
            </w:pPr>
            <w:r w:rsidRPr="00460CB3">
              <w:rPr>
                <w:rFonts w:ascii="Arial Narrow" w:hAnsi="Arial Narrow"/>
                <w:sz w:val="20"/>
                <w:szCs w:val="20"/>
              </w:rPr>
              <w:t>7</w:t>
            </w:r>
          </w:p>
        </w:tc>
        <w:tc>
          <w:tcPr>
            <w:tcW w:w="1016" w:type="pct"/>
          </w:tcPr>
          <w:p w14:paraId="6C3736C6" w14:textId="77777777" w:rsidR="00DD7590" w:rsidRPr="00460CB3" w:rsidRDefault="00DD7590">
            <w:pPr>
              <w:keepNext/>
              <w:rPr>
                <w:rFonts w:ascii="Arial Narrow" w:hAnsi="Arial Narrow"/>
                <w:sz w:val="20"/>
                <w:szCs w:val="20"/>
              </w:rPr>
            </w:pPr>
            <w:r w:rsidRPr="00460CB3">
              <w:rPr>
                <w:rFonts w:ascii="Arial Narrow" w:hAnsi="Arial Narrow"/>
                <w:sz w:val="20"/>
                <w:szCs w:val="20"/>
              </w:rPr>
              <w:t>Onpattro</w:t>
            </w:r>
          </w:p>
        </w:tc>
      </w:tr>
      <w:tr w:rsidR="00DD7590" w:rsidRPr="00903E1C" w14:paraId="6A5D3DC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53E7455F" w14:textId="77777777" w:rsidR="00DD7590" w:rsidRPr="00460CB3" w:rsidRDefault="00DD7590">
            <w:pPr>
              <w:rPr>
                <w:rFonts w:ascii="Arial Narrow" w:hAnsi="Arial Narrow"/>
                <w:sz w:val="20"/>
                <w:szCs w:val="20"/>
              </w:rPr>
            </w:pPr>
          </w:p>
        </w:tc>
      </w:tr>
      <w:tr w:rsidR="00DD7590" w:rsidRPr="00903E1C" w14:paraId="096991DA"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616F2B4" w14:textId="50F197AC" w:rsidR="00DD7590" w:rsidRPr="00460CB3" w:rsidRDefault="00DD7590">
            <w:pPr>
              <w:rPr>
                <w:rFonts w:ascii="Arial Narrow" w:hAnsi="Arial Narrow"/>
                <w:b/>
                <w:sz w:val="20"/>
                <w:szCs w:val="20"/>
              </w:rPr>
            </w:pPr>
            <w:r w:rsidRPr="00460CB3">
              <w:rPr>
                <w:rFonts w:ascii="Arial Narrow" w:hAnsi="Arial Narrow"/>
                <w:b/>
                <w:sz w:val="20"/>
                <w:szCs w:val="20"/>
              </w:rPr>
              <w:t xml:space="preserve">Restriction Summary </w:t>
            </w:r>
          </w:p>
        </w:tc>
      </w:tr>
      <w:tr w:rsidR="001D7B74" w:rsidRPr="00903E1C" w14:paraId="659BD1A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49ED993" w14:textId="77777777" w:rsidR="001D7B74" w:rsidRPr="00460CB3" w:rsidRDefault="001D7B74">
            <w:pPr>
              <w:rPr>
                <w:rFonts w:ascii="Arial Narrow" w:hAnsi="Arial Narrow"/>
                <w:b/>
                <w:sz w:val="20"/>
                <w:szCs w:val="20"/>
              </w:rPr>
            </w:pPr>
            <w:r w:rsidRPr="00460CB3">
              <w:rPr>
                <w:rFonts w:ascii="Arial Narrow" w:hAnsi="Arial Narrow"/>
                <w:b/>
                <w:sz w:val="20"/>
                <w:szCs w:val="20"/>
              </w:rPr>
              <w:lastRenderedPageBreak/>
              <w:t xml:space="preserve">Category / Program: </w:t>
            </w:r>
          </w:p>
          <w:p w14:paraId="0D0DCDC6" w14:textId="77777777" w:rsidR="001D7B74" w:rsidRPr="00460CB3" w:rsidRDefault="001D7B74">
            <w:pPr>
              <w:rPr>
                <w:rFonts w:ascii="Arial Narrow" w:hAnsi="Arial Narrow"/>
                <w:bCs/>
                <w:sz w:val="20"/>
                <w:szCs w:val="20"/>
              </w:rPr>
            </w:pPr>
            <w:r w:rsidRPr="00460CB3">
              <w:rPr>
                <w:rFonts w:ascii="Arial Narrow" w:hAnsi="Arial Narrow"/>
                <w:bCs/>
                <w:sz w:val="20"/>
                <w:szCs w:val="20"/>
              </w:rPr>
              <w:t xml:space="preserve">Section </w:t>
            </w:r>
            <w:proofErr w:type="gramStart"/>
            <w:r w:rsidRPr="00460CB3">
              <w:rPr>
                <w:rFonts w:ascii="Arial Narrow" w:hAnsi="Arial Narrow"/>
                <w:bCs/>
                <w:sz w:val="20"/>
                <w:szCs w:val="20"/>
              </w:rPr>
              <w:t>100</w:t>
            </w:r>
            <w:proofErr w:type="gramEnd"/>
            <w:r w:rsidRPr="00460CB3">
              <w:rPr>
                <w:rFonts w:ascii="Arial Narrow" w:hAnsi="Arial Narrow"/>
                <w:bCs/>
                <w:sz w:val="20"/>
                <w:szCs w:val="20"/>
              </w:rPr>
              <w:t xml:space="preserve"> – (Highly Specialised Drugs Program) Public Hospital/Private Hospital (Code HB / HS)</w:t>
            </w:r>
          </w:p>
        </w:tc>
      </w:tr>
      <w:tr w:rsidR="001D7B74" w:rsidRPr="00903E1C" w14:paraId="282D8362" w14:textId="77777777" w:rsidTr="00B80329">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4CD045E" w14:textId="65BCBF13" w:rsidR="001D7B74" w:rsidRPr="00460CB3" w:rsidRDefault="001D7B74">
            <w:pPr>
              <w:rPr>
                <w:rFonts w:ascii="Arial Narrow" w:hAnsi="Arial Narrow"/>
                <w:b/>
                <w:sz w:val="20"/>
                <w:szCs w:val="20"/>
              </w:rPr>
            </w:pPr>
            <w:r w:rsidRPr="00460CB3">
              <w:rPr>
                <w:rFonts w:ascii="Arial Narrow" w:hAnsi="Arial Narrow"/>
                <w:b/>
                <w:sz w:val="20"/>
                <w:szCs w:val="20"/>
              </w:rPr>
              <w:t xml:space="preserve">Prescriber type: </w:t>
            </w:r>
            <w:r w:rsidRPr="00460CB3">
              <w:rPr>
                <w:rFonts w:ascii="Arial Narrow" w:hAnsi="Arial Narrow"/>
                <w:sz w:val="20"/>
                <w:szCs w:val="20"/>
              </w:rPr>
              <w:t>Medical Practitioners</w:t>
            </w:r>
          </w:p>
        </w:tc>
      </w:tr>
      <w:tr w:rsidR="001D7B74" w:rsidRPr="00903E1C" w14:paraId="409C1C80"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C4C27B4" w14:textId="77777777" w:rsidR="001D7B74" w:rsidRPr="00460CB3" w:rsidRDefault="001D7B74">
            <w:pPr>
              <w:rPr>
                <w:rFonts w:ascii="Arial Narrow" w:eastAsia="Calibri" w:hAnsi="Arial Narrow"/>
                <w:color w:val="FF00FF"/>
                <w:sz w:val="20"/>
                <w:szCs w:val="20"/>
              </w:rPr>
            </w:pPr>
            <w:r w:rsidRPr="00460CB3">
              <w:rPr>
                <w:rFonts w:ascii="Arial Narrow" w:hAnsi="Arial Narrow"/>
                <w:b/>
                <w:sz w:val="20"/>
                <w:szCs w:val="20"/>
              </w:rPr>
              <w:t>Restriction type:</w:t>
            </w:r>
            <w:r w:rsidRPr="00460CB3">
              <w:rPr>
                <w:rFonts w:ascii="Arial Narrow" w:eastAsia="Calibri" w:hAnsi="Arial Narrow"/>
                <w:sz w:val="20"/>
                <w:szCs w:val="20"/>
              </w:rPr>
              <w:t xml:space="preserve"> Authority Required (in writing only via post/electronic) </w:t>
            </w:r>
          </w:p>
        </w:tc>
      </w:tr>
      <w:tr w:rsidR="001D7B74" w:rsidRPr="00903E1C" w14:paraId="08F8CB26" w14:textId="77777777" w:rsidTr="00B80329">
        <w:tblPrEx>
          <w:tblCellMar>
            <w:top w:w="15" w:type="dxa"/>
            <w:left w:w="15" w:type="dxa"/>
            <w:bottom w:w="15" w:type="dxa"/>
            <w:right w:w="15" w:type="dxa"/>
          </w:tblCellMar>
        </w:tblPrEx>
        <w:tc>
          <w:tcPr>
            <w:tcW w:w="5000" w:type="pct"/>
            <w:gridSpan w:val="6"/>
          </w:tcPr>
          <w:p w14:paraId="692D468F" w14:textId="77777777" w:rsidR="001D7B74" w:rsidRPr="00460CB3" w:rsidRDefault="001D7B74">
            <w:pPr>
              <w:rPr>
                <w:rFonts w:ascii="Arial Narrow" w:hAnsi="Arial Narrow"/>
                <w:color w:val="333333"/>
                <w:sz w:val="20"/>
                <w:szCs w:val="20"/>
              </w:rPr>
            </w:pPr>
            <w:r w:rsidRPr="00460CB3">
              <w:rPr>
                <w:rFonts w:ascii="Arial Narrow" w:hAnsi="Arial Narrow"/>
                <w:sz w:val="20"/>
                <w:szCs w:val="20"/>
              </w:rPr>
              <w:t>Administrative Advice: No increase in the maximum quantity or number of units may be authorised.</w:t>
            </w:r>
          </w:p>
        </w:tc>
      </w:tr>
      <w:tr w:rsidR="001D7B74" w:rsidRPr="00903E1C" w14:paraId="73D4C2C6" w14:textId="77777777" w:rsidTr="00B80329">
        <w:tblPrEx>
          <w:tblCellMar>
            <w:top w:w="15" w:type="dxa"/>
            <w:left w:w="15" w:type="dxa"/>
            <w:bottom w:w="15" w:type="dxa"/>
            <w:right w:w="15" w:type="dxa"/>
          </w:tblCellMar>
        </w:tblPrEx>
        <w:tc>
          <w:tcPr>
            <w:tcW w:w="5000" w:type="pct"/>
            <w:gridSpan w:val="6"/>
          </w:tcPr>
          <w:p w14:paraId="4A81E255" w14:textId="77777777" w:rsidR="001D7B74" w:rsidRPr="00460CB3" w:rsidRDefault="001D7B74">
            <w:pPr>
              <w:rPr>
                <w:rFonts w:ascii="Arial Narrow" w:hAnsi="Arial Narrow"/>
                <w:b/>
                <w:bCs/>
                <w:color w:val="333333"/>
                <w:sz w:val="20"/>
                <w:szCs w:val="20"/>
              </w:rPr>
            </w:pPr>
            <w:r w:rsidRPr="00460CB3">
              <w:rPr>
                <w:rFonts w:ascii="Arial Narrow" w:hAnsi="Arial Narrow"/>
                <w:sz w:val="20"/>
                <w:szCs w:val="20"/>
              </w:rPr>
              <w:t>Administrative Advice: No increase in the maximum number of repeats may be authorised.</w:t>
            </w:r>
          </w:p>
        </w:tc>
      </w:tr>
      <w:tr w:rsidR="001D7B74" w:rsidRPr="00903E1C" w14:paraId="22C3C6BD" w14:textId="77777777" w:rsidTr="00B80329">
        <w:tblPrEx>
          <w:tblCellMar>
            <w:top w:w="15" w:type="dxa"/>
            <w:left w:w="15" w:type="dxa"/>
            <w:bottom w:w="15" w:type="dxa"/>
            <w:right w:w="15" w:type="dxa"/>
          </w:tblCellMar>
        </w:tblPrEx>
        <w:tc>
          <w:tcPr>
            <w:tcW w:w="5000" w:type="pct"/>
            <w:gridSpan w:val="6"/>
          </w:tcPr>
          <w:p w14:paraId="25E6CFEF" w14:textId="77777777" w:rsidR="001D7B74" w:rsidRPr="00460CB3" w:rsidRDefault="001D7B74">
            <w:pPr>
              <w:rPr>
                <w:rFonts w:ascii="Arial Narrow" w:hAnsi="Arial Narrow"/>
                <w:b/>
                <w:bCs/>
                <w:color w:val="333333"/>
                <w:sz w:val="20"/>
                <w:szCs w:val="20"/>
              </w:rPr>
            </w:pPr>
            <w:r w:rsidRPr="00460CB3">
              <w:rPr>
                <w:rFonts w:ascii="Arial Narrow" w:hAnsi="Arial Narrow"/>
                <w:sz w:val="20"/>
                <w:szCs w:val="20"/>
              </w:rPr>
              <w:t>Administrative Advice: Special Pricing Arrangements apply.</w:t>
            </w:r>
          </w:p>
        </w:tc>
      </w:tr>
      <w:tr w:rsidR="001D7B74" w:rsidRPr="00903E1C" w14:paraId="431381E0"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FEF86CF" w14:textId="77777777" w:rsidR="001D7B74" w:rsidRPr="00460CB3" w:rsidRDefault="001D7B74">
            <w:pPr>
              <w:rPr>
                <w:rFonts w:ascii="Arial Narrow" w:hAnsi="Arial Narrow"/>
                <w:b/>
                <w:bCs/>
                <w:color w:val="A6A6A6" w:themeColor="background1" w:themeShade="A6"/>
                <w:sz w:val="20"/>
                <w:szCs w:val="20"/>
              </w:rPr>
            </w:pPr>
            <w:r w:rsidRPr="00460CB3">
              <w:rPr>
                <w:rFonts w:ascii="Arial Narrow" w:hAnsi="Arial Narrow"/>
                <w:b/>
                <w:bCs/>
                <w:color w:val="A6A6A6" w:themeColor="background1" w:themeShade="A6"/>
                <w:sz w:val="20"/>
                <w:szCs w:val="20"/>
              </w:rPr>
              <w:t>Episodicity: [blank]</w:t>
            </w:r>
          </w:p>
        </w:tc>
      </w:tr>
      <w:tr w:rsidR="001D7B74" w:rsidRPr="00903E1C" w14:paraId="37921E96"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CC90A05" w14:textId="77777777" w:rsidR="001D7B74" w:rsidRPr="00460CB3" w:rsidRDefault="001D7B74">
            <w:pPr>
              <w:rPr>
                <w:rFonts w:ascii="Arial Narrow" w:hAnsi="Arial Narrow"/>
                <w:b/>
                <w:bCs/>
                <w:color w:val="A6A6A6" w:themeColor="background1" w:themeShade="A6"/>
                <w:sz w:val="20"/>
                <w:szCs w:val="20"/>
              </w:rPr>
            </w:pPr>
            <w:r w:rsidRPr="00460CB3">
              <w:rPr>
                <w:rFonts w:ascii="Arial Narrow" w:hAnsi="Arial Narrow"/>
                <w:b/>
                <w:bCs/>
                <w:color w:val="A6A6A6" w:themeColor="background1" w:themeShade="A6"/>
                <w:sz w:val="20"/>
                <w:szCs w:val="20"/>
              </w:rPr>
              <w:t>Severity: [blank]</w:t>
            </w:r>
          </w:p>
        </w:tc>
      </w:tr>
      <w:tr w:rsidR="001D7B74" w:rsidRPr="00903E1C" w14:paraId="3672174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54FEE35"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 xml:space="preserve">Condition: </w:t>
            </w:r>
            <w:r w:rsidRPr="00460CB3">
              <w:rPr>
                <w:rFonts w:ascii="Arial Narrow" w:hAnsi="Arial Narrow"/>
                <w:bCs/>
                <w:color w:val="333333"/>
                <w:sz w:val="20"/>
                <w:szCs w:val="20"/>
              </w:rPr>
              <w:t>Hereditary transthyretin amyloidosis</w:t>
            </w:r>
          </w:p>
        </w:tc>
      </w:tr>
      <w:tr w:rsidR="001D7B74" w:rsidRPr="00903E1C" w14:paraId="3FB46FED"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B0591BB" w14:textId="77777777" w:rsidR="001D7B74" w:rsidRPr="00460CB3" w:rsidRDefault="001D7B74">
            <w:pPr>
              <w:rPr>
                <w:rFonts w:ascii="Arial Narrow" w:hAnsi="Arial Narrow"/>
                <w:color w:val="333333"/>
                <w:sz w:val="20"/>
                <w:szCs w:val="20"/>
              </w:rPr>
            </w:pPr>
            <w:r w:rsidRPr="00460CB3">
              <w:rPr>
                <w:rFonts w:ascii="Arial Narrow" w:hAnsi="Arial Narrow"/>
                <w:b/>
                <w:bCs/>
                <w:color w:val="333333"/>
                <w:sz w:val="20"/>
                <w:szCs w:val="20"/>
              </w:rPr>
              <w:t>Indication:</w:t>
            </w:r>
            <w:r w:rsidRPr="00460CB3">
              <w:rPr>
                <w:rFonts w:ascii="Arial Narrow" w:hAnsi="Arial Narrow"/>
                <w:color w:val="333333"/>
                <w:sz w:val="20"/>
                <w:szCs w:val="20"/>
              </w:rPr>
              <w:t xml:space="preserve"> </w:t>
            </w:r>
            <w:r w:rsidRPr="00460CB3">
              <w:rPr>
                <w:rFonts w:ascii="Arial Narrow" w:hAnsi="Arial Narrow"/>
                <w:bCs/>
                <w:color w:val="333333"/>
                <w:sz w:val="20"/>
                <w:szCs w:val="20"/>
              </w:rPr>
              <w:t>Hereditary transthyretin amyloidosis</w:t>
            </w:r>
          </w:p>
        </w:tc>
      </w:tr>
      <w:tr w:rsidR="001D7B74" w:rsidRPr="00903E1C" w14:paraId="7C1C0D66"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45A026E" w14:textId="77777777" w:rsidR="001D7B74" w:rsidRPr="00460CB3" w:rsidRDefault="001D7B74">
            <w:pPr>
              <w:rPr>
                <w:rFonts w:ascii="Arial Narrow" w:hAnsi="Arial Narrow"/>
                <w:color w:val="FF00FF"/>
                <w:sz w:val="20"/>
                <w:szCs w:val="20"/>
              </w:rPr>
            </w:pPr>
            <w:r w:rsidRPr="00460CB3">
              <w:rPr>
                <w:rFonts w:ascii="Arial Narrow" w:hAnsi="Arial Narrow"/>
                <w:b/>
                <w:bCs/>
                <w:color w:val="333333"/>
                <w:sz w:val="20"/>
                <w:szCs w:val="20"/>
              </w:rPr>
              <w:t>Treatment Phase</w:t>
            </w:r>
            <w:r w:rsidRPr="00460CB3">
              <w:rPr>
                <w:rFonts w:ascii="Arial Narrow" w:hAnsi="Arial Narrow"/>
                <w:b/>
                <w:bCs/>
                <w:sz w:val="20"/>
                <w:szCs w:val="20"/>
              </w:rPr>
              <w:t>:</w:t>
            </w:r>
            <w:r w:rsidRPr="00460CB3">
              <w:rPr>
                <w:rFonts w:ascii="Arial Narrow" w:hAnsi="Arial Narrow"/>
                <w:sz w:val="20"/>
                <w:szCs w:val="20"/>
              </w:rPr>
              <w:t xml:space="preserve"> Initial Treatment </w:t>
            </w:r>
          </w:p>
        </w:tc>
      </w:tr>
      <w:tr w:rsidR="001D7B74" w:rsidRPr="00903E1C" w14:paraId="67846BDB"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1AD117C" w14:textId="77777777" w:rsidR="001D7B74" w:rsidRPr="00460CB3" w:rsidRDefault="001D7B74">
            <w:pPr>
              <w:rPr>
                <w:rFonts w:ascii="Arial Narrow" w:hAnsi="Arial Narrow"/>
                <w:b/>
                <w:bCs/>
                <w:color w:val="333333"/>
                <w:sz w:val="20"/>
                <w:szCs w:val="20"/>
              </w:rPr>
            </w:pPr>
          </w:p>
        </w:tc>
      </w:tr>
      <w:tr w:rsidR="001D7B74" w:rsidRPr="00903E1C" w14:paraId="5704455B"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3177C32"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Population criteria:</w:t>
            </w:r>
          </w:p>
        </w:tc>
      </w:tr>
      <w:tr w:rsidR="001D7B74" w:rsidRPr="00903E1C" w14:paraId="2B4AD4B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95BA160" w14:textId="77777777" w:rsidR="001D7B74" w:rsidRPr="00460CB3" w:rsidRDefault="001D7B74">
            <w:pPr>
              <w:rPr>
                <w:rFonts w:ascii="Arial Narrow" w:hAnsi="Arial Narrow"/>
                <w:b/>
                <w:bCs/>
                <w:color w:val="333333"/>
                <w:sz w:val="20"/>
                <w:szCs w:val="20"/>
              </w:rPr>
            </w:pPr>
            <w:r w:rsidRPr="00460CB3">
              <w:rPr>
                <w:rFonts w:ascii="Arial Narrow" w:hAnsi="Arial Narrow"/>
                <w:color w:val="333333"/>
                <w:sz w:val="20"/>
                <w:szCs w:val="20"/>
              </w:rPr>
              <w:t>Patient must have either (i) stage 1 polyneuropathy, (ii) stage 2 polyneuropathy</w:t>
            </w:r>
          </w:p>
        </w:tc>
      </w:tr>
      <w:tr w:rsidR="001D7B74" w:rsidRPr="00903E1C" w14:paraId="58DF9D3E"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42A6132" w14:textId="77777777" w:rsidR="001D7B74" w:rsidRPr="00460CB3" w:rsidRDefault="001D7B74">
            <w:pPr>
              <w:rPr>
                <w:rFonts w:ascii="Arial Narrow" w:hAnsi="Arial Narrow"/>
                <w:b/>
                <w:bCs/>
                <w:color w:val="333333"/>
                <w:sz w:val="20"/>
                <w:szCs w:val="20"/>
              </w:rPr>
            </w:pPr>
          </w:p>
        </w:tc>
      </w:tr>
      <w:tr w:rsidR="001D7B74" w:rsidRPr="00903E1C" w14:paraId="059162EE"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162C7A2"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Clinical criteria:</w:t>
            </w:r>
          </w:p>
        </w:tc>
      </w:tr>
      <w:tr w:rsidR="001D7B74" w:rsidRPr="00903E1C" w14:paraId="1B28F656"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96462A3" w14:textId="77777777" w:rsidR="001D7B74" w:rsidRPr="00460CB3" w:rsidRDefault="001D7B74">
            <w:pPr>
              <w:rPr>
                <w:rFonts w:ascii="Arial Narrow" w:hAnsi="Arial Narrow"/>
                <w:color w:val="333333"/>
                <w:sz w:val="20"/>
                <w:szCs w:val="20"/>
              </w:rPr>
            </w:pPr>
            <w:r w:rsidRPr="00460CB3">
              <w:rPr>
                <w:rFonts w:ascii="Arial Narrow" w:hAnsi="Arial Narrow"/>
                <w:color w:val="333333"/>
                <w:sz w:val="20"/>
                <w:szCs w:val="20"/>
              </w:rPr>
              <w:t>Patient must not have previously received PBS-subsidised treatment with this drug for this PBS indication</w:t>
            </w:r>
          </w:p>
        </w:tc>
      </w:tr>
      <w:tr w:rsidR="001D7B74" w:rsidRPr="00903E1C" w14:paraId="0B45F45A"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CA6EFAF" w14:textId="77777777" w:rsidR="001D7B74" w:rsidRPr="00460CB3" w:rsidRDefault="001D7B74">
            <w:pPr>
              <w:rPr>
                <w:rFonts w:ascii="Arial Narrow" w:hAnsi="Arial Narrow"/>
                <w:color w:val="333333"/>
                <w:sz w:val="20"/>
                <w:szCs w:val="20"/>
              </w:rPr>
            </w:pPr>
          </w:p>
        </w:tc>
      </w:tr>
      <w:tr w:rsidR="001D7B74" w:rsidRPr="00903E1C" w14:paraId="715DD162"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511A7C3"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AND</w:t>
            </w:r>
          </w:p>
        </w:tc>
      </w:tr>
      <w:tr w:rsidR="001D7B74" w:rsidRPr="00903E1C" w14:paraId="2B052533"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2A0B9CF"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Clinical criteria:</w:t>
            </w:r>
          </w:p>
        </w:tc>
      </w:tr>
      <w:tr w:rsidR="001D7B74" w:rsidRPr="00903E1C" w14:paraId="14702E62"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70F63B0" w14:textId="77777777" w:rsidR="001D7B74" w:rsidRPr="00460CB3" w:rsidRDefault="001D7B74">
            <w:pPr>
              <w:rPr>
                <w:rFonts w:ascii="Arial Narrow" w:hAnsi="Arial Narrow"/>
                <w:color w:val="333333"/>
                <w:sz w:val="20"/>
                <w:szCs w:val="20"/>
              </w:rPr>
            </w:pPr>
            <w:r w:rsidRPr="00460CB3">
              <w:rPr>
                <w:rFonts w:ascii="Arial Narrow" w:hAnsi="Arial Narrow"/>
                <w:color w:val="333333"/>
                <w:sz w:val="20"/>
                <w:szCs w:val="20"/>
              </w:rPr>
              <w:t>Patient must be at least 18 years of age</w:t>
            </w:r>
          </w:p>
        </w:tc>
      </w:tr>
      <w:tr w:rsidR="001D7B74" w:rsidRPr="00903E1C" w14:paraId="00F4A10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499879F"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AND</w:t>
            </w:r>
          </w:p>
        </w:tc>
      </w:tr>
      <w:tr w:rsidR="001D7B74" w:rsidRPr="00903E1C" w14:paraId="5B348233"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E84E43B"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Clinical criteria</w:t>
            </w:r>
          </w:p>
        </w:tc>
      </w:tr>
      <w:tr w:rsidR="001D7B74" w:rsidRPr="00903E1C" w14:paraId="3FCBADA7"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C68E951" w14:textId="77777777" w:rsidR="001D7B74" w:rsidRPr="00460CB3" w:rsidRDefault="001D7B74">
            <w:pPr>
              <w:rPr>
                <w:rFonts w:ascii="Arial Narrow" w:hAnsi="Arial Narrow"/>
                <w:color w:val="333333"/>
                <w:sz w:val="20"/>
                <w:szCs w:val="20"/>
              </w:rPr>
            </w:pPr>
            <w:r w:rsidRPr="00460CB3">
              <w:rPr>
                <w:rFonts w:ascii="Arial Narrow" w:hAnsi="Arial Narrow"/>
                <w:color w:val="333333"/>
                <w:sz w:val="20"/>
                <w:szCs w:val="20"/>
              </w:rPr>
              <w:t xml:space="preserve">The condition must be </w:t>
            </w:r>
            <w:r w:rsidRPr="00460CB3">
              <w:rPr>
                <w:rFonts w:ascii="Arial Narrow" w:hAnsi="Arial Narrow"/>
                <w:bCs/>
                <w:color w:val="333333"/>
                <w:sz w:val="20"/>
                <w:szCs w:val="20"/>
              </w:rPr>
              <w:t xml:space="preserve">hereditary transthyretin </w:t>
            </w:r>
            <w:r w:rsidRPr="00460CB3">
              <w:rPr>
                <w:rFonts w:ascii="Arial Narrow" w:hAnsi="Arial Narrow"/>
                <w:color w:val="333333"/>
                <w:sz w:val="20"/>
                <w:szCs w:val="20"/>
              </w:rPr>
              <w:t xml:space="preserve">amyloidosis confirmed by genetic testing. </w:t>
            </w:r>
          </w:p>
        </w:tc>
      </w:tr>
      <w:tr w:rsidR="001D7B74" w:rsidRPr="00903E1C" w14:paraId="0F4825C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20E07A6"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AND</w:t>
            </w:r>
          </w:p>
        </w:tc>
      </w:tr>
      <w:tr w:rsidR="001D7B74" w:rsidRPr="00903E1C" w14:paraId="0406254D"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C33385C" w14:textId="77777777" w:rsidR="001D7B74" w:rsidRPr="00460CB3" w:rsidRDefault="001D7B74">
            <w:pPr>
              <w:rPr>
                <w:rFonts w:ascii="Arial Narrow" w:hAnsi="Arial Narrow"/>
                <w:color w:val="FF00FF"/>
                <w:sz w:val="20"/>
                <w:szCs w:val="20"/>
              </w:rPr>
            </w:pPr>
            <w:r w:rsidRPr="00460CB3">
              <w:rPr>
                <w:rFonts w:ascii="Arial Narrow" w:hAnsi="Arial Narrow"/>
                <w:b/>
                <w:bCs/>
                <w:color w:val="333333"/>
                <w:sz w:val="20"/>
                <w:szCs w:val="20"/>
              </w:rPr>
              <w:t xml:space="preserve">Clinical criteria: </w:t>
            </w:r>
          </w:p>
        </w:tc>
      </w:tr>
      <w:tr w:rsidR="001D7B74" w:rsidRPr="00903E1C" w14:paraId="39C3A423"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AC7B04F" w14:textId="77777777" w:rsidR="001D7B74" w:rsidRPr="00460CB3" w:rsidRDefault="001D7B74">
            <w:pPr>
              <w:rPr>
                <w:rFonts w:ascii="Arial Narrow" w:hAnsi="Arial Narrow"/>
                <w:color w:val="333333"/>
                <w:sz w:val="20"/>
                <w:szCs w:val="20"/>
              </w:rPr>
            </w:pPr>
            <w:r w:rsidRPr="00460CB3">
              <w:rPr>
                <w:rFonts w:ascii="Arial Narrow" w:hAnsi="Arial Narrow"/>
                <w:sz w:val="20"/>
                <w:szCs w:val="20"/>
              </w:rPr>
              <w:t xml:space="preserve">Patient must have a Polyneuropathy Disability (PND) score description of either I, II, IIIA, IIIB, OR </w:t>
            </w:r>
          </w:p>
        </w:tc>
      </w:tr>
      <w:tr w:rsidR="001D7B74" w:rsidRPr="00903E1C" w14:paraId="34783807"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41D55FA" w14:textId="77777777" w:rsidR="001D7B74" w:rsidRPr="00460CB3" w:rsidRDefault="001D7B74">
            <w:pPr>
              <w:rPr>
                <w:rFonts w:ascii="Arial Narrow" w:hAnsi="Arial Narrow"/>
                <w:sz w:val="20"/>
                <w:szCs w:val="20"/>
              </w:rPr>
            </w:pPr>
            <w:r w:rsidRPr="00460CB3">
              <w:rPr>
                <w:rFonts w:ascii="Arial Narrow" w:hAnsi="Arial Narrow"/>
                <w:sz w:val="20"/>
                <w:szCs w:val="20"/>
              </w:rPr>
              <w:t>Patient must have a Familial Amyloid Polyneuropathy (FAP) stage description of 1 or 2</w:t>
            </w:r>
          </w:p>
        </w:tc>
      </w:tr>
      <w:tr w:rsidR="001D7B74" w:rsidRPr="00903E1C" w14:paraId="35F3DD24"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C557846"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AND</w:t>
            </w:r>
          </w:p>
        </w:tc>
      </w:tr>
      <w:tr w:rsidR="001D7B74" w:rsidRPr="00903E1C" w14:paraId="090AFB5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C5EB9CE"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Clinical criteria:</w:t>
            </w:r>
          </w:p>
        </w:tc>
      </w:tr>
      <w:tr w:rsidR="001D7B74" w:rsidRPr="00903E1C" w14:paraId="553176C6"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C070AAE" w14:textId="77777777" w:rsidR="001D7B74" w:rsidRPr="00460CB3" w:rsidRDefault="001D7B74">
            <w:pPr>
              <w:rPr>
                <w:rFonts w:ascii="Arial Narrow" w:hAnsi="Arial Narrow"/>
                <w:color w:val="333333"/>
                <w:sz w:val="20"/>
                <w:szCs w:val="20"/>
              </w:rPr>
            </w:pPr>
            <w:r w:rsidRPr="00460CB3">
              <w:rPr>
                <w:rFonts w:ascii="Arial Narrow" w:hAnsi="Arial Narrow"/>
                <w:color w:val="333333"/>
                <w:sz w:val="20"/>
                <w:szCs w:val="20"/>
              </w:rPr>
              <w:t>Patient must not have previously undergone a liver transplant</w:t>
            </w:r>
          </w:p>
        </w:tc>
      </w:tr>
      <w:tr w:rsidR="001D7B74" w:rsidRPr="00903E1C" w14:paraId="0F08AD2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AEF7282"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AND</w:t>
            </w:r>
          </w:p>
        </w:tc>
      </w:tr>
      <w:tr w:rsidR="001D7B74" w:rsidRPr="00903E1C" w14:paraId="29625E7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7B4425B"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Clinical Criteria</w:t>
            </w:r>
          </w:p>
        </w:tc>
      </w:tr>
      <w:tr w:rsidR="001D7B74" w:rsidRPr="00903E1C" w14:paraId="26611BFE"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BDADD1A" w14:textId="77777777" w:rsidR="001D7B74" w:rsidRPr="00460CB3" w:rsidRDefault="001D7B74">
            <w:pPr>
              <w:rPr>
                <w:rFonts w:ascii="Arial Narrow" w:hAnsi="Arial Narrow"/>
                <w:sz w:val="20"/>
                <w:szCs w:val="20"/>
              </w:rPr>
            </w:pPr>
            <w:r w:rsidRPr="00460CB3">
              <w:rPr>
                <w:rFonts w:ascii="Arial Narrow" w:hAnsi="Arial Narrow"/>
                <w:sz w:val="20"/>
                <w:szCs w:val="20"/>
              </w:rPr>
              <w:t>Patient must not exhibit heart failure symptoms (defined as New York Heart Association [NYHA] class III or IV).</w:t>
            </w:r>
          </w:p>
        </w:tc>
      </w:tr>
      <w:tr w:rsidR="001D7B74" w:rsidRPr="00903E1C" w14:paraId="081CD25B"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0EFBC70" w14:textId="77777777" w:rsidR="001D7B74" w:rsidRPr="00460CB3" w:rsidRDefault="001D7B74">
            <w:pPr>
              <w:rPr>
                <w:rFonts w:ascii="Arial Narrow" w:hAnsi="Arial Narrow"/>
                <w:sz w:val="20"/>
                <w:szCs w:val="20"/>
              </w:rPr>
            </w:pPr>
          </w:p>
        </w:tc>
      </w:tr>
      <w:tr w:rsidR="001D7B74" w:rsidRPr="00903E1C" w14:paraId="2FFFCC2F"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2F3047C" w14:textId="77777777" w:rsidR="001D7B74" w:rsidRPr="00460CB3" w:rsidRDefault="001D7B74">
            <w:pPr>
              <w:rPr>
                <w:rFonts w:ascii="Arial Narrow" w:hAnsi="Arial Narrow"/>
                <w:color w:val="333333"/>
                <w:sz w:val="20"/>
                <w:szCs w:val="20"/>
              </w:rPr>
            </w:pPr>
            <w:r w:rsidRPr="00460CB3">
              <w:rPr>
                <w:rFonts w:ascii="Arial Narrow" w:hAnsi="Arial Narrow"/>
                <w:b/>
                <w:bCs/>
                <w:color w:val="333333"/>
                <w:sz w:val="20"/>
                <w:szCs w:val="20"/>
              </w:rPr>
              <w:t>Treatment criteria:</w:t>
            </w:r>
          </w:p>
        </w:tc>
      </w:tr>
      <w:tr w:rsidR="001D7B74" w:rsidRPr="00903E1C" w14:paraId="02070D3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144F33C" w14:textId="77777777" w:rsidR="001D7B74" w:rsidRPr="00460CB3" w:rsidRDefault="001D7B74">
            <w:pPr>
              <w:autoSpaceDE w:val="0"/>
              <w:autoSpaceDN w:val="0"/>
              <w:adjustRightInd w:val="0"/>
              <w:jc w:val="left"/>
              <w:rPr>
                <w:rFonts w:ascii="Arial Narrow" w:hAnsi="Arial Narrow" w:cs="Arial Narrow"/>
                <w:strike/>
                <w:sz w:val="20"/>
                <w:szCs w:val="20"/>
              </w:rPr>
            </w:pPr>
            <w:r w:rsidRPr="00460CB3">
              <w:rPr>
                <w:rFonts w:ascii="Arial Narrow" w:hAnsi="Arial Narrow" w:cs="Arial Narrow"/>
                <w:strike/>
                <w:sz w:val="20"/>
                <w:szCs w:val="20"/>
              </w:rPr>
              <w:t xml:space="preserve">Must </w:t>
            </w:r>
            <w:proofErr w:type="gramStart"/>
            <w:r w:rsidRPr="00460CB3">
              <w:rPr>
                <w:rFonts w:ascii="Arial Narrow" w:hAnsi="Arial Narrow" w:cs="Arial Narrow"/>
                <w:strike/>
                <w:sz w:val="20"/>
                <w:szCs w:val="20"/>
              </w:rPr>
              <w:t>be treated</w:t>
            </w:r>
            <w:proofErr w:type="gramEnd"/>
            <w:r w:rsidRPr="00460CB3">
              <w:rPr>
                <w:rFonts w:ascii="Arial Narrow" w:hAnsi="Arial Narrow" w:cs="Arial Narrow"/>
                <w:strike/>
                <w:sz w:val="20"/>
                <w:szCs w:val="20"/>
              </w:rPr>
              <w:t xml:space="preserve"> by a consultant physician with experience in the management of amyloid disorders.</w:t>
            </w:r>
          </w:p>
          <w:p w14:paraId="6D341498" w14:textId="77777777" w:rsidR="001D7B74" w:rsidRPr="00460CB3" w:rsidRDefault="001D7B74">
            <w:pPr>
              <w:autoSpaceDE w:val="0"/>
              <w:autoSpaceDN w:val="0"/>
              <w:adjustRightInd w:val="0"/>
              <w:jc w:val="left"/>
              <w:rPr>
                <w:rFonts w:ascii="Arial Narrow" w:hAnsi="Arial Narrow"/>
                <w:sz w:val="20"/>
                <w:szCs w:val="20"/>
              </w:rPr>
            </w:pPr>
            <w:r w:rsidRPr="00460CB3">
              <w:rPr>
                <w:rFonts w:ascii="Arial Narrow" w:hAnsi="Arial Narrow"/>
                <w:sz w:val="20"/>
                <w:szCs w:val="20"/>
              </w:rPr>
              <w:t xml:space="preserve">Must </w:t>
            </w:r>
            <w:proofErr w:type="gramStart"/>
            <w:r w:rsidRPr="00460CB3">
              <w:rPr>
                <w:rFonts w:ascii="Arial Narrow" w:hAnsi="Arial Narrow"/>
                <w:sz w:val="20"/>
                <w:szCs w:val="20"/>
              </w:rPr>
              <w:t>be treated</w:t>
            </w:r>
            <w:proofErr w:type="gramEnd"/>
            <w:r w:rsidRPr="00460CB3">
              <w:rPr>
                <w:rFonts w:ascii="Arial Narrow" w:hAnsi="Arial Narrow"/>
                <w:sz w:val="20"/>
                <w:szCs w:val="20"/>
              </w:rPr>
              <w:t xml:space="preserve"> by a consultant with experience in the management of amyloid disorders or in consultation with a consultant with experience in the management of amyloid disorders.</w:t>
            </w:r>
          </w:p>
        </w:tc>
      </w:tr>
      <w:tr w:rsidR="001D7B74" w:rsidRPr="00903E1C" w14:paraId="18AEDA7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8FC0DEC" w14:textId="77777777" w:rsidR="001D7B74" w:rsidRPr="00460CB3" w:rsidRDefault="001D7B74">
            <w:pPr>
              <w:autoSpaceDE w:val="0"/>
              <w:autoSpaceDN w:val="0"/>
              <w:adjustRightInd w:val="0"/>
              <w:rPr>
                <w:rFonts w:ascii="Arial Narrow" w:hAnsi="Arial Narrow" w:cs="Arial Narrow"/>
                <w:strike/>
                <w:sz w:val="20"/>
                <w:szCs w:val="20"/>
              </w:rPr>
            </w:pPr>
            <w:r w:rsidRPr="00460CB3">
              <w:rPr>
                <w:rFonts w:ascii="Arial Narrow" w:hAnsi="Arial Narrow"/>
                <w:sz w:val="20"/>
                <w:szCs w:val="20"/>
              </w:rPr>
              <w:t xml:space="preserve">Patisiran is to </w:t>
            </w:r>
            <w:proofErr w:type="gramStart"/>
            <w:r w:rsidRPr="00460CB3">
              <w:rPr>
                <w:rFonts w:ascii="Arial Narrow" w:hAnsi="Arial Narrow"/>
                <w:sz w:val="20"/>
                <w:szCs w:val="20"/>
              </w:rPr>
              <w:t>be used</w:t>
            </w:r>
            <w:proofErr w:type="gramEnd"/>
            <w:r w:rsidRPr="00460CB3">
              <w:rPr>
                <w:rFonts w:ascii="Arial Narrow" w:hAnsi="Arial Narrow"/>
                <w:sz w:val="20"/>
                <w:szCs w:val="20"/>
              </w:rPr>
              <w:t xml:space="preserve"> as a monotherapy (i.e. not in combination with any other disease modifying medicines for amyloidosis disorders).</w:t>
            </w:r>
          </w:p>
        </w:tc>
      </w:tr>
      <w:tr w:rsidR="001D7B74" w:rsidRPr="00903E1C" w14:paraId="5DC35AA7"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854F18C" w14:textId="77777777" w:rsidR="001D7B74" w:rsidRPr="00460CB3" w:rsidRDefault="001D7B74">
            <w:pPr>
              <w:autoSpaceDE w:val="0"/>
              <w:autoSpaceDN w:val="0"/>
              <w:adjustRightInd w:val="0"/>
              <w:rPr>
                <w:rFonts w:ascii="Arial Narrow" w:hAnsi="Arial Narrow" w:cs="Arial Narrow"/>
                <w:sz w:val="20"/>
                <w:szCs w:val="20"/>
              </w:rPr>
            </w:pPr>
          </w:p>
        </w:tc>
      </w:tr>
      <w:tr w:rsidR="001D7B74" w:rsidRPr="00903E1C" w14:paraId="5EE168C4"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8BD63BD" w14:textId="77777777" w:rsidR="001D7B74" w:rsidRPr="00460CB3" w:rsidRDefault="001D7B74">
            <w:pPr>
              <w:rPr>
                <w:rFonts w:ascii="Arial Narrow" w:hAnsi="Arial Narrow"/>
                <w:b/>
                <w:bCs/>
                <w:color w:val="333333"/>
                <w:sz w:val="20"/>
                <w:szCs w:val="20"/>
              </w:rPr>
            </w:pPr>
            <w:r w:rsidRPr="00460CB3">
              <w:rPr>
                <w:rFonts w:ascii="Arial Narrow" w:hAnsi="Arial Narrow"/>
                <w:b/>
                <w:bCs/>
                <w:color w:val="333333"/>
                <w:sz w:val="20"/>
                <w:szCs w:val="20"/>
              </w:rPr>
              <w:t xml:space="preserve">Prescribing Instructions: </w:t>
            </w:r>
          </w:p>
          <w:p w14:paraId="74A83268" w14:textId="77777777" w:rsidR="001D7B74" w:rsidRPr="00460CB3" w:rsidRDefault="001D7B74">
            <w:pPr>
              <w:rPr>
                <w:rFonts w:ascii="Arial Narrow" w:hAnsi="Arial Narrow"/>
                <w:b/>
                <w:bCs/>
                <w:color w:val="333333"/>
                <w:sz w:val="20"/>
                <w:szCs w:val="20"/>
              </w:rPr>
            </w:pPr>
          </w:p>
          <w:p w14:paraId="73A2BD6F" w14:textId="77777777" w:rsidR="001D7B74" w:rsidRPr="00460CB3" w:rsidRDefault="001D7B74">
            <w:pPr>
              <w:rPr>
                <w:rFonts w:ascii="Arial Narrow" w:hAnsi="Arial Narrow"/>
                <w:sz w:val="20"/>
                <w:szCs w:val="20"/>
              </w:rPr>
            </w:pPr>
            <w:r w:rsidRPr="00460CB3">
              <w:rPr>
                <w:rFonts w:ascii="Arial Narrow" w:hAnsi="Arial Narrow"/>
                <w:sz w:val="20"/>
                <w:szCs w:val="20"/>
              </w:rPr>
              <w:t xml:space="preserve">PND scores in the context of this PBS restriction are: </w:t>
            </w:r>
          </w:p>
          <w:p w14:paraId="454A3CB1" w14:textId="77777777" w:rsidR="001D7B74" w:rsidRPr="00460CB3" w:rsidRDefault="001D7B74">
            <w:pPr>
              <w:rPr>
                <w:rFonts w:ascii="Arial Narrow" w:hAnsi="Arial Narrow"/>
                <w:sz w:val="20"/>
                <w:szCs w:val="20"/>
              </w:rPr>
            </w:pPr>
            <w:r w:rsidRPr="00460CB3">
              <w:rPr>
                <w:rFonts w:ascii="Arial Narrow" w:hAnsi="Arial Narrow"/>
                <w:sz w:val="20"/>
                <w:szCs w:val="20"/>
              </w:rPr>
              <w:t>Stage 0 - No symptoms</w:t>
            </w:r>
          </w:p>
          <w:p w14:paraId="4C072565" w14:textId="77777777" w:rsidR="001D7B74" w:rsidRPr="00460CB3" w:rsidRDefault="001D7B74">
            <w:pPr>
              <w:rPr>
                <w:rFonts w:ascii="Arial Narrow" w:hAnsi="Arial Narrow"/>
                <w:sz w:val="20"/>
                <w:szCs w:val="20"/>
              </w:rPr>
            </w:pPr>
            <w:r w:rsidRPr="00460CB3">
              <w:rPr>
                <w:rFonts w:ascii="Arial Narrow" w:hAnsi="Arial Narrow"/>
                <w:sz w:val="20"/>
                <w:szCs w:val="20"/>
              </w:rPr>
              <w:lastRenderedPageBreak/>
              <w:t>Stage I - Sensory disturbances but preserved walking capability</w:t>
            </w:r>
          </w:p>
          <w:p w14:paraId="49327E64" w14:textId="77777777" w:rsidR="001D7B74" w:rsidRPr="00460CB3" w:rsidRDefault="001D7B74">
            <w:pPr>
              <w:rPr>
                <w:rFonts w:ascii="Arial Narrow" w:hAnsi="Arial Narrow"/>
                <w:sz w:val="20"/>
                <w:szCs w:val="20"/>
              </w:rPr>
            </w:pPr>
            <w:r w:rsidRPr="00460CB3">
              <w:rPr>
                <w:rFonts w:ascii="Arial Narrow" w:hAnsi="Arial Narrow"/>
                <w:sz w:val="20"/>
                <w:szCs w:val="20"/>
              </w:rPr>
              <w:t>Stage II - Impaired walking capacity but able to walk without stick or crutches</w:t>
            </w:r>
          </w:p>
          <w:p w14:paraId="31278EFB" w14:textId="77777777" w:rsidR="001D7B74" w:rsidRPr="00460CB3" w:rsidRDefault="001D7B74">
            <w:pPr>
              <w:rPr>
                <w:rFonts w:ascii="Arial Narrow" w:hAnsi="Arial Narrow"/>
                <w:sz w:val="20"/>
                <w:szCs w:val="20"/>
              </w:rPr>
            </w:pPr>
            <w:r w:rsidRPr="00460CB3">
              <w:rPr>
                <w:rFonts w:ascii="Arial Narrow" w:hAnsi="Arial Narrow"/>
                <w:sz w:val="20"/>
                <w:szCs w:val="20"/>
              </w:rPr>
              <w:t>Stage IIIA - Walking with help of one stick or crutch</w:t>
            </w:r>
          </w:p>
          <w:p w14:paraId="55A5060E" w14:textId="77777777" w:rsidR="001D7B74" w:rsidRPr="00460CB3" w:rsidRDefault="001D7B74">
            <w:pPr>
              <w:rPr>
                <w:rFonts w:ascii="Arial Narrow" w:hAnsi="Arial Narrow"/>
                <w:sz w:val="20"/>
                <w:szCs w:val="20"/>
              </w:rPr>
            </w:pPr>
            <w:r w:rsidRPr="00460CB3">
              <w:rPr>
                <w:rFonts w:ascii="Arial Narrow" w:hAnsi="Arial Narrow"/>
                <w:sz w:val="20"/>
                <w:szCs w:val="20"/>
              </w:rPr>
              <w:t>Stage IIIB - Walking with help of two sticks or crutches</w:t>
            </w:r>
          </w:p>
          <w:p w14:paraId="36E61CE1" w14:textId="77777777" w:rsidR="001D7B74" w:rsidRPr="00460CB3" w:rsidRDefault="001D7B74">
            <w:pPr>
              <w:rPr>
                <w:rFonts w:ascii="Arial Narrow" w:hAnsi="Arial Narrow"/>
                <w:sz w:val="20"/>
                <w:szCs w:val="20"/>
              </w:rPr>
            </w:pPr>
            <w:r w:rsidRPr="00460CB3">
              <w:rPr>
                <w:rFonts w:ascii="Arial Narrow" w:hAnsi="Arial Narrow"/>
                <w:sz w:val="20"/>
                <w:szCs w:val="20"/>
              </w:rPr>
              <w:t>Stage IV - Confined to wheelchair or bedridden</w:t>
            </w:r>
          </w:p>
          <w:p w14:paraId="34EEBCC1" w14:textId="77777777" w:rsidR="001D7B74" w:rsidRPr="00460CB3" w:rsidRDefault="001D7B74">
            <w:pPr>
              <w:rPr>
                <w:rFonts w:ascii="Arial Narrow" w:hAnsi="Arial Narrow"/>
                <w:sz w:val="20"/>
                <w:szCs w:val="20"/>
              </w:rPr>
            </w:pPr>
          </w:p>
          <w:p w14:paraId="45CC09DC" w14:textId="77777777" w:rsidR="001D7B74" w:rsidRPr="00460CB3" w:rsidRDefault="001D7B74">
            <w:pPr>
              <w:rPr>
                <w:rFonts w:ascii="Arial Narrow" w:hAnsi="Arial Narrow"/>
                <w:sz w:val="20"/>
                <w:szCs w:val="20"/>
              </w:rPr>
            </w:pPr>
            <w:r w:rsidRPr="00460CB3">
              <w:rPr>
                <w:rFonts w:ascii="Arial Narrow" w:hAnsi="Arial Narrow"/>
                <w:sz w:val="20"/>
                <w:szCs w:val="20"/>
              </w:rPr>
              <w:t xml:space="preserve">FAP stage in the context of this PBS restriction are: </w:t>
            </w:r>
          </w:p>
          <w:p w14:paraId="3FA31D48" w14:textId="77777777" w:rsidR="001D7B74" w:rsidRPr="00460CB3" w:rsidRDefault="001D7B74">
            <w:pPr>
              <w:rPr>
                <w:rFonts w:ascii="Arial Narrow" w:hAnsi="Arial Narrow"/>
                <w:sz w:val="20"/>
                <w:szCs w:val="20"/>
              </w:rPr>
            </w:pPr>
            <w:r w:rsidRPr="00460CB3">
              <w:rPr>
                <w:rFonts w:ascii="Arial Narrow" w:hAnsi="Arial Narrow"/>
                <w:sz w:val="20"/>
                <w:szCs w:val="20"/>
              </w:rPr>
              <w:t>Stage 0 - no symptoms</w:t>
            </w:r>
          </w:p>
          <w:p w14:paraId="6FA71D42" w14:textId="77777777" w:rsidR="001D7B74" w:rsidRPr="00460CB3" w:rsidRDefault="001D7B74">
            <w:pPr>
              <w:rPr>
                <w:rFonts w:ascii="Arial Narrow" w:hAnsi="Arial Narrow"/>
                <w:sz w:val="20"/>
                <w:szCs w:val="20"/>
              </w:rPr>
            </w:pPr>
            <w:r w:rsidRPr="00460CB3">
              <w:rPr>
                <w:rFonts w:ascii="Arial Narrow" w:hAnsi="Arial Narrow"/>
                <w:sz w:val="20"/>
                <w:szCs w:val="20"/>
              </w:rPr>
              <w:t>Stage 1 - unimpaired ambulation</w:t>
            </w:r>
          </w:p>
          <w:p w14:paraId="791A5F77" w14:textId="77777777" w:rsidR="001D7B74" w:rsidRPr="00460CB3" w:rsidRDefault="001D7B74">
            <w:pPr>
              <w:rPr>
                <w:rFonts w:ascii="Arial Narrow" w:hAnsi="Arial Narrow"/>
                <w:sz w:val="20"/>
                <w:szCs w:val="20"/>
              </w:rPr>
            </w:pPr>
            <w:r w:rsidRPr="00460CB3">
              <w:rPr>
                <w:rFonts w:ascii="Arial Narrow" w:hAnsi="Arial Narrow"/>
                <w:sz w:val="20"/>
                <w:szCs w:val="20"/>
              </w:rPr>
              <w:t>Stage 2 - assistance with ambulation required</w:t>
            </w:r>
          </w:p>
          <w:p w14:paraId="03CD470E" w14:textId="77777777" w:rsidR="001D7B74" w:rsidRPr="00460CB3" w:rsidRDefault="001D7B74">
            <w:pPr>
              <w:rPr>
                <w:rFonts w:ascii="Arial Narrow" w:hAnsi="Arial Narrow"/>
                <w:sz w:val="20"/>
                <w:szCs w:val="20"/>
              </w:rPr>
            </w:pPr>
            <w:r w:rsidRPr="00460CB3">
              <w:rPr>
                <w:rFonts w:ascii="Arial Narrow" w:hAnsi="Arial Narrow"/>
                <w:sz w:val="20"/>
                <w:szCs w:val="20"/>
              </w:rPr>
              <w:t>Stage 3 - wheelchair-bound or bedridden</w:t>
            </w:r>
          </w:p>
          <w:p w14:paraId="752B8A12" w14:textId="77777777" w:rsidR="001D7B74" w:rsidRPr="00460CB3" w:rsidRDefault="001D7B74">
            <w:pPr>
              <w:rPr>
                <w:rFonts w:ascii="Arial Narrow" w:hAnsi="Arial Narrow"/>
                <w:sz w:val="20"/>
                <w:szCs w:val="20"/>
              </w:rPr>
            </w:pPr>
          </w:p>
          <w:p w14:paraId="225CD844" w14:textId="77777777" w:rsidR="001D7B74" w:rsidRPr="00460CB3" w:rsidRDefault="001D7B74">
            <w:pPr>
              <w:rPr>
                <w:rFonts w:ascii="Arial Narrow" w:hAnsi="Arial Narrow"/>
                <w:color w:val="FF00FF"/>
                <w:sz w:val="20"/>
                <w:szCs w:val="20"/>
              </w:rPr>
            </w:pPr>
          </w:p>
        </w:tc>
      </w:tr>
      <w:tr w:rsidR="001D7B74" w:rsidRPr="00903E1C" w14:paraId="2F9BD702"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B4683F" w14:textId="77777777" w:rsidR="001D7B74" w:rsidRPr="00460CB3" w:rsidRDefault="001D7B74">
            <w:pPr>
              <w:rPr>
                <w:rFonts w:ascii="Arial Narrow" w:hAnsi="Arial Narrow" w:cstheme="minorHAnsi"/>
                <w:b/>
                <w:bCs/>
                <w:i/>
                <w:iCs/>
                <w:sz w:val="20"/>
                <w:szCs w:val="20"/>
              </w:rPr>
            </w:pPr>
            <w:r w:rsidRPr="00460CB3">
              <w:rPr>
                <w:rFonts w:ascii="Arial Narrow" w:hAnsi="Arial Narrow" w:cstheme="minorHAnsi"/>
                <w:b/>
                <w:bCs/>
                <w:i/>
                <w:iCs/>
                <w:sz w:val="20"/>
                <w:szCs w:val="20"/>
              </w:rPr>
              <w:lastRenderedPageBreak/>
              <w:t>Prescribing Instructions:</w:t>
            </w:r>
          </w:p>
          <w:p w14:paraId="0C0FFBE0"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treatment phase must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via the Online PBS Authorities System (real time assessment) or in writing via HPOS form upload or mail.</w:t>
            </w:r>
          </w:p>
          <w:p w14:paraId="5C3E82AF"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If the application </w:t>
            </w:r>
            <w:proofErr w:type="gramStart"/>
            <w:r w:rsidRPr="00460CB3">
              <w:rPr>
                <w:rFonts w:ascii="Arial Narrow" w:hAnsi="Arial Narrow" w:cstheme="minorHAnsi"/>
                <w:i/>
                <w:iCs/>
                <w:sz w:val="20"/>
                <w:szCs w:val="20"/>
              </w:rPr>
              <w:t>is submitted</w:t>
            </w:r>
            <w:proofErr w:type="gramEnd"/>
            <w:r w:rsidRPr="00460CB3">
              <w:rPr>
                <w:rFonts w:ascii="Arial Narrow" w:hAnsi="Arial Narrow" w:cstheme="minorHAnsi"/>
                <w:i/>
                <w:iCs/>
                <w:sz w:val="20"/>
                <w:szCs w:val="20"/>
              </w:rPr>
              <w:t xml:space="preserve"> through HPOS form upload or mail, it must include:</w:t>
            </w:r>
          </w:p>
          <w:p w14:paraId="65286A42"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(a) a completed authority prescription form; and</w:t>
            </w:r>
          </w:p>
          <w:p w14:paraId="5A815B63" w14:textId="77777777" w:rsidR="001D7B74" w:rsidRPr="00460CB3" w:rsidRDefault="001D7B74">
            <w:pPr>
              <w:rPr>
                <w:rFonts w:ascii="Arial Narrow" w:hAnsi="Arial Narrow"/>
                <w:b/>
                <w:bCs/>
                <w:sz w:val="20"/>
                <w:szCs w:val="20"/>
              </w:rPr>
            </w:pPr>
            <w:r w:rsidRPr="00460CB3">
              <w:rPr>
                <w:rFonts w:ascii="Arial Narrow" w:hAnsi="Arial Narrow" w:cstheme="minorHAnsi"/>
                <w:i/>
                <w:iCs/>
                <w:sz w:val="20"/>
                <w:szCs w:val="20"/>
              </w:rPr>
              <w:t>(b) a completed authority application form relevant to the indication and treatment phase (the latest version is located on the website specified in the Administrative Advice).</w:t>
            </w:r>
          </w:p>
        </w:tc>
      </w:tr>
      <w:tr w:rsidR="001D7B74" w:rsidRPr="00903E1C" w14:paraId="19754C5D"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5EFB311" w14:textId="77777777" w:rsidR="001D7B74" w:rsidRPr="00460CB3" w:rsidRDefault="001D7B74">
            <w:pPr>
              <w:rPr>
                <w:rFonts w:ascii="Arial Narrow" w:hAnsi="Arial Narrow" w:cstheme="minorHAnsi"/>
                <w:b/>
                <w:bCs/>
                <w:i/>
                <w:iCs/>
                <w:sz w:val="20"/>
                <w:szCs w:val="20"/>
              </w:rPr>
            </w:pPr>
            <w:r w:rsidRPr="00460CB3">
              <w:rPr>
                <w:rFonts w:ascii="Arial Narrow" w:hAnsi="Arial Narrow" w:cstheme="minorHAnsi"/>
                <w:b/>
                <w:bCs/>
                <w:i/>
                <w:iCs/>
                <w:sz w:val="20"/>
                <w:szCs w:val="20"/>
              </w:rPr>
              <w:t>Administrative Advice:</w:t>
            </w:r>
          </w:p>
          <w:p w14:paraId="27B54C7F"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Any queries concerning the arrangements to prescribe may </w:t>
            </w:r>
            <w:proofErr w:type="gramStart"/>
            <w:r w:rsidRPr="00460CB3">
              <w:rPr>
                <w:rFonts w:ascii="Arial Narrow" w:hAnsi="Arial Narrow" w:cstheme="minorHAnsi"/>
                <w:i/>
                <w:iCs/>
                <w:sz w:val="20"/>
                <w:szCs w:val="20"/>
              </w:rPr>
              <w:t>be directed</w:t>
            </w:r>
            <w:proofErr w:type="gramEnd"/>
            <w:r w:rsidRPr="00460CB3">
              <w:rPr>
                <w:rFonts w:ascii="Arial Narrow" w:hAnsi="Arial Narrow" w:cstheme="minorHAnsi"/>
                <w:i/>
                <w:iCs/>
                <w:sz w:val="20"/>
                <w:szCs w:val="20"/>
              </w:rPr>
              <w:t xml:space="preserve"> to Services Australia on 1800 700 270 (hours of operation 8 a.m. to 5 p.m. Monday to Friday).</w:t>
            </w:r>
          </w:p>
          <w:p w14:paraId="71447C40"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Prescribing information (including Authority Application forms and other relevant documentation as applicable) is available on the Services Australia website at www.servicesaustralia.gov.au</w:t>
            </w:r>
          </w:p>
          <w:p w14:paraId="6B5F9477"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restriction should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in real time using the Online PBS Authorities system (see www.servicesaustralia.gov.au/hpos)</w:t>
            </w:r>
          </w:p>
          <w:p w14:paraId="4CCF84C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Alternatively, applications for authority to prescribe can </w:t>
            </w:r>
            <w:proofErr w:type="gramStart"/>
            <w:r w:rsidRPr="00460CB3">
              <w:rPr>
                <w:rFonts w:ascii="Arial Narrow" w:hAnsi="Arial Narrow" w:cstheme="minorHAnsi"/>
                <w:i/>
                <w:iCs/>
                <w:sz w:val="20"/>
                <w:szCs w:val="20"/>
              </w:rPr>
              <w:t>be submitted</w:t>
            </w:r>
            <w:proofErr w:type="gramEnd"/>
            <w:r w:rsidRPr="00460CB3">
              <w:rPr>
                <w:rFonts w:ascii="Arial Narrow" w:hAnsi="Arial Narrow" w:cstheme="minorHAnsi"/>
                <w:i/>
                <w:iCs/>
                <w:sz w:val="20"/>
                <w:szCs w:val="20"/>
              </w:rPr>
              <w:t xml:space="preserve"> online using the form upload facility in Health Professional Online Services (HPOS) at www.servicesaustralia.gov.au/hpos</w:t>
            </w:r>
          </w:p>
          <w:p w14:paraId="5024ACC4"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Or mailed to:</w:t>
            </w:r>
          </w:p>
          <w:p w14:paraId="2A04AE13"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Services Australia</w:t>
            </w:r>
          </w:p>
          <w:p w14:paraId="1096E4B3"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Complex Drugs</w:t>
            </w:r>
          </w:p>
          <w:p w14:paraId="07D059AF"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Reply Paid 9826</w:t>
            </w:r>
          </w:p>
          <w:p w14:paraId="5F0D39F5" w14:textId="77777777" w:rsidR="001D7B74" w:rsidRPr="00460CB3" w:rsidRDefault="001D7B74">
            <w:pPr>
              <w:rPr>
                <w:rFonts w:ascii="Arial Narrow" w:hAnsi="Arial Narrow" w:cstheme="minorHAnsi"/>
                <w:sz w:val="20"/>
                <w:szCs w:val="20"/>
              </w:rPr>
            </w:pPr>
            <w:r w:rsidRPr="00460CB3">
              <w:rPr>
                <w:rFonts w:ascii="Arial Narrow" w:hAnsi="Arial Narrow" w:cstheme="minorHAnsi"/>
                <w:i/>
                <w:iCs/>
                <w:sz w:val="20"/>
                <w:szCs w:val="20"/>
              </w:rPr>
              <w:t>HOBART TAS 7001</w:t>
            </w:r>
          </w:p>
        </w:tc>
      </w:tr>
      <w:tr w:rsidR="00DD7590" w:rsidRPr="00903E1C" w14:paraId="358ED7F5"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3FF55E4" w14:textId="77777777" w:rsidR="00DD7590" w:rsidRPr="00460CB3" w:rsidRDefault="00DD7590">
            <w:pPr>
              <w:rPr>
                <w:rFonts w:ascii="Arial Narrow" w:hAnsi="Arial Narrow"/>
                <w:bCs/>
                <w:color w:val="FF0000"/>
                <w:sz w:val="20"/>
                <w:szCs w:val="20"/>
              </w:rPr>
            </w:pPr>
          </w:p>
        </w:tc>
      </w:tr>
      <w:tr w:rsidR="001D7B74" w:rsidRPr="00903E1C" w14:paraId="27705470"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3FD56D25" w14:textId="77777777" w:rsidR="001D7B74" w:rsidRPr="00460CB3" w:rsidRDefault="001D7B74">
            <w:pPr>
              <w:rPr>
                <w:rFonts w:ascii="Arial Narrow" w:hAnsi="Arial Narrow"/>
                <w:sz w:val="20"/>
                <w:szCs w:val="20"/>
              </w:rPr>
            </w:pPr>
            <w:r w:rsidRPr="00460CB3">
              <w:rPr>
                <w:rFonts w:ascii="Arial Narrow" w:hAnsi="Arial Narrow"/>
                <w:b/>
                <w:bCs/>
                <w:sz w:val="20"/>
                <w:szCs w:val="20"/>
              </w:rPr>
              <w:t>Category / Program:</w:t>
            </w:r>
            <w:r w:rsidRPr="00460CB3">
              <w:rPr>
                <w:rFonts w:ascii="Arial Narrow" w:hAnsi="Arial Narrow"/>
                <w:sz w:val="20"/>
                <w:szCs w:val="20"/>
              </w:rPr>
              <w:t xml:space="preserve"> </w:t>
            </w:r>
          </w:p>
          <w:p w14:paraId="79C8FAD5" w14:textId="77777777" w:rsidR="001D7B74" w:rsidRPr="00460CB3" w:rsidRDefault="001D7B74">
            <w:pPr>
              <w:rPr>
                <w:rFonts w:ascii="Arial Narrow" w:hAnsi="Arial Narrow"/>
                <w:b/>
                <w:sz w:val="20"/>
                <w:szCs w:val="20"/>
              </w:rPr>
            </w:pPr>
            <w:r w:rsidRPr="00460CB3">
              <w:rPr>
                <w:rFonts w:ascii="Arial Narrow" w:hAnsi="Arial Narrow"/>
                <w:b/>
                <w:sz w:val="20"/>
                <w:szCs w:val="20"/>
              </w:rPr>
              <w:t xml:space="preserve">Category / Program: </w:t>
            </w:r>
          </w:p>
          <w:p w14:paraId="2E4BA7C7" w14:textId="77777777" w:rsidR="001D7B74" w:rsidRPr="00460CB3" w:rsidRDefault="001D7B74">
            <w:pPr>
              <w:rPr>
                <w:rFonts w:ascii="Arial Narrow" w:hAnsi="Arial Narrow"/>
                <w:bCs/>
                <w:color w:val="FF0000"/>
                <w:sz w:val="20"/>
                <w:szCs w:val="20"/>
              </w:rPr>
            </w:pPr>
            <w:r w:rsidRPr="00460CB3">
              <w:rPr>
                <w:rFonts w:ascii="Arial Narrow" w:hAnsi="Arial Narrow"/>
                <w:bCs/>
                <w:sz w:val="20"/>
                <w:szCs w:val="20"/>
              </w:rPr>
              <w:t xml:space="preserve">Section </w:t>
            </w:r>
            <w:proofErr w:type="gramStart"/>
            <w:r w:rsidRPr="00460CB3">
              <w:rPr>
                <w:rFonts w:ascii="Arial Narrow" w:hAnsi="Arial Narrow"/>
                <w:bCs/>
                <w:sz w:val="20"/>
                <w:szCs w:val="20"/>
              </w:rPr>
              <w:t>100</w:t>
            </w:r>
            <w:proofErr w:type="gramEnd"/>
            <w:r w:rsidRPr="00460CB3">
              <w:rPr>
                <w:rFonts w:ascii="Arial Narrow" w:hAnsi="Arial Narrow"/>
                <w:bCs/>
                <w:sz w:val="20"/>
                <w:szCs w:val="20"/>
              </w:rPr>
              <w:t xml:space="preserve"> – (Highly Specialised Drugs Program) Public Hospital/Private Hospital (Code HB / HS)</w:t>
            </w:r>
          </w:p>
        </w:tc>
      </w:tr>
      <w:tr w:rsidR="001D7B74" w:rsidRPr="00903E1C" w14:paraId="51BC37F7"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67D42C81" w14:textId="03B0FB55" w:rsidR="001D7B74" w:rsidRPr="00460CB3" w:rsidRDefault="001D7B74">
            <w:pPr>
              <w:rPr>
                <w:rFonts w:ascii="Arial Narrow" w:hAnsi="Arial Narrow"/>
                <w:bCs/>
                <w:color w:val="FF0000"/>
                <w:sz w:val="20"/>
                <w:szCs w:val="20"/>
              </w:rPr>
            </w:pPr>
            <w:r w:rsidRPr="00460CB3">
              <w:rPr>
                <w:rFonts w:ascii="Arial Narrow" w:hAnsi="Arial Narrow"/>
                <w:b/>
                <w:sz w:val="20"/>
                <w:szCs w:val="20"/>
              </w:rPr>
              <w:t xml:space="preserve">Prescriber type: </w:t>
            </w:r>
            <w:r w:rsidRPr="00460CB3">
              <w:rPr>
                <w:rFonts w:ascii="Arial Narrow" w:hAnsi="Arial Narrow"/>
                <w:sz w:val="20"/>
                <w:szCs w:val="20"/>
              </w:rPr>
              <w:t>Medical Practitioners</w:t>
            </w:r>
          </w:p>
        </w:tc>
      </w:tr>
      <w:tr w:rsidR="001D7B74" w:rsidRPr="00903E1C" w14:paraId="5A56250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0D142EDA" w14:textId="77777777" w:rsidR="001D7B74" w:rsidRPr="00460CB3" w:rsidRDefault="001D7B74">
            <w:pPr>
              <w:rPr>
                <w:rFonts w:ascii="Arial Narrow" w:hAnsi="Arial Narrow"/>
                <w:bCs/>
                <w:color w:val="FF0000"/>
                <w:sz w:val="20"/>
                <w:szCs w:val="20"/>
              </w:rPr>
            </w:pPr>
            <w:r w:rsidRPr="00460CB3">
              <w:rPr>
                <w:rFonts w:ascii="Arial Narrow" w:hAnsi="Arial Narrow"/>
                <w:b/>
                <w:bCs/>
                <w:sz w:val="20"/>
                <w:szCs w:val="20"/>
              </w:rPr>
              <w:t>Restriction:</w:t>
            </w:r>
            <w:r w:rsidRPr="00460CB3">
              <w:rPr>
                <w:rFonts w:ascii="Arial Narrow" w:hAnsi="Arial Narrow"/>
                <w:sz w:val="20"/>
                <w:szCs w:val="20"/>
              </w:rPr>
              <w:t xml:space="preserve"> </w:t>
            </w:r>
            <w:r w:rsidRPr="00460CB3">
              <w:rPr>
                <w:rFonts w:ascii="Arial Narrow" w:eastAsia="Calibri" w:hAnsi="Arial Narrow"/>
                <w:sz w:val="20"/>
                <w:szCs w:val="20"/>
              </w:rPr>
              <w:t>Authority Required (in writing only via post/electronic)</w:t>
            </w:r>
          </w:p>
        </w:tc>
      </w:tr>
      <w:tr w:rsidR="001D7B74" w:rsidRPr="00903E1C" w14:paraId="42C24F2A" w14:textId="77777777" w:rsidTr="00B80329">
        <w:tblPrEx>
          <w:tblCellMar>
            <w:top w:w="15" w:type="dxa"/>
            <w:left w:w="15" w:type="dxa"/>
            <w:bottom w:w="15" w:type="dxa"/>
            <w:right w:w="15" w:type="dxa"/>
          </w:tblCellMar>
        </w:tblPrEx>
        <w:tc>
          <w:tcPr>
            <w:tcW w:w="5000" w:type="pct"/>
            <w:gridSpan w:val="6"/>
          </w:tcPr>
          <w:p w14:paraId="00F7F017" w14:textId="77777777" w:rsidR="001D7B74" w:rsidRPr="00460CB3" w:rsidRDefault="001D7B74">
            <w:pPr>
              <w:rPr>
                <w:rFonts w:ascii="Arial Narrow" w:hAnsi="Arial Narrow"/>
                <w:bCs/>
                <w:color w:val="FF0000"/>
                <w:sz w:val="20"/>
                <w:szCs w:val="20"/>
              </w:rPr>
            </w:pPr>
            <w:r w:rsidRPr="00460CB3">
              <w:rPr>
                <w:rFonts w:ascii="Arial Narrow" w:hAnsi="Arial Narrow"/>
                <w:sz w:val="20"/>
                <w:szCs w:val="20"/>
              </w:rPr>
              <w:t>Administrative Advice: No increase in the maximum quantity or number of units may be authorised.</w:t>
            </w:r>
          </w:p>
        </w:tc>
      </w:tr>
      <w:tr w:rsidR="001D7B74" w:rsidRPr="00903E1C" w14:paraId="0DC63AEE" w14:textId="77777777" w:rsidTr="00B80329">
        <w:tblPrEx>
          <w:tblCellMar>
            <w:top w:w="15" w:type="dxa"/>
            <w:left w:w="15" w:type="dxa"/>
            <w:bottom w:w="15" w:type="dxa"/>
            <w:right w:w="15" w:type="dxa"/>
          </w:tblCellMar>
        </w:tblPrEx>
        <w:tc>
          <w:tcPr>
            <w:tcW w:w="5000" w:type="pct"/>
            <w:gridSpan w:val="6"/>
          </w:tcPr>
          <w:p w14:paraId="16386D4F" w14:textId="77777777" w:rsidR="001D7B74" w:rsidRPr="00460CB3" w:rsidRDefault="001D7B74">
            <w:pPr>
              <w:rPr>
                <w:rFonts w:ascii="Arial Narrow" w:hAnsi="Arial Narrow"/>
                <w:bCs/>
                <w:color w:val="FF0000"/>
                <w:sz w:val="20"/>
                <w:szCs w:val="20"/>
              </w:rPr>
            </w:pPr>
            <w:r w:rsidRPr="00460CB3">
              <w:rPr>
                <w:rFonts w:ascii="Arial Narrow" w:hAnsi="Arial Narrow"/>
                <w:sz w:val="20"/>
                <w:szCs w:val="20"/>
              </w:rPr>
              <w:t>Administrative Advice: No increase in the maximum number of repeats may be authorised.</w:t>
            </w:r>
          </w:p>
        </w:tc>
      </w:tr>
      <w:tr w:rsidR="001D7B74" w:rsidRPr="00903E1C" w14:paraId="161D63C2" w14:textId="77777777" w:rsidTr="00B80329">
        <w:tblPrEx>
          <w:tblCellMar>
            <w:top w:w="15" w:type="dxa"/>
            <w:left w:w="15" w:type="dxa"/>
            <w:bottom w:w="15" w:type="dxa"/>
            <w:right w:w="15" w:type="dxa"/>
          </w:tblCellMar>
        </w:tblPrEx>
        <w:tc>
          <w:tcPr>
            <w:tcW w:w="5000" w:type="pct"/>
            <w:gridSpan w:val="6"/>
          </w:tcPr>
          <w:p w14:paraId="1B22838C" w14:textId="77777777" w:rsidR="001D7B74" w:rsidRPr="00460CB3" w:rsidRDefault="001D7B74">
            <w:pPr>
              <w:rPr>
                <w:rFonts w:ascii="Arial Narrow" w:hAnsi="Arial Narrow"/>
                <w:bCs/>
                <w:color w:val="FF0000"/>
                <w:sz w:val="20"/>
                <w:szCs w:val="20"/>
              </w:rPr>
            </w:pPr>
            <w:r w:rsidRPr="00460CB3">
              <w:rPr>
                <w:rFonts w:ascii="Arial Narrow" w:hAnsi="Arial Narrow"/>
                <w:sz w:val="20"/>
                <w:szCs w:val="20"/>
              </w:rPr>
              <w:t>Administrative Advice: Special Pricing Arrangements apply.</w:t>
            </w:r>
          </w:p>
        </w:tc>
      </w:tr>
      <w:tr w:rsidR="001D7B74" w:rsidRPr="00903E1C" w14:paraId="0BD3F89C"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BD66B02" w14:textId="77777777" w:rsidR="001D7B74" w:rsidRPr="00460CB3" w:rsidRDefault="001D7B74">
            <w:pPr>
              <w:rPr>
                <w:rFonts w:ascii="Arial Narrow" w:hAnsi="Arial Narrow"/>
                <w:bCs/>
                <w:color w:val="FF0000"/>
                <w:sz w:val="20"/>
                <w:szCs w:val="20"/>
              </w:rPr>
            </w:pPr>
          </w:p>
        </w:tc>
      </w:tr>
      <w:tr w:rsidR="001D7B74" w:rsidRPr="00903E1C" w14:paraId="7CD3EA88"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FBBA5CA" w14:textId="77777777" w:rsidR="001D7B74" w:rsidRPr="00460CB3" w:rsidRDefault="001D7B74">
            <w:pPr>
              <w:rPr>
                <w:rFonts w:ascii="Arial Narrow" w:hAnsi="Arial Narrow"/>
                <w:bCs/>
                <w:color w:val="FF0000"/>
                <w:sz w:val="20"/>
                <w:szCs w:val="20"/>
              </w:rPr>
            </w:pPr>
            <w:r w:rsidRPr="00460CB3">
              <w:rPr>
                <w:rFonts w:ascii="Arial Narrow" w:hAnsi="Arial Narrow"/>
                <w:b/>
                <w:bCs/>
                <w:color w:val="A6A6A6" w:themeColor="background1" w:themeShade="A6"/>
                <w:sz w:val="20"/>
                <w:szCs w:val="20"/>
              </w:rPr>
              <w:t>Episodicity: [blank]</w:t>
            </w:r>
          </w:p>
        </w:tc>
      </w:tr>
      <w:tr w:rsidR="001D7B74" w:rsidRPr="00903E1C" w14:paraId="030A5E99"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37C4FB2" w14:textId="77777777" w:rsidR="001D7B74" w:rsidRPr="00460CB3" w:rsidRDefault="001D7B74">
            <w:pPr>
              <w:rPr>
                <w:rFonts w:ascii="Arial Narrow" w:hAnsi="Arial Narrow"/>
                <w:bCs/>
                <w:color w:val="FF0000"/>
                <w:sz w:val="20"/>
                <w:szCs w:val="20"/>
              </w:rPr>
            </w:pPr>
            <w:r w:rsidRPr="00460CB3">
              <w:rPr>
                <w:rFonts w:ascii="Arial Narrow" w:hAnsi="Arial Narrow"/>
                <w:b/>
                <w:bCs/>
                <w:color w:val="A6A6A6" w:themeColor="background1" w:themeShade="A6"/>
                <w:sz w:val="20"/>
                <w:szCs w:val="20"/>
              </w:rPr>
              <w:t>Severity: [blank]</w:t>
            </w:r>
          </w:p>
        </w:tc>
      </w:tr>
      <w:tr w:rsidR="001D7B74" w:rsidRPr="00903E1C" w14:paraId="10BC2247"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BBB6FC7" w14:textId="77777777" w:rsidR="001D7B74" w:rsidRPr="00460CB3" w:rsidRDefault="001D7B74">
            <w:pPr>
              <w:rPr>
                <w:rFonts w:ascii="Arial Narrow" w:hAnsi="Arial Narrow"/>
                <w:bCs/>
                <w:color w:val="FF0000"/>
                <w:sz w:val="20"/>
                <w:szCs w:val="20"/>
              </w:rPr>
            </w:pPr>
            <w:r w:rsidRPr="00460CB3">
              <w:rPr>
                <w:rFonts w:ascii="Arial Narrow" w:hAnsi="Arial Narrow"/>
                <w:b/>
                <w:bCs/>
                <w:color w:val="333333"/>
                <w:sz w:val="20"/>
                <w:szCs w:val="20"/>
              </w:rPr>
              <w:t xml:space="preserve">Condition: </w:t>
            </w:r>
            <w:r w:rsidRPr="00460CB3">
              <w:rPr>
                <w:rFonts w:ascii="Arial Narrow" w:hAnsi="Arial Narrow"/>
                <w:bCs/>
                <w:color w:val="333333"/>
                <w:sz w:val="20"/>
                <w:szCs w:val="20"/>
              </w:rPr>
              <w:t>Hereditary transthyretin amyloidosis</w:t>
            </w:r>
          </w:p>
        </w:tc>
      </w:tr>
      <w:tr w:rsidR="001D7B74" w:rsidRPr="00903E1C" w14:paraId="7500B65C"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029F74A" w14:textId="77777777" w:rsidR="001D7B74" w:rsidRPr="00460CB3" w:rsidRDefault="001D7B74">
            <w:pPr>
              <w:rPr>
                <w:rFonts w:ascii="Arial Narrow" w:hAnsi="Arial Narrow"/>
                <w:bCs/>
                <w:color w:val="FF0000"/>
                <w:sz w:val="20"/>
                <w:szCs w:val="20"/>
              </w:rPr>
            </w:pPr>
            <w:r w:rsidRPr="00460CB3">
              <w:rPr>
                <w:rFonts w:ascii="Arial Narrow" w:hAnsi="Arial Narrow"/>
                <w:b/>
                <w:bCs/>
                <w:color w:val="333333"/>
                <w:sz w:val="20"/>
                <w:szCs w:val="20"/>
              </w:rPr>
              <w:t>Indication:</w:t>
            </w:r>
            <w:r w:rsidRPr="00460CB3">
              <w:rPr>
                <w:rFonts w:ascii="Arial Narrow" w:hAnsi="Arial Narrow"/>
                <w:color w:val="333333"/>
                <w:sz w:val="20"/>
                <w:szCs w:val="20"/>
              </w:rPr>
              <w:t xml:space="preserve"> </w:t>
            </w:r>
            <w:r w:rsidRPr="00460CB3">
              <w:rPr>
                <w:rFonts w:ascii="Arial Narrow" w:hAnsi="Arial Narrow"/>
                <w:bCs/>
                <w:color w:val="333333"/>
                <w:sz w:val="20"/>
                <w:szCs w:val="20"/>
              </w:rPr>
              <w:t>Hereditary transthyretin amyloidosis</w:t>
            </w:r>
          </w:p>
        </w:tc>
      </w:tr>
      <w:tr w:rsidR="001D7B74" w:rsidRPr="00903E1C" w14:paraId="2F289B02"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938B29B" w14:textId="77777777" w:rsidR="001D7B74" w:rsidRPr="00460CB3" w:rsidRDefault="001D7B74">
            <w:pPr>
              <w:rPr>
                <w:rFonts w:ascii="Arial Narrow" w:hAnsi="Arial Narrow"/>
                <w:bCs/>
                <w:color w:val="FF0000"/>
                <w:sz w:val="20"/>
                <w:szCs w:val="20"/>
              </w:rPr>
            </w:pPr>
            <w:r w:rsidRPr="00460CB3">
              <w:rPr>
                <w:rFonts w:ascii="Arial Narrow" w:hAnsi="Arial Narrow"/>
                <w:b/>
                <w:bCs/>
                <w:color w:val="333333"/>
                <w:sz w:val="20"/>
                <w:szCs w:val="20"/>
              </w:rPr>
              <w:t>Treatment Phase</w:t>
            </w:r>
            <w:r w:rsidRPr="00460CB3">
              <w:rPr>
                <w:rFonts w:ascii="Arial Narrow" w:hAnsi="Arial Narrow"/>
                <w:b/>
                <w:bCs/>
                <w:sz w:val="20"/>
                <w:szCs w:val="20"/>
              </w:rPr>
              <w:t>:</w:t>
            </w:r>
            <w:r w:rsidRPr="00460CB3">
              <w:rPr>
                <w:rFonts w:ascii="Arial Narrow" w:hAnsi="Arial Narrow"/>
                <w:sz w:val="20"/>
                <w:szCs w:val="20"/>
              </w:rPr>
              <w:t xml:space="preserve"> Continuing Treatment</w:t>
            </w:r>
          </w:p>
        </w:tc>
      </w:tr>
      <w:tr w:rsidR="001D7B74" w:rsidRPr="00903E1C" w14:paraId="0D09B340"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68DE7FE" w14:textId="77777777" w:rsidR="001D7B74" w:rsidRPr="00460CB3" w:rsidRDefault="001D7B74">
            <w:pPr>
              <w:rPr>
                <w:rFonts w:ascii="Arial Narrow" w:hAnsi="Arial Narrow"/>
                <w:bCs/>
                <w:color w:val="FF0000"/>
                <w:sz w:val="20"/>
                <w:szCs w:val="20"/>
              </w:rPr>
            </w:pPr>
          </w:p>
        </w:tc>
      </w:tr>
      <w:tr w:rsidR="001D7B74" w:rsidRPr="00903E1C" w14:paraId="76067183"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2335311" w14:textId="77777777" w:rsidR="001D7B74" w:rsidRPr="00460CB3" w:rsidRDefault="001D7B74">
            <w:pPr>
              <w:rPr>
                <w:rFonts w:ascii="Arial Narrow" w:hAnsi="Arial Narrow"/>
                <w:b/>
                <w:sz w:val="20"/>
                <w:szCs w:val="20"/>
              </w:rPr>
            </w:pPr>
            <w:r w:rsidRPr="00460CB3">
              <w:rPr>
                <w:rFonts w:ascii="Arial Narrow" w:hAnsi="Arial Narrow"/>
                <w:b/>
                <w:sz w:val="20"/>
                <w:szCs w:val="20"/>
              </w:rPr>
              <w:t xml:space="preserve">Population criteria: </w:t>
            </w:r>
          </w:p>
        </w:tc>
      </w:tr>
      <w:tr w:rsidR="001D7B74" w:rsidRPr="00903E1C" w14:paraId="72610235" w14:textId="77777777" w:rsidTr="00B80329">
        <w:tblPrEx>
          <w:tblCellMar>
            <w:top w:w="15" w:type="dxa"/>
            <w:left w:w="15" w:type="dxa"/>
            <w:bottom w:w="15" w:type="dxa"/>
            <w:right w:w="15" w:type="dxa"/>
          </w:tblCellMar>
        </w:tblPrEx>
        <w:tc>
          <w:tcPr>
            <w:tcW w:w="5000" w:type="pct"/>
            <w:gridSpan w:val="6"/>
          </w:tcPr>
          <w:p w14:paraId="0A1F6B38" w14:textId="77777777" w:rsidR="001D7B74" w:rsidRPr="00460CB3" w:rsidRDefault="001D7B74">
            <w:pPr>
              <w:rPr>
                <w:rFonts w:ascii="Arial Narrow" w:hAnsi="Arial Narrow"/>
                <w:bCs/>
                <w:sz w:val="20"/>
                <w:szCs w:val="20"/>
              </w:rPr>
            </w:pPr>
            <w:r w:rsidRPr="00460CB3">
              <w:rPr>
                <w:rFonts w:ascii="Arial Narrow" w:hAnsi="Arial Narrow"/>
                <w:sz w:val="20"/>
                <w:szCs w:val="20"/>
              </w:rPr>
              <w:lastRenderedPageBreak/>
              <w:t>Patient must have previously received PBS-subsidised treatment with this drug for this condition.</w:t>
            </w:r>
          </w:p>
        </w:tc>
      </w:tr>
      <w:tr w:rsidR="001D7B74" w:rsidRPr="00903E1C" w14:paraId="0F517C44"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74AC4149" w14:textId="77777777" w:rsidR="001D7B74" w:rsidRPr="00460CB3" w:rsidRDefault="001D7B74">
            <w:pPr>
              <w:rPr>
                <w:rFonts w:ascii="Arial Narrow" w:hAnsi="Arial Narrow"/>
                <w:sz w:val="20"/>
                <w:szCs w:val="20"/>
              </w:rPr>
            </w:pPr>
          </w:p>
        </w:tc>
      </w:tr>
      <w:tr w:rsidR="001D7B74" w:rsidRPr="00903E1C" w14:paraId="31105CC0"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0E74C759" w14:textId="77777777" w:rsidR="001D7B74" w:rsidRPr="00460CB3" w:rsidRDefault="001D7B74">
            <w:pPr>
              <w:rPr>
                <w:rFonts w:ascii="Arial Narrow" w:hAnsi="Arial Narrow"/>
                <w:b/>
                <w:bCs/>
                <w:sz w:val="20"/>
                <w:szCs w:val="20"/>
              </w:rPr>
            </w:pPr>
            <w:r w:rsidRPr="00460CB3">
              <w:rPr>
                <w:rFonts w:ascii="Arial Narrow" w:hAnsi="Arial Narrow"/>
                <w:b/>
                <w:bCs/>
                <w:sz w:val="20"/>
                <w:szCs w:val="20"/>
              </w:rPr>
              <w:t>Clinical criteria:</w:t>
            </w:r>
          </w:p>
        </w:tc>
      </w:tr>
      <w:tr w:rsidR="001D7B74" w:rsidRPr="00903E1C" w14:paraId="05F6D124" w14:textId="77777777" w:rsidTr="00B80329">
        <w:tblPrEx>
          <w:tblCellMar>
            <w:top w:w="15" w:type="dxa"/>
            <w:left w:w="15" w:type="dxa"/>
            <w:bottom w:w="15" w:type="dxa"/>
            <w:right w:w="15" w:type="dxa"/>
          </w:tblCellMar>
        </w:tblPrEx>
        <w:tc>
          <w:tcPr>
            <w:tcW w:w="5000" w:type="pct"/>
            <w:gridSpan w:val="6"/>
          </w:tcPr>
          <w:p w14:paraId="64DCCECF" w14:textId="77777777" w:rsidR="001D7B74" w:rsidRPr="00460CB3" w:rsidRDefault="001D7B74">
            <w:pPr>
              <w:rPr>
                <w:rFonts w:ascii="Arial Narrow" w:hAnsi="Arial Narrow"/>
                <w:bCs/>
                <w:sz w:val="20"/>
                <w:szCs w:val="20"/>
              </w:rPr>
            </w:pPr>
            <w:r w:rsidRPr="00460CB3">
              <w:rPr>
                <w:rFonts w:ascii="Arial Narrow" w:hAnsi="Arial Narrow"/>
                <w:sz w:val="20"/>
                <w:szCs w:val="20"/>
              </w:rPr>
              <w:t>Patient must continue to demonstrate clinical benefit.</w:t>
            </w:r>
          </w:p>
        </w:tc>
      </w:tr>
      <w:tr w:rsidR="001D7B74" w:rsidRPr="00903E1C" w14:paraId="357610D5"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75CC30B9" w14:textId="77777777" w:rsidR="001D7B74" w:rsidRPr="00460CB3" w:rsidRDefault="001D7B74">
            <w:pPr>
              <w:rPr>
                <w:rFonts w:ascii="Arial Narrow" w:hAnsi="Arial Narrow"/>
                <w:b/>
                <w:bCs/>
                <w:sz w:val="20"/>
                <w:szCs w:val="20"/>
              </w:rPr>
            </w:pPr>
            <w:r w:rsidRPr="00460CB3">
              <w:rPr>
                <w:rFonts w:ascii="Arial Narrow" w:hAnsi="Arial Narrow"/>
                <w:b/>
                <w:bCs/>
                <w:sz w:val="20"/>
                <w:szCs w:val="20"/>
              </w:rPr>
              <w:t>AND</w:t>
            </w:r>
          </w:p>
        </w:tc>
      </w:tr>
      <w:tr w:rsidR="001D7B74" w:rsidRPr="00903E1C" w14:paraId="73E0BA08"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tcPr>
          <w:p w14:paraId="344FC90D" w14:textId="77777777" w:rsidR="001D7B74" w:rsidRPr="00460CB3" w:rsidRDefault="001D7B74">
            <w:pPr>
              <w:rPr>
                <w:rFonts w:ascii="Arial Narrow" w:hAnsi="Arial Narrow"/>
                <w:b/>
                <w:bCs/>
                <w:sz w:val="20"/>
                <w:szCs w:val="20"/>
              </w:rPr>
            </w:pPr>
            <w:r w:rsidRPr="00460CB3">
              <w:rPr>
                <w:rFonts w:ascii="Arial Narrow" w:hAnsi="Arial Narrow"/>
                <w:b/>
                <w:bCs/>
                <w:sz w:val="20"/>
                <w:szCs w:val="20"/>
              </w:rPr>
              <w:t>Clinical criteria:</w:t>
            </w:r>
          </w:p>
        </w:tc>
      </w:tr>
      <w:tr w:rsidR="001D7B74" w:rsidRPr="00903E1C" w14:paraId="2B5F73BF" w14:textId="77777777" w:rsidTr="00B80329">
        <w:tblPrEx>
          <w:tblCellMar>
            <w:top w:w="15" w:type="dxa"/>
            <w:left w:w="15" w:type="dxa"/>
            <w:bottom w:w="15" w:type="dxa"/>
            <w:right w:w="15" w:type="dxa"/>
          </w:tblCellMar>
        </w:tblPrEx>
        <w:tc>
          <w:tcPr>
            <w:tcW w:w="5000" w:type="pct"/>
            <w:gridSpan w:val="6"/>
          </w:tcPr>
          <w:p w14:paraId="34228545" w14:textId="77777777" w:rsidR="001D7B74" w:rsidRPr="00460CB3" w:rsidRDefault="001D7B74">
            <w:pPr>
              <w:rPr>
                <w:rFonts w:ascii="Arial Narrow" w:hAnsi="Arial Narrow"/>
                <w:bCs/>
                <w:sz w:val="20"/>
                <w:szCs w:val="20"/>
              </w:rPr>
            </w:pPr>
            <w:r w:rsidRPr="00460CB3">
              <w:rPr>
                <w:rFonts w:ascii="Arial Narrow" w:hAnsi="Arial Narrow"/>
                <w:sz w:val="20"/>
                <w:szCs w:val="20"/>
              </w:rPr>
              <w:t>Patient must not be permanently bedridden, OR</w:t>
            </w:r>
          </w:p>
        </w:tc>
      </w:tr>
      <w:tr w:rsidR="001D7B74" w:rsidRPr="00903E1C" w14:paraId="4F68CECF" w14:textId="77777777" w:rsidTr="00B80329">
        <w:tblPrEx>
          <w:tblCellMar>
            <w:top w:w="15" w:type="dxa"/>
            <w:left w:w="15" w:type="dxa"/>
            <w:bottom w:w="15" w:type="dxa"/>
            <w:right w:w="15" w:type="dxa"/>
          </w:tblCellMar>
        </w:tblPrEx>
        <w:tc>
          <w:tcPr>
            <w:tcW w:w="5000" w:type="pct"/>
            <w:gridSpan w:val="6"/>
            <w:vAlign w:val="center"/>
          </w:tcPr>
          <w:p w14:paraId="70D5A6B1" w14:textId="77777777" w:rsidR="001D7B74" w:rsidRPr="00460CB3" w:rsidRDefault="001D7B74">
            <w:pPr>
              <w:rPr>
                <w:rFonts w:ascii="Arial Narrow" w:hAnsi="Arial Narrow"/>
                <w:bCs/>
                <w:sz w:val="20"/>
                <w:szCs w:val="20"/>
              </w:rPr>
            </w:pPr>
            <w:r w:rsidRPr="00460CB3">
              <w:rPr>
                <w:rFonts w:ascii="Arial Narrow" w:hAnsi="Arial Narrow"/>
                <w:bCs/>
                <w:sz w:val="20"/>
                <w:szCs w:val="20"/>
              </w:rPr>
              <w:t>Patient must not be receiving end-of-life care</w:t>
            </w:r>
          </w:p>
        </w:tc>
      </w:tr>
      <w:tr w:rsidR="001D7B74" w:rsidRPr="00903E1C" w14:paraId="3A24F4FA"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6962A2E" w14:textId="77777777" w:rsidR="001D7B74" w:rsidRPr="00460CB3" w:rsidRDefault="001D7B74">
            <w:pPr>
              <w:rPr>
                <w:rFonts w:ascii="Arial Narrow" w:hAnsi="Arial Narrow" w:cstheme="minorHAnsi"/>
                <w:b/>
                <w:bCs/>
                <w:i/>
                <w:iCs/>
                <w:sz w:val="20"/>
                <w:szCs w:val="20"/>
              </w:rPr>
            </w:pPr>
            <w:r w:rsidRPr="00460CB3">
              <w:rPr>
                <w:rFonts w:ascii="Arial Narrow" w:hAnsi="Arial Narrow" w:cstheme="minorHAnsi"/>
                <w:b/>
                <w:bCs/>
                <w:i/>
                <w:iCs/>
                <w:sz w:val="20"/>
                <w:szCs w:val="20"/>
              </w:rPr>
              <w:t>Prescribing Instructions:</w:t>
            </w:r>
          </w:p>
          <w:p w14:paraId="19DCDF49"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treatment phase must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via the Online PBS Authorities System (real time assessment) or in writing via HPOS form upload or mail.</w:t>
            </w:r>
          </w:p>
          <w:p w14:paraId="496EAC5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If the application </w:t>
            </w:r>
            <w:proofErr w:type="gramStart"/>
            <w:r w:rsidRPr="00460CB3">
              <w:rPr>
                <w:rFonts w:ascii="Arial Narrow" w:hAnsi="Arial Narrow" w:cstheme="minorHAnsi"/>
                <w:i/>
                <w:iCs/>
                <w:sz w:val="20"/>
                <w:szCs w:val="20"/>
              </w:rPr>
              <w:t>is submitted</w:t>
            </w:r>
            <w:proofErr w:type="gramEnd"/>
            <w:r w:rsidRPr="00460CB3">
              <w:rPr>
                <w:rFonts w:ascii="Arial Narrow" w:hAnsi="Arial Narrow" w:cstheme="minorHAnsi"/>
                <w:i/>
                <w:iCs/>
                <w:sz w:val="20"/>
                <w:szCs w:val="20"/>
              </w:rPr>
              <w:t xml:space="preserve"> through HPOS form upload or mail, it must include:</w:t>
            </w:r>
          </w:p>
          <w:p w14:paraId="35D56D2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(a) a completed authority prescription form; and</w:t>
            </w:r>
          </w:p>
          <w:p w14:paraId="57C84C53" w14:textId="77777777" w:rsidR="001D7B74" w:rsidRPr="00460CB3" w:rsidRDefault="001D7B74">
            <w:pPr>
              <w:rPr>
                <w:rFonts w:ascii="Arial Narrow" w:hAnsi="Arial Narrow"/>
                <w:bCs/>
                <w:sz w:val="20"/>
                <w:szCs w:val="20"/>
              </w:rPr>
            </w:pPr>
            <w:r w:rsidRPr="00460CB3">
              <w:rPr>
                <w:rFonts w:ascii="Arial Narrow" w:hAnsi="Arial Narrow" w:cstheme="minorHAnsi"/>
                <w:i/>
                <w:iCs/>
                <w:sz w:val="20"/>
                <w:szCs w:val="20"/>
              </w:rPr>
              <w:t>(b) a completed authority application form relevant to the indication and treatment phase (the latest version is located on the website specified in the Administrative Advice).</w:t>
            </w:r>
          </w:p>
        </w:tc>
      </w:tr>
      <w:tr w:rsidR="001D7B74" w:rsidRPr="00903E1C" w14:paraId="2AF9E0A1" w14:textId="77777777" w:rsidTr="00B80329">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D6586DE" w14:textId="77777777" w:rsidR="001D7B74" w:rsidRPr="00460CB3" w:rsidRDefault="001D7B74">
            <w:pPr>
              <w:rPr>
                <w:rFonts w:ascii="Arial Narrow" w:hAnsi="Arial Narrow" w:cstheme="minorHAnsi"/>
                <w:b/>
                <w:bCs/>
                <w:i/>
                <w:iCs/>
                <w:sz w:val="20"/>
                <w:szCs w:val="20"/>
              </w:rPr>
            </w:pPr>
            <w:r w:rsidRPr="00460CB3">
              <w:rPr>
                <w:rFonts w:ascii="Arial Narrow" w:hAnsi="Arial Narrow" w:cstheme="minorHAnsi"/>
                <w:b/>
                <w:bCs/>
                <w:i/>
                <w:iCs/>
                <w:sz w:val="20"/>
                <w:szCs w:val="20"/>
              </w:rPr>
              <w:t>Administrative Advice:</w:t>
            </w:r>
          </w:p>
          <w:p w14:paraId="2AF3AE7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Any queries concerning the arrangements to prescribe may </w:t>
            </w:r>
            <w:proofErr w:type="gramStart"/>
            <w:r w:rsidRPr="00460CB3">
              <w:rPr>
                <w:rFonts w:ascii="Arial Narrow" w:hAnsi="Arial Narrow" w:cstheme="minorHAnsi"/>
                <w:i/>
                <w:iCs/>
                <w:sz w:val="20"/>
                <w:szCs w:val="20"/>
              </w:rPr>
              <w:t>be directed</w:t>
            </w:r>
            <w:proofErr w:type="gramEnd"/>
            <w:r w:rsidRPr="00460CB3">
              <w:rPr>
                <w:rFonts w:ascii="Arial Narrow" w:hAnsi="Arial Narrow" w:cstheme="minorHAnsi"/>
                <w:i/>
                <w:iCs/>
                <w:sz w:val="20"/>
                <w:szCs w:val="20"/>
              </w:rPr>
              <w:t xml:space="preserve"> to Services Australia on 1800 700 270 (hours of operation 8 a.m. to 5 p.m. Monday to Friday).</w:t>
            </w:r>
          </w:p>
          <w:p w14:paraId="6177FCF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Prescribing information (including Authority Application forms and other relevant documentation as applicable) is available on the Services Australia website at www.servicesaustralia.gov.au</w:t>
            </w:r>
          </w:p>
          <w:p w14:paraId="532F85DD"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restriction should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in real time using the Online PBS Authorities system (see www.servicesaustralia.gov.au/hpos)</w:t>
            </w:r>
          </w:p>
          <w:p w14:paraId="612F40BB"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 xml:space="preserve">Alternatively, applications for authority to prescribe can </w:t>
            </w:r>
            <w:proofErr w:type="gramStart"/>
            <w:r w:rsidRPr="00460CB3">
              <w:rPr>
                <w:rFonts w:ascii="Arial Narrow" w:hAnsi="Arial Narrow" w:cstheme="minorHAnsi"/>
                <w:i/>
                <w:iCs/>
                <w:sz w:val="20"/>
                <w:szCs w:val="20"/>
              </w:rPr>
              <w:t>be submitted</w:t>
            </w:r>
            <w:proofErr w:type="gramEnd"/>
            <w:r w:rsidRPr="00460CB3">
              <w:rPr>
                <w:rFonts w:ascii="Arial Narrow" w:hAnsi="Arial Narrow" w:cstheme="minorHAnsi"/>
                <w:i/>
                <w:iCs/>
                <w:sz w:val="20"/>
                <w:szCs w:val="20"/>
              </w:rPr>
              <w:t xml:space="preserve"> online using the form upload facility in Health Professional Online Services (HPOS) at www.servicesaustralia.gov.au/hpos</w:t>
            </w:r>
          </w:p>
          <w:p w14:paraId="6CD330C7"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Or mailed to:</w:t>
            </w:r>
          </w:p>
          <w:p w14:paraId="7D03433E"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Services Australia</w:t>
            </w:r>
          </w:p>
          <w:p w14:paraId="01379298"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Complex Drugs</w:t>
            </w:r>
          </w:p>
          <w:p w14:paraId="4BFF8871" w14:textId="77777777" w:rsidR="001D7B74" w:rsidRPr="00460CB3" w:rsidRDefault="001D7B74">
            <w:pPr>
              <w:rPr>
                <w:rFonts w:ascii="Arial Narrow" w:hAnsi="Arial Narrow" w:cstheme="minorHAnsi"/>
                <w:i/>
                <w:iCs/>
                <w:sz w:val="20"/>
                <w:szCs w:val="20"/>
              </w:rPr>
            </w:pPr>
            <w:r w:rsidRPr="00460CB3">
              <w:rPr>
                <w:rFonts w:ascii="Arial Narrow" w:hAnsi="Arial Narrow" w:cstheme="minorHAnsi"/>
                <w:i/>
                <w:iCs/>
                <w:sz w:val="20"/>
                <w:szCs w:val="20"/>
              </w:rPr>
              <w:t>Reply Paid 9826</w:t>
            </w:r>
          </w:p>
          <w:p w14:paraId="25222BDF" w14:textId="77777777" w:rsidR="001D7B74" w:rsidRPr="00460CB3" w:rsidRDefault="001D7B74">
            <w:pPr>
              <w:pStyle w:val="CommentText"/>
              <w:rPr>
                <w:rFonts w:ascii="Arial Narrow" w:hAnsi="Arial Narrow" w:cstheme="minorHAnsi"/>
              </w:rPr>
            </w:pPr>
            <w:r w:rsidRPr="00460CB3">
              <w:rPr>
                <w:rFonts w:ascii="Arial Narrow" w:hAnsi="Arial Narrow" w:cstheme="minorHAnsi"/>
                <w:i/>
                <w:iCs/>
              </w:rPr>
              <w:t>HOBART TAS 7001</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1D7B74" w:rsidRPr="00903E1C" w14:paraId="0801A248" w14:textId="77777777" w:rsidTr="001D7B74">
        <w:tc>
          <w:tcPr>
            <w:tcW w:w="5000" w:type="pct"/>
          </w:tcPr>
          <w:p w14:paraId="415F81C1" w14:textId="77777777" w:rsidR="001D7B74" w:rsidRPr="00460CB3" w:rsidRDefault="001D7B74" w:rsidP="00305BF2">
            <w:pPr>
              <w:keepNext/>
              <w:rPr>
                <w:rFonts w:ascii="Arial Narrow" w:hAnsi="Arial Narrow"/>
                <w:b/>
                <w:bCs/>
                <w:sz w:val="20"/>
                <w:szCs w:val="20"/>
              </w:rPr>
            </w:pPr>
          </w:p>
        </w:tc>
      </w:tr>
      <w:tr w:rsidR="001D7B74" w:rsidRPr="00903E1C" w14:paraId="3920F877" w14:textId="77777777" w:rsidTr="00B80329">
        <w:tc>
          <w:tcPr>
            <w:tcW w:w="5000" w:type="pct"/>
          </w:tcPr>
          <w:p w14:paraId="7C3FDCCE" w14:textId="77777777" w:rsidR="001D7B74" w:rsidRPr="00460CB3" w:rsidRDefault="001D7B74" w:rsidP="00305BF2">
            <w:pPr>
              <w:keepNext/>
              <w:rPr>
                <w:rFonts w:ascii="Arial Narrow" w:hAnsi="Arial Narrow"/>
                <w:sz w:val="20"/>
                <w:szCs w:val="20"/>
              </w:rPr>
            </w:pPr>
            <w:r w:rsidRPr="00460CB3">
              <w:rPr>
                <w:rFonts w:ascii="Arial Narrow" w:hAnsi="Arial Narrow"/>
                <w:b/>
                <w:bCs/>
                <w:sz w:val="20"/>
                <w:szCs w:val="20"/>
              </w:rPr>
              <w:t>Category / Program:</w:t>
            </w:r>
            <w:r w:rsidRPr="00460CB3">
              <w:rPr>
                <w:rFonts w:ascii="Arial Narrow" w:hAnsi="Arial Narrow"/>
                <w:sz w:val="20"/>
                <w:szCs w:val="20"/>
              </w:rPr>
              <w:t xml:space="preserve"> </w:t>
            </w:r>
          </w:p>
          <w:p w14:paraId="3906C0D9" w14:textId="77777777" w:rsidR="001D7B74" w:rsidRPr="00460CB3" w:rsidRDefault="001D7B74" w:rsidP="00305BF2">
            <w:pPr>
              <w:keepNext/>
              <w:rPr>
                <w:rFonts w:ascii="Arial Narrow" w:hAnsi="Arial Narrow"/>
                <w:b/>
                <w:sz w:val="20"/>
                <w:szCs w:val="20"/>
              </w:rPr>
            </w:pPr>
            <w:r w:rsidRPr="00460CB3">
              <w:rPr>
                <w:rFonts w:ascii="Arial Narrow" w:hAnsi="Arial Narrow"/>
                <w:b/>
                <w:sz w:val="20"/>
                <w:szCs w:val="20"/>
              </w:rPr>
              <w:t xml:space="preserve">Category / Program: </w:t>
            </w:r>
          </w:p>
          <w:p w14:paraId="532121F8" w14:textId="77777777" w:rsidR="001D7B74" w:rsidRPr="00460CB3" w:rsidRDefault="001D7B74" w:rsidP="00305BF2">
            <w:pPr>
              <w:keepNext/>
              <w:rPr>
                <w:rFonts w:ascii="Arial Narrow" w:hAnsi="Arial Narrow"/>
                <w:bCs/>
                <w:color w:val="FF0000"/>
                <w:sz w:val="20"/>
                <w:szCs w:val="20"/>
              </w:rPr>
            </w:pPr>
            <w:r w:rsidRPr="00460CB3">
              <w:rPr>
                <w:rFonts w:ascii="Arial Narrow" w:hAnsi="Arial Narrow"/>
                <w:bCs/>
                <w:sz w:val="20"/>
                <w:szCs w:val="20"/>
              </w:rPr>
              <w:t xml:space="preserve">Section </w:t>
            </w:r>
            <w:proofErr w:type="gramStart"/>
            <w:r w:rsidRPr="00460CB3">
              <w:rPr>
                <w:rFonts w:ascii="Arial Narrow" w:hAnsi="Arial Narrow"/>
                <w:bCs/>
                <w:sz w:val="20"/>
                <w:szCs w:val="20"/>
              </w:rPr>
              <w:t>100</w:t>
            </w:r>
            <w:proofErr w:type="gramEnd"/>
            <w:r w:rsidRPr="00460CB3">
              <w:rPr>
                <w:rFonts w:ascii="Arial Narrow" w:hAnsi="Arial Narrow"/>
                <w:bCs/>
                <w:sz w:val="20"/>
                <w:szCs w:val="20"/>
              </w:rPr>
              <w:t xml:space="preserve"> – (Highly Specialised Drugs Program) Public Hospital/Private Hospital (Code HB / HS)</w:t>
            </w:r>
          </w:p>
        </w:tc>
      </w:tr>
      <w:tr w:rsidR="001D7B74" w:rsidRPr="00903E1C" w14:paraId="40DA915B" w14:textId="77777777" w:rsidTr="00B80329">
        <w:tc>
          <w:tcPr>
            <w:tcW w:w="5000" w:type="pct"/>
          </w:tcPr>
          <w:p w14:paraId="3EAAFDE2" w14:textId="5CCB24D1" w:rsidR="001D7B74" w:rsidRPr="00460CB3" w:rsidRDefault="001D7B74" w:rsidP="00305BF2">
            <w:pPr>
              <w:rPr>
                <w:rFonts w:ascii="Arial Narrow" w:hAnsi="Arial Narrow"/>
                <w:bCs/>
                <w:color w:val="FF0000"/>
                <w:sz w:val="20"/>
                <w:szCs w:val="20"/>
              </w:rPr>
            </w:pPr>
            <w:r w:rsidRPr="00460CB3">
              <w:rPr>
                <w:rFonts w:ascii="Arial Narrow" w:hAnsi="Arial Narrow"/>
                <w:b/>
                <w:sz w:val="20"/>
                <w:szCs w:val="20"/>
              </w:rPr>
              <w:t xml:space="preserve">Prescriber type: </w:t>
            </w:r>
            <w:r w:rsidRPr="00460CB3">
              <w:rPr>
                <w:rFonts w:ascii="Arial Narrow" w:hAnsi="Arial Narrow"/>
                <w:sz w:val="20"/>
                <w:szCs w:val="20"/>
              </w:rPr>
              <w:t>Medical Practitioners</w:t>
            </w:r>
          </w:p>
        </w:tc>
      </w:tr>
      <w:tr w:rsidR="001D7B74" w:rsidRPr="00903E1C" w14:paraId="2CD07E22" w14:textId="77777777" w:rsidTr="00B80329">
        <w:tc>
          <w:tcPr>
            <w:tcW w:w="5000" w:type="pct"/>
          </w:tcPr>
          <w:p w14:paraId="59E7CDD6"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sz w:val="20"/>
                <w:szCs w:val="20"/>
              </w:rPr>
              <w:t>Restriction:</w:t>
            </w:r>
            <w:r w:rsidRPr="00460CB3">
              <w:rPr>
                <w:rFonts w:ascii="Arial Narrow" w:hAnsi="Arial Narrow"/>
                <w:sz w:val="20"/>
                <w:szCs w:val="20"/>
              </w:rPr>
              <w:t xml:space="preserve"> </w:t>
            </w:r>
            <w:r w:rsidRPr="00460CB3">
              <w:rPr>
                <w:rFonts w:ascii="Arial Narrow" w:eastAsia="Calibri" w:hAnsi="Arial Narrow"/>
                <w:sz w:val="20"/>
                <w:szCs w:val="20"/>
              </w:rPr>
              <w:t>Authority Required (in writing only via post/electronic)</w:t>
            </w:r>
          </w:p>
        </w:tc>
      </w:tr>
      <w:tr w:rsidR="001D7B74" w:rsidRPr="00903E1C" w14:paraId="4C496FA7" w14:textId="77777777" w:rsidTr="00B80329">
        <w:tblPrEx>
          <w:tblLook w:val="0000" w:firstRow="0" w:lastRow="0" w:firstColumn="0" w:lastColumn="0" w:noHBand="0" w:noVBand="0"/>
        </w:tblPrEx>
        <w:tc>
          <w:tcPr>
            <w:tcW w:w="5000" w:type="pct"/>
          </w:tcPr>
          <w:p w14:paraId="37AB9394" w14:textId="77777777" w:rsidR="001D7B74" w:rsidRPr="00460CB3" w:rsidRDefault="001D7B74" w:rsidP="00305BF2">
            <w:pPr>
              <w:rPr>
                <w:rFonts w:ascii="Arial Narrow" w:hAnsi="Arial Narrow"/>
                <w:bCs/>
                <w:color w:val="FF0000"/>
                <w:sz w:val="20"/>
                <w:szCs w:val="20"/>
              </w:rPr>
            </w:pPr>
            <w:r w:rsidRPr="00460CB3">
              <w:rPr>
                <w:rFonts w:ascii="Arial Narrow" w:hAnsi="Arial Narrow"/>
                <w:sz w:val="20"/>
                <w:szCs w:val="20"/>
              </w:rPr>
              <w:t>Administrative Advice: No increase in the maximum quantity or number of units may be authorised.</w:t>
            </w:r>
          </w:p>
        </w:tc>
      </w:tr>
      <w:tr w:rsidR="001D7B74" w:rsidRPr="00903E1C" w14:paraId="4DF2DF77" w14:textId="77777777" w:rsidTr="00B80329">
        <w:tblPrEx>
          <w:tblLook w:val="0000" w:firstRow="0" w:lastRow="0" w:firstColumn="0" w:lastColumn="0" w:noHBand="0" w:noVBand="0"/>
        </w:tblPrEx>
        <w:tc>
          <w:tcPr>
            <w:tcW w:w="5000" w:type="pct"/>
          </w:tcPr>
          <w:p w14:paraId="06A39E0C" w14:textId="77777777" w:rsidR="001D7B74" w:rsidRPr="00460CB3" w:rsidRDefault="001D7B74" w:rsidP="00305BF2">
            <w:pPr>
              <w:rPr>
                <w:rFonts w:ascii="Arial Narrow" w:hAnsi="Arial Narrow"/>
                <w:bCs/>
                <w:color w:val="FF0000"/>
                <w:sz w:val="20"/>
                <w:szCs w:val="20"/>
              </w:rPr>
            </w:pPr>
            <w:r w:rsidRPr="00460CB3">
              <w:rPr>
                <w:rFonts w:ascii="Arial Narrow" w:hAnsi="Arial Narrow"/>
                <w:sz w:val="20"/>
                <w:szCs w:val="20"/>
              </w:rPr>
              <w:t>Administrative Advice: No increase in the maximum number of repeats may be authorised.</w:t>
            </w:r>
          </w:p>
        </w:tc>
      </w:tr>
      <w:tr w:rsidR="001D7B74" w:rsidRPr="00903E1C" w14:paraId="7E86478B" w14:textId="77777777" w:rsidTr="00B80329">
        <w:tblPrEx>
          <w:tblLook w:val="0000" w:firstRow="0" w:lastRow="0" w:firstColumn="0" w:lastColumn="0" w:noHBand="0" w:noVBand="0"/>
        </w:tblPrEx>
        <w:tc>
          <w:tcPr>
            <w:tcW w:w="5000" w:type="pct"/>
          </w:tcPr>
          <w:p w14:paraId="6882D730" w14:textId="77777777" w:rsidR="001D7B74" w:rsidRPr="00460CB3" w:rsidRDefault="001D7B74" w:rsidP="00305BF2">
            <w:pPr>
              <w:rPr>
                <w:rFonts w:ascii="Arial Narrow" w:hAnsi="Arial Narrow"/>
                <w:bCs/>
                <w:color w:val="FF0000"/>
                <w:sz w:val="20"/>
                <w:szCs w:val="20"/>
              </w:rPr>
            </w:pPr>
            <w:r w:rsidRPr="00460CB3">
              <w:rPr>
                <w:rFonts w:ascii="Arial Narrow" w:hAnsi="Arial Narrow"/>
                <w:sz w:val="20"/>
                <w:szCs w:val="20"/>
              </w:rPr>
              <w:t>Administrative Advice: Special Pricing Arrangements apply.</w:t>
            </w:r>
          </w:p>
        </w:tc>
      </w:tr>
      <w:tr w:rsidR="001D7B74" w:rsidRPr="00903E1C" w14:paraId="35994CC2" w14:textId="77777777" w:rsidTr="00B80329">
        <w:tc>
          <w:tcPr>
            <w:tcW w:w="5000" w:type="pct"/>
            <w:vAlign w:val="center"/>
          </w:tcPr>
          <w:p w14:paraId="6B83AD39" w14:textId="77777777" w:rsidR="001D7B74" w:rsidRPr="00460CB3" w:rsidRDefault="001D7B74" w:rsidP="00305BF2">
            <w:pPr>
              <w:rPr>
                <w:rFonts w:ascii="Arial Narrow" w:hAnsi="Arial Narrow"/>
                <w:bCs/>
                <w:color w:val="FF0000"/>
                <w:sz w:val="20"/>
                <w:szCs w:val="20"/>
              </w:rPr>
            </w:pPr>
          </w:p>
        </w:tc>
      </w:tr>
      <w:tr w:rsidR="001D7B74" w:rsidRPr="00903E1C" w14:paraId="58841BA8" w14:textId="77777777" w:rsidTr="00B80329">
        <w:tc>
          <w:tcPr>
            <w:tcW w:w="5000" w:type="pct"/>
            <w:vAlign w:val="center"/>
          </w:tcPr>
          <w:p w14:paraId="289ADFB0"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color w:val="A6A6A6" w:themeColor="background1" w:themeShade="A6"/>
                <w:sz w:val="20"/>
                <w:szCs w:val="20"/>
              </w:rPr>
              <w:t>Episodicity: [blank]</w:t>
            </w:r>
          </w:p>
        </w:tc>
      </w:tr>
      <w:tr w:rsidR="001D7B74" w:rsidRPr="00903E1C" w14:paraId="1A8069DE" w14:textId="77777777" w:rsidTr="00B80329">
        <w:tc>
          <w:tcPr>
            <w:tcW w:w="5000" w:type="pct"/>
            <w:vAlign w:val="center"/>
          </w:tcPr>
          <w:p w14:paraId="4C6D5C72"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color w:val="A6A6A6" w:themeColor="background1" w:themeShade="A6"/>
                <w:sz w:val="20"/>
                <w:szCs w:val="20"/>
              </w:rPr>
              <w:t>Severity: [blank]</w:t>
            </w:r>
          </w:p>
        </w:tc>
      </w:tr>
      <w:tr w:rsidR="001D7B74" w:rsidRPr="00903E1C" w14:paraId="67ADE368" w14:textId="77777777" w:rsidTr="00B80329">
        <w:tc>
          <w:tcPr>
            <w:tcW w:w="5000" w:type="pct"/>
            <w:vAlign w:val="center"/>
          </w:tcPr>
          <w:p w14:paraId="421CD897"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color w:val="333333"/>
                <w:sz w:val="20"/>
                <w:szCs w:val="20"/>
              </w:rPr>
              <w:t xml:space="preserve">Condition: </w:t>
            </w:r>
            <w:r w:rsidRPr="00460CB3">
              <w:rPr>
                <w:rFonts w:ascii="Arial Narrow" w:hAnsi="Arial Narrow"/>
                <w:bCs/>
                <w:color w:val="333333"/>
                <w:sz w:val="20"/>
                <w:szCs w:val="20"/>
              </w:rPr>
              <w:t>Hereditary transthyretin amyloidosis</w:t>
            </w:r>
          </w:p>
        </w:tc>
      </w:tr>
      <w:tr w:rsidR="001D7B74" w:rsidRPr="00903E1C" w14:paraId="02141FB7" w14:textId="77777777" w:rsidTr="00B80329">
        <w:tc>
          <w:tcPr>
            <w:tcW w:w="5000" w:type="pct"/>
            <w:vAlign w:val="center"/>
          </w:tcPr>
          <w:p w14:paraId="564722EF"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color w:val="333333"/>
                <w:sz w:val="20"/>
                <w:szCs w:val="20"/>
              </w:rPr>
              <w:t>Indication:</w:t>
            </w:r>
            <w:r w:rsidRPr="00460CB3">
              <w:rPr>
                <w:rFonts w:ascii="Arial Narrow" w:hAnsi="Arial Narrow"/>
                <w:color w:val="333333"/>
                <w:sz w:val="20"/>
                <w:szCs w:val="20"/>
              </w:rPr>
              <w:t xml:space="preserve"> </w:t>
            </w:r>
            <w:r w:rsidRPr="00460CB3">
              <w:rPr>
                <w:rFonts w:ascii="Arial Narrow" w:hAnsi="Arial Narrow"/>
                <w:bCs/>
                <w:color w:val="333333"/>
                <w:sz w:val="20"/>
                <w:szCs w:val="20"/>
              </w:rPr>
              <w:t>Hereditary transthyretin amyloidosis</w:t>
            </w:r>
          </w:p>
        </w:tc>
      </w:tr>
      <w:tr w:rsidR="001D7B74" w:rsidRPr="00903E1C" w14:paraId="7AF1531E" w14:textId="77777777" w:rsidTr="00B80329">
        <w:tc>
          <w:tcPr>
            <w:tcW w:w="5000" w:type="pct"/>
            <w:vAlign w:val="center"/>
          </w:tcPr>
          <w:p w14:paraId="0D1F0AE3" w14:textId="77777777" w:rsidR="001D7B74" w:rsidRPr="00460CB3" w:rsidRDefault="001D7B74" w:rsidP="00305BF2">
            <w:pPr>
              <w:rPr>
                <w:rFonts w:ascii="Arial Narrow" w:hAnsi="Arial Narrow"/>
                <w:bCs/>
                <w:color w:val="FF0000"/>
                <w:sz w:val="20"/>
                <w:szCs w:val="20"/>
              </w:rPr>
            </w:pPr>
            <w:r w:rsidRPr="00460CB3">
              <w:rPr>
                <w:rFonts w:ascii="Arial Narrow" w:hAnsi="Arial Narrow"/>
                <w:b/>
                <w:bCs/>
                <w:color w:val="333333"/>
                <w:sz w:val="20"/>
                <w:szCs w:val="20"/>
              </w:rPr>
              <w:t>Treatment Phase</w:t>
            </w:r>
            <w:r w:rsidRPr="00460CB3">
              <w:rPr>
                <w:rFonts w:ascii="Arial Narrow" w:hAnsi="Arial Narrow"/>
                <w:b/>
                <w:bCs/>
                <w:sz w:val="20"/>
                <w:szCs w:val="20"/>
              </w:rPr>
              <w:t>:</w:t>
            </w:r>
            <w:r w:rsidRPr="00460CB3">
              <w:rPr>
                <w:rFonts w:ascii="Arial Narrow" w:hAnsi="Arial Narrow"/>
                <w:sz w:val="20"/>
                <w:szCs w:val="20"/>
              </w:rPr>
              <w:t xml:space="preserve"> Grandfather arrangements </w:t>
            </w:r>
          </w:p>
        </w:tc>
      </w:tr>
      <w:tr w:rsidR="001D7B74" w:rsidRPr="00903E1C" w14:paraId="0CADA2BB" w14:textId="77777777" w:rsidTr="00B80329">
        <w:tc>
          <w:tcPr>
            <w:tcW w:w="5000" w:type="pct"/>
            <w:vAlign w:val="center"/>
          </w:tcPr>
          <w:p w14:paraId="2982741F" w14:textId="77777777" w:rsidR="001D7B74" w:rsidRPr="00460CB3" w:rsidRDefault="001D7B74" w:rsidP="00305BF2">
            <w:pPr>
              <w:rPr>
                <w:rFonts w:ascii="Arial Narrow" w:hAnsi="Arial Narrow"/>
                <w:bCs/>
                <w:color w:val="FF0000"/>
                <w:sz w:val="20"/>
                <w:szCs w:val="20"/>
              </w:rPr>
            </w:pPr>
          </w:p>
        </w:tc>
      </w:tr>
      <w:tr w:rsidR="001D7B74" w:rsidRPr="00903E1C" w14:paraId="52EE2A18" w14:textId="77777777" w:rsidTr="00B80329">
        <w:tc>
          <w:tcPr>
            <w:tcW w:w="5000" w:type="pct"/>
            <w:vAlign w:val="center"/>
          </w:tcPr>
          <w:p w14:paraId="0699BCD7" w14:textId="77777777" w:rsidR="001D7B74" w:rsidRPr="00460CB3" w:rsidRDefault="001D7B74" w:rsidP="00305BF2">
            <w:pPr>
              <w:rPr>
                <w:rFonts w:ascii="Arial Narrow" w:hAnsi="Arial Narrow"/>
                <w:b/>
                <w:sz w:val="20"/>
                <w:szCs w:val="20"/>
              </w:rPr>
            </w:pPr>
            <w:r w:rsidRPr="00460CB3">
              <w:rPr>
                <w:rFonts w:ascii="Arial Narrow" w:hAnsi="Arial Narrow"/>
                <w:b/>
                <w:sz w:val="20"/>
                <w:szCs w:val="20"/>
              </w:rPr>
              <w:t xml:space="preserve">Population criteria: </w:t>
            </w:r>
          </w:p>
        </w:tc>
      </w:tr>
      <w:tr w:rsidR="001D7B74" w:rsidRPr="00903E1C" w14:paraId="0A675504" w14:textId="77777777" w:rsidTr="00B80329">
        <w:tc>
          <w:tcPr>
            <w:tcW w:w="5000" w:type="pct"/>
            <w:vAlign w:val="center"/>
          </w:tcPr>
          <w:p w14:paraId="298FBD8B" w14:textId="77777777" w:rsidR="001D7B74" w:rsidRPr="00460CB3" w:rsidRDefault="001D7B74" w:rsidP="00305BF2">
            <w:pPr>
              <w:rPr>
                <w:rFonts w:ascii="Arial Narrow" w:hAnsi="Arial Narrow"/>
                <w:b/>
                <w:bCs/>
                <w:sz w:val="20"/>
                <w:szCs w:val="20"/>
              </w:rPr>
            </w:pPr>
            <w:r w:rsidRPr="00460CB3">
              <w:rPr>
                <w:rFonts w:ascii="Arial Narrow" w:hAnsi="Arial Narrow"/>
                <w:color w:val="333333"/>
                <w:sz w:val="20"/>
                <w:szCs w:val="20"/>
              </w:rPr>
              <w:t xml:space="preserve">Patient must have received treatment with this drug for this condition prior to [PBS listing date] </w:t>
            </w:r>
          </w:p>
        </w:tc>
      </w:tr>
      <w:tr w:rsidR="001D7B74" w:rsidRPr="00903E1C" w14:paraId="641169FE" w14:textId="77777777" w:rsidTr="00B80329">
        <w:tc>
          <w:tcPr>
            <w:tcW w:w="5000" w:type="pct"/>
          </w:tcPr>
          <w:p w14:paraId="4915CAC9" w14:textId="77777777" w:rsidR="001D7B74" w:rsidRPr="00460CB3" w:rsidRDefault="001D7B74" w:rsidP="00305BF2">
            <w:pPr>
              <w:rPr>
                <w:rFonts w:ascii="Arial Narrow" w:hAnsi="Arial Narrow"/>
                <w:sz w:val="20"/>
                <w:szCs w:val="20"/>
              </w:rPr>
            </w:pPr>
          </w:p>
        </w:tc>
      </w:tr>
      <w:tr w:rsidR="001D7B74" w:rsidRPr="00903E1C" w14:paraId="270B2ADC" w14:textId="77777777" w:rsidTr="00B80329">
        <w:tc>
          <w:tcPr>
            <w:tcW w:w="5000" w:type="pct"/>
          </w:tcPr>
          <w:p w14:paraId="513CDD85" w14:textId="77777777" w:rsidR="001D7B74" w:rsidRPr="00460CB3" w:rsidRDefault="001D7B74" w:rsidP="00305BF2">
            <w:pPr>
              <w:rPr>
                <w:rFonts w:ascii="Arial Narrow" w:hAnsi="Arial Narrow"/>
                <w:b/>
                <w:bCs/>
                <w:sz w:val="20"/>
                <w:szCs w:val="20"/>
              </w:rPr>
            </w:pPr>
            <w:r w:rsidRPr="00460CB3">
              <w:rPr>
                <w:rFonts w:ascii="Arial Narrow" w:hAnsi="Arial Narrow"/>
                <w:b/>
                <w:bCs/>
                <w:sz w:val="20"/>
                <w:szCs w:val="20"/>
              </w:rPr>
              <w:t>Clinical criteria:</w:t>
            </w:r>
          </w:p>
        </w:tc>
      </w:tr>
      <w:tr w:rsidR="001D7B74" w:rsidRPr="00903E1C" w14:paraId="2E0346EF" w14:textId="77777777" w:rsidTr="00B80329">
        <w:tc>
          <w:tcPr>
            <w:tcW w:w="5000" w:type="pct"/>
          </w:tcPr>
          <w:p w14:paraId="7E5F6DC6" w14:textId="77777777" w:rsidR="001D7B74" w:rsidRPr="00460CB3" w:rsidRDefault="001D7B74" w:rsidP="00305BF2">
            <w:pPr>
              <w:rPr>
                <w:rFonts w:ascii="Arial Narrow" w:hAnsi="Arial Narrow"/>
                <w:b/>
                <w:bCs/>
                <w:strike/>
                <w:sz w:val="20"/>
                <w:szCs w:val="20"/>
              </w:rPr>
            </w:pPr>
            <w:r w:rsidRPr="00460CB3">
              <w:rPr>
                <w:rFonts w:ascii="Arial Narrow" w:hAnsi="Arial Narrow"/>
                <w:strike/>
                <w:sz w:val="20"/>
                <w:szCs w:val="20"/>
              </w:rPr>
              <w:lastRenderedPageBreak/>
              <w:t>The patient must have previously received non-PBS-subsidised treatment with this drug for this condition</w:t>
            </w:r>
          </w:p>
        </w:tc>
      </w:tr>
      <w:tr w:rsidR="001D7B74" w:rsidRPr="00903E1C" w14:paraId="1AB41406" w14:textId="77777777" w:rsidTr="00B80329">
        <w:tblPrEx>
          <w:tblLook w:val="0000" w:firstRow="0" w:lastRow="0" w:firstColumn="0" w:lastColumn="0" w:noHBand="0" w:noVBand="0"/>
        </w:tblPrEx>
        <w:tc>
          <w:tcPr>
            <w:tcW w:w="5000" w:type="pct"/>
          </w:tcPr>
          <w:p w14:paraId="756ABBD0" w14:textId="77777777" w:rsidR="001D7B74" w:rsidRPr="00460CB3" w:rsidRDefault="001D7B74" w:rsidP="00305BF2">
            <w:pPr>
              <w:rPr>
                <w:rFonts w:ascii="Arial Narrow" w:hAnsi="Arial Narrow"/>
                <w:bCs/>
                <w:sz w:val="20"/>
                <w:szCs w:val="20"/>
              </w:rPr>
            </w:pPr>
            <w:r w:rsidRPr="00460CB3">
              <w:rPr>
                <w:rFonts w:ascii="Arial Narrow" w:hAnsi="Arial Narrow"/>
                <w:sz w:val="20"/>
                <w:szCs w:val="20"/>
              </w:rPr>
              <w:t>Patient must continue to demonstrate clinical benefit.</w:t>
            </w:r>
          </w:p>
        </w:tc>
      </w:tr>
      <w:tr w:rsidR="001D7B74" w:rsidRPr="00903E1C" w14:paraId="15991913" w14:textId="77777777" w:rsidTr="00B80329">
        <w:tc>
          <w:tcPr>
            <w:tcW w:w="5000" w:type="pct"/>
          </w:tcPr>
          <w:p w14:paraId="4C7DEA7A" w14:textId="77777777" w:rsidR="001D7B74" w:rsidRPr="00460CB3" w:rsidRDefault="001D7B74" w:rsidP="00305BF2">
            <w:pPr>
              <w:rPr>
                <w:rFonts w:ascii="Arial Narrow" w:hAnsi="Arial Narrow"/>
                <w:b/>
                <w:bCs/>
                <w:sz w:val="20"/>
                <w:szCs w:val="20"/>
              </w:rPr>
            </w:pPr>
            <w:r w:rsidRPr="00460CB3">
              <w:rPr>
                <w:rFonts w:ascii="Arial Narrow" w:hAnsi="Arial Narrow"/>
                <w:b/>
                <w:bCs/>
                <w:sz w:val="20"/>
                <w:szCs w:val="20"/>
              </w:rPr>
              <w:t>AND</w:t>
            </w:r>
          </w:p>
        </w:tc>
      </w:tr>
      <w:tr w:rsidR="001D7B74" w:rsidRPr="00903E1C" w14:paraId="38179A64" w14:textId="77777777" w:rsidTr="00B80329">
        <w:tc>
          <w:tcPr>
            <w:tcW w:w="5000" w:type="pct"/>
          </w:tcPr>
          <w:p w14:paraId="61A5FE3F" w14:textId="77777777" w:rsidR="001D7B74" w:rsidRPr="00460CB3" w:rsidRDefault="001D7B74" w:rsidP="00305BF2">
            <w:pPr>
              <w:rPr>
                <w:rFonts w:ascii="Arial Narrow" w:hAnsi="Arial Narrow"/>
                <w:b/>
                <w:bCs/>
                <w:sz w:val="20"/>
                <w:szCs w:val="20"/>
              </w:rPr>
            </w:pPr>
            <w:r w:rsidRPr="00460CB3">
              <w:rPr>
                <w:rFonts w:ascii="Arial Narrow" w:hAnsi="Arial Narrow"/>
                <w:b/>
                <w:bCs/>
                <w:sz w:val="20"/>
                <w:szCs w:val="20"/>
              </w:rPr>
              <w:t>Clinical criteria:</w:t>
            </w:r>
          </w:p>
        </w:tc>
      </w:tr>
      <w:tr w:rsidR="001D7B74" w:rsidRPr="00903E1C" w14:paraId="0276C98B" w14:textId="77777777" w:rsidTr="00B80329">
        <w:tblPrEx>
          <w:tblLook w:val="0000" w:firstRow="0" w:lastRow="0" w:firstColumn="0" w:lastColumn="0" w:noHBand="0" w:noVBand="0"/>
        </w:tblPrEx>
        <w:tc>
          <w:tcPr>
            <w:tcW w:w="5000" w:type="pct"/>
          </w:tcPr>
          <w:p w14:paraId="746FDCCE" w14:textId="77777777" w:rsidR="001D7B74" w:rsidRPr="00460CB3" w:rsidRDefault="001D7B74" w:rsidP="00305BF2">
            <w:pPr>
              <w:rPr>
                <w:rFonts w:ascii="Arial Narrow" w:hAnsi="Arial Narrow"/>
                <w:bCs/>
                <w:sz w:val="20"/>
                <w:szCs w:val="20"/>
              </w:rPr>
            </w:pPr>
            <w:r w:rsidRPr="00460CB3">
              <w:rPr>
                <w:rFonts w:ascii="Arial Narrow" w:hAnsi="Arial Narrow"/>
                <w:sz w:val="20"/>
                <w:szCs w:val="20"/>
              </w:rPr>
              <w:t>Patient must not be permanently bedridden, OR</w:t>
            </w:r>
          </w:p>
        </w:tc>
      </w:tr>
      <w:tr w:rsidR="001D7B74" w:rsidRPr="00903E1C" w14:paraId="2EAD3FA3" w14:textId="77777777" w:rsidTr="00B80329">
        <w:tblPrEx>
          <w:tblLook w:val="0000" w:firstRow="0" w:lastRow="0" w:firstColumn="0" w:lastColumn="0" w:noHBand="0" w:noVBand="0"/>
        </w:tblPrEx>
        <w:tc>
          <w:tcPr>
            <w:tcW w:w="5000" w:type="pct"/>
            <w:vAlign w:val="center"/>
          </w:tcPr>
          <w:p w14:paraId="09F8F3CA" w14:textId="77777777" w:rsidR="001D7B74" w:rsidRPr="00460CB3" w:rsidRDefault="001D7B74" w:rsidP="00305BF2">
            <w:pPr>
              <w:rPr>
                <w:rFonts w:ascii="Arial Narrow" w:hAnsi="Arial Narrow"/>
                <w:bCs/>
                <w:sz w:val="20"/>
                <w:szCs w:val="20"/>
              </w:rPr>
            </w:pPr>
            <w:r w:rsidRPr="00460CB3">
              <w:rPr>
                <w:rFonts w:ascii="Arial Narrow" w:hAnsi="Arial Narrow"/>
                <w:bCs/>
                <w:sz w:val="20"/>
                <w:szCs w:val="20"/>
              </w:rPr>
              <w:t>Patient must not be receiving end-of-life care</w:t>
            </w:r>
          </w:p>
        </w:tc>
      </w:tr>
      <w:tr w:rsidR="001D7B74" w:rsidRPr="00903E1C" w14:paraId="7F05EBFE" w14:textId="77777777" w:rsidTr="00B80329">
        <w:tc>
          <w:tcPr>
            <w:tcW w:w="5000" w:type="pct"/>
            <w:vAlign w:val="center"/>
          </w:tcPr>
          <w:p w14:paraId="66146F33" w14:textId="77777777" w:rsidR="001D7B74" w:rsidRPr="00460CB3" w:rsidRDefault="001D7B74" w:rsidP="00305BF2">
            <w:pPr>
              <w:rPr>
                <w:rFonts w:ascii="Arial Narrow" w:hAnsi="Arial Narrow" w:cstheme="minorHAnsi"/>
                <w:b/>
                <w:bCs/>
                <w:i/>
                <w:iCs/>
                <w:sz w:val="20"/>
                <w:szCs w:val="20"/>
              </w:rPr>
            </w:pPr>
            <w:r w:rsidRPr="00460CB3">
              <w:rPr>
                <w:rFonts w:ascii="Arial Narrow" w:hAnsi="Arial Narrow" w:cstheme="minorHAnsi"/>
                <w:b/>
                <w:bCs/>
                <w:i/>
                <w:iCs/>
                <w:sz w:val="20"/>
                <w:szCs w:val="20"/>
              </w:rPr>
              <w:t>Prescribing Instructions:</w:t>
            </w:r>
          </w:p>
          <w:p w14:paraId="38FADAF6"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treatment phase must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via the Online PBS Authorities System (real time assessment) or in writing via HPOS form upload or mail.</w:t>
            </w:r>
          </w:p>
          <w:p w14:paraId="0AAEDB46"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 xml:space="preserve">If the application </w:t>
            </w:r>
            <w:proofErr w:type="gramStart"/>
            <w:r w:rsidRPr="00460CB3">
              <w:rPr>
                <w:rFonts w:ascii="Arial Narrow" w:hAnsi="Arial Narrow" w:cstheme="minorHAnsi"/>
                <w:i/>
                <w:iCs/>
                <w:sz w:val="20"/>
                <w:szCs w:val="20"/>
              </w:rPr>
              <w:t>is submitted</w:t>
            </w:r>
            <w:proofErr w:type="gramEnd"/>
            <w:r w:rsidRPr="00460CB3">
              <w:rPr>
                <w:rFonts w:ascii="Arial Narrow" w:hAnsi="Arial Narrow" w:cstheme="minorHAnsi"/>
                <w:i/>
                <w:iCs/>
                <w:sz w:val="20"/>
                <w:szCs w:val="20"/>
              </w:rPr>
              <w:t xml:space="preserve"> through HPOS form upload or mail, it must include:</w:t>
            </w:r>
          </w:p>
          <w:p w14:paraId="711EBFFA"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(a) a completed authority prescription form; and</w:t>
            </w:r>
          </w:p>
          <w:p w14:paraId="43B7D8D3" w14:textId="77777777" w:rsidR="001D7B74" w:rsidRPr="00460CB3" w:rsidRDefault="001D7B74" w:rsidP="00305BF2">
            <w:pPr>
              <w:rPr>
                <w:rFonts w:ascii="Arial Narrow" w:hAnsi="Arial Narrow"/>
                <w:bCs/>
                <w:sz w:val="20"/>
                <w:szCs w:val="20"/>
              </w:rPr>
            </w:pPr>
            <w:r w:rsidRPr="00460CB3">
              <w:rPr>
                <w:rFonts w:ascii="Arial Narrow" w:hAnsi="Arial Narrow" w:cstheme="minorHAnsi"/>
                <w:i/>
                <w:iCs/>
                <w:sz w:val="20"/>
                <w:szCs w:val="20"/>
              </w:rPr>
              <w:t>(b) a completed authority application form relevant to the indication and treatment phase (the latest version is located on the website specified in the Administrative Advice).</w:t>
            </w:r>
          </w:p>
        </w:tc>
      </w:tr>
      <w:tr w:rsidR="001D7B74" w:rsidRPr="00903E1C" w14:paraId="3E902E9F" w14:textId="77777777" w:rsidTr="00B80329">
        <w:tc>
          <w:tcPr>
            <w:tcW w:w="5000" w:type="pct"/>
            <w:vAlign w:val="center"/>
          </w:tcPr>
          <w:p w14:paraId="4F2A51A3" w14:textId="77777777" w:rsidR="001D7B74" w:rsidRPr="00460CB3" w:rsidRDefault="001D7B74" w:rsidP="00305BF2">
            <w:pPr>
              <w:rPr>
                <w:rFonts w:ascii="Arial Narrow" w:hAnsi="Arial Narrow" w:cstheme="minorHAnsi"/>
                <w:b/>
                <w:bCs/>
                <w:i/>
                <w:iCs/>
                <w:sz w:val="20"/>
                <w:szCs w:val="20"/>
              </w:rPr>
            </w:pPr>
            <w:r w:rsidRPr="00460CB3">
              <w:rPr>
                <w:rFonts w:ascii="Arial Narrow" w:hAnsi="Arial Narrow" w:cstheme="minorHAnsi"/>
                <w:b/>
                <w:bCs/>
                <w:i/>
                <w:iCs/>
                <w:sz w:val="20"/>
                <w:szCs w:val="20"/>
              </w:rPr>
              <w:t>Administrative Advice:</w:t>
            </w:r>
          </w:p>
          <w:p w14:paraId="258AB15C"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 xml:space="preserve">Any queries concerning the arrangements to prescribe may </w:t>
            </w:r>
            <w:proofErr w:type="gramStart"/>
            <w:r w:rsidRPr="00460CB3">
              <w:rPr>
                <w:rFonts w:ascii="Arial Narrow" w:hAnsi="Arial Narrow" w:cstheme="minorHAnsi"/>
                <w:i/>
                <w:iCs/>
                <w:sz w:val="20"/>
                <w:szCs w:val="20"/>
              </w:rPr>
              <w:t>be directed</w:t>
            </w:r>
            <w:proofErr w:type="gramEnd"/>
            <w:r w:rsidRPr="00460CB3">
              <w:rPr>
                <w:rFonts w:ascii="Arial Narrow" w:hAnsi="Arial Narrow" w:cstheme="minorHAnsi"/>
                <w:i/>
                <w:iCs/>
                <w:sz w:val="20"/>
                <w:szCs w:val="20"/>
              </w:rPr>
              <w:t xml:space="preserve"> to Services Australia on 1800 700 270 (hours of operation 8 a.m. to 5 p.m. Monday to Friday).</w:t>
            </w:r>
          </w:p>
          <w:p w14:paraId="54C2D36A"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Prescribing information (including Authority Application forms and other relevant documentation as applicable) is available on the Services Australia website at www.servicesaustralia.gov.au</w:t>
            </w:r>
          </w:p>
          <w:p w14:paraId="51355DCD"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 xml:space="preserve">Applications for authorisation under this restriction should </w:t>
            </w:r>
            <w:proofErr w:type="gramStart"/>
            <w:r w:rsidRPr="00460CB3">
              <w:rPr>
                <w:rFonts w:ascii="Arial Narrow" w:hAnsi="Arial Narrow" w:cstheme="minorHAnsi"/>
                <w:i/>
                <w:iCs/>
                <w:sz w:val="20"/>
                <w:szCs w:val="20"/>
              </w:rPr>
              <w:t>be made</w:t>
            </w:r>
            <w:proofErr w:type="gramEnd"/>
            <w:r w:rsidRPr="00460CB3">
              <w:rPr>
                <w:rFonts w:ascii="Arial Narrow" w:hAnsi="Arial Narrow" w:cstheme="minorHAnsi"/>
                <w:i/>
                <w:iCs/>
                <w:sz w:val="20"/>
                <w:szCs w:val="20"/>
              </w:rPr>
              <w:t xml:space="preserve"> in real time using the Online PBS Authorities system (see www.servicesaustralia.gov.au/hpos)</w:t>
            </w:r>
          </w:p>
          <w:p w14:paraId="075C6894"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 xml:space="preserve">Alternatively, applications for authority to prescribe can </w:t>
            </w:r>
            <w:proofErr w:type="gramStart"/>
            <w:r w:rsidRPr="00460CB3">
              <w:rPr>
                <w:rFonts w:ascii="Arial Narrow" w:hAnsi="Arial Narrow" w:cstheme="minorHAnsi"/>
                <w:i/>
                <w:iCs/>
                <w:sz w:val="20"/>
                <w:szCs w:val="20"/>
              </w:rPr>
              <w:t>be submitted</w:t>
            </w:r>
            <w:proofErr w:type="gramEnd"/>
            <w:r w:rsidRPr="00460CB3">
              <w:rPr>
                <w:rFonts w:ascii="Arial Narrow" w:hAnsi="Arial Narrow" w:cstheme="minorHAnsi"/>
                <w:i/>
                <w:iCs/>
                <w:sz w:val="20"/>
                <w:szCs w:val="20"/>
              </w:rPr>
              <w:t xml:space="preserve"> online using the form upload facility in Health Professional Online Services (HPOS) at www.servicesaustralia.gov.au/hpos</w:t>
            </w:r>
          </w:p>
          <w:p w14:paraId="7F24A6D7"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Or mailed to:</w:t>
            </w:r>
          </w:p>
          <w:p w14:paraId="3C218556"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Services Australia</w:t>
            </w:r>
          </w:p>
          <w:p w14:paraId="6D04F833"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Complex Drugs</w:t>
            </w:r>
          </w:p>
          <w:p w14:paraId="72B2B310" w14:textId="77777777" w:rsidR="001D7B74" w:rsidRPr="00460CB3" w:rsidRDefault="001D7B74" w:rsidP="00305BF2">
            <w:pPr>
              <w:rPr>
                <w:rFonts w:ascii="Arial Narrow" w:hAnsi="Arial Narrow" w:cstheme="minorHAnsi"/>
                <w:i/>
                <w:iCs/>
                <w:sz w:val="20"/>
                <w:szCs w:val="20"/>
              </w:rPr>
            </w:pPr>
            <w:r w:rsidRPr="00460CB3">
              <w:rPr>
                <w:rFonts w:ascii="Arial Narrow" w:hAnsi="Arial Narrow" w:cstheme="minorHAnsi"/>
                <w:i/>
                <w:iCs/>
                <w:sz w:val="20"/>
                <w:szCs w:val="20"/>
              </w:rPr>
              <w:t>Reply Paid 9826</w:t>
            </w:r>
          </w:p>
          <w:p w14:paraId="4C8C5470" w14:textId="77777777" w:rsidR="001D7B74" w:rsidRPr="00460CB3" w:rsidRDefault="001D7B74" w:rsidP="00305BF2">
            <w:pPr>
              <w:pStyle w:val="CommentText"/>
              <w:rPr>
                <w:rFonts w:ascii="Arial Narrow" w:hAnsi="Arial Narrow" w:cstheme="minorHAnsi"/>
              </w:rPr>
            </w:pPr>
            <w:r w:rsidRPr="00460CB3">
              <w:rPr>
                <w:rFonts w:ascii="Arial Narrow" w:hAnsi="Arial Narrow" w:cstheme="minorHAnsi"/>
                <w:i/>
                <w:iCs/>
              </w:rPr>
              <w:t>HOBART TAS 7001</w:t>
            </w:r>
          </w:p>
        </w:tc>
      </w:tr>
    </w:tbl>
    <w:p w14:paraId="3C594CC0" w14:textId="77777777" w:rsidR="00DD7590" w:rsidRPr="00903E1C" w:rsidRDefault="00DD7590" w:rsidP="00DD7590"/>
    <w:p w14:paraId="48E22410" w14:textId="77777777" w:rsidR="00DD7590" w:rsidRPr="00903E1C" w:rsidRDefault="00DD7590" w:rsidP="00DD7590">
      <w:r w:rsidRPr="00903E1C">
        <w:rPr>
          <w:rFonts w:asciiTheme="minorHAnsi" w:hAnsiTheme="minorHAnsi"/>
          <w:b/>
          <w:bCs/>
          <w:i/>
          <w:szCs w:val="22"/>
        </w:rPr>
        <w:t xml:space="preserve">This restriction may be subject to further review. Should there be any changes made to the restriction the sponsor will </w:t>
      </w:r>
      <w:proofErr w:type="gramStart"/>
      <w:r w:rsidRPr="00903E1C">
        <w:rPr>
          <w:rFonts w:asciiTheme="minorHAnsi" w:hAnsiTheme="minorHAnsi"/>
          <w:b/>
          <w:bCs/>
          <w:i/>
          <w:szCs w:val="22"/>
        </w:rPr>
        <w:t>be informed</w:t>
      </w:r>
      <w:proofErr w:type="gramEnd"/>
      <w:r w:rsidRPr="00903E1C">
        <w:rPr>
          <w:rFonts w:asciiTheme="minorHAnsi" w:hAnsiTheme="minorHAnsi"/>
          <w:b/>
          <w:bCs/>
          <w:i/>
          <w:szCs w:val="22"/>
        </w:rPr>
        <w:t>.</w:t>
      </w:r>
    </w:p>
    <w:p w14:paraId="6C195A27" w14:textId="03F7C3CB" w:rsidR="008A255E" w:rsidRDefault="008A255E" w:rsidP="008A255E">
      <w:pPr>
        <w:pStyle w:val="COMH1numbered"/>
        <w:rPr>
          <w:bCs/>
          <w:lang w:val="en-GB"/>
        </w:rPr>
      </w:pPr>
      <w:r w:rsidRPr="00C07617">
        <w:t>Context for Decision</w:t>
      </w:r>
    </w:p>
    <w:p w14:paraId="23A47099" w14:textId="77777777" w:rsidR="008A255E" w:rsidRPr="00311EEF" w:rsidRDefault="008A255E" w:rsidP="008A255E">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6805CBE" w14:textId="791D1C3C" w:rsidR="008A255E" w:rsidRPr="00311EEF" w:rsidRDefault="008A255E" w:rsidP="008A255E">
      <w:pPr>
        <w:pStyle w:val="COMH1numbered"/>
      </w:pPr>
      <w:r w:rsidRPr="00311EEF">
        <w:t>Sponsor’s Comment</w:t>
      </w:r>
    </w:p>
    <w:p w14:paraId="17A45D8E" w14:textId="78505CE9" w:rsidR="008A255E" w:rsidRPr="009C520D" w:rsidRDefault="008A255E" w:rsidP="00B80329">
      <w:pPr>
        <w:spacing w:after="120"/>
        <w:ind w:left="720"/>
        <w:rPr>
          <w:rFonts w:asciiTheme="minorHAnsi" w:hAnsiTheme="minorHAnsi"/>
          <w:bCs/>
          <w:snapToGrid w:val="0"/>
        </w:rPr>
      </w:pPr>
      <w:r w:rsidRPr="00C07617">
        <w:rPr>
          <w:rFonts w:asciiTheme="minorHAnsi" w:hAnsiTheme="minorHAnsi"/>
          <w:bCs/>
        </w:rPr>
        <w:t>The sponsor had no comment.</w:t>
      </w:r>
    </w:p>
    <w:sectPr w:rsidR="008A255E" w:rsidRPr="009C520D" w:rsidSect="005969D7">
      <w:headerReference w:type="even" r:id="rId13"/>
      <w:headerReference w:type="default" r:id="rId14"/>
      <w:footerReference w:type="even" r:id="rId15"/>
      <w:footerReference w:type="defaul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09ED" w14:textId="77777777" w:rsidR="009A2CC5" w:rsidRDefault="009A2CC5" w:rsidP="00230CBC">
      <w:r>
        <w:separator/>
      </w:r>
    </w:p>
  </w:endnote>
  <w:endnote w:type="continuationSeparator" w:id="0">
    <w:p w14:paraId="6409628B" w14:textId="77777777" w:rsidR="009A2CC5" w:rsidRDefault="009A2CC5" w:rsidP="0023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rmukhi Sangam MN">
    <w:charset w:val="00"/>
    <w:family w:val="auto"/>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8CF1" w14:textId="77777777" w:rsidR="00613477" w:rsidRDefault="00613477">
    <w:pPr>
      <w:pStyle w:val="Footer"/>
    </w:pPr>
  </w:p>
  <w:p w14:paraId="0F99C6F4" w14:textId="77777777" w:rsidR="00613477" w:rsidRDefault="00613477"/>
  <w:p w14:paraId="19724A79" w14:textId="77777777" w:rsidR="00613477" w:rsidRDefault="00230CBC">
    <w:r>
      <w:rPr>
        <w:b/>
      </w:rPr>
      <w:fldChar w:fldCharType="begin"/>
    </w:r>
    <w:r>
      <w:rPr>
        <w:b/>
      </w:rPr>
      <w:instrText xml:space="preserve"> PAGE   \* MERGEFORMAT </w:instrText>
    </w:r>
    <w:r>
      <w:rPr>
        <w:b/>
      </w:rPr>
      <w:fldChar w:fldCharType="separate"/>
    </w:r>
    <w:r>
      <w:rPr>
        <w:b/>
        <w:noProof/>
      </w:rPr>
      <w:t>1</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0BB" w14:textId="77777777" w:rsidR="002B24FB" w:rsidRDefault="002B24FB" w:rsidP="004D11AB">
    <w:pPr>
      <w:pStyle w:val="Footer"/>
      <w:jc w:val="center"/>
      <w:rPr>
        <w:b/>
      </w:rPr>
    </w:pPr>
    <w:bookmarkStart w:id="132" w:name="_Hlk76375156"/>
  </w:p>
  <w:p w14:paraId="732B7815" w14:textId="285C1335" w:rsidR="00613477" w:rsidRDefault="00230CBC" w:rsidP="005C2798">
    <w:pPr>
      <w:pStyle w:val="Footer"/>
      <w:jc w:val="center"/>
    </w:pPr>
    <w:r>
      <w:rPr>
        <w:b/>
      </w:rPr>
      <w:fldChar w:fldCharType="begin"/>
    </w:r>
    <w:r>
      <w:rPr>
        <w:b/>
      </w:rPr>
      <w:instrText xml:space="preserve"> PAGE   \* MERGEFORMAT </w:instrText>
    </w:r>
    <w:r>
      <w:rPr>
        <w:b/>
      </w:rPr>
      <w:fldChar w:fldCharType="separate"/>
    </w:r>
    <w:r>
      <w:rPr>
        <w:b/>
        <w:noProof/>
      </w:rPr>
      <w:t>1</w:t>
    </w:r>
    <w:r>
      <w:rPr>
        <w:b/>
        <w:noProof/>
      </w:rPr>
      <w:fldChar w:fldCharType="end"/>
    </w:r>
    <w:bookmarkEnd w:id="1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CC96" w14:textId="77777777" w:rsidR="009A2CC5" w:rsidRDefault="009A2CC5" w:rsidP="00230CBC">
      <w:r>
        <w:separator/>
      </w:r>
    </w:p>
  </w:footnote>
  <w:footnote w:type="continuationSeparator" w:id="0">
    <w:p w14:paraId="48255B93" w14:textId="77777777" w:rsidR="009A2CC5" w:rsidRDefault="009A2CC5" w:rsidP="00230CBC">
      <w:r>
        <w:continuationSeparator/>
      </w:r>
    </w:p>
  </w:footnote>
  <w:footnote w:id="1">
    <w:p w14:paraId="4561A2C1" w14:textId="39AAEB54" w:rsidR="00850577" w:rsidRDefault="00850577">
      <w:pPr>
        <w:pStyle w:val="FootnoteText"/>
      </w:pPr>
      <w:r>
        <w:rPr>
          <w:rStyle w:val="FootnoteReference"/>
        </w:rPr>
        <w:footnoteRef/>
      </w:r>
      <w:r>
        <w:t xml:space="preserve"> </w:t>
      </w:r>
      <w:r w:rsidRPr="00850577">
        <w:t>Adams D. Recent advances in the treatment of familial amyloid polyneuropathy. Ther Adv Neurol Disord. 2013 Mar;6(2):129-39.</w:t>
      </w:r>
    </w:p>
  </w:footnote>
  <w:footnote w:id="2">
    <w:p w14:paraId="1D72F6A3" w14:textId="77777777" w:rsidR="00230CBC" w:rsidRDefault="00230CBC" w:rsidP="00230CBC">
      <w:pPr>
        <w:pStyle w:val="FootnoteText"/>
      </w:pPr>
      <w:r>
        <w:rPr>
          <w:rStyle w:val="FootnoteReference"/>
        </w:rPr>
        <w:footnoteRef/>
      </w:r>
      <w:r>
        <w:t xml:space="preserve"> </w:t>
      </w:r>
      <w:hyperlink r:id="rId1" w:history="1">
        <w:r w:rsidRPr="008C4FDE">
          <w:rPr>
            <w:rStyle w:val="Hyperlink"/>
          </w:rPr>
          <w:t>https://www.pbs.gov.au/info/industry/listing/elements/pbac-meetings/agenda/july-2023-pbac-meeting</w:t>
        </w:r>
      </w:hyperlink>
      <w:r>
        <w:t>, accessed 19 April 2023.</w:t>
      </w:r>
    </w:p>
  </w:footnote>
  <w:footnote w:id="3">
    <w:p w14:paraId="5E6C7E77" w14:textId="77777777" w:rsidR="00230CBC" w:rsidRDefault="00230CBC" w:rsidP="00230CBC">
      <w:pPr>
        <w:pStyle w:val="FootnoteText"/>
      </w:pPr>
      <w:r>
        <w:rPr>
          <w:rStyle w:val="FootnoteReference"/>
        </w:rPr>
        <w:footnoteRef/>
      </w:r>
      <w:r>
        <w:t xml:space="preserve"> </w:t>
      </w:r>
      <w:hyperlink r:id="rId2" w:history="1">
        <w:r w:rsidRPr="00974536">
          <w:rPr>
            <w:rStyle w:val="Hyperlink"/>
          </w:rPr>
          <w:t>https://www.tga.gov.au/products/unapproved-therapeutic-goods/special-access-scheme-sas-and-authorised-prescriber/prescribe-unapproved-therapeutic-good/list-products-established-history-use/special-access-scheme-sas-category-c-lists</w:t>
        </w:r>
      </w:hyperlink>
      <w:r>
        <w:t>, accessed 16 May 2023.</w:t>
      </w:r>
    </w:p>
  </w:footnote>
  <w:footnote w:id="4">
    <w:p w14:paraId="033C7E5D" w14:textId="77777777" w:rsidR="00230CBC" w:rsidRDefault="00230CBC" w:rsidP="00230CBC">
      <w:pPr>
        <w:pStyle w:val="FootnoteText"/>
      </w:pPr>
      <w:r>
        <w:rPr>
          <w:rStyle w:val="FootnoteReference"/>
        </w:rPr>
        <w:footnoteRef/>
      </w:r>
      <w:r>
        <w:t xml:space="preserve"> </w:t>
      </w:r>
      <w:r w:rsidRPr="005D0B37">
        <w:t>Ando</w:t>
      </w:r>
      <w:r>
        <w:t xml:space="preserve"> et al. </w:t>
      </w:r>
      <w:r w:rsidRPr="005D0B37">
        <w:t>(2022) Guidelines and new directions in the therapy and monitoring of ATTRv amyloidosis, Amyloid, 29:3, 143-155</w:t>
      </w:r>
      <w:r>
        <w:t>.</w:t>
      </w:r>
    </w:p>
  </w:footnote>
  <w:footnote w:id="5">
    <w:p w14:paraId="42C8752D" w14:textId="1738CCAE" w:rsidR="00230CBC" w:rsidRDefault="00230CBC" w:rsidP="00230CBC">
      <w:pPr>
        <w:pStyle w:val="FootnoteText"/>
        <w:jc w:val="left"/>
      </w:pPr>
      <w:r>
        <w:rPr>
          <w:rStyle w:val="FootnoteReference"/>
        </w:rPr>
        <w:footnoteRef/>
      </w:r>
      <w:r>
        <w:t>Australian Amyloidosis Network (2020), Submission to Inquiry into approval processes for new drugs and novel medical technologies in Australia</w:t>
      </w:r>
      <w:r w:rsidR="00A66278">
        <w:t xml:space="preserve"> </w:t>
      </w:r>
      <w:r>
        <w:t>Submission #</w:t>
      </w:r>
      <w:r w:rsidRPr="00A1461D">
        <w:t>98</w:t>
      </w:r>
      <w:r>
        <w:t xml:space="preserve">: </w:t>
      </w:r>
      <w:r w:rsidRPr="00A1461D">
        <w:t>Australian Amyloidosis Network</w:t>
      </w:r>
      <w:r>
        <w:t xml:space="preserve"> </w:t>
      </w:r>
      <w:hyperlink r:id="rId3" w:history="1">
        <w:r w:rsidRPr="00974536">
          <w:rPr>
            <w:rStyle w:val="Hyperlink"/>
          </w:rPr>
          <w:t>https://www.aph.gov.au/Parliamentary_Business/Committees/House/Health_Aged_Care_and_Sport/Newdrugs/Submissions</w:t>
        </w:r>
      </w:hyperlink>
      <w:r>
        <w:t xml:space="preserve">, accessed 16 May 2023. </w:t>
      </w:r>
      <w:r>
        <w:br/>
        <w:t xml:space="preserve">Australian Amyloidosis Network (2019) – Diflunisal information for patients. </w:t>
      </w:r>
      <w:hyperlink r:id="rId4" w:history="1">
        <w:r w:rsidRPr="008F26C5">
          <w:rPr>
            <w:rStyle w:val="Hyperlink"/>
          </w:rPr>
          <w:t>https://aan.org.au/wp-content/uploads/2019/08/Diflunisal-Patients-Information-AAN-website.pdf</w:t>
        </w:r>
      </w:hyperlink>
      <w:r>
        <w:t>, accessed 16 May 2023.</w:t>
      </w:r>
    </w:p>
  </w:footnote>
  <w:footnote w:id="6">
    <w:p w14:paraId="1F440C74" w14:textId="77777777" w:rsidR="00230CBC" w:rsidRDefault="00230CBC" w:rsidP="00230CBC">
      <w:pPr>
        <w:pStyle w:val="FootnoteText"/>
      </w:pPr>
      <w:r>
        <w:rPr>
          <w:rStyle w:val="FootnoteReference"/>
        </w:rPr>
        <w:footnoteRef/>
      </w:r>
      <w:r>
        <w:t xml:space="preserve"> </w:t>
      </w:r>
      <w:r w:rsidRPr="00631799">
        <w:rPr>
          <w:noProof/>
        </w:rPr>
        <w:t xml:space="preserve">Perera S, Mody SH, Woodman RC, Studenski SA. Meaningful change and responsiveness in common physical performance measures in older adults. </w:t>
      </w:r>
      <w:r w:rsidRPr="00631799">
        <w:rPr>
          <w:i/>
          <w:noProof/>
        </w:rPr>
        <w:t xml:space="preserve">J Am Geriatr Soc. </w:t>
      </w:r>
      <w:r w:rsidRPr="00631799">
        <w:rPr>
          <w:noProof/>
        </w:rPr>
        <w:t>2006;54(5):743-749.</w:t>
      </w:r>
    </w:p>
  </w:footnote>
  <w:footnote w:id="7">
    <w:p w14:paraId="109E851A" w14:textId="77777777" w:rsidR="00230CBC" w:rsidRDefault="00230CBC" w:rsidP="00230CBC">
      <w:pPr>
        <w:pStyle w:val="FootnoteText"/>
      </w:pPr>
      <w:r>
        <w:rPr>
          <w:rStyle w:val="FootnoteReference"/>
        </w:rPr>
        <w:footnoteRef/>
      </w:r>
      <w:r>
        <w:t xml:space="preserve"> Wixner J, Ueda M, Marques Junior, W, et al. Patisiran global open-label extension study at 36 months: Effect of long-term treatment on mortality and ambulatory function in patients with hATTR amyloidosis with polyneuropathy. XVIII Meeting of the International Society of Amyloidosis (ISA) 2022, Oral Presentation OP044. Available from: </w:t>
      </w:r>
      <w:hyperlink r:id="rId5" w:history="1">
        <w:r w:rsidRPr="000623A4">
          <w:rPr>
            <w:rStyle w:val="Hyperlink"/>
          </w:rPr>
          <w:t>https://capella.alnylam.com/2022/09/08/pati-isa-2022</w:t>
        </w:r>
      </w:hyperlink>
      <w:r>
        <w:t>, accessed 10 May 2023.</w:t>
      </w:r>
    </w:p>
  </w:footnote>
  <w:footnote w:id="8">
    <w:p w14:paraId="2C64EA72" w14:textId="1B16E61B" w:rsidR="00230CBC" w:rsidRDefault="00230CBC" w:rsidP="00230CBC">
      <w:pPr>
        <w:pStyle w:val="FootnoteText"/>
      </w:pPr>
      <w:r>
        <w:rPr>
          <w:rStyle w:val="FootnoteReference"/>
        </w:rPr>
        <w:footnoteRef/>
      </w:r>
      <w:r>
        <w:t xml:space="preserve"> </w:t>
      </w:r>
      <w:r w:rsidRPr="003571BC">
        <w:t>The World Bank. Australia.</w:t>
      </w:r>
      <w:r w:rsidR="00A66278">
        <w:t xml:space="preserve"> </w:t>
      </w:r>
      <w:hyperlink r:id="rId6" w:history="1">
        <w:r w:rsidRPr="003571BC">
          <w:rPr>
            <w:rStyle w:val="Hyperlink"/>
          </w:rPr>
          <w:t>https://data.worldbank.org/country/AU</w:t>
        </w:r>
      </w:hyperlink>
      <w:r w:rsidRPr="003571BC">
        <w:t>. Accessed 22 June 2023.</w:t>
      </w:r>
    </w:p>
  </w:footnote>
  <w:footnote w:id="9">
    <w:p w14:paraId="10E071EE" w14:textId="77777777" w:rsidR="00D82049" w:rsidRPr="00781687" w:rsidRDefault="00D82049" w:rsidP="00D82049">
      <w:pPr>
        <w:pStyle w:val="FootnoteText"/>
        <w:rPr>
          <w:rFonts w:ascii="Arial Narrow" w:hAnsi="Arial Narrow"/>
        </w:rPr>
      </w:pPr>
      <w:r w:rsidRPr="00781687">
        <w:rPr>
          <w:rStyle w:val="FootnoteReference"/>
          <w:rFonts w:ascii="Arial Narrow" w:hAnsi="Arial Narrow"/>
        </w:rPr>
        <w:footnoteRef/>
      </w:r>
      <w:r w:rsidRPr="00781687">
        <w:rPr>
          <w:rFonts w:ascii="Arial Narrow" w:hAnsi="Arial Narrow"/>
        </w:rPr>
        <w:t xml:space="preserve"> Adams D. Recent advances in the treatment of familial amyloid polyneuropathy. Ther Adv Neurol Disord. 2013 Mar;6(2):129-39.</w:t>
      </w:r>
    </w:p>
  </w:footnote>
  <w:footnote w:id="10">
    <w:p w14:paraId="0D7F66E5" w14:textId="77777777" w:rsidR="00D82049" w:rsidRPr="00781687" w:rsidRDefault="00D82049" w:rsidP="00D82049">
      <w:pPr>
        <w:pStyle w:val="FootnoteText"/>
        <w:rPr>
          <w:rFonts w:ascii="Arial Narrow" w:hAnsi="Arial Narrow"/>
        </w:rPr>
      </w:pPr>
      <w:r w:rsidRPr="00781687">
        <w:rPr>
          <w:rStyle w:val="FootnoteReference"/>
          <w:rFonts w:ascii="Arial Narrow" w:hAnsi="Arial Narrow"/>
        </w:rPr>
        <w:footnoteRef/>
      </w:r>
      <w:r w:rsidRPr="00781687">
        <w:rPr>
          <w:rFonts w:ascii="Arial Narrow" w:hAnsi="Arial Narrow"/>
        </w:rPr>
        <w:t xml:space="preserve"> American Heart Association. Classes and Stages of Heart Failure. 2023; </w:t>
      </w:r>
      <w:hyperlink r:id="rId7" w:history="1">
        <w:r w:rsidRPr="00781687">
          <w:rPr>
            <w:rStyle w:val="Hyperlink"/>
            <w:rFonts w:ascii="Arial Narrow" w:hAnsi="Arial Narrow"/>
          </w:rPr>
          <w:t>https://www.heart.org/en/health-topics/heart-failure/what-is-heart-failure/classes-of-heart-failure</w:t>
        </w:r>
      </w:hyperlink>
      <w:r w:rsidRPr="00781687">
        <w:rPr>
          <w:rFonts w:ascii="Arial Narrow" w:hAnsi="Arial Narrow"/>
        </w:rPr>
        <w:t xml:space="preserve">. </w:t>
      </w:r>
    </w:p>
  </w:footnote>
  <w:footnote w:id="11">
    <w:p w14:paraId="6B9B11D7" w14:textId="1CFB9EB4" w:rsidR="00D82049" w:rsidRDefault="00D82049" w:rsidP="00D82049">
      <w:pPr>
        <w:pStyle w:val="FootnoteText"/>
      </w:pPr>
      <w:r>
        <w:rPr>
          <w:rStyle w:val="FootnoteReference"/>
        </w:rPr>
        <w:footnoteRef/>
      </w:r>
      <w:r>
        <w:t xml:space="preserve"> The submission </w:t>
      </w:r>
      <w:r w:rsidRPr="00B80329">
        <w:t xml:space="preserve">estimated 40.11 vials per patient per year, based on assumptions used in the utilisation estimates, including compliance (96.9%), vials per </w:t>
      </w:r>
      <w:r w:rsidR="00ED2F6E" w:rsidRPr="00B80329">
        <w:t>3-week</w:t>
      </w:r>
      <w:r w:rsidRPr="00B80329">
        <w:t xml:space="preserve"> period (2.38), and</w:t>
      </w:r>
      <w:r>
        <w:t xml:space="preserve"> doses per year (17.39, i.e. 52/3).</w:t>
      </w:r>
    </w:p>
  </w:footnote>
  <w:footnote w:id="12">
    <w:p w14:paraId="37085D37" w14:textId="77777777" w:rsidR="00D82049" w:rsidRPr="00D14B8B" w:rsidRDefault="00D82049" w:rsidP="00D82049">
      <w:pPr>
        <w:pStyle w:val="FootnoteText"/>
        <w:rPr>
          <w:rFonts w:ascii="Arial Narrow" w:hAnsi="Arial Narrow"/>
        </w:rPr>
      </w:pPr>
      <w:r w:rsidRPr="00D14B8B">
        <w:rPr>
          <w:rStyle w:val="FootnoteReference"/>
          <w:rFonts w:ascii="Arial Narrow" w:hAnsi="Arial Narrow"/>
        </w:rPr>
        <w:footnoteRef/>
      </w:r>
      <w:r w:rsidRPr="00D14B8B">
        <w:rPr>
          <w:rFonts w:ascii="Arial Narrow" w:hAnsi="Arial Narrow"/>
        </w:rPr>
        <w:t xml:space="preserve"> Alnylam Pharmaceuticals. Data on File. Data Update Report 1. Open Label Extension Study (Patisiran). Cambridge, MA: 2021.</w:t>
      </w:r>
    </w:p>
  </w:footnote>
  <w:footnote w:id="13">
    <w:p w14:paraId="56ECE769" w14:textId="3E094191" w:rsidR="00D82049" w:rsidRDefault="00D82049" w:rsidP="00D82049">
      <w:pPr>
        <w:pStyle w:val="FootnoteText"/>
      </w:pPr>
      <w:r w:rsidRPr="00D14B8B">
        <w:rPr>
          <w:rStyle w:val="FootnoteReference"/>
          <w:rFonts w:ascii="Arial Narrow" w:hAnsi="Arial Narrow"/>
        </w:rPr>
        <w:footnoteRef/>
      </w:r>
      <w:r w:rsidRPr="00D14B8B">
        <w:rPr>
          <w:rFonts w:ascii="Arial Narrow" w:hAnsi="Arial Narrow"/>
        </w:rPr>
        <w:t xml:space="preserve"> </w:t>
      </w:r>
      <w:r w:rsidRPr="00D14B8B">
        <w:rPr>
          <w:rFonts w:ascii="Arial Narrow" w:hAnsi="Arial Narrow"/>
          <w:lang w:val="en-GB"/>
        </w:rPr>
        <w:t xml:space="preserve">Clinicaltrials.gov. ConTTRibute: A Global Observational Study of Patients With Transthyretin (TTR)-Mediated Amyloidosis (ATTR Amyloidosis) (ConTTRibute) (NCT04561518). </w:t>
      </w:r>
      <w:hyperlink r:id="rId8" w:history="1">
        <w:r w:rsidRPr="00D14B8B">
          <w:rPr>
            <w:rStyle w:val="Hyperlink"/>
            <w:rFonts w:ascii="Arial Narrow" w:hAnsi="Arial Narrow"/>
          </w:rPr>
          <w:t>https://classic.clinicaltrials.gov/ct2/show/NCT04561518</w:t>
        </w:r>
      </w:hyperlink>
      <w:r w:rsidRPr="00D14B8B">
        <w:rPr>
          <w:rFonts w:ascii="Arial Narrow" w:hAnsi="Arial Narrow"/>
          <w:lang w:val="en-GB"/>
        </w:rPr>
        <w:t>.</w:t>
      </w:r>
    </w:p>
  </w:footnote>
  <w:footnote w:id="14">
    <w:p w14:paraId="268E4A23" w14:textId="77777777" w:rsidR="00DD7590" w:rsidRPr="00781687" w:rsidRDefault="00DD7590" w:rsidP="00DD7590">
      <w:pPr>
        <w:pStyle w:val="FootnoteText"/>
        <w:rPr>
          <w:rFonts w:ascii="Arial Narrow" w:hAnsi="Arial Narrow"/>
        </w:rPr>
      </w:pPr>
      <w:r w:rsidRPr="00781687">
        <w:rPr>
          <w:rStyle w:val="FootnoteReference"/>
          <w:rFonts w:ascii="Arial Narrow" w:hAnsi="Arial Narrow"/>
        </w:rPr>
        <w:footnoteRef/>
      </w:r>
      <w:r w:rsidRPr="00781687">
        <w:rPr>
          <w:rFonts w:ascii="Arial Narrow" w:hAnsi="Arial Narrow"/>
        </w:rPr>
        <w:t xml:space="preserve"> Adams D. Recent advances in the treatment of familial amyloid polyneuropathy. Ther Adv Neurol Disord. 2013 Mar;6(2):129-39.</w:t>
      </w:r>
    </w:p>
  </w:footnote>
  <w:footnote w:id="15">
    <w:p w14:paraId="3BBEEFC4" w14:textId="77777777" w:rsidR="00DD7590" w:rsidRPr="00781687" w:rsidRDefault="00DD7590" w:rsidP="00DD7590">
      <w:pPr>
        <w:pStyle w:val="FootnoteText"/>
        <w:rPr>
          <w:rFonts w:ascii="Arial Narrow" w:hAnsi="Arial Narrow"/>
        </w:rPr>
      </w:pPr>
      <w:r w:rsidRPr="00781687">
        <w:rPr>
          <w:rStyle w:val="FootnoteReference"/>
          <w:rFonts w:ascii="Arial Narrow" w:hAnsi="Arial Narrow"/>
        </w:rPr>
        <w:footnoteRef/>
      </w:r>
      <w:r w:rsidRPr="00781687">
        <w:rPr>
          <w:rFonts w:ascii="Arial Narrow" w:hAnsi="Arial Narrow"/>
        </w:rPr>
        <w:t xml:space="preserve"> American Heart Association. Classes and Stages of Heart Failure. 2023; </w:t>
      </w:r>
      <w:hyperlink r:id="rId9" w:history="1">
        <w:r w:rsidRPr="00781687">
          <w:rPr>
            <w:rStyle w:val="Hyperlink"/>
            <w:rFonts w:ascii="Arial Narrow" w:hAnsi="Arial Narrow"/>
          </w:rPr>
          <w:t>https://www.heart.org/en/health-topics/heart-failure/what-is-heart-failure/classes-of-heart-failure</w:t>
        </w:r>
      </w:hyperlink>
      <w:r w:rsidRPr="00781687">
        <w:rPr>
          <w:rFonts w:ascii="Arial Narrow" w:hAnsi="Arial Narrow"/>
        </w:rPr>
        <w:t xml:space="preserve">. </w:t>
      </w:r>
    </w:p>
  </w:footnote>
  <w:footnote w:id="16">
    <w:p w14:paraId="2700FDE2" w14:textId="77777777" w:rsidR="00DD7590" w:rsidRPr="00D14B8B" w:rsidRDefault="00DD7590" w:rsidP="00DD7590">
      <w:pPr>
        <w:pStyle w:val="FootnoteText"/>
        <w:rPr>
          <w:rFonts w:ascii="Arial Narrow" w:hAnsi="Arial Narrow"/>
        </w:rPr>
      </w:pPr>
      <w:r w:rsidRPr="00D14B8B">
        <w:rPr>
          <w:rStyle w:val="FootnoteReference"/>
          <w:rFonts w:ascii="Arial Narrow" w:hAnsi="Arial Narrow"/>
        </w:rPr>
        <w:footnoteRef/>
      </w:r>
      <w:r w:rsidRPr="00D14B8B">
        <w:rPr>
          <w:rFonts w:ascii="Arial Narrow" w:hAnsi="Arial Narrow"/>
        </w:rPr>
        <w:t xml:space="preserve"> Alnylam Pharmaceuticals. Data on File. Data Update Report 1. Open Label Extension Study (Patisiran). Cambridge, MA: 2021.</w:t>
      </w:r>
    </w:p>
  </w:footnote>
  <w:footnote w:id="17">
    <w:p w14:paraId="6C188C1C" w14:textId="77777777" w:rsidR="00DD7590" w:rsidRDefault="00DD7590" w:rsidP="00DD7590">
      <w:pPr>
        <w:pStyle w:val="FootnoteText"/>
      </w:pPr>
      <w:r w:rsidRPr="00D14B8B">
        <w:rPr>
          <w:rStyle w:val="FootnoteReference"/>
          <w:rFonts w:ascii="Arial Narrow" w:hAnsi="Arial Narrow"/>
        </w:rPr>
        <w:footnoteRef/>
      </w:r>
      <w:r w:rsidRPr="00D14B8B">
        <w:rPr>
          <w:rFonts w:ascii="Arial Narrow" w:hAnsi="Arial Narrow"/>
        </w:rPr>
        <w:t xml:space="preserve"> </w:t>
      </w:r>
      <w:r w:rsidRPr="00D14B8B">
        <w:rPr>
          <w:rFonts w:ascii="Arial Narrow" w:hAnsi="Arial Narrow"/>
          <w:lang w:val="en-GB"/>
        </w:rPr>
        <w:t>Clinicaltrials.gov. ConTTRibute: A Global Observational Study of Patients With Transthyretin (TTR)-Mediated Amyloidosis (ATTR Amyloidosis) (ConTTRibute) (NCT04561518)</w:t>
      </w:r>
      <w:r>
        <w:rPr>
          <w:rFonts w:ascii="Arial Narrow" w:hAnsi="Arial Narrow"/>
          <w:lang w:val="en-GB"/>
        </w:rPr>
        <w:t xml:space="preserve">. </w:t>
      </w:r>
      <w:hyperlink r:id="rId10" w:history="1">
        <w:r w:rsidRPr="00D14B8B">
          <w:rPr>
            <w:rStyle w:val="Hyperlink"/>
            <w:rFonts w:ascii="Arial Narrow" w:hAnsi="Arial Narrow"/>
          </w:rPr>
          <w:t>https://classic.clinicaltrials.gov/ct2/show/NCT04561518</w:t>
        </w:r>
      </w:hyperlink>
      <w:r w:rsidRPr="00D14B8B">
        <w:rPr>
          <w:rFonts w:ascii="Arial Narrow" w:hAnsi="Arial Narrow"/>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F380" w14:textId="77777777" w:rsidR="00613477" w:rsidRDefault="00613477">
    <w:pPr>
      <w:pStyle w:val="Header"/>
    </w:pPr>
  </w:p>
  <w:p w14:paraId="58C45867" w14:textId="77777777" w:rsidR="00613477" w:rsidRDefault="006134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1FF3" w14:textId="436F5515" w:rsidR="00613477" w:rsidRPr="007D3A89" w:rsidRDefault="00FC79A0" w:rsidP="007D3A89">
    <w:pPr>
      <w:keepNext/>
      <w:tabs>
        <w:tab w:val="center" w:pos="4513"/>
        <w:tab w:val="right" w:pos="9026"/>
      </w:tabs>
      <w:jc w:val="center"/>
      <w:rPr>
        <w:rFonts w:asciiTheme="minorHAnsi" w:hAnsiTheme="minorHAnsi"/>
        <w:i/>
        <w:color w:val="808080"/>
      </w:rPr>
    </w:pPr>
    <w:r>
      <w:rPr>
        <w:rFonts w:asciiTheme="minorHAnsi" w:hAnsiTheme="minorHAnsi"/>
        <w:i/>
        <w:color w:val="808080"/>
      </w:rPr>
      <w:t>Public Summary Document</w:t>
    </w:r>
    <w:r w:rsidR="00230CBC" w:rsidRPr="004D11AB">
      <w:rPr>
        <w:rFonts w:asciiTheme="minorHAnsi" w:hAnsiTheme="minorHAnsi"/>
        <w:i/>
        <w:color w:val="808080"/>
      </w:rPr>
      <w:t xml:space="preserve"> </w:t>
    </w:r>
    <w:r>
      <w:rPr>
        <w:rFonts w:asciiTheme="minorHAnsi" w:hAnsiTheme="minorHAnsi"/>
        <w:i/>
        <w:color w:val="808080"/>
      </w:rPr>
      <w:t>–</w:t>
    </w:r>
    <w:r w:rsidR="00230CBC" w:rsidRPr="004D11AB">
      <w:rPr>
        <w:rFonts w:asciiTheme="minorHAnsi" w:hAnsiTheme="minorHAnsi"/>
        <w:i/>
        <w:color w:val="808080"/>
      </w:rPr>
      <w:t xml:space="preserve"> July 2023 PBAC Meeting</w:t>
    </w:r>
    <w:r w:rsidR="00DD7590">
      <w:rPr>
        <w:rFonts w:asciiTheme="minorHAnsi" w:hAnsiTheme="minorHAnsi"/>
        <w:i/>
        <w:color w:val="808080"/>
      </w:rPr>
      <w:t>,</w:t>
    </w:r>
    <w:r w:rsidR="00D82049">
      <w:rPr>
        <w:rFonts w:asciiTheme="minorHAnsi" w:hAnsiTheme="minorHAnsi"/>
        <w:i/>
        <w:color w:val="808080"/>
      </w:rPr>
      <w:t xml:space="preserve"> September </w:t>
    </w:r>
    <w:r w:rsidR="00DE52B8">
      <w:rPr>
        <w:rFonts w:asciiTheme="minorHAnsi" w:hAnsiTheme="minorHAnsi"/>
        <w:i/>
        <w:color w:val="808080"/>
      </w:rPr>
      <w:t>2023,</w:t>
    </w:r>
    <w:r w:rsidR="00D82049">
      <w:rPr>
        <w:rFonts w:asciiTheme="minorHAnsi" w:hAnsiTheme="minorHAnsi"/>
        <w:i/>
        <w:color w:val="808080"/>
      </w:rPr>
      <w:t xml:space="preserve"> </w:t>
    </w:r>
    <w:r w:rsidR="00DD7590">
      <w:rPr>
        <w:rFonts w:asciiTheme="minorHAnsi" w:hAnsiTheme="minorHAnsi"/>
        <w:i/>
        <w:color w:val="808080"/>
      </w:rPr>
      <w:t xml:space="preserve">and December 2023 </w:t>
    </w:r>
    <w:r w:rsidR="00D82049">
      <w:rPr>
        <w:rFonts w:asciiTheme="minorHAnsi" w:hAnsiTheme="minorHAnsi"/>
        <w:i/>
        <w:color w:val="808080"/>
      </w:rPr>
      <w:t>Addendum</w:t>
    </w:r>
  </w:p>
  <w:p w14:paraId="4E649FF4" w14:textId="77777777" w:rsidR="00613477" w:rsidRDefault="00613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1C4A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612E7"/>
    <w:multiLevelType w:val="multilevel"/>
    <w:tmpl w:val="3D6A545A"/>
    <w:styleLink w:val="HeadingsVM"/>
    <w:lvl w:ilvl="0">
      <w:start w:val="1"/>
      <w:numFmt w:val="decimal"/>
      <w:pStyle w:val="HeadingVM1"/>
      <w:lvlText w:val="VM %1"/>
      <w:lvlJc w:val="left"/>
      <w:pPr>
        <w:ind w:left="1134" w:hanging="1134"/>
      </w:pPr>
      <w:rPr>
        <w:rFonts w:asciiTheme="majorHAnsi" w:hAnsiTheme="majorHAnsi" w:hint="default"/>
      </w:rPr>
    </w:lvl>
    <w:lvl w:ilvl="1">
      <w:start w:val="1"/>
      <w:numFmt w:val="decimal"/>
      <w:pStyle w:val="HeadingVM2"/>
      <w:lvlText w:val="VM %1.%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B7E31"/>
    <w:multiLevelType w:val="hybridMultilevel"/>
    <w:tmpl w:val="9338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11B09"/>
    <w:multiLevelType w:val="hybridMultilevel"/>
    <w:tmpl w:val="E4F8C43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945B3D"/>
    <w:multiLevelType w:val="hybridMultilevel"/>
    <w:tmpl w:val="E4F8C438"/>
    <w:lvl w:ilvl="0" w:tplc="796CAB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35511"/>
    <w:multiLevelType w:val="hybridMultilevel"/>
    <w:tmpl w:val="6CACA282"/>
    <w:lvl w:ilvl="0" w:tplc="4DBA3026">
      <w:start w:val="1"/>
      <w:numFmt w:val="bullet"/>
      <w:lvlText w:val="-"/>
      <w:lvlJc w:val="left"/>
      <w:pPr>
        <w:ind w:left="720" w:hanging="360"/>
      </w:pPr>
      <w:rPr>
        <w:rFonts w:ascii="Arial Narrow" w:eastAsiaTheme="majorEastAsia" w:hAnsi="Arial Narrow"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9A5F73"/>
    <w:multiLevelType w:val="multilevel"/>
    <w:tmpl w:val="419A3F72"/>
    <w:styleLink w:val="BulletsforTables"/>
    <w:lvl w:ilvl="0">
      <w:start w:val="1"/>
      <w:numFmt w:val="bullet"/>
      <w:lvlText w:val=""/>
      <w:lvlJc w:val="left"/>
      <w:pPr>
        <w:ind w:left="340" w:hanging="17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680" w:hanging="170"/>
      </w:pPr>
      <w:rPr>
        <w:rFonts w:ascii="Symbol" w:hAnsi="Symbol" w:hint="default"/>
        <w:color w:val="auto"/>
      </w:rPr>
    </w:lvl>
    <w:lvl w:ilvl="3">
      <w:start w:val="1"/>
      <w:numFmt w:val="bullet"/>
      <w:lvlText w:val=""/>
      <w:lvlJc w:val="left"/>
      <w:pPr>
        <w:ind w:left="850" w:hanging="170"/>
      </w:pPr>
      <w:rPr>
        <w:rFonts w:ascii="Symbol" w:hAnsi="Symbol" w:hint="default"/>
        <w:color w:val="auto"/>
      </w:rPr>
    </w:lvl>
    <w:lvl w:ilvl="4">
      <w:start w:val="1"/>
      <w:numFmt w:val="bullet"/>
      <w:lvlText w:val=""/>
      <w:lvlJc w:val="left"/>
      <w:pPr>
        <w:ind w:left="1020" w:hanging="170"/>
      </w:pPr>
      <w:rPr>
        <w:rFonts w:ascii="Symbol" w:hAnsi="Symbol" w:hint="default"/>
        <w:color w:val="auto"/>
      </w:rPr>
    </w:lvl>
    <w:lvl w:ilvl="5">
      <w:start w:val="1"/>
      <w:numFmt w:val="bullet"/>
      <w:lvlText w:val=""/>
      <w:lvlJc w:val="left"/>
      <w:pPr>
        <w:ind w:left="1190" w:hanging="170"/>
      </w:pPr>
      <w:rPr>
        <w:rFonts w:ascii="Symbol" w:hAnsi="Symbol" w:hint="default"/>
        <w:color w:val="auto"/>
      </w:rPr>
    </w:lvl>
    <w:lvl w:ilvl="6">
      <w:start w:val="1"/>
      <w:numFmt w:val="bullet"/>
      <w:lvlText w:val=""/>
      <w:lvlJc w:val="left"/>
      <w:pPr>
        <w:ind w:left="1360" w:hanging="170"/>
      </w:pPr>
      <w:rPr>
        <w:rFonts w:ascii="Symbol" w:hAnsi="Symbol" w:hint="default"/>
        <w:color w:val="auto"/>
      </w:rPr>
    </w:lvl>
    <w:lvl w:ilvl="7">
      <w:start w:val="1"/>
      <w:numFmt w:val="bullet"/>
      <w:lvlText w:val=""/>
      <w:lvlJc w:val="left"/>
      <w:pPr>
        <w:ind w:left="1530" w:hanging="170"/>
      </w:pPr>
      <w:rPr>
        <w:rFonts w:ascii="Symbol" w:hAnsi="Symbol" w:hint="default"/>
        <w:color w:val="auto"/>
      </w:rPr>
    </w:lvl>
    <w:lvl w:ilvl="8">
      <w:start w:val="1"/>
      <w:numFmt w:val="bullet"/>
      <w:lvlText w:val=""/>
      <w:lvlJc w:val="left"/>
      <w:pPr>
        <w:ind w:left="1700" w:hanging="170"/>
      </w:pPr>
      <w:rPr>
        <w:rFonts w:ascii="Symbol" w:hAnsi="Symbol" w:hint="default"/>
        <w:color w:val="auto"/>
      </w:rPr>
    </w:lvl>
  </w:abstractNum>
  <w:abstractNum w:abstractNumId="11"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B1772"/>
    <w:multiLevelType w:val="hybridMultilevel"/>
    <w:tmpl w:val="34D896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3BE2D2B"/>
    <w:multiLevelType w:val="hybridMultilevel"/>
    <w:tmpl w:val="FF5C2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4D033C"/>
    <w:multiLevelType w:val="multilevel"/>
    <w:tmpl w:val="0D585F7A"/>
    <w:lvl w:ilvl="0">
      <w:start w:val="1"/>
      <w:numFmt w:val="decimal"/>
      <w:pStyle w:val="COMH1numbered"/>
      <w:lvlText w:val="%1"/>
      <w:lvlJc w:val="left"/>
      <w:pPr>
        <w:ind w:left="720" w:hanging="720"/>
      </w:pPr>
      <w:rPr>
        <w:rFonts w:hint="default"/>
        <w:b/>
      </w:rPr>
    </w:lvl>
    <w:lvl w:ilvl="1">
      <w:start w:val="6"/>
      <w:numFmt w:val="decimal"/>
      <w:pStyle w:val="COMexecsumnumberedpara"/>
      <w:lvlText w:val="%1.%2"/>
      <w:lvlJc w:val="left"/>
      <w:pPr>
        <w:ind w:left="720" w:hanging="720"/>
      </w:pPr>
      <w:rPr>
        <w:rFonts w:asciiTheme="minorHAnsi" w:hAnsiTheme="minorHAnsi" w:cstheme="minorHAnsi" w:hint="default"/>
        <w:color w:val="auto"/>
        <w:sz w:val="24"/>
        <w:szCs w:val="24"/>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03204057">
    <w:abstractNumId w:val="16"/>
  </w:num>
  <w:num w:numId="2" w16cid:durableId="1157768500">
    <w:abstractNumId w:val="11"/>
  </w:num>
  <w:num w:numId="3" w16cid:durableId="2055537252">
    <w:abstractNumId w:val="12"/>
  </w:num>
  <w:num w:numId="4" w16cid:durableId="1923097247">
    <w:abstractNumId w:val="0"/>
  </w:num>
  <w:num w:numId="5" w16cid:durableId="1301879058">
    <w:abstractNumId w:val="4"/>
  </w:num>
  <w:num w:numId="6" w16cid:durableId="801726455">
    <w:abstractNumId w:val="9"/>
  </w:num>
  <w:num w:numId="7" w16cid:durableId="378164563">
    <w:abstractNumId w:val="5"/>
  </w:num>
  <w:num w:numId="8" w16cid:durableId="357201378">
    <w:abstractNumId w:val="14"/>
  </w:num>
  <w:num w:numId="9" w16cid:durableId="1819347304">
    <w:abstractNumId w:val="13"/>
  </w:num>
  <w:num w:numId="10" w16cid:durableId="1665476901">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881349">
    <w:abstractNumId w:val="6"/>
  </w:num>
  <w:num w:numId="12" w16cid:durableId="2072120552">
    <w:abstractNumId w:val="3"/>
  </w:num>
  <w:num w:numId="13" w16cid:durableId="968826047">
    <w:abstractNumId w:val="16"/>
  </w:num>
  <w:num w:numId="14" w16cid:durableId="669410307">
    <w:abstractNumId w:val="16"/>
  </w:num>
  <w:num w:numId="15" w16cid:durableId="1377049419">
    <w:abstractNumId w:val="16"/>
  </w:num>
  <w:num w:numId="16" w16cid:durableId="1685476062">
    <w:abstractNumId w:val="16"/>
  </w:num>
  <w:num w:numId="17" w16cid:durableId="105199383">
    <w:abstractNumId w:val="8"/>
  </w:num>
  <w:num w:numId="18" w16cid:durableId="977031894">
    <w:abstractNumId w:val="7"/>
  </w:num>
  <w:num w:numId="19" w16cid:durableId="932010027">
    <w:abstractNumId w:val="16"/>
  </w:num>
  <w:num w:numId="20" w16cid:durableId="1192844926">
    <w:abstractNumId w:val="16"/>
  </w:num>
  <w:num w:numId="21" w16cid:durableId="1910647564">
    <w:abstractNumId w:val="16"/>
  </w:num>
  <w:num w:numId="22" w16cid:durableId="1925450930">
    <w:abstractNumId w:val="16"/>
  </w:num>
  <w:num w:numId="23" w16cid:durableId="2085059712">
    <w:abstractNumId w:val="12"/>
  </w:num>
  <w:num w:numId="24" w16cid:durableId="777719315">
    <w:abstractNumId w:val="16"/>
  </w:num>
  <w:num w:numId="25" w16cid:durableId="1310748446">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30344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245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836398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286049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429723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33547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7782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4593675">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207067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31851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667050">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0800478">
    <w:abstractNumId w:val="15"/>
  </w:num>
  <w:num w:numId="38" w16cid:durableId="269706309">
    <w:abstractNumId w:val="10"/>
  </w:num>
  <w:num w:numId="39" w16cid:durableId="1758818465">
    <w:abstractNumId w:val="1"/>
  </w:num>
  <w:num w:numId="40" w16cid:durableId="10891608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357851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661472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895947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064988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0760800">
    <w:abstractNumId w:val="2"/>
  </w:num>
  <w:num w:numId="46" w16cid:durableId="980036278">
    <w:abstractNumId w:val="16"/>
  </w:num>
  <w:num w:numId="47" w16cid:durableId="124579899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BC"/>
    <w:rsid w:val="00004CB2"/>
    <w:rsid w:val="000101C1"/>
    <w:rsid w:val="00015FA4"/>
    <w:rsid w:val="0002212F"/>
    <w:rsid w:val="0002609B"/>
    <w:rsid w:val="0003193A"/>
    <w:rsid w:val="00033E80"/>
    <w:rsid w:val="00042B2E"/>
    <w:rsid w:val="00050C43"/>
    <w:rsid w:val="000634D5"/>
    <w:rsid w:val="00064C5B"/>
    <w:rsid w:val="00065526"/>
    <w:rsid w:val="00071B64"/>
    <w:rsid w:val="000730AD"/>
    <w:rsid w:val="0007600A"/>
    <w:rsid w:val="0009645D"/>
    <w:rsid w:val="000A0DE6"/>
    <w:rsid w:val="000A7F6B"/>
    <w:rsid w:val="000B6CF0"/>
    <w:rsid w:val="000C05F6"/>
    <w:rsid w:val="000C401D"/>
    <w:rsid w:val="000C55EA"/>
    <w:rsid w:val="000C7DDB"/>
    <w:rsid w:val="000D0BD0"/>
    <w:rsid w:val="000D1A65"/>
    <w:rsid w:val="000F32E7"/>
    <w:rsid w:val="00101EDF"/>
    <w:rsid w:val="001030A5"/>
    <w:rsid w:val="00104E29"/>
    <w:rsid w:val="00106CAD"/>
    <w:rsid w:val="00106D43"/>
    <w:rsid w:val="00115775"/>
    <w:rsid w:val="0012165B"/>
    <w:rsid w:val="0014071D"/>
    <w:rsid w:val="00142589"/>
    <w:rsid w:val="00162966"/>
    <w:rsid w:val="00175048"/>
    <w:rsid w:val="00177F7A"/>
    <w:rsid w:val="001C11F0"/>
    <w:rsid w:val="001C26A4"/>
    <w:rsid w:val="001D1611"/>
    <w:rsid w:val="001D463B"/>
    <w:rsid w:val="001D7B74"/>
    <w:rsid w:val="001E3B40"/>
    <w:rsid w:val="001F3CB1"/>
    <w:rsid w:val="00201A36"/>
    <w:rsid w:val="00204E7C"/>
    <w:rsid w:val="0020528C"/>
    <w:rsid w:val="00211C44"/>
    <w:rsid w:val="00227AE8"/>
    <w:rsid w:val="00230CBC"/>
    <w:rsid w:val="00233EF9"/>
    <w:rsid w:val="002343A9"/>
    <w:rsid w:val="00235446"/>
    <w:rsid w:val="00253DD6"/>
    <w:rsid w:val="00261946"/>
    <w:rsid w:val="00263C9B"/>
    <w:rsid w:val="00274291"/>
    <w:rsid w:val="00296EFE"/>
    <w:rsid w:val="002A37AD"/>
    <w:rsid w:val="002B0167"/>
    <w:rsid w:val="002B24FB"/>
    <w:rsid w:val="002C17A3"/>
    <w:rsid w:val="002C436F"/>
    <w:rsid w:val="002C4DC0"/>
    <w:rsid w:val="002D0610"/>
    <w:rsid w:val="00303640"/>
    <w:rsid w:val="00304E4A"/>
    <w:rsid w:val="00321D3A"/>
    <w:rsid w:val="00324DCA"/>
    <w:rsid w:val="003308EB"/>
    <w:rsid w:val="00331793"/>
    <w:rsid w:val="00343AC9"/>
    <w:rsid w:val="003502F4"/>
    <w:rsid w:val="00351D04"/>
    <w:rsid w:val="00356155"/>
    <w:rsid w:val="003629A5"/>
    <w:rsid w:val="0038178F"/>
    <w:rsid w:val="00383501"/>
    <w:rsid w:val="00394039"/>
    <w:rsid w:val="003946B4"/>
    <w:rsid w:val="003B2738"/>
    <w:rsid w:val="003C644E"/>
    <w:rsid w:val="003C6E0A"/>
    <w:rsid w:val="003D4D6E"/>
    <w:rsid w:val="003F0BF2"/>
    <w:rsid w:val="003F4735"/>
    <w:rsid w:val="003F7CE3"/>
    <w:rsid w:val="00403A9E"/>
    <w:rsid w:val="0043222B"/>
    <w:rsid w:val="00451648"/>
    <w:rsid w:val="00455D1A"/>
    <w:rsid w:val="00467159"/>
    <w:rsid w:val="0047290F"/>
    <w:rsid w:val="004853DA"/>
    <w:rsid w:val="004A05CE"/>
    <w:rsid w:val="004A6333"/>
    <w:rsid w:val="004B1A74"/>
    <w:rsid w:val="004C159E"/>
    <w:rsid w:val="004C339A"/>
    <w:rsid w:val="004C4DC5"/>
    <w:rsid w:val="004D0775"/>
    <w:rsid w:val="004E311A"/>
    <w:rsid w:val="00512F3E"/>
    <w:rsid w:val="005227A3"/>
    <w:rsid w:val="005251DE"/>
    <w:rsid w:val="00536818"/>
    <w:rsid w:val="00556A86"/>
    <w:rsid w:val="00557CD8"/>
    <w:rsid w:val="00563258"/>
    <w:rsid w:val="005721D3"/>
    <w:rsid w:val="00580A33"/>
    <w:rsid w:val="00590148"/>
    <w:rsid w:val="0059433B"/>
    <w:rsid w:val="005958D9"/>
    <w:rsid w:val="005A6F06"/>
    <w:rsid w:val="005A7C0E"/>
    <w:rsid w:val="005C2798"/>
    <w:rsid w:val="005C47D7"/>
    <w:rsid w:val="005D35AA"/>
    <w:rsid w:val="005E093D"/>
    <w:rsid w:val="005E520F"/>
    <w:rsid w:val="005F2B51"/>
    <w:rsid w:val="005F342F"/>
    <w:rsid w:val="00613477"/>
    <w:rsid w:val="00617FD0"/>
    <w:rsid w:val="006222BE"/>
    <w:rsid w:val="0064300E"/>
    <w:rsid w:val="00664D22"/>
    <w:rsid w:val="0066610E"/>
    <w:rsid w:val="00672BBD"/>
    <w:rsid w:val="00675048"/>
    <w:rsid w:val="00677DB4"/>
    <w:rsid w:val="00681F84"/>
    <w:rsid w:val="00683918"/>
    <w:rsid w:val="00683D4D"/>
    <w:rsid w:val="00693B61"/>
    <w:rsid w:val="006A12EC"/>
    <w:rsid w:val="006A29AA"/>
    <w:rsid w:val="006C2739"/>
    <w:rsid w:val="006D23F7"/>
    <w:rsid w:val="006E1A0D"/>
    <w:rsid w:val="006E77A9"/>
    <w:rsid w:val="006F14C7"/>
    <w:rsid w:val="00700D29"/>
    <w:rsid w:val="0070365E"/>
    <w:rsid w:val="007058FC"/>
    <w:rsid w:val="007117C7"/>
    <w:rsid w:val="00724911"/>
    <w:rsid w:val="00724E12"/>
    <w:rsid w:val="00725B4C"/>
    <w:rsid w:val="00727CBE"/>
    <w:rsid w:val="007431DF"/>
    <w:rsid w:val="00746888"/>
    <w:rsid w:val="00750C9E"/>
    <w:rsid w:val="0075554A"/>
    <w:rsid w:val="00762E76"/>
    <w:rsid w:val="00770060"/>
    <w:rsid w:val="0078463B"/>
    <w:rsid w:val="007A17D6"/>
    <w:rsid w:val="007A69FB"/>
    <w:rsid w:val="007B05CF"/>
    <w:rsid w:val="007B4D3D"/>
    <w:rsid w:val="007C3D56"/>
    <w:rsid w:val="007E075A"/>
    <w:rsid w:val="007F7FB3"/>
    <w:rsid w:val="008025CF"/>
    <w:rsid w:val="00806472"/>
    <w:rsid w:val="00807F1F"/>
    <w:rsid w:val="00820689"/>
    <w:rsid w:val="008244F3"/>
    <w:rsid w:val="00831B28"/>
    <w:rsid w:val="0083636F"/>
    <w:rsid w:val="00837180"/>
    <w:rsid w:val="0084729A"/>
    <w:rsid w:val="00850154"/>
    <w:rsid w:val="00850577"/>
    <w:rsid w:val="00851A75"/>
    <w:rsid w:val="008551A5"/>
    <w:rsid w:val="00891170"/>
    <w:rsid w:val="008A255E"/>
    <w:rsid w:val="008A668A"/>
    <w:rsid w:val="008A780C"/>
    <w:rsid w:val="008B20BC"/>
    <w:rsid w:val="008B2772"/>
    <w:rsid w:val="008B3127"/>
    <w:rsid w:val="008B4CC7"/>
    <w:rsid w:val="008B4CCC"/>
    <w:rsid w:val="008B6556"/>
    <w:rsid w:val="008B6E9D"/>
    <w:rsid w:val="008E1205"/>
    <w:rsid w:val="00903C04"/>
    <w:rsid w:val="00923B9F"/>
    <w:rsid w:val="00935C39"/>
    <w:rsid w:val="009431FE"/>
    <w:rsid w:val="00944B02"/>
    <w:rsid w:val="00957F9E"/>
    <w:rsid w:val="00965874"/>
    <w:rsid w:val="0097243F"/>
    <w:rsid w:val="009776B5"/>
    <w:rsid w:val="00983397"/>
    <w:rsid w:val="009866CF"/>
    <w:rsid w:val="009926F6"/>
    <w:rsid w:val="00993FCB"/>
    <w:rsid w:val="009944F6"/>
    <w:rsid w:val="009953AE"/>
    <w:rsid w:val="009A2CC5"/>
    <w:rsid w:val="009B0FC8"/>
    <w:rsid w:val="009B466A"/>
    <w:rsid w:val="009C520D"/>
    <w:rsid w:val="009D412D"/>
    <w:rsid w:val="009D4F8D"/>
    <w:rsid w:val="009E20E5"/>
    <w:rsid w:val="009E7191"/>
    <w:rsid w:val="009F4992"/>
    <w:rsid w:val="00A0703E"/>
    <w:rsid w:val="00A117FC"/>
    <w:rsid w:val="00A31FC8"/>
    <w:rsid w:val="00A35D36"/>
    <w:rsid w:val="00A4449C"/>
    <w:rsid w:val="00A66278"/>
    <w:rsid w:val="00A80097"/>
    <w:rsid w:val="00A81526"/>
    <w:rsid w:val="00A85BB3"/>
    <w:rsid w:val="00A86063"/>
    <w:rsid w:val="00A96E59"/>
    <w:rsid w:val="00AB2BEC"/>
    <w:rsid w:val="00AB6E62"/>
    <w:rsid w:val="00AC5845"/>
    <w:rsid w:val="00AD6205"/>
    <w:rsid w:val="00AE3B17"/>
    <w:rsid w:val="00AE3EA2"/>
    <w:rsid w:val="00AE5881"/>
    <w:rsid w:val="00AF00B5"/>
    <w:rsid w:val="00B030AD"/>
    <w:rsid w:val="00B1094D"/>
    <w:rsid w:val="00B16440"/>
    <w:rsid w:val="00B44C8F"/>
    <w:rsid w:val="00B53DDD"/>
    <w:rsid w:val="00B61C69"/>
    <w:rsid w:val="00B626A0"/>
    <w:rsid w:val="00B71B78"/>
    <w:rsid w:val="00B80329"/>
    <w:rsid w:val="00B94620"/>
    <w:rsid w:val="00B947BF"/>
    <w:rsid w:val="00B96058"/>
    <w:rsid w:val="00BA1F73"/>
    <w:rsid w:val="00BA4519"/>
    <w:rsid w:val="00BB5BF9"/>
    <w:rsid w:val="00BC11FF"/>
    <w:rsid w:val="00BC4325"/>
    <w:rsid w:val="00BC78FD"/>
    <w:rsid w:val="00BD2F36"/>
    <w:rsid w:val="00BE5ABA"/>
    <w:rsid w:val="00BE5CD8"/>
    <w:rsid w:val="00C06097"/>
    <w:rsid w:val="00C15C55"/>
    <w:rsid w:val="00C31834"/>
    <w:rsid w:val="00C32168"/>
    <w:rsid w:val="00C37F8D"/>
    <w:rsid w:val="00C66247"/>
    <w:rsid w:val="00C67767"/>
    <w:rsid w:val="00C726E2"/>
    <w:rsid w:val="00C959B1"/>
    <w:rsid w:val="00CA2A20"/>
    <w:rsid w:val="00CA2ED1"/>
    <w:rsid w:val="00CB1A62"/>
    <w:rsid w:val="00CC4F7C"/>
    <w:rsid w:val="00CD319F"/>
    <w:rsid w:val="00CD7A24"/>
    <w:rsid w:val="00CE1A1D"/>
    <w:rsid w:val="00D02FF7"/>
    <w:rsid w:val="00D04890"/>
    <w:rsid w:val="00D2467F"/>
    <w:rsid w:val="00D32534"/>
    <w:rsid w:val="00D341A9"/>
    <w:rsid w:val="00D35BF3"/>
    <w:rsid w:val="00D4316D"/>
    <w:rsid w:val="00D4347F"/>
    <w:rsid w:val="00D456F5"/>
    <w:rsid w:val="00D64B57"/>
    <w:rsid w:val="00D66251"/>
    <w:rsid w:val="00D7061F"/>
    <w:rsid w:val="00D82049"/>
    <w:rsid w:val="00D8232B"/>
    <w:rsid w:val="00D91EEF"/>
    <w:rsid w:val="00D9297E"/>
    <w:rsid w:val="00DA0EA9"/>
    <w:rsid w:val="00DA14F9"/>
    <w:rsid w:val="00DA1D61"/>
    <w:rsid w:val="00DA344F"/>
    <w:rsid w:val="00DD52FE"/>
    <w:rsid w:val="00DD7590"/>
    <w:rsid w:val="00DE52B8"/>
    <w:rsid w:val="00E14108"/>
    <w:rsid w:val="00E455DD"/>
    <w:rsid w:val="00E57E59"/>
    <w:rsid w:val="00E616AE"/>
    <w:rsid w:val="00E7110A"/>
    <w:rsid w:val="00E74363"/>
    <w:rsid w:val="00E76F17"/>
    <w:rsid w:val="00E82C1A"/>
    <w:rsid w:val="00E93055"/>
    <w:rsid w:val="00EB40BD"/>
    <w:rsid w:val="00EC3F0E"/>
    <w:rsid w:val="00ED0DCA"/>
    <w:rsid w:val="00ED2F6E"/>
    <w:rsid w:val="00ED378E"/>
    <w:rsid w:val="00EE4999"/>
    <w:rsid w:val="00F0235E"/>
    <w:rsid w:val="00F07E6E"/>
    <w:rsid w:val="00F126D4"/>
    <w:rsid w:val="00F27B5E"/>
    <w:rsid w:val="00F30AB1"/>
    <w:rsid w:val="00F45F60"/>
    <w:rsid w:val="00F51BD3"/>
    <w:rsid w:val="00F53355"/>
    <w:rsid w:val="00F75402"/>
    <w:rsid w:val="00F916B0"/>
    <w:rsid w:val="00FC249F"/>
    <w:rsid w:val="00FC79A0"/>
    <w:rsid w:val="00FE0A0C"/>
    <w:rsid w:val="00FE717B"/>
    <w:rsid w:val="00FF4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7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5E"/>
    <w:pPr>
      <w:spacing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230CBC"/>
    <w:pPr>
      <w:ind w:left="720" w:hanging="720"/>
      <w:outlineLvl w:val="0"/>
    </w:pPr>
    <w:rPr>
      <w:b/>
      <w:caps/>
      <w:sz w:val="32"/>
    </w:rPr>
  </w:style>
  <w:style w:type="paragraph" w:styleId="Heading2">
    <w:name w:val="heading 2"/>
    <w:next w:val="Normal"/>
    <w:link w:val="Heading2Char"/>
    <w:rsid w:val="00230CBC"/>
    <w:pPr>
      <w:spacing w:after="0" w:line="240" w:lineRule="auto"/>
      <w:outlineLvl w:val="1"/>
    </w:pPr>
    <w:rPr>
      <w:rFonts w:ascii="Calibri" w:eastAsia="Times New Roman" w:hAnsi="Calibri" w:cs="Arial"/>
      <w:b/>
      <w:i/>
      <w:sz w:val="28"/>
      <w:szCs w:val="24"/>
      <w:lang w:eastAsia="en-AU"/>
    </w:rPr>
  </w:style>
  <w:style w:type="paragraph" w:styleId="Heading3">
    <w:name w:val="heading 3"/>
    <w:basedOn w:val="Normal"/>
    <w:next w:val="Normal"/>
    <w:link w:val="Heading3Char"/>
    <w:rsid w:val="00230CBC"/>
    <w:pPr>
      <w:outlineLvl w:val="2"/>
    </w:pPr>
    <w:rPr>
      <w:u w:val="single"/>
    </w:rPr>
  </w:style>
  <w:style w:type="paragraph" w:styleId="Heading4">
    <w:name w:val="heading 4"/>
    <w:basedOn w:val="Normal"/>
    <w:next w:val="Normal"/>
    <w:link w:val="Heading4Char"/>
    <w:rsid w:val="00230CBC"/>
    <w:pPr>
      <w:keepNext/>
      <w:spacing w:before="240" w:after="60"/>
      <w:outlineLvl w:val="3"/>
    </w:pPr>
    <w:rPr>
      <w:b/>
      <w:bCs/>
      <w:i/>
      <w:sz w:val="26"/>
      <w:szCs w:val="28"/>
    </w:rPr>
  </w:style>
  <w:style w:type="paragraph" w:styleId="Heading5">
    <w:name w:val="heading 5"/>
    <w:basedOn w:val="Normal"/>
    <w:next w:val="Normal"/>
    <w:link w:val="Heading5Char"/>
    <w:rsid w:val="00230CBC"/>
    <w:pPr>
      <w:spacing w:before="240" w:after="60"/>
      <w:outlineLvl w:val="4"/>
    </w:pPr>
    <w:rPr>
      <w:b/>
      <w:bCs/>
      <w:iCs/>
      <w:sz w:val="26"/>
      <w:szCs w:val="26"/>
    </w:rPr>
  </w:style>
  <w:style w:type="paragraph" w:styleId="Heading6">
    <w:name w:val="heading 6"/>
    <w:basedOn w:val="Normal"/>
    <w:next w:val="Normal"/>
    <w:link w:val="Heading6Char"/>
    <w:rsid w:val="00230CBC"/>
    <w:pPr>
      <w:spacing w:before="240" w:after="60"/>
      <w:outlineLvl w:val="5"/>
    </w:pPr>
    <w:rPr>
      <w:b/>
      <w:bCs/>
      <w:i/>
    </w:rPr>
  </w:style>
  <w:style w:type="paragraph" w:styleId="Heading7">
    <w:name w:val="heading 7"/>
    <w:basedOn w:val="Normal"/>
    <w:next w:val="Normal"/>
    <w:link w:val="Heading7Char"/>
    <w:rsid w:val="00230CBC"/>
    <w:pPr>
      <w:keepNext/>
      <w:jc w:val="center"/>
      <w:outlineLvl w:val="6"/>
    </w:pPr>
    <w:rPr>
      <w:b/>
      <w:sz w:val="20"/>
    </w:rPr>
  </w:style>
  <w:style w:type="paragraph" w:styleId="Heading8">
    <w:name w:val="heading 8"/>
    <w:basedOn w:val="Normal"/>
    <w:next w:val="Normal"/>
    <w:link w:val="Heading8Char"/>
    <w:uiPriority w:val="7"/>
    <w:rsid w:val="00230CBC"/>
    <w:pPr>
      <w:keepNext/>
      <w:jc w:val="right"/>
      <w:outlineLvl w:val="7"/>
    </w:pPr>
    <w:rPr>
      <w:b/>
    </w:rPr>
  </w:style>
  <w:style w:type="paragraph" w:styleId="Heading9">
    <w:name w:val="heading 9"/>
    <w:basedOn w:val="Normal"/>
    <w:next w:val="Normal"/>
    <w:link w:val="Heading9Char"/>
    <w:rsid w:val="00230CBC"/>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CBC"/>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230CBC"/>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230CBC"/>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230CBC"/>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230CBC"/>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230CBC"/>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230CBC"/>
    <w:rPr>
      <w:rFonts w:ascii="Calibri" w:eastAsia="Times New Roman" w:hAnsi="Calibri" w:cs="Arial"/>
      <w:b/>
      <w:sz w:val="20"/>
      <w:szCs w:val="24"/>
      <w:lang w:eastAsia="en-AU"/>
    </w:rPr>
  </w:style>
  <w:style w:type="character" w:customStyle="1" w:styleId="Heading8Char">
    <w:name w:val="Heading 8 Char"/>
    <w:basedOn w:val="DefaultParagraphFont"/>
    <w:link w:val="Heading8"/>
    <w:uiPriority w:val="7"/>
    <w:rsid w:val="00230CBC"/>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230CBC"/>
    <w:rPr>
      <w:rFonts w:ascii="Calibri" w:eastAsia="Times New Roman" w:hAnsi="Calibri" w:cs="Arial"/>
      <w:b/>
      <w:color w:val="000000"/>
      <w:sz w:val="20"/>
      <w:szCs w:val="24"/>
      <w:lang w:eastAsia="en-AU"/>
    </w:rPr>
  </w:style>
  <w:style w:type="paragraph" w:customStyle="1" w:styleId="COMexecsummbulletlist">
    <w:name w:val="COM exec summ bullet list"/>
    <w:basedOn w:val="ListParagraph"/>
    <w:link w:val="COMexecsummbulletlistChar"/>
    <w:qFormat/>
    <w:rsid w:val="00230CBC"/>
    <w:pPr>
      <w:ind w:left="1134"/>
    </w:pPr>
  </w:style>
  <w:style w:type="paragraph" w:customStyle="1" w:styleId="COMexecsummmainissuesbullets">
    <w:name w:val="COM exec summ main issues bullets"/>
    <w:basedOn w:val="ListParagraph"/>
    <w:link w:val="COMexecsummmainissuesbulletsChar"/>
    <w:qFormat/>
    <w:rsid w:val="00230CBC"/>
    <w:pPr>
      <w:numPr>
        <w:numId w:val="5"/>
      </w:numPr>
    </w:pPr>
    <w:rPr>
      <w:color w:val="0066FF"/>
    </w:rPr>
  </w:style>
  <w:style w:type="character" w:customStyle="1" w:styleId="COMexecsummbulletlistChar">
    <w:name w:val="COM exec summ bullet list Char"/>
    <w:basedOn w:val="ListParagraphChar"/>
    <w:link w:val="COMexecsummbulletlist"/>
    <w:rsid w:val="00230CBC"/>
    <w:rPr>
      <w:rFonts w:eastAsia="Times New Roman" w:cs="Arial"/>
      <w:snapToGrid w:val="0"/>
      <w:sz w:val="24"/>
      <w:szCs w:val="24"/>
      <w:lang w:eastAsia="en-AU"/>
    </w:rPr>
  </w:style>
  <w:style w:type="paragraph" w:customStyle="1" w:styleId="COMH3">
    <w:name w:val="COM H3"/>
    <w:basedOn w:val="Normal"/>
    <w:next w:val="Normal"/>
    <w:link w:val="COMH3Char"/>
    <w:qFormat/>
    <w:rsid w:val="00230CBC"/>
    <w:pPr>
      <w:keepNext/>
      <w:spacing w:after="240"/>
      <w:outlineLvl w:val="2"/>
    </w:pPr>
    <w:rPr>
      <w:b/>
      <w:iCs/>
      <w:sz w:val="28"/>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next w:val="ListBullet"/>
    <w:link w:val="ListParagraphChar"/>
    <w:uiPriority w:val="34"/>
    <w:qFormat/>
    <w:rsid w:val="00230CBC"/>
    <w:pPr>
      <w:numPr>
        <w:numId w:val="3"/>
      </w:numPr>
      <w:spacing w:after="120" w:line="240" w:lineRule="auto"/>
      <w:jc w:val="both"/>
    </w:pPr>
    <w:rPr>
      <w:rFonts w:eastAsia="Times New Roman" w:cs="Arial"/>
      <w:snapToGrid w:val="0"/>
      <w:sz w:val="24"/>
      <w:szCs w:val="24"/>
      <w:lang w:eastAsia="en-AU"/>
    </w:rPr>
  </w:style>
  <w:style w:type="paragraph" w:styleId="ListBullet">
    <w:name w:val="List Bullet"/>
    <w:aliases w:val="zz List Bullet"/>
    <w:basedOn w:val="Normal"/>
    <w:link w:val="ListBulletChar"/>
    <w:uiPriority w:val="99"/>
    <w:unhideWhenUsed/>
    <w:rsid w:val="00230CBC"/>
    <w:pPr>
      <w:numPr>
        <w:numId w:val="4"/>
      </w:numPr>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230CBC"/>
    <w:rPr>
      <w:rFonts w:eastAsia="Times New Roman" w:cs="Arial"/>
      <w:snapToGrid w:val="0"/>
      <w:sz w:val="24"/>
      <w:szCs w:val="24"/>
      <w:lang w:eastAsia="en-AU"/>
    </w:rPr>
  </w:style>
  <w:style w:type="table" w:styleId="TableGrid">
    <w:name w:val="Table Grid"/>
    <w:aliases w:val="Summary box,Table Gridbeth,CMA Table Template,ASD Table,PBAC table,new style,MSD Table Grid,HTAtableplain,Lash Style Table,Tabellengitternetz 9pt,Dossier table,Summary Table"/>
    <w:basedOn w:val="TableNormal"/>
    <w:uiPriority w:val="39"/>
    <w:rsid w:val="00230C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230CBC"/>
    <w:pPr>
      <w:keepNext/>
      <w:spacing w:after="240"/>
    </w:pPr>
  </w:style>
  <w:style w:type="paragraph" w:styleId="TOC2">
    <w:name w:val="toc 2"/>
    <w:basedOn w:val="Normal"/>
    <w:next w:val="Normal"/>
    <w:autoRedefine/>
    <w:uiPriority w:val="39"/>
    <w:rsid w:val="00230CBC"/>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30CBC"/>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230CBC"/>
    <w:rPr>
      <w:rFonts w:eastAsia="Times New Roman" w:cs="Arial"/>
      <w:snapToGrid w:val="0"/>
      <w:color w:val="0066FF"/>
      <w:sz w:val="24"/>
      <w:szCs w:val="24"/>
      <w:lang w:eastAsia="en-AU"/>
    </w:rPr>
  </w:style>
  <w:style w:type="paragraph" w:styleId="TOC3">
    <w:name w:val="toc 3"/>
    <w:basedOn w:val="Normal"/>
    <w:next w:val="Normal"/>
    <w:autoRedefine/>
    <w:uiPriority w:val="39"/>
    <w:unhideWhenUsed/>
    <w:rsid w:val="00230CBC"/>
    <w:pPr>
      <w:ind w:left="440"/>
      <w:jc w:val="left"/>
    </w:pPr>
    <w:rPr>
      <w:rFonts w:asciiTheme="minorHAnsi" w:hAnsiTheme="minorHAnsi"/>
      <w:sz w:val="20"/>
    </w:rPr>
  </w:style>
  <w:style w:type="character" w:customStyle="1" w:styleId="COMH2-numberedChar">
    <w:name w:val="COM H2 - numbered Char"/>
    <w:basedOn w:val="Heading2Char"/>
    <w:link w:val="COMH2-numbered"/>
    <w:rsid w:val="00230CBC"/>
    <w:rPr>
      <w:rFonts w:ascii="Calibri" w:eastAsia="Times New Roman" w:hAnsi="Calibri" w:cs="Arial"/>
      <w:b/>
      <w:i/>
      <w:sz w:val="28"/>
      <w:szCs w:val="24"/>
      <w:lang w:eastAsia="en-AU"/>
    </w:rPr>
  </w:style>
  <w:style w:type="paragraph" w:customStyle="1" w:styleId="COMH4">
    <w:name w:val="COM H4"/>
    <w:basedOn w:val="Normal"/>
    <w:link w:val="COMH4Char"/>
    <w:qFormat/>
    <w:rsid w:val="00230CBC"/>
    <w:pPr>
      <w:keepNext/>
      <w:spacing w:after="120"/>
    </w:pPr>
    <w:rPr>
      <w:b/>
      <w:i/>
    </w:rPr>
  </w:style>
  <w:style w:type="character" w:customStyle="1" w:styleId="COMH3Char">
    <w:name w:val="COM H3 Char"/>
    <w:basedOn w:val="DefaultParagraphFont"/>
    <w:link w:val="COMH3"/>
    <w:rsid w:val="00230CBC"/>
    <w:rPr>
      <w:rFonts w:ascii="Calibri" w:eastAsia="Times New Roman" w:hAnsi="Calibri" w:cs="Arial"/>
      <w:b/>
      <w:iCs/>
      <w:sz w:val="28"/>
      <w:szCs w:val="24"/>
      <w:lang w:eastAsia="en-AU"/>
    </w:rPr>
  </w:style>
  <w:style w:type="paragraph" w:customStyle="1" w:styleId="COMbodybulletlist">
    <w:name w:val="COM body bullet list"/>
    <w:basedOn w:val="ListBullet"/>
    <w:link w:val="COMbodybulletlistChar"/>
    <w:qFormat/>
    <w:rsid w:val="00230CBC"/>
  </w:style>
  <w:style w:type="character" w:customStyle="1" w:styleId="COMH4Char">
    <w:name w:val="COM H4 Char"/>
    <w:basedOn w:val="DefaultParagraphFont"/>
    <w:link w:val="COMH4"/>
    <w:rsid w:val="00230CBC"/>
    <w:rPr>
      <w:rFonts w:ascii="Calibri" w:eastAsia="Times New Roman" w:hAnsi="Calibri" w:cs="Arial"/>
      <w:b/>
      <w:i/>
      <w:sz w:val="24"/>
      <w:szCs w:val="24"/>
      <w:lang w:eastAsia="en-AU"/>
    </w:rPr>
  </w:style>
  <w:style w:type="paragraph" w:customStyle="1" w:styleId="zzBulletpoints">
    <w:name w:val="zz Bullet points"/>
    <w:basedOn w:val="ListParagraph"/>
    <w:rsid w:val="00230CBC"/>
    <w:pPr>
      <w:numPr>
        <w:numId w:val="2"/>
      </w:numPr>
      <w:contextualSpacing/>
    </w:pPr>
  </w:style>
  <w:style w:type="paragraph" w:customStyle="1" w:styleId="COMBody">
    <w:name w:val="COM Body"/>
    <w:basedOn w:val="Normal"/>
    <w:link w:val="COMBodyChar"/>
    <w:qFormat/>
    <w:rsid w:val="00230CBC"/>
  </w:style>
  <w:style w:type="character" w:customStyle="1" w:styleId="ListBulletChar">
    <w:name w:val="List Bullet Char"/>
    <w:aliases w:val="zz List Bullet Char"/>
    <w:basedOn w:val="DefaultParagraphFont"/>
    <w:link w:val="ListBullet"/>
    <w:uiPriority w:val="99"/>
    <w:rsid w:val="00230CBC"/>
    <w:rPr>
      <w:rFonts w:ascii="Calibri" w:eastAsia="Times New Roman" w:hAnsi="Calibri" w:cs="Arial"/>
      <w:sz w:val="24"/>
      <w:szCs w:val="24"/>
      <w:lang w:eastAsia="en-AU"/>
    </w:rPr>
  </w:style>
  <w:style w:type="paragraph" w:styleId="Revision">
    <w:name w:val="Revision"/>
    <w:hidden/>
    <w:uiPriority w:val="99"/>
    <w:semiHidden/>
    <w:rsid w:val="00230CBC"/>
    <w:pPr>
      <w:spacing w:after="0" w:line="240" w:lineRule="auto"/>
    </w:pPr>
    <w:rPr>
      <w:rFonts w:ascii="Arial" w:eastAsia="Times New Roman" w:hAnsi="Arial" w:cs="Arial"/>
      <w:snapToGrid w:val="0"/>
      <w:szCs w:val="20"/>
    </w:rPr>
  </w:style>
  <w:style w:type="character" w:customStyle="1" w:styleId="COMbodybulletlistChar">
    <w:name w:val="COM body bullet list Char"/>
    <w:basedOn w:val="ListBulletChar"/>
    <w:link w:val="COMbodybulletlist"/>
    <w:rsid w:val="00230CBC"/>
    <w:rPr>
      <w:rFonts w:ascii="Calibri" w:eastAsia="Times New Roman" w:hAnsi="Calibri" w:cs="Arial"/>
      <w:sz w:val="24"/>
      <w:szCs w:val="24"/>
      <w:lang w:eastAsia="en-AU"/>
    </w:rPr>
  </w:style>
  <w:style w:type="table" w:customStyle="1" w:styleId="PlainTable21">
    <w:name w:val="Plain Table 21"/>
    <w:basedOn w:val="TableNormal"/>
    <w:uiPriority w:val="42"/>
    <w:rsid w:val="00230C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230CBC"/>
    <w:rPr>
      <w:color w:val="954F72" w:themeColor="followedHyperlink"/>
      <w:u w:val="single"/>
    </w:rPr>
  </w:style>
  <w:style w:type="character" w:styleId="PageNumber">
    <w:name w:val="page number"/>
    <w:basedOn w:val="DefaultParagraphFont"/>
    <w:semiHidden/>
    <w:unhideWhenUsed/>
    <w:rsid w:val="00230CBC"/>
  </w:style>
  <w:style w:type="character" w:customStyle="1" w:styleId="COMBodyChar">
    <w:name w:val="COM Body Char"/>
    <w:basedOn w:val="DefaultParagraphFont"/>
    <w:link w:val="COMBody"/>
    <w:rsid w:val="00230CBC"/>
    <w:rPr>
      <w:rFonts w:ascii="Calibri" w:eastAsia="Times New Roman" w:hAnsi="Calibri" w:cs="Arial"/>
      <w:sz w:val="24"/>
      <w:szCs w:val="24"/>
      <w:lang w:eastAsia="en-AU"/>
    </w:rPr>
  </w:style>
  <w:style w:type="paragraph" w:styleId="BalloonText">
    <w:name w:val="Balloon Text"/>
    <w:basedOn w:val="Normal"/>
    <w:link w:val="BalloonTextChar"/>
    <w:semiHidden/>
    <w:unhideWhenUsed/>
    <w:rsid w:val="00230CBC"/>
    <w:rPr>
      <w:rFonts w:ascii="Tahoma" w:hAnsi="Tahoma" w:cs="Tahoma"/>
      <w:sz w:val="16"/>
      <w:szCs w:val="16"/>
    </w:rPr>
  </w:style>
  <w:style w:type="character" w:customStyle="1" w:styleId="BalloonTextChar">
    <w:name w:val="Balloon Text Char"/>
    <w:basedOn w:val="DefaultParagraphFont"/>
    <w:link w:val="BalloonText"/>
    <w:semiHidden/>
    <w:rsid w:val="00230CBC"/>
    <w:rPr>
      <w:rFonts w:ascii="Tahoma" w:eastAsia="Times New Roman" w:hAnsi="Tahoma" w:cs="Tahoma"/>
      <w:sz w:val="16"/>
      <w:szCs w:val="16"/>
      <w:lang w:eastAsia="en-AU"/>
    </w:rPr>
  </w:style>
  <w:style w:type="paragraph" w:customStyle="1" w:styleId="COMTabletext">
    <w:name w:val="COM Table text"/>
    <w:link w:val="COMTabletextChar"/>
    <w:qFormat/>
    <w:rsid w:val="00230CBC"/>
    <w:pPr>
      <w:keepNext/>
      <w:spacing w:after="0" w:line="240" w:lineRule="auto"/>
    </w:pPr>
    <w:rPr>
      <w:rFonts w:ascii="Arial Narrow" w:eastAsiaTheme="majorEastAsia" w:hAnsi="Arial Narrow" w:cstheme="majorBidi"/>
      <w:bCs/>
      <w:sz w:val="20"/>
      <w:szCs w:val="24"/>
      <w:lang w:eastAsia="en-AU"/>
    </w:rPr>
  </w:style>
  <w:style w:type="character" w:customStyle="1" w:styleId="COMTabletextChar">
    <w:name w:val="COM Table text Char"/>
    <w:basedOn w:val="DefaultParagraphFont"/>
    <w:link w:val="COMTabletext"/>
    <w:rsid w:val="00230CBC"/>
    <w:rPr>
      <w:rFonts w:ascii="Arial Narrow" w:eastAsiaTheme="majorEastAsia" w:hAnsi="Arial Narrow" w:cstheme="majorBidi"/>
      <w:bCs/>
      <w:sz w:val="20"/>
      <w:szCs w:val="24"/>
      <w:lang w:eastAsia="en-AU"/>
    </w:rPr>
  </w:style>
  <w:style w:type="paragraph" w:customStyle="1" w:styleId="COMTableheadingrow">
    <w:name w:val="COM Table heading row"/>
    <w:qFormat/>
    <w:rsid w:val="00230CBC"/>
    <w:pPr>
      <w:keepNext/>
      <w:spacing w:after="0" w:line="240" w:lineRule="auto"/>
    </w:pPr>
    <w:rPr>
      <w:rFonts w:ascii="Arial Narrow" w:eastAsiaTheme="majorEastAsia" w:hAnsi="Arial Narrow" w:cs="Times New Roman"/>
      <w:b/>
      <w:sz w:val="20"/>
      <w:szCs w:val="24"/>
      <w:lang w:val="en-US" w:eastAsia="en-AU"/>
    </w:rPr>
  </w:style>
  <w:style w:type="paragraph" w:customStyle="1" w:styleId="COMH1numbered">
    <w:name w:val="COM H1 numbered"/>
    <w:next w:val="Normal"/>
    <w:link w:val="COMH1numberedChar"/>
    <w:qFormat/>
    <w:rsid w:val="00230CBC"/>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COMH1-non-numbered">
    <w:name w:val="COM H1 - non-numbered"/>
    <w:next w:val="Normal"/>
    <w:link w:val="COMH1-non-numberedChar"/>
    <w:qFormat/>
    <w:rsid w:val="00230CBC"/>
    <w:pPr>
      <w:keepNext/>
      <w:spacing w:before="120" w:line="240" w:lineRule="auto"/>
      <w:ind w:left="720" w:hanging="720"/>
      <w:outlineLvl w:val="0"/>
    </w:pPr>
    <w:rPr>
      <w:rFonts w:eastAsiaTheme="majorEastAsia" w:cstheme="majorBidi"/>
      <w:b/>
      <w:spacing w:val="5"/>
      <w:kern w:val="28"/>
      <w:sz w:val="32"/>
      <w:szCs w:val="36"/>
      <w:lang w:eastAsia="en-AU"/>
    </w:rPr>
  </w:style>
  <w:style w:type="character" w:customStyle="1" w:styleId="COMH1-non-numberedChar">
    <w:name w:val="COM H1 - non-numbered Char"/>
    <w:basedOn w:val="DefaultParagraphFont"/>
    <w:link w:val="COMH1-non-numbered"/>
    <w:rsid w:val="00230CBC"/>
    <w:rPr>
      <w:rFonts w:eastAsiaTheme="majorEastAsia" w:cstheme="majorBidi"/>
      <w:b/>
      <w:spacing w:val="5"/>
      <w:kern w:val="28"/>
      <w:sz w:val="32"/>
      <w:szCs w:val="36"/>
      <w:lang w:eastAsia="en-AU"/>
    </w:rPr>
  </w:style>
  <w:style w:type="paragraph" w:customStyle="1" w:styleId="COMtablefigcaption">
    <w:name w:val="COM table/fig caption"/>
    <w:next w:val="COMTableheadingrow"/>
    <w:link w:val="COMtablefigcaptionChar"/>
    <w:qFormat/>
    <w:rsid w:val="00230CBC"/>
    <w:pPr>
      <w:keepNext/>
      <w:spacing w:after="0" w:line="240" w:lineRule="auto"/>
    </w:pPr>
    <w:rPr>
      <w:rFonts w:ascii="Arial Narrow" w:eastAsiaTheme="majorEastAsia" w:hAnsi="Arial Narrow" w:cstheme="majorBidi"/>
      <w:b/>
      <w:bCs/>
      <w:sz w:val="20"/>
      <w:szCs w:val="24"/>
      <w:lang w:eastAsia="en-AU"/>
    </w:rPr>
  </w:style>
  <w:style w:type="character" w:customStyle="1" w:styleId="COMtablefigcaptionChar">
    <w:name w:val="COM table/fig caption Char"/>
    <w:basedOn w:val="DefaultParagraphFont"/>
    <w:link w:val="COMtablefigcaption"/>
    <w:rsid w:val="00230CBC"/>
    <w:rPr>
      <w:rFonts w:ascii="Arial Narrow" w:eastAsiaTheme="majorEastAsia" w:hAnsi="Arial Narrow" w:cstheme="majorBidi"/>
      <w:b/>
      <w:bCs/>
      <w:sz w:val="20"/>
      <w:szCs w:val="24"/>
      <w:lang w:eastAsia="en-AU"/>
    </w:rPr>
  </w:style>
  <w:style w:type="paragraph" w:customStyle="1" w:styleId="COMexecsumnumberedpara">
    <w:name w:val="COM exec sum numbered para"/>
    <w:basedOn w:val="ListParagraph"/>
    <w:link w:val="COMexecsumnumberedparaChar"/>
    <w:qFormat/>
    <w:rsid w:val="00230CBC"/>
    <w:pPr>
      <w:numPr>
        <w:ilvl w:val="1"/>
        <w:numId w:val="1"/>
      </w:numPr>
    </w:pPr>
  </w:style>
  <w:style w:type="character" w:customStyle="1" w:styleId="COMexecsumnumberedparaChar">
    <w:name w:val="COM exec sum numbered para Char"/>
    <w:basedOn w:val="ListParagraphChar"/>
    <w:link w:val="COMexecsumnumberedpara"/>
    <w:rsid w:val="00230CBC"/>
    <w:rPr>
      <w:rFonts w:eastAsia="Times New Roman" w:cs="Arial"/>
      <w:snapToGrid w:val="0"/>
      <w:sz w:val="24"/>
      <w:szCs w:val="24"/>
      <w:lang w:eastAsia="en-AU"/>
    </w:rPr>
  </w:style>
  <w:style w:type="paragraph" w:customStyle="1" w:styleId="COMTablefooter">
    <w:name w:val="COM Table footer"/>
    <w:basedOn w:val="Normal"/>
    <w:next w:val="Normal"/>
    <w:link w:val="COMTablefooterChar"/>
    <w:qFormat/>
    <w:rsid w:val="00230CBC"/>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230CBC"/>
    <w:rPr>
      <w:rFonts w:ascii="Arial Narrow" w:eastAsia="Times New Roman" w:hAnsi="Arial Narrow" w:cs="Arial"/>
      <w:snapToGrid w:val="0"/>
      <w:sz w:val="18"/>
      <w:lang w:eastAsia="en-AU"/>
    </w:rPr>
  </w:style>
  <w:style w:type="paragraph" w:customStyle="1" w:styleId="COMH2-non-numbered">
    <w:name w:val="COM H2 - non-numbered"/>
    <w:basedOn w:val="Heading2"/>
    <w:next w:val="Normal"/>
    <w:link w:val="COMH2-non-numberedChar"/>
    <w:qFormat/>
    <w:rsid w:val="00230CBC"/>
    <w:pPr>
      <w:keepNext/>
      <w:spacing w:before="120" w:after="120"/>
    </w:pPr>
    <w:rPr>
      <w:rFonts w:eastAsiaTheme="majorEastAsia" w:cstheme="majorBidi"/>
      <w:spacing w:val="5"/>
      <w:kern w:val="28"/>
      <w:szCs w:val="36"/>
    </w:rPr>
  </w:style>
  <w:style w:type="character" w:customStyle="1" w:styleId="COMH2-non-numberedChar">
    <w:name w:val="COM H2 - non-numbered Char"/>
    <w:basedOn w:val="Heading2Char"/>
    <w:link w:val="COMH2-non-numbered"/>
    <w:rsid w:val="00230CBC"/>
    <w:rPr>
      <w:rFonts w:ascii="Calibri" w:eastAsiaTheme="majorEastAsia" w:hAnsi="Calibri" w:cstheme="majorBidi"/>
      <w:b/>
      <w:i/>
      <w:spacing w:val="5"/>
      <w:kern w:val="28"/>
      <w:sz w:val="28"/>
      <w:szCs w:val="36"/>
      <w:lang w:eastAsia="en-AU"/>
    </w:rPr>
  </w:style>
  <w:style w:type="character" w:customStyle="1" w:styleId="COMH1numberedChar">
    <w:name w:val="COM H1 numbered Char"/>
    <w:basedOn w:val="DefaultParagraphFont"/>
    <w:link w:val="COMH1numbered"/>
    <w:rsid w:val="00230CBC"/>
    <w:rPr>
      <w:rFonts w:eastAsia="Times New Roman" w:cs="Arial"/>
      <w:b/>
      <w:snapToGrid w:val="0"/>
      <w:sz w:val="32"/>
      <w:szCs w:val="32"/>
      <w:lang w:eastAsia="en-AU"/>
    </w:rPr>
  </w:style>
  <w:style w:type="character" w:styleId="Hyperlink">
    <w:name w:val="Hyperlink"/>
    <w:basedOn w:val="DefaultParagraphFont"/>
    <w:uiPriority w:val="99"/>
    <w:unhideWhenUsed/>
    <w:rsid w:val="00230CBC"/>
    <w:rPr>
      <w:color w:val="0563C1" w:themeColor="hyperlink"/>
      <w:u w:val="single"/>
    </w:rPr>
  </w:style>
  <w:style w:type="paragraph" w:styleId="TOC4">
    <w:name w:val="toc 4"/>
    <w:basedOn w:val="Normal"/>
    <w:next w:val="Normal"/>
    <w:autoRedefine/>
    <w:uiPriority w:val="39"/>
    <w:unhideWhenUsed/>
    <w:rsid w:val="00230CBC"/>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0CBC"/>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0CBC"/>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0CBC"/>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0CBC"/>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0CBC"/>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0CBC"/>
    <w:rPr>
      <w:color w:val="605E5C"/>
      <w:shd w:val="clear" w:color="auto" w:fill="E1DFDD"/>
    </w:rPr>
  </w:style>
  <w:style w:type="paragraph" w:styleId="Header">
    <w:name w:val="header"/>
    <w:aliases w:val="Page Header,Header title,he=header,cntr/bld"/>
    <w:basedOn w:val="Normal"/>
    <w:link w:val="HeaderChar"/>
    <w:uiPriority w:val="99"/>
    <w:unhideWhenUsed/>
    <w:qFormat/>
    <w:rsid w:val="00230C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30CBC"/>
    <w:rPr>
      <w:rFonts w:ascii="Calibri" w:eastAsia="Times New Roman" w:hAnsi="Calibri" w:cs="Arial"/>
      <w:sz w:val="24"/>
      <w:szCs w:val="24"/>
      <w:lang w:eastAsia="en-AU"/>
    </w:rPr>
  </w:style>
  <w:style w:type="paragraph" w:styleId="Footer">
    <w:name w:val="footer"/>
    <w:basedOn w:val="Normal"/>
    <w:link w:val="FooterChar"/>
    <w:uiPriority w:val="99"/>
    <w:unhideWhenUsed/>
    <w:rsid w:val="00230CBC"/>
    <w:pPr>
      <w:tabs>
        <w:tab w:val="center" w:pos="4513"/>
        <w:tab w:val="right" w:pos="9026"/>
      </w:tabs>
    </w:pPr>
  </w:style>
  <w:style w:type="character" w:customStyle="1" w:styleId="FooterChar">
    <w:name w:val="Footer Char"/>
    <w:basedOn w:val="DefaultParagraphFont"/>
    <w:link w:val="Footer"/>
    <w:uiPriority w:val="99"/>
    <w:rsid w:val="00230CBC"/>
    <w:rPr>
      <w:rFonts w:ascii="Calibri" w:eastAsia="Times New Roman" w:hAnsi="Calibri" w:cs="Arial"/>
      <w:sz w:val="24"/>
      <w:szCs w:val="24"/>
      <w:lang w:eastAsia="en-AU"/>
    </w:rPr>
  </w:style>
  <w:style w:type="character" w:styleId="CommentReference">
    <w:name w:val="annotation reference"/>
    <w:aliases w:val="Table Title"/>
    <w:basedOn w:val="DefaultParagraphFont"/>
    <w:uiPriority w:val="99"/>
    <w:unhideWhenUsed/>
    <w:qFormat/>
    <w:rsid w:val="00230CBC"/>
    <w:rPr>
      <w:sz w:val="16"/>
      <w:szCs w:val="16"/>
    </w:rPr>
  </w:style>
  <w:style w:type="paragraph" w:styleId="CommentText">
    <w:name w:val="annotation text"/>
    <w:basedOn w:val="Normal"/>
    <w:link w:val="CommentTextChar"/>
    <w:uiPriority w:val="99"/>
    <w:unhideWhenUsed/>
    <w:rsid w:val="00230CBC"/>
    <w:rPr>
      <w:sz w:val="20"/>
      <w:szCs w:val="20"/>
    </w:rPr>
  </w:style>
  <w:style w:type="character" w:customStyle="1" w:styleId="CommentTextChar">
    <w:name w:val="Comment Text Char"/>
    <w:basedOn w:val="DefaultParagraphFont"/>
    <w:link w:val="CommentText"/>
    <w:uiPriority w:val="99"/>
    <w:rsid w:val="00230CBC"/>
    <w:rPr>
      <w:rFonts w:ascii="Calibri" w:eastAsia="Times New Roman" w:hAnsi="Calibri" w:cs="Arial"/>
      <w:sz w:val="20"/>
      <w:szCs w:val="20"/>
      <w:lang w:eastAsia="en-AU"/>
    </w:rPr>
  </w:style>
  <w:style w:type="paragraph" w:styleId="CommentSubject">
    <w:name w:val="annotation subject"/>
    <w:basedOn w:val="CommentText"/>
    <w:next w:val="CommentText"/>
    <w:link w:val="CommentSubjectChar"/>
    <w:semiHidden/>
    <w:unhideWhenUsed/>
    <w:rsid w:val="00230CBC"/>
    <w:rPr>
      <w:b/>
      <w:bCs/>
    </w:rPr>
  </w:style>
  <w:style w:type="character" w:customStyle="1" w:styleId="CommentSubjectChar">
    <w:name w:val="Comment Subject Char"/>
    <w:basedOn w:val="CommentTextChar"/>
    <w:link w:val="CommentSubject"/>
    <w:semiHidden/>
    <w:rsid w:val="00230CBC"/>
    <w:rPr>
      <w:rFonts w:ascii="Calibri" w:eastAsia="Times New Roman" w:hAnsi="Calibri" w:cs="Arial"/>
      <w:b/>
      <w:bCs/>
      <w:sz w:val="20"/>
      <w:szCs w:val="20"/>
      <w:lang w:eastAsia="en-AU"/>
    </w:rPr>
  </w:style>
  <w:style w:type="table" w:customStyle="1" w:styleId="Submissionstandard">
    <w:name w:val="Submission standard"/>
    <w:basedOn w:val="TableNormal"/>
    <w:uiPriority w:val="99"/>
    <w:qFormat/>
    <w:rsid w:val="00230CBC"/>
    <w:pPr>
      <w:spacing w:after="0" w:line="240" w:lineRule="auto"/>
    </w:pPr>
    <w:rPr>
      <w:rFonts w:ascii="Arial Narrow" w:eastAsiaTheme="majorEastAsia" w:hAnsi="Arial Narrow"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urmukhi Sangam MN" w:hAnsi="Gurmukhi Sangam MN"/>
        <w:b/>
        <w:sz w:val="20"/>
      </w:rPr>
      <w:tblPr/>
      <w:tcPr>
        <w:shd w:val="clear" w:color="auto" w:fill="BFBFBF" w:themeFill="background1" w:themeFillShade="BF"/>
      </w:tcPr>
    </w:tblStylePr>
  </w:style>
  <w:style w:type="paragraph" w:customStyle="1" w:styleId="TableText">
    <w:name w:val="Table Text"/>
    <w:link w:val="TableTextChar"/>
    <w:qFormat/>
    <w:rsid w:val="00230CBC"/>
    <w:pPr>
      <w:keepNext/>
      <w:spacing w:after="0" w:line="240" w:lineRule="auto"/>
    </w:pPr>
    <w:rPr>
      <w:rFonts w:ascii="Arial Narrow" w:eastAsiaTheme="majorEastAsia" w:hAnsi="Arial Narrow" w:cstheme="majorBidi"/>
      <w:bCs/>
      <w:sz w:val="20"/>
      <w:szCs w:val="24"/>
      <w:lang w:eastAsia="en-AU"/>
    </w:rPr>
  </w:style>
  <w:style w:type="paragraph" w:customStyle="1" w:styleId="Tableheadingrow">
    <w:name w:val="Table heading row"/>
    <w:uiPriority w:val="99"/>
    <w:qFormat/>
    <w:rsid w:val="00230CBC"/>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Caption">
    <w:name w:val="Table/Figure Caption"/>
    <w:next w:val="Tableheadingrow"/>
    <w:link w:val="TableFigureCaptionChar"/>
    <w:qFormat/>
    <w:rsid w:val="00230CBC"/>
    <w:pPr>
      <w:keepNext/>
      <w:spacing w:after="0" w:line="240" w:lineRule="auto"/>
    </w:pPr>
    <w:rPr>
      <w:rFonts w:ascii="Arial Narrow" w:eastAsiaTheme="majorEastAsia" w:hAnsi="Arial Narrow" w:cstheme="majorBidi"/>
      <w:b/>
      <w:bCs/>
      <w:sz w:val="20"/>
      <w:szCs w:val="24"/>
      <w:lang w:eastAsia="en-AU"/>
    </w:rPr>
  </w:style>
  <w:style w:type="character" w:customStyle="1" w:styleId="TableFigureCaptionChar">
    <w:name w:val="Table/Figure Caption Char"/>
    <w:basedOn w:val="DefaultParagraphFont"/>
    <w:link w:val="TableFigureCaption"/>
    <w:rsid w:val="00230CBC"/>
    <w:rPr>
      <w:rFonts w:ascii="Arial Narrow" w:eastAsiaTheme="majorEastAsia" w:hAnsi="Arial Narrow" w:cstheme="majorBidi"/>
      <w:b/>
      <w:bCs/>
      <w:sz w:val="20"/>
      <w:szCs w:val="24"/>
      <w:lang w:eastAsia="en-AU"/>
    </w:rPr>
  </w:style>
  <w:style w:type="paragraph" w:customStyle="1" w:styleId="TableFigureFooter">
    <w:name w:val="Table/Figure Footer"/>
    <w:basedOn w:val="Normal"/>
    <w:link w:val="TableFigureFooterChar"/>
    <w:qFormat/>
    <w:rsid w:val="00230CBC"/>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30CBC"/>
    <w:rPr>
      <w:rFonts w:ascii="Arial Narrow" w:eastAsia="Times New Roman" w:hAnsi="Arial Narrow" w:cs="Arial"/>
      <w:snapToGrid w:val="0"/>
      <w:sz w:val="18"/>
      <w:lang w:eastAsia="en-AU"/>
    </w:rPr>
  </w:style>
  <w:style w:type="character" w:customStyle="1" w:styleId="TableTextChar">
    <w:name w:val="Table Text Char"/>
    <w:basedOn w:val="DefaultParagraphFont"/>
    <w:link w:val="TableText"/>
    <w:rsid w:val="00230CBC"/>
    <w:rPr>
      <w:rFonts w:ascii="Arial Narrow" w:eastAsiaTheme="majorEastAsia" w:hAnsi="Arial Narrow" w:cstheme="majorBidi"/>
      <w:bCs/>
      <w:sz w:val="20"/>
      <w:szCs w:val="24"/>
      <w:lang w:eastAsia="en-AU"/>
    </w:rPr>
  </w:style>
  <w:style w:type="paragraph" w:customStyle="1" w:styleId="3-SubsectionHeading">
    <w:name w:val="3-Subsection Heading"/>
    <w:basedOn w:val="Heading2"/>
    <w:next w:val="Normal"/>
    <w:link w:val="3-SubsectionHeadingChar"/>
    <w:qFormat/>
    <w:rsid w:val="00230CBC"/>
    <w:pPr>
      <w:keepNext/>
      <w:spacing w:before="120" w:after="120"/>
      <w:jc w:val="both"/>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230CBC"/>
    <w:rPr>
      <w:rFonts w:ascii="Calibri" w:eastAsiaTheme="majorEastAsia" w:hAnsi="Calibri" w:cstheme="majorBidi"/>
      <w:b/>
      <w:i/>
      <w:spacing w:val="5"/>
      <w:kern w:val="28"/>
      <w:sz w:val="28"/>
      <w:szCs w:val="36"/>
      <w:lang w:eastAsia="en-AU"/>
    </w:rPr>
  </w:style>
  <w:style w:type="character" w:styleId="Emphasis">
    <w:name w:val="Emphasis"/>
    <w:basedOn w:val="DefaultParagraphFont"/>
    <w:uiPriority w:val="20"/>
    <w:qFormat/>
    <w:rsid w:val="00230CBC"/>
    <w:rPr>
      <w:i/>
      <w:iCs/>
    </w:rPr>
  </w:style>
  <w:style w:type="character" w:styleId="PlaceholderText">
    <w:name w:val="Placeholder Text"/>
    <w:basedOn w:val="DefaultParagraphFont"/>
    <w:uiPriority w:val="99"/>
    <w:semiHidden/>
    <w:rsid w:val="00230CBC"/>
    <w:rPr>
      <w:color w:val="808080"/>
    </w:rPr>
  </w:style>
  <w:style w:type="character" w:customStyle="1" w:styleId="cf01">
    <w:name w:val="cf01"/>
    <w:basedOn w:val="DefaultParagraphFont"/>
    <w:rsid w:val="00230CBC"/>
    <w:rPr>
      <w:rFonts w:ascii="Segoe UI" w:hAnsi="Segoe UI" w:cs="Segoe UI" w:hint="default"/>
      <w:sz w:val="18"/>
      <w:szCs w:val="18"/>
    </w:rPr>
  </w:style>
  <w:style w:type="paragraph" w:customStyle="1" w:styleId="EndNoteBibliography">
    <w:name w:val="EndNote Bibliography"/>
    <w:basedOn w:val="Normal"/>
    <w:link w:val="EndNoteBibliographyChar"/>
    <w:rsid w:val="00230CBC"/>
    <w:pPr>
      <w:spacing w:before="120" w:after="160"/>
      <w:jc w:val="left"/>
    </w:pPr>
    <w:rPr>
      <w:rFonts w:ascii="Arial" w:eastAsiaTheme="minorHAnsi" w:hAnsi="Arial"/>
      <w:noProof/>
      <w:sz w:val="20"/>
      <w:szCs w:val="22"/>
      <w:lang w:val="en-US" w:eastAsia="en-US"/>
    </w:rPr>
  </w:style>
  <w:style w:type="character" w:customStyle="1" w:styleId="EndNoteBibliographyChar">
    <w:name w:val="EndNote Bibliography Char"/>
    <w:basedOn w:val="DefaultParagraphFont"/>
    <w:link w:val="EndNoteBibliography"/>
    <w:rsid w:val="00230CBC"/>
    <w:rPr>
      <w:rFonts w:ascii="Arial" w:hAnsi="Arial" w:cs="Arial"/>
      <w:noProof/>
      <w:sz w:val="20"/>
      <w:lang w:val="en-US"/>
    </w:rPr>
  </w:style>
  <w:style w:type="paragraph" w:styleId="Caption">
    <w:name w:val="caption"/>
    <w:aliases w:val="Table Caption,Caption 3,c,appendix,Caption_m,- H17,Figure caption,Figure caption1 Char Char,IB Caption,Medical Caption,Caption Char1 Char Char,Caption Char Char Char Char,Caption Char1 Char,Caption Char Char Char Char Char,Caption Char Char"/>
    <w:basedOn w:val="Normal"/>
    <w:next w:val="Normal"/>
    <w:link w:val="CaptionChar"/>
    <w:uiPriority w:val="35"/>
    <w:unhideWhenUsed/>
    <w:qFormat/>
    <w:rsid w:val="00230CBC"/>
    <w:pPr>
      <w:spacing w:after="200"/>
    </w:pPr>
    <w:rPr>
      <w:i/>
      <w:iCs/>
      <w:color w:val="44546A" w:themeColor="text2"/>
      <w:sz w:val="18"/>
      <w:szCs w:val="18"/>
    </w:rPr>
  </w:style>
  <w:style w:type="paragraph" w:customStyle="1" w:styleId="5-SubsectionSubheading">
    <w:name w:val="5-Subsection Subheading"/>
    <w:basedOn w:val="Heading3"/>
    <w:next w:val="Normal"/>
    <w:link w:val="5-SubsectionSubheadingChar"/>
    <w:qFormat/>
    <w:rsid w:val="00230CBC"/>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230CBC"/>
    <w:rPr>
      <w:rFonts w:eastAsiaTheme="majorEastAsia" w:cstheme="majorBidi"/>
      <w:b/>
      <w:color w:val="000000" w:themeColor="text1"/>
      <w:sz w:val="24"/>
      <w:szCs w:val="24"/>
      <w:lang w:eastAsia="en-AU"/>
    </w:rPr>
  </w:style>
  <w:style w:type="paragraph" w:styleId="FootnoteText">
    <w:name w:val="footnote text"/>
    <w:basedOn w:val="Normal"/>
    <w:link w:val="FootnoteTextChar"/>
    <w:uiPriority w:val="99"/>
    <w:semiHidden/>
    <w:unhideWhenUsed/>
    <w:rsid w:val="00230CBC"/>
    <w:rPr>
      <w:sz w:val="20"/>
      <w:szCs w:val="20"/>
    </w:rPr>
  </w:style>
  <w:style w:type="character" w:customStyle="1" w:styleId="FootnoteTextChar">
    <w:name w:val="Footnote Text Char"/>
    <w:basedOn w:val="DefaultParagraphFont"/>
    <w:link w:val="FootnoteText"/>
    <w:uiPriority w:val="99"/>
    <w:semiHidden/>
    <w:rsid w:val="00230CBC"/>
    <w:rPr>
      <w:rFonts w:ascii="Calibri" w:eastAsia="Times New Roman" w:hAnsi="Calibri" w:cs="Arial"/>
      <w:sz w:val="20"/>
      <w:szCs w:val="20"/>
      <w:lang w:eastAsia="en-AU"/>
    </w:rPr>
  </w:style>
  <w:style w:type="character" w:styleId="FootnoteReference">
    <w:name w:val="footnote reference"/>
    <w:basedOn w:val="DefaultParagraphFont"/>
    <w:uiPriority w:val="99"/>
    <w:semiHidden/>
    <w:unhideWhenUsed/>
    <w:rsid w:val="00230CBC"/>
    <w:rPr>
      <w:vertAlign w:val="superscript"/>
    </w:rPr>
  </w:style>
  <w:style w:type="character" w:customStyle="1" w:styleId="CaptionChar">
    <w:name w:val="Caption Char"/>
    <w:aliases w:val="Table Caption Char,Caption 3 Char,c Char,appendix Char,Caption_m Char,- H17 Char,Figure caption Char,Figure caption1 Char Char Char,IB Caption Char,Medical Caption Char,Caption Char1 Char Char Char,Caption Char Char Char Char Char1"/>
    <w:basedOn w:val="DefaultParagraphFont"/>
    <w:link w:val="Caption"/>
    <w:uiPriority w:val="35"/>
    <w:rsid w:val="00230CBC"/>
    <w:rPr>
      <w:rFonts w:ascii="Calibri" w:eastAsia="Times New Roman" w:hAnsi="Calibri" w:cs="Arial"/>
      <w:i/>
      <w:iCs/>
      <w:color w:val="44546A" w:themeColor="text2"/>
      <w:sz w:val="18"/>
      <w:szCs w:val="18"/>
      <w:lang w:eastAsia="en-AU"/>
    </w:rPr>
  </w:style>
  <w:style w:type="paragraph" w:customStyle="1" w:styleId="Footnote">
    <w:name w:val="Footnote"/>
    <w:basedOn w:val="BodyText"/>
    <w:next w:val="BodyText"/>
    <w:qFormat/>
    <w:rsid w:val="00230CBC"/>
    <w:pPr>
      <w:spacing w:after="240"/>
      <w:contextualSpacing/>
      <w:jc w:val="left"/>
    </w:pPr>
    <w:rPr>
      <w:rFonts w:asciiTheme="minorHAnsi" w:eastAsiaTheme="minorHAnsi" w:hAnsiTheme="minorHAnsi" w:cstheme="minorBidi"/>
      <w:sz w:val="17"/>
      <w:szCs w:val="22"/>
      <w:lang w:val="en-US" w:eastAsia="en-US"/>
    </w:rPr>
  </w:style>
  <w:style w:type="paragraph" w:styleId="BodyText">
    <w:name w:val="Body Text"/>
    <w:basedOn w:val="Normal"/>
    <w:link w:val="BodyTextChar"/>
    <w:semiHidden/>
    <w:unhideWhenUsed/>
    <w:rsid w:val="00230CBC"/>
    <w:pPr>
      <w:spacing w:after="120"/>
    </w:pPr>
  </w:style>
  <w:style w:type="character" w:customStyle="1" w:styleId="BodyTextChar">
    <w:name w:val="Body Text Char"/>
    <w:basedOn w:val="DefaultParagraphFont"/>
    <w:link w:val="BodyText"/>
    <w:semiHidden/>
    <w:rsid w:val="00230CBC"/>
    <w:rPr>
      <w:rFonts w:ascii="Calibri" w:eastAsia="Times New Roman" w:hAnsi="Calibri" w:cs="Arial"/>
      <w:sz w:val="24"/>
      <w:szCs w:val="24"/>
      <w:lang w:eastAsia="en-AU"/>
    </w:rPr>
  </w:style>
  <w:style w:type="paragraph" w:customStyle="1" w:styleId="Tabletext0">
    <w:name w:val="Table text"/>
    <w:basedOn w:val="Normal"/>
    <w:link w:val="TabletextChar0"/>
    <w:qFormat/>
    <w:rsid w:val="00230CBC"/>
    <w:pPr>
      <w:jc w:val="left"/>
    </w:pPr>
    <w:rPr>
      <w:rFonts w:ascii="Arial Narrow" w:hAnsi="Arial Narrow" w:cs="Times New Roman"/>
      <w:snapToGrid w:val="0"/>
      <w:sz w:val="20"/>
    </w:rPr>
  </w:style>
  <w:style w:type="character" w:customStyle="1" w:styleId="TabletextChar0">
    <w:name w:val="Table text Char"/>
    <w:link w:val="Tabletext0"/>
    <w:rsid w:val="00230CBC"/>
    <w:rPr>
      <w:rFonts w:ascii="Arial Narrow" w:eastAsia="Times New Roman" w:hAnsi="Arial Narrow" w:cs="Times New Roman"/>
      <w:snapToGrid w:val="0"/>
      <w:sz w:val="20"/>
      <w:szCs w:val="24"/>
      <w:lang w:eastAsia="en-AU"/>
    </w:rPr>
  </w:style>
  <w:style w:type="table" w:customStyle="1" w:styleId="TableGrid1">
    <w:name w:val="Table Grid1"/>
    <w:basedOn w:val="TableNormal"/>
    <w:next w:val="TableGrid"/>
    <w:uiPriority w:val="59"/>
    <w:rsid w:val="00230CBC"/>
    <w:pPr>
      <w:spacing w:after="0" w:line="240" w:lineRule="auto"/>
    </w:pPr>
    <w:rPr>
      <w:rFonts w:ascii="Times New Roman" w:eastAsia="Batang"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ft">
    <w:name w:val="Table Left"/>
    <w:basedOn w:val="Normal"/>
    <w:link w:val="TableLeftChar"/>
    <w:uiPriority w:val="99"/>
    <w:rsid w:val="00230CBC"/>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230CBC"/>
    <w:rPr>
      <w:rFonts w:ascii="Calibri" w:eastAsiaTheme="majorEastAsia" w:hAnsi="Calibri" w:cstheme="majorBidi"/>
      <w:sz w:val="18"/>
      <w:lang w:bidi="en-US"/>
    </w:rPr>
  </w:style>
  <w:style w:type="paragraph" w:customStyle="1" w:styleId="PBACHeading1">
    <w:name w:val="PBAC Heading 1"/>
    <w:qFormat/>
    <w:rsid w:val="00230CBC"/>
    <w:pPr>
      <w:spacing w:after="0" w:line="240" w:lineRule="auto"/>
      <w:ind w:left="720" w:hanging="720"/>
      <w:outlineLvl w:val="0"/>
    </w:pPr>
    <w:rPr>
      <w:rFonts w:ascii="Calibri" w:eastAsia="Times New Roman" w:hAnsi="Calibri" w:cs="Calibri"/>
      <w:b/>
      <w:snapToGrid w:val="0"/>
      <w:sz w:val="32"/>
      <w:szCs w:val="32"/>
    </w:rPr>
  </w:style>
  <w:style w:type="paragraph" w:customStyle="1" w:styleId="Bulletpoints">
    <w:name w:val="Bullet points"/>
    <w:basedOn w:val="Normal"/>
    <w:rsid w:val="00230CBC"/>
    <w:pPr>
      <w:spacing w:after="120"/>
      <w:ind w:left="720"/>
      <w:contextualSpacing/>
    </w:pPr>
    <w:rPr>
      <w:snapToGrid w:val="0"/>
    </w:rPr>
  </w:style>
  <w:style w:type="paragraph" w:customStyle="1" w:styleId="2-SectionHeading">
    <w:name w:val="2-Section Heading"/>
    <w:qFormat/>
    <w:rsid w:val="00230CBC"/>
    <w:pPr>
      <w:keepNext/>
      <w:snapToGrid w:val="0"/>
      <w:spacing w:before="240" w:after="120" w:line="240" w:lineRule="auto"/>
      <w:ind w:left="720" w:hanging="720"/>
      <w:outlineLvl w:val="0"/>
    </w:pPr>
    <w:rPr>
      <w:rFonts w:eastAsia="Times New Roman" w:cs="Arial"/>
      <w:b/>
      <w:sz w:val="32"/>
      <w:szCs w:val="32"/>
      <w:lang w:eastAsia="en-AU"/>
    </w:rPr>
  </w:style>
  <w:style w:type="character" w:customStyle="1" w:styleId="3-BodyTextChar">
    <w:name w:val="3-Body Text Char"/>
    <w:basedOn w:val="DefaultParagraphFont"/>
    <w:link w:val="3-BodyText"/>
    <w:locked/>
    <w:rsid w:val="00230CBC"/>
    <w:rPr>
      <w:rFonts w:cs="Arial"/>
      <w:sz w:val="24"/>
      <w:szCs w:val="24"/>
    </w:rPr>
  </w:style>
  <w:style w:type="paragraph" w:customStyle="1" w:styleId="3-BodyText">
    <w:name w:val="3-Body Text"/>
    <w:basedOn w:val="ListParagraph"/>
    <w:link w:val="3-BodyTextChar"/>
    <w:qFormat/>
    <w:rsid w:val="00230CBC"/>
    <w:pPr>
      <w:numPr>
        <w:numId w:val="0"/>
      </w:numPr>
      <w:snapToGrid w:val="0"/>
      <w:ind w:left="720" w:hanging="720"/>
    </w:pPr>
    <w:rPr>
      <w:rFonts w:eastAsiaTheme="minorHAnsi"/>
      <w:snapToGrid/>
      <w:lang w:eastAsia="en-US"/>
    </w:rPr>
  </w:style>
  <w:style w:type="paragraph" w:styleId="NoSpacing">
    <w:name w:val="No Spacing"/>
    <w:uiPriority w:val="1"/>
    <w:qFormat/>
    <w:rsid w:val="00230CBC"/>
    <w:pPr>
      <w:spacing w:after="0"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230CBC"/>
    <w:pPr>
      <w:ind w:left="720"/>
      <w:jc w:val="left"/>
    </w:pPr>
    <w:rPr>
      <w:rFonts w:eastAsiaTheme="minorHAnsi" w:cs="Calibri"/>
      <w:sz w:val="22"/>
      <w:szCs w:val="22"/>
    </w:rPr>
  </w:style>
  <w:style w:type="paragraph" w:customStyle="1" w:styleId="ExecSumBodyText">
    <w:name w:val="Exec Sum Body Text"/>
    <w:basedOn w:val="Normal"/>
    <w:link w:val="ExecSumBodyTextChar"/>
    <w:qFormat/>
    <w:rsid w:val="00230CBC"/>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230CBC"/>
    <w:rPr>
      <w:rFonts w:eastAsia="Times New Roman" w:cs="Arial"/>
      <w:snapToGrid w:val="0"/>
      <w:sz w:val="24"/>
      <w:szCs w:val="24"/>
      <w:lang w:eastAsia="en-AU"/>
    </w:rPr>
  </w:style>
  <w:style w:type="paragraph" w:customStyle="1" w:styleId="1-MainHeading">
    <w:name w:val="1- Main Heading"/>
    <w:link w:val="1-MainHeadingChar"/>
    <w:qFormat/>
    <w:rsid w:val="00DD7590"/>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 Main Heading Char"/>
    <w:basedOn w:val="DefaultParagraphFont"/>
    <w:link w:val="1-MainHeading"/>
    <w:rsid w:val="00DD7590"/>
    <w:rPr>
      <w:rFonts w:eastAsiaTheme="majorEastAsia" w:cstheme="majorBidi"/>
      <w:b/>
      <w:spacing w:val="5"/>
      <w:kern w:val="28"/>
      <w:sz w:val="36"/>
      <w:szCs w:val="36"/>
      <w:lang w:eastAsia="en-AU"/>
    </w:rPr>
  </w:style>
  <w:style w:type="paragraph" w:customStyle="1" w:styleId="4-SubsectionHeading">
    <w:name w:val="4-Subsection Heading"/>
    <w:basedOn w:val="Heading2"/>
    <w:next w:val="3-BodyText"/>
    <w:link w:val="4-SubsectionHeadingChar"/>
    <w:qFormat/>
    <w:rsid w:val="00DD7590"/>
    <w:pPr>
      <w:keepNext/>
      <w:spacing w:before="120" w:after="120"/>
      <w:jc w:val="both"/>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DD7590"/>
    <w:rPr>
      <w:rFonts w:ascii="Calibri" w:eastAsiaTheme="majorEastAsia" w:hAnsi="Calibri" w:cstheme="majorBidi"/>
      <w:b/>
      <w:i/>
      <w:spacing w:val="5"/>
      <w:kern w:val="28"/>
      <w:sz w:val="28"/>
      <w:szCs w:val="36"/>
      <w:lang w:eastAsia="en-AU"/>
    </w:rPr>
  </w:style>
  <w:style w:type="paragraph" w:customStyle="1" w:styleId="3Bodytext">
    <w:name w:val="3. Body text"/>
    <w:basedOn w:val="ListParagraph"/>
    <w:link w:val="3BodytextChar"/>
    <w:qFormat/>
    <w:rsid w:val="00DD7590"/>
    <w:pPr>
      <w:numPr>
        <w:numId w:val="0"/>
      </w:numPr>
      <w:ind w:left="720" w:hanging="720"/>
      <w:jc w:val="left"/>
    </w:pPr>
    <w:rPr>
      <w:rFonts w:eastAsia="SimSun" w:cstheme="minorBidi"/>
      <w:snapToGrid/>
      <w:sz w:val="22"/>
      <w:szCs w:val="22"/>
    </w:rPr>
  </w:style>
  <w:style w:type="character" w:customStyle="1" w:styleId="3BodytextChar">
    <w:name w:val="3. Body text Char"/>
    <w:basedOn w:val="DefaultParagraphFont"/>
    <w:link w:val="3Bodytext"/>
    <w:rsid w:val="00DD7590"/>
    <w:rPr>
      <w:rFonts w:eastAsia="SimSun"/>
      <w:lang w:eastAsia="en-AU"/>
    </w:rPr>
  </w:style>
  <w:style w:type="numbering" w:customStyle="1" w:styleId="HeadingsVM">
    <w:name w:val="HeadingsVM"/>
    <w:uiPriority w:val="99"/>
    <w:rsid w:val="00DD7590"/>
    <w:pPr>
      <w:numPr>
        <w:numId w:val="39"/>
      </w:numPr>
    </w:pPr>
  </w:style>
  <w:style w:type="paragraph" w:customStyle="1" w:styleId="HeadingVM1">
    <w:name w:val="Heading VM 1"/>
    <w:basedOn w:val="Normal"/>
    <w:next w:val="BodyText"/>
    <w:uiPriority w:val="6"/>
    <w:semiHidden/>
    <w:qFormat/>
    <w:rsid w:val="00DD7590"/>
    <w:pPr>
      <w:numPr>
        <w:numId w:val="39"/>
      </w:numPr>
      <w:spacing w:after="120" w:line="264" w:lineRule="auto"/>
      <w:jc w:val="left"/>
    </w:pPr>
    <w:rPr>
      <w:rFonts w:asciiTheme="majorHAnsi" w:eastAsiaTheme="minorHAnsi" w:hAnsiTheme="majorHAnsi" w:cstheme="minorBidi"/>
      <w:color w:val="808080" w:themeColor="background1" w:themeShade="80"/>
      <w:sz w:val="32"/>
      <w:szCs w:val="22"/>
      <w:lang w:val="en-GB" w:eastAsia="en-US"/>
    </w:rPr>
  </w:style>
  <w:style w:type="paragraph" w:customStyle="1" w:styleId="HeadingVM2">
    <w:name w:val="Heading VM 2"/>
    <w:basedOn w:val="HeadingVM1"/>
    <w:next w:val="BodyText"/>
    <w:uiPriority w:val="7"/>
    <w:semiHidden/>
    <w:qFormat/>
    <w:rsid w:val="00DD7590"/>
    <w:pPr>
      <w:numPr>
        <w:ilvl w:val="1"/>
      </w:numPr>
      <w:spacing w:before="320" w:after="0"/>
    </w:pPr>
    <w:rPr>
      <w:b/>
      <w:sz w:val="24"/>
    </w:rPr>
  </w:style>
  <w:style w:type="numbering" w:customStyle="1" w:styleId="BulletsforTables">
    <w:name w:val="Bullets for Tables"/>
    <w:uiPriority w:val="99"/>
    <w:rsid w:val="00DD7590"/>
    <w:pPr>
      <w:numPr>
        <w:numId w:val="38"/>
      </w:numPr>
    </w:pPr>
  </w:style>
  <w:style w:type="paragraph" w:customStyle="1" w:styleId="Default">
    <w:name w:val="Default"/>
    <w:rsid w:val="00DD75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bullet2">
    <w:name w:val="Number bullet 2"/>
    <w:basedOn w:val="ListBullet2"/>
    <w:qFormat/>
    <w:rsid w:val="008A255E"/>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8A255E"/>
    <w:pPr>
      <w:tabs>
        <w:tab w:val="clear" w:pos="360"/>
      </w:tabs>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8A255E"/>
    <w:pPr>
      <w:numPr>
        <w:numId w:val="45"/>
      </w:numPr>
    </w:pPr>
  </w:style>
  <w:style w:type="paragraph" w:styleId="ListBullet2">
    <w:name w:val="List Bullet 2"/>
    <w:basedOn w:val="Normal"/>
    <w:uiPriority w:val="99"/>
    <w:semiHidden/>
    <w:unhideWhenUsed/>
    <w:rsid w:val="008A255E"/>
    <w:pPr>
      <w:numPr>
        <w:numId w:val="45"/>
      </w:numPr>
      <w:contextualSpacing/>
    </w:pPr>
  </w:style>
  <w:style w:type="paragraph" w:styleId="ListBullet3">
    <w:name w:val="List Bullet 3"/>
    <w:basedOn w:val="Normal"/>
    <w:uiPriority w:val="99"/>
    <w:semiHidden/>
    <w:unhideWhenUsed/>
    <w:rsid w:val="008A255E"/>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8015">
      <w:bodyDiv w:val="1"/>
      <w:marLeft w:val="0"/>
      <w:marRight w:val="0"/>
      <w:marTop w:val="0"/>
      <w:marBottom w:val="0"/>
      <w:divBdr>
        <w:top w:val="none" w:sz="0" w:space="0" w:color="auto"/>
        <w:left w:val="none" w:sz="0" w:space="0" w:color="auto"/>
        <w:bottom w:val="none" w:sz="0" w:space="0" w:color="auto"/>
        <w:right w:val="none" w:sz="0" w:space="0" w:color="auto"/>
      </w:divBdr>
    </w:div>
    <w:div w:id="1164541740">
      <w:bodyDiv w:val="1"/>
      <w:marLeft w:val="0"/>
      <w:marRight w:val="0"/>
      <w:marTop w:val="0"/>
      <w:marBottom w:val="0"/>
      <w:divBdr>
        <w:top w:val="none" w:sz="0" w:space="0" w:color="auto"/>
        <w:left w:val="none" w:sz="0" w:space="0" w:color="auto"/>
        <w:bottom w:val="none" w:sz="0" w:space="0" w:color="auto"/>
        <w:right w:val="none" w:sz="0" w:space="0" w:color="auto"/>
      </w:divBdr>
    </w:div>
    <w:div w:id="14589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classic.clinicaltrials.gov/ct2/show/NCT04561518" TargetMode="External"/><Relationship Id="rId3" Type="http://schemas.openxmlformats.org/officeDocument/2006/relationships/hyperlink" Target="https://www.aph.gov.au/Parliamentary_Business/Committees/House/Health_Aged_Care_and_Sport/Newdrugs/Submissions" TargetMode="External"/><Relationship Id="rId7" Type="http://schemas.openxmlformats.org/officeDocument/2006/relationships/hyperlink" Target="https://www.heart.org/en/health-topics/heart-failure/what-is-heart-failure/classes-of-heart-failure" TargetMode="External"/><Relationship Id="rId2" Type="http://schemas.openxmlformats.org/officeDocument/2006/relationships/hyperlink" Target="https://www.tga.gov.au/products/unapproved-therapeutic-goods/special-access-scheme-sas-and-authorised-prescriber/prescribe-unapproved-therapeutic-good/list-products-established-history-use/special-access-scheme-sas-category-c-lists" TargetMode="External"/><Relationship Id="rId1" Type="http://schemas.openxmlformats.org/officeDocument/2006/relationships/hyperlink" Target="https://www.pbs.gov.au/info/industry/listing/elements/pbac-meetings/agenda/july-2023-pbac-meeting" TargetMode="External"/><Relationship Id="rId6" Type="http://schemas.openxmlformats.org/officeDocument/2006/relationships/hyperlink" Target="https://data.worldbank.org/country/AU" TargetMode="External"/><Relationship Id="rId5" Type="http://schemas.openxmlformats.org/officeDocument/2006/relationships/hyperlink" Target="https://capella.alnylam.com/2022/09/08/pati-isa-2022" TargetMode="External"/><Relationship Id="rId10" Type="http://schemas.openxmlformats.org/officeDocument/2006/relationships/hyperlink" Target="https://classic.clinicaltrials.gov/ct2/show/NCT04561518" TargetMode="External"/><Relationship Id="rId4" Type="http://schemas.openxmlformats.org/officeDocument/2006/relationships/hyperlink" Target="https://aan.org.au/wp-content/uploads/2019/08/Diflunisal-Patients-Information-AAN-website.pdf" TargetMode="External"/><Relationship Id="rId9" Type="http://schemas.openxmlformats.org/officeDocument/2006/relationships/hyperlink" Target="https://www.heart.org/en/health-topics/heart-failure/what-is-heart-failure/classes-of-heart-fail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50B0-115F-4C71-920A-9634B4EA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26667</Words>
  <Characters>152004</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2024-03-29T04:20:00Z</dcterms:created>
  <dcterms:modified xsi:type="dcterms:W3CDTF">2024-03-29T04:20:00Z</dcterms:modified>
</cp:coreProperties>
</file>