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F8F31" w14:textId="5D28CA8A" w:rsidR="00B60939" w:rsidRPr="00E05465" w:rsidRDefault="00365EEC" w:rsidP="002032B0">
      <w:pPr>
        <w:pStyle w:val="1-MainHeading"/>
        <w:ind w:left="851" w:hanging="851"/>
      </w:pPr>
      <w:bookmarkStart w:id="0" w:name="_Toc135034927"/>
      <w:r w:rsidRPr="00E05465">
        <w:t>6</w:t>
      </w:r>
      <w:r w:rsidR="00433044" w:rsidRPr="00E05465">
        <w:t>.</w:t>
      </w:r>
      <w:r w:rsidRPr="00E05465">
        <w:t>04</w:t>
      </w:r>
      <w:r w:rsidR="00163F66" w:rsidRPr="00E05465">
        <w:tab/>
      </w:r>
      <w:r w:rsidR="009C3592" w:rsidRPr="00E05465">
        <w:t>RAVULIZUMAB,</w:t>
      </w:r>
      <w:r w:rsidR="00B96197" w:rsidRPr="00E05465">
        <w:br/>
        <w:t>Solution concentrate for I.V. infusion 300 mg in 3 mL, Solution concentrate for I.V. infusion 1,100 mg in 11 mL,</w:t>
      </w:r>
      <w:r w:rsidR="00B96197" w:rsidRPr="00E05465">
        <w:br/>
        <w:t>Ultomiris®,</w:t>
      </w:r>
      <w:r w:rsidR="00B96197" w:rsidRPr="00E05465">
        <w:br/>
        <w:t>Alexion Pharmaceuticals Australasia Pty Ltd</w:t>
      </w:r>
      <w:r w:rsidR="00B60939" w:rsidRPr="00E05465">
        <w:t>.</w:t>
      </w:r>
      <w:bookmarkEnd w:id="0"/>
    </w:p>
    <w:p w14:paraId="5EBD49E9" w14:textId="77777777" w:rsidR="001D559C" w:rsidRPr="00E05465" w:rsidRDefault="001D559C" w:rsidP="001D559C">
      <w:pPr>
        <w:pStyle w:val="2-SectionHeading"/>
        <w:numPr>
          <w:ilvl w:val="0"/>
          <w:numId w:val="1"/>
        </w:numPr>
      </w:pPr>
      <w:bookmarkStart w:id="1" w:name="_Toc135034929"/>
      <w:bookmarkStart w:id="2" w:name="_Toc22897645"/>
      <w:r w:rsidRPr="00E05465">
        <w:t>Purpose of submission</w:t>
      </w:r>
      <w:bookmarkEnd w:id="1"/>
    </w:p>
    <w:p w14:paraId="1EC9460A" w14:textId="77777777" w:rsidR="001D559C" w:rsidRPr="00E05465" w:rsidRDefault="001D559C" w:rsidP="002032B0">
      <w:pPr>
        <w:pStyle w:val="3-BodyText"/>
      </w:pPr>
      <w:r w:rsidRPr="00E05465">
        <w:t xml:space="preserve">The Category 2 submission requested a Section 100 (Highly Specialised Drugs Program) Authority Required (Written) listing for paediatric patients with paroxysmal nocturnal haemoglobinuria (PNH). </w:t>
      </w:r>
    </w:p>
    <w:p w14:paraId="2A90B1AB" w14:textId="77777777" w:rsidR="001D559C" w:rsidRPr="00E05465" w:rsidRDefault="001D559C" w:rsidP="002032B0">
      <w:pPr>
        <w:pStyle w:val="3-BodyText"/>
      </w:pPr>
      <w:r w:rsidRPr="00E05465">
        <w:t xml:space="preserve">Listing was requested on the basis of a cost-minimisation approach (CMA) </w:t>
      </w:r>
      <w:r w:rsidRPr="00E05465">
        <w:rPr>
          <w:iCs/>
        </w:rPr>
        <w:t xml:space="preserve">versus </w:t>
      </w:r>
      <w:r w:rsidRPr="00E05465">
        <w:t xml:space="preserve">eculizumab. A claim of non-inferiority was made in the submission based on an unanchored (naïve) indirect comparison between two single-arm studies. </w:t>
      </w:r>
    </w:p>
    <w:p w14:paraId="0BFCC444" w14:textId="77777777" w:rsidR="001D559C" w:rsidRPr="00E05465" w:rsidRDefault="001D559C" w:rsidP="002032B0">
      <w:pPr>
        <w:pStyle w:val="3-BodyText"/>
      </w:pPr>
      <w:r w:rsidRPr="00E05465">
        <w:t>The rationale provided in the submission was based on the following:</w:t>
      </w:r>
    </w:p>
    <w:p w14:paraId="7B0221B1" w14:textId="77777777" w:rsidR="001D559C" w:rsidRPr="00E05465" w:rsidRDefault="001D559C" w:rsidP="002032B0">
      <w:pPr>
        <w:pStyle w:val="ListParagraph"/>
      </w:pPr>
      <w:r w:rsidRPr="00E05465">
        <w:t xml:space="preserve">the only registered treatments capable of changing the course of PNH in the paediatric population are the Complement 5 (C5) inhibitors, eculizumab and ravulizumab; and </w:t>
      </w:r>
    </w:p>
    <w:p w14:paraId="1BD37DF6" w14:textId="77777777" w:rsidR="001D559C" w:rsidRPr="00E05465" w:rsidRDefault="001D559C" w:rsidP="002032B0">
      <w:pPr>
        <w:pStyle w:val="ListParagraph"/>
      </w:pPr>
      <w:r w:rsidRPr="00E05465">
        <w:t>there is an unmet clinical need for a tolerated and equally effective therapy, with the potential to ease the treatment burden associated with eculizumab treatment in PNH.</w:t>
      </w:r>
    </w:p>
    <w:p w14:paraId="1B94072F" w14:textId="5726C266" w:rsidR="001D559C" w:rsidRPr="00E05465" w:rsidRDefault="001D559C" w:rsidP="002032B0">
      <w:pPr>
        <w:pStyle w:val="3-BodyText"/>
      </w:pPr>
      <w:r w:rsidRPr="00E05465">
        <w:fldChar w:fldCharType="begin" w:fldLock="1"/>
      </w:r>
      <w:r w:rsidRPr="00E05465">
        <w:instrText xml:space="preserve"> REF _Ref132097378 \h </w:instrText>
      </w:r>
      <w:r w:rsidRPr="00E05465">
        <w:fldChar w:fldCharType="separate"/>
      </w:r>
      <w:r w:rsidR="00231664" w:rsidRPr="00E05465">
        <w:t xml:space="preserve">Table </w:t>
      </w:r>
      <w:r w:rsidR="00231664" w:rsidRPr="00E05465">
        <w:rPr>
          <w:noProof/>
        </w:rPr>
        <w:t>1</w:t>
      </w:r>
      <w:r w:rsidRPr="00E05465">
        <w:fldChar w:fldCharType="end"/>
      </w:r>
      <w:r w:rsidRPr="00E05465">
        <w:t xml:space="preserve"> summarises the components of the overall clinical claim addressed by the submission. </w:t>
      </w:r>
    </w:p>
    <w:p w14:paraId="18E44E20" w14:textId="6889D506" w:rsidR="001D559C" w:rsidRPr="00E05465" w:rsidRDefault="001D559C" w:rsidP="001D559C">
      <w:pPr>
        <w:pStyle w:val="TableFigureCaption"/>
      </w:pPr>
      <w:bookmarkStart w:id="3" w:name="_Ref132097378"/>
      <w:r w:rsidRPr="00E05465">
        <w:lastRenderedPageBreak/>
        <w:t xml:space="preserve">Table </w:t>
      </w:r>
      <w:r w:rsidR="00687C33">
        <w:fldChar w:fldCharType="begin" w:fldLock="1"/>
      </w:r>
      <w:r w:rsidR="00687C33">
        <w:instrText xml:space="preserve"> SEQ Table \* ARABIC </w:instrText>
      </w:r>
      <w:r w:rsidR="00687C33">
        <w:fldChar w:fldCharType="separate"/>
      </w:r>
      <w:r w:rsidR="00231664" w:rsidRPr="00E05465">
        <w:rPr>
          <w:noProof/>
        </w:rPr>
        <w:t>1</w:t>
      </w:r>
      <w:r w:rsidR="00687C33">
        <w:rPr>
          <w:noProof/>
        </w:rPr>
        <w:fldChar w:fldCharType="end"/>
      </w:r>
      <w:bookmarkEnd w:id="3"/>
      <w:r w:rsidRPr="00E05465">
        <w:t>:</w:t>
      </w:r>
      <w:r w:rsidRPr="00E05465">
        <w:rPr>
          <w:rStyle w:val="CommentReference"/>
          <w:b/>
          <w:szCs w:val="24"/>
        </w:rPr>
        <w:t xml:space="preserve"> </w:t>
      </w:r>
      <w:r w:rsidRPr="00E05465">
        <w:t xml:space="preserve">Key components of the clinical issue addressed in the </w:t>
      </w:r>
      <w:proofErr w:type="gramStart"/>
      <w:r w:rsidRPr="00E05465">
        <w:t>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560"/>
      </w:tblGrid>
      <w:tr w:rsidR="00E05465" w:rsidRPr="00E05465" w14:paraId="307EEFB9" w14:textId="77777777" w:rsidTr="001D559C">
        <w:trPr>
          <w:cantSplit/>
        </w:trPr>
        <w:tc>
          <w:tcPr>
            <w:tcW w:w="808" w:type="pct"/>
            <w:vAlign w:val="center"/>
          </w:tcPr>
          <w:p w14:paraId="0995D002" w14:textId="77777777" w:rsidR="001D559C" w:rsidRPr="00E05465" w:rsidRDefault="001D559C" w:rsidP="001D559C">
            <w:pPr>
              <w:pStyle w:val="Tableheadingrow"/>
              <w:rPr>
                <w:lang w:val="en-AU"/>
              </w:rPr>
            </w:pPr>
            <w:r w:rsidRPr="00E05465">
              <w:rPr>
                <w:lang w:val="en-AU"/>
              </w:rPr>
              <w:t>Component</w:t>
            </w:r>
          </w:p>
        </w:tc>
        <w:tc>
          <w:tcPr>
            <w:tcW w:w="4192" w:type="pct"/>
            <w:vAlign w:val="center"/>
          </w:tcPr>
          <w:p w14:paraId="5359A0E9" w14:textId="77777777" w:rsidR="001D559C" w:rsidRPr="00E05465" w:rsidRDefault="001D559C" w:rsidP="001D559C">
            <w:pPr>
              <w:pStyle w:val="Tableheadingrow"/>
              <w:rPr>
                <w:lang w:val="en-AU"/>
              </w:rPr>
            </w:pPr>
            <w:r w:rsidRPr="00E05465">
              <w:rPr>
                <w:lang w:val="en-AU"/>
              </w:rPr>
              <w:t>Description</w:t>
            </w:r>
          </w:p>
        </w:tc>
      </w:tr>
      <w:tr w:rsidR="00E05465" w:rsidRPr="00E05465" w14:paraId="7C13906F" w14:textId="77777777" w:rsidTr="001D559C">
        <w:trPr>
          <w:cantSplit/>
        </w:trPr>
        <w:tc>
          <w:tcPr>
            <w:tcW w:w="808" w:type="pct"/>
            <w:vAlign w:val="center"/>
          </w:tcPr>
          <w:p w14:paraId="10BF6753" w14:textId="77777777" w:rsidR="001D559C" w:rsidRPr="00E05465" w:rsidRDefault="001D559C" w:rsidP="001D559C">
            <w:pPr>
              <w:pStyle w:val="TableText0"/>
            </w:pPr>
            <w:r w:rsidRPr="00E05465">
              <w:t>Population</w:t>
            </w:r>
          </w:p>
        </w:tc>
        <w:tc>
          <w:tcPr>
            <w:tcW w:w="4192" w:type="pct"/>
            <w:vAlign w:val="center"/>
          </w:tcPr>
          <w:p w14:paraId="19EB89D6" w14:textId="77777777" w:rsidR="001D559C" w:rsidRPr="00E05465" w:rsidRDefault="001D559C" w:rsidP="001D559C">
            <w:pPr>
              <w:pStyle w:val="TableText0"/>
            </w:pPr>
            <w:r w:rsidRPr="00E05465">
              <w:t xml:space="preserve">Paediatric patients with </w:t>
            </w:r>
            <w:bookmarkStart w:id="4" w:name="_Hlk134444073"/>
            <w:r w:rsidRPr="00E05465">
              <w:t>paroxysmal nocturnal haemoglobinuria (PNH)</w:t>
            </w:r>
            <w:bookmarkEnd w:id="4"/>
            <w:r w:rsidRPr="00E05465">
              <w:t>.</w:t>
            </w:r>
          </w:p>
        </w:tc>
      </w:tr>
      <w:tr w:rsidR="00E05465" w:rsidRPr="00E05465" w14:paraId="71306D34" w14:textId="77777777" w:rsidTr="001D559C">
        <w:trPr>
          <w:cantSplit/>
        </w:trPr>
        <w:tc>
          <w:tcPr>
            <w:tcW w:w="808" w:type="pct"/>
            <w:vAlign w:val="center"/>
          </w:tcPr>
          <w:p w14:paraId="1598ED49" w14:textId="77777777" w:rsidR="001D559C" w:rsidRPr="00E05465" w:rsidRDefault="001D559C" w:rsidP="001D559C">
            <w:pPr>
              <w:pStyle w:val="TableText0"/>
            </w:pPr>
            <w:r w:rsidRPr="00E05465">
              <w:t>Intervention</w:t>
            </w:r>
          </w:p>
        </w:tc>
        <w:tc>
          <w:tcPr>
            <w:tcW w:w="4192" w:type="pct"/>
          </w:tcPr>
          <w:p w14:paraId="26D3BFD8" w14:textId="77777777" w:rsidR="001D559C" w:rsidRPr="00E05465" w:rsidRDefault="001D559C" w:rsidP="001D559C">
            <w:pPr>
              <w:pStyle w:val="Tabletext"/>
              <w:keepNext/>
              <w:rPr>
                <w:lang w:val="en-US"/>
              </w:rPr>
            </w:pPr>
            <w:r w:rsidRPr="00E05465">
              <w:rPr>
                <w:u w:val="single"/>
                <w:lang w:val="en-US"/>
              </w:rPr>
              <w:t>Ravulizumab</w:t>
            </w:r>
            <w:r w:rsidRPr="00E05465">
              <w:rPr>
                <w:lang w:val="en-US"/>
              </w:rPr>
              <w:t>: The recommended dosing regimen consists of a loading dose followed by maintenance dosing at a once every 8-week (</w:t>
            </w:r>
            <w:r w:rsidRPr="00E05465">
              <w:t xml:space="preserve">≥20 kg) or 4-week (&lt;20 kg) </w:t>
            </w:r>
            <w:r w:rsidRPr="00E05465">
              <w:rPr>
                <w:lang w:val="en-US"/>
              </w:rPr>
              <w:t>interval, starting 2 weeks after loading dose administration.</w:t>
            </w:r>
          </w:p>
          <w:p w14:paraId="24738F65" w14:textId="77777777" w:rsidR="001D559C" w:rsidRPr="00E05465" w:rsidRDefault="001D559C" w:rsidP="001D559C">
            <w:pPr>
              <w:pStyle w:val="Tabletext"/>
              <w:keepNext/>
              <w:rPr>
                <w:lang w:val="en-US"/>
              </w:rPr>
            </w:pPr>
            <w:r w:rsidRPr="00E05465">
              <w:rPr>
                <w:lang w:val="en-US"/>
              </w:rPr>
              <w:t>Doses are administered by intravenous infusion based on the patient’s body weight, as shown below.</w:t>
            </w:r>
          </w:p>
          <w:tbl>
            <w:tblPr>
              <w:tblStyle w:val="TableGrid"/>
              <w:tblW w:w="5000" w:type="pct"/>
              <w:tblLook w:val="04A0" w:firstRow="1" w:lastRow="0" w:firstColumn="1" w:lastColumn="0" w:noHBand="0" w:noVBand="1"/>
            </w:tblPr>
            <w:tblGrid>
              <w:gridCol w:w="1834"/>
              <w:gridCol w:w="1834"/>
              <w:gridCol w:w="1834"/>
              <w:gridCol w:w="1832"/>
            </w:tblGrid>
            <w:tr w:rsidR="00E05465" w:rsidRPr="00E05465" w14:paraId="2BC71A30" w14:textId="77777777" w:rsidTr="001D559C">
              <w:tc>
                <w:tcPr>
                  <w:tcW w:w="1251" w:type="pct"/>
                </w:tcPr>
                <w:p w14:paraId="0050EBF0" w14:textId="77777777" w:rsidR="001D559C" w:rsidRPr="00E05465" w:rsidRDefault="001D559C" w:rsidP="001D559C">
                  <w:pPr>
                    <w:pStyle w:val="Tabletext"/>
                    <w:keepNext/>
                    <w:rPr>
                      <w:b/>
                      <w:bCs/>
                    </w:rPr>
                  </w:pPr>
                  <w:r w:rsidRPr="00E05465">
                    <w:rPr>
                      <w:b/>
                      <w:bCs/>
                    </w:rPr>
                    <w:t>Body weight range (kg)</w:t>
                  </w:r>
                </w:p>
              </w:tc>
              <w:tc>
                <w:tcPr>
                  <w:tcW w:w="1250" w:type="pct"/>
                </w:tcPr>
                <w:p w14:paraId="3B780C49" w14:textId="77777777" w:rsidR="001D559C" w:rsidRPr="00E05465" w:rsidRDefault="001D559C" w:rsidP="001D559C">
                  <w:pPr>
                    <w:pStyle w:val="Tabletext"/>
                    <w:keepNext/>
                    <w:rPr>
                      <w:b/>
                      <w:bCs/>
                    </w:rPr>
                  </w:pPr>
                  <w:r w:rsidRPr="00E05465">
                    <w:rPr>
                      <w:b/>
                      <w:bCs/>
                    </w:rPr>
                    <w:t>Loading dose (mg)</w:t>
                  </w:r>
                </w:p>
              </w:tc>
              <w:tc>
                <w:tcPr>
                  <w:tcW w:w="1250" w:type="pct"/>
                </w:tcPr>
                <w:p w14:paraId="077C2BE9" w14:textId="77777777" w:rsidR="001D559C" w:rsidRPr="00E05465" w:rsidRDefault="001D559C" w:rsidP="001D559C">
                  <w:pPr>
                    <w:pStyle w:val="Tabletext"/>
                    <w:keepNext/>
                    <w:rPr>
                      <w:b/>
                      <w:bCs/>
                    </w:rPr>
                  </w:pPr>
                  <w:r w:rsidRPr="00E05465">
                    <w:rPr>
                      <w:b/>
                      <w:bCs/>
                    </w:rPr>
                    <w:t>Maintenance dose (mg)</w:t>
                  </w:r>
                </w:p>
              </w:tc>
              <w:tc>
                <w:tcPr>
                  <w:tcW w:w="1249" w:type="pct"/>
                </w:tcPr>
                <w:p w14:paraId="41AD2DE9" w14:textId="77777777" w:rsidR="001D559C" w:rsidRPr="00E05465" w:rsidRDefault="001D559C" w:rsidP="001D559C">
                  <w:pPr>
                    <w:pStyle w:val="Tabletext"/>
                    <w:keepNext/>
                    <w:rPr>
                      <w:b/>
                      <w:bCs/>
                    </w:rPr>
                  </w:pPr>
                  <w:r w:rsidRPr="00E05465">
                    <w:rPr>
                      <w:b/>
                      <w:bCs/>
                    </w:rPr>
                    <w:t>Dosing interval</w:t>
                  </w:r>
                </w:p>
              </w:tc>
            </w:tr>
            <w:tr w:rsidR="00E05465" w:rsidRPr="00E05465" w14:paraId="330DD0EB" w14:textId="77777777" w:rsidTr="001D559C">
              <w:tc>
                <w:tcPr>
                  <w:tcW w:w="1251" w:type="pct"/>
                </w:tcPr>
                <w:p w14:paraId="1044756A" w14:textId="77777777" w:rsidR="001D559C" w:rsidRPr="00E05465" w:rsidRDefault="001D559C" w:rsidP="001D559C">
                  <w:pPr>
                    <w:pStyle w:val="Tabletext"/>
                    <w:keepNext/>
                  </w:pPr>
                  <w:r w:rsidRPr="00E05465">
                    <w:t>≥5 to &lt;10 kg</w:t>
                  </w:r>
                </w:p>
              </w:tc>
              <w:tc>
                <w:tcPr>
                  <w:tcW w:w="1250" w:type="pct"/>
                </w:tcPr>
                <w:p w14:paraId="2D590C0C" w14:textId="77777777" w:rsidR="001D559C" w:rsidRPr="00E05465" w:rsidRDefault="001D559C" w:rsidP="001D559C">
                  <w:pPr>
                    <w:pStyle w:val="Tabletext"/>
                    <w:keepNext/>
                  </w:pPr>
                  <w:r w:rsidRPr="00E05465">
                    <w:t>600</w:t>
                  </w:r>
                </w:p>
              </w:tc>
              <w:tc>
                <w:tcPr>
                  <w:tcW w:w="1250" w:type="pct"/>
                </w:tcPr>
                <w:p w14:paraId="4C2FE61A" w14:textId="77777777" w:rsidR="001D559C" w:rsidRPr="00E05465" w:rsidRDefault="001D559C" w:rsidP="001D559C">
                  <w:pPr>
                    <w:pStyle w:val="Tabletext"/>
                    <w:keepNext/>
                  </w:pPr>
                  <w:r w:rsidRPr="00E05465">
                    <w:t>300</w:t>
                  </w:r>
                </w:p>
              </w:tc>
              <w:tc>
                <w:tcPr>
                  <w:tcW w:w="1249" w:type="pct"/>
                </w:tcPr>
                <w:p w14:paraId="649B40B2" w14:textId="77777777" w:rsidR="001D559C" w:rsidRPr="00E05465" w:rsidRDefault="001D559C" w:rsidP="001D559C">
                  <w:pPr>
                    <w:pStyle w:val="Tabletext"/>
                    <w:keepNext/>
                  </w:pPr>
                  <w:r w:rsidRPr="00E05465">
                    <w:t>Every 4 weeks</w:t>
                  </w:r>
                </w:p>
              </w:tc>
            </w:tr>
            <w:tr w:rsidR="00E05465" w:rsidRPr="00E05465" w14:paraId="3B17CA6D" w14:textId="77777777" w:rsidTr="001D559C">
              <w:tc>
                <w:tcPr>
                  <w:tcW w:w="1251" w:type="pct"/>
                </w:tcPr>
                <w:p w14:paraId="3414A28F" w14:textId="77777777" w:rsidR="001D559C" w:rsidRPr="00E05465" w:rsidRDefault="001D559C" w:rsidP="001D559C">
                  <w:pPr>
                    <w:pStyle w:val="Tabletext"/>
                    <w:keepNext/>
                  </w:pPr>
                  <w:r w:rsidRPr="00E05465">
                    <w:t>≥10 to &lt;20</w:t>
                  </w:r>
                </w:p>
              </w:tc>
              <w:tc>
                <w:tcPr>
                  <w:tcW w:w="1250" w:type="pct"/>
                </w:tcPr>
                <w:p w14:paraId="16AD23F7" w14:textId="77777777" w:rsidR="001D559C" w:rsidRPr="00E05465" w:rsidRDefault="001D559C" w:rsidP="001D559C">
                  <w:pPr>
                    <w:pStyle w:val="Tabletext"/>
                    <w:keepNext/>
                  </w:pPr>
                  <w:r w:rsidRPr="00E05465">
                    <w:t>600</w:t>
                  </w:r>
                </w:p>
              </w:tc>
              <w:tc>
                <w:tcPr>
                  <w:tcW w:w="1250" w:type="pct"/>
                </w:tcPr>
                <w:p w14:paraId="0B49704F" w14:textId="77777777" w:rsidR="001D559C" w:rsidRPr="00E05465" w:rsidRDefault="001D559C" w:rsidP="001D559C">
                  <w:pPr>
                    <w:pStyle w:val="Tabletext"/>
                    <w:keepNext/>
                  </w:pPr>
                  <w:r w:rsidRPr="00E05465">
                    <w:t>600</w:t>
                  </w:r>
                </w:p>
              </w:tc>
              <w:tc>
                <w:tcPr>
                  <w:tcW w:w="1249" w:type="pct"/>
                </w:tcPr>
                <w:p w14:paraId="1B66354F" w14:textId="77777777" w:rsidR="001D559C" w:rsidRPr="00E05465" w:rsidRDefault="001D559C" w:rsidP="001D559C">
                  <w:pPr>
                    <w:pStyle w:val="Tabletext"/>
                    <w:keepNext/>
                  </w:pPr>
                  <w:r w:rsidRPr="00E05465">
                    <w:t>Every 4 weeks</w:t>
                  </w:r>
                </w:p>
              </w:tc>
            </w:tr>
            <w:tr w:rsidR="00E05465" w:rsidRPr="00E05465" w14:paraId="3D353C58" w14:textId="77777777" w:rsidTr="001D559C">
              <w:tc>
                <w:tcPr>
                  <w:tcW w:w="1251" w:type="pct"/>
                </w:tcPr>
                <w:p w14:paraId="1ABD9051" w14:textId="77777777" w:rsidR="001D559C" w:rsidRPr="00E05465" w:rsidRDefault="001D559C" w:rsidP="001D559C">
                  <w:pPr>
                    <w:pStyle w:val="Tabletext"/>
                    <w:keepNext/>
                  </w:pPr>
                  <w:r w:rsidRPr="00E05465">
                    <w:t>≥20 to &lt;30</w:t>
                  </w:r>
                </w:p>
              </w:tc>
              <w:tc>
                <w:tcPr>
                  <w:tcW w:w="1250" w:type="pct"/>
                </w:tcPr>
                <w:p w14:paraId="7556294C" w14:textId="77777777" w:rsidR="001D559C" w:rsidRPr="00E05465" w:rsidRDefault="001D559C" w:rsidP="001D559C">
                  <w:pPr>
                    <w:pStyle w:val="Tabletext"/>
                    <w:keepNext/>
                  </w:pPr>
                  <w:r w:rsidRPr="00E05465">
                    <w:t>900</w:t>
                  </w:r>
                </w:p>
              </w:tc>
              <w:tc>
                <w:tcPr>
                  <w:tcW w:w="1250" w:type="pct"/>
                </w:tcPr>
                <w:p w14:paraId="057B3975" w14:textId="77777777" w:rsidR="001D559C" w:rsidRPr="00E05465" w:rsidRDefault="001D559C" w:rsidP="001D559C">
                  <w:pPr>
                    <w:pStyle w:val="Tabletext"/>
                    <w:keepNext/>
                  </w:pPr>
                  <w:r w:rsidRPr="00E05465">
                    <w:t>2,100</w:t>
                  </w:r>
                </w:p>
              </w:tc>
              <w:tc>
                <w:tcPr>
                  <w:tcW w:w="1249" w:type="pct"/>
                </w:tcPr>
                <w:p w14:paraId="6357DFE5" w14:textId="77777777" w:rsidR="001D559C" w:rsidRPr="00E05465" w:rsidRDefault="001D559C" w:rsidP="001D559C">
                  <w:pPr>
                    <w:pStyle w:val="Tabletext"/>
                    <w:keepNext/>
                  </w:pPr>
                  <w:r w:rsidRPr="00E05465">
                    <w:t>Every 8 weeks</w:t>
                  </w:r>
                </w:p>
              </w:tc>
            </w:tr>
            <w:tr w:rsidR="00E05465" w:rsidRPr="00E05465" w14:paraId="6B243D69" w14:textId="77777777" w:rsidTr="001D559C">
              <w:tc>
                <w:tcPr>
                  <w:tcW w:w="1251" w:type="pct"/>
                </w:tcPr>
                <w:p w14:paraId="3E58C1E1" w14:textId="77777777" w:rsidR="001D559C" w:rsidRPr="00E05465" w:rsidRDefault="001D559C" w:rsidP="001D559C">
                  <w:pPr>
                    <w:pStyle w:val="Tabletext"/>
                    <w:keepNext/>
                  </w:pPr>
                  <w:r w:rsidRPr="00E05465">
                    <w:t>≥30 to &lt;40</w:t>
                  </w:r>
                </w:p>
              </w:tc>
              <w:tc>
                <w:tcPr>
                  <w:tcW w:w="1250" w:type="pct"/>
                </w:tcPr>
                <w:p w14:paraId="6E129A45" w14:textId="77777777" w:rsidR="001D559C" w:rsidRPr="00E05465" w:rsidRDefault="001D559C" w:rsidP="001D559C">
                  <w:pPr>
                    <w:pStyle w:val="Tabletext"/>
                    <w:keepNext/>
                  </w:pPr>
                  <w:r w:rsidRPr="00E05465">
                    <w:t>1,200</w:t>
                  </w:r>
                </w:p>
              </w:tc>
              <w:tc>
                <w:tcPr>
                  <w:tcW w:w="1250" w:type="pct"/>
                </w:tcPr>
                <w:p w14:paraId="5AB5387C" w14:textId="77777777" w:rsidR="001D559C" w:rsidRPr="00E05465" w:rsidRDefault="001D559C" w:rsidP="001D559C">
                  <w:pPr>
                    <w:pStyle w:val="Tabletext"/>
                    <w:keepNext/>
                  </w:pPr>
                  <w:r w:rsidRPr="00E05465">
                    <w:t>2,700</w:t>
                  </w:r>
                </w:p>
              </w:tc>
              <w:tc>
                <w:tcPr>
                  <w:tcW w:w="1249" w:type="pct"/>
                </w:tcPr>
                <w:p w14:paraId="7544CAC7" w14:textId="77777777" w:rsidR="001D559C" w:rsidRPr="00E05465" w:rsidRDefault="001D559C" w:rsidP="001D559C">
                  <w:pPr>
                    <w:pStyle w:val="Tabletext"/>
                    <w:keepNext/>
                  </w:pPr>
                  <w:r w:rsidRPr="00E05465">
                    <w:t>Every 8 weeks</w:t>
                  </w:r>
                </w:p>
              </w:tc>
            </w:tr>
            <w:tr w:rsidR="00E05465" w:rsidRPr="00E05465" w14:paraId="49D6EB63" w14:textId="77777777" w:rsidTr="001D559C">
              <w:tc>
                <w:tcPr>
                  <w:tcW w:w="1251" w:type="pct"/>
                </w:tcPr>
                <w:p w14:paraId="6854CE91" w14:textId="77777777" w:rsidR="001D559C" w:rsidRPr="00E05465" w:rsidRDefault="001D559C" w:rsidP="001D559C">
                  <w:pPr>
                    <w:pStyle w:val="Tabletext"/>
                    <w:keepNext/>
                  </w:pPr>
                  <w:r w:rsidRPr="00E05465">
                    <w:t>≥40 to &lt;60</w:t>
                  </w:r>
                </w:p>
              </w:tc>
              <w:tc>
                <w:tcPr>
                  <w:tcW w:w="1250" w:type="pct"/>
                </w:tcPr>
                <w:p w14:paraId="18858066" w14:textId="77777777" w:rsidR="001D559C" w:rsidRPr="00E05465" w:rsidRDefault="001D559C" w:rsidP="001D559C">
                  <w:pPr>
                    <w:pStyle w:val="Tabletext"/>
                    <w:keepNext/>
                  </w:pPr>
                  <w:r w:rsidRPr="00E05465">
                    <w:t>2,400</w:t>
                  </w:r>
                </w:p>
              </w:tc>
              <w:tc>
                <w:tcPr>
                  <w:tcW w:w="1250" w:type="pct"/>
                </w:tcPr>
                <w:p w14:paraId="549B75DC" w14:textId="77777777" w:rsidR="001D559C" w:rsidRPr="00E05465" w:rsidRDefault="001D559C" w:rsidP="001D559C">
                  <w:pPr>
                    <w:pStyle w:val="Tabletext"/>
                    <w:keepNext/>
                  </w:pPr>
                  <w:r w:rsidRPr="00E05465">
                    <w:t>3,000</w:t>
                  </w:r>
                </w:p>
              </w:tc>
              <w:tc>
                <w:tcPr>
                  <w:tcW w:w="1249" w:type="pct"/>
                </w:tcPr>
                <w:p w14:paraId="6B056A96" w14:textId="77777777" w:rsidR="001D559C" w:rsidRPr="00E05465" w:rsidRDefault="001D559C" w:rsidP="001D559C">
                  <w:pPr>
                    <w:pStyle w:val="Tabletext"/>
                    <w:keepNext/>
                  </w:pPr>
                  <w:r w:rsidRPr="00E05465">
                    <w:t>Every 8 weeks</w:t>
                  </w:r>
                </w:p>
              </w:tc>
            </w:tr>
            <w:tr w:rsidR="00E05465" w:rsidRPr="00E05465" w14:paraId="39AC3E68" w14:textId="77777777" w:rsidTr="001D559C">
              <w:tc>
                <w:tcPr>
                  <w:tcW w:w="1251" w:type="pct"/>
                </w:tcPr>
                <w:p w14:paraId="55110836" w14:textId="77777777" w:rsidR="001D559C" w:rsidRPr="00E05465" w:rsidRDefault="001D559C" w:rsidP="001D559C">
                  <w:pPr>
                    <w:pStyle w:val="Tabletext"/>
                    <w:keepNext/>
                  </w:pPr>
                  <w:r w:rsidRPr="00E05465">
                    <w:t>≥60 to &lt;100</w:t>
                  </w:r>
                </w:p>
              </w:tc>
              <w:tc>
                <w:tcPr>
                  <w:tcW w:w="1250" w:type="pct"/>
                </w:tcPr>
                <w:p w14:paraId="0974D1E4" w14:textId="77777777" w:rsidR="001D559C" w:rsidRPr="00E05465" w:rsidRDefault="001D559C" w:rsidP="001D559C">
                  <w:pPr>
                    <w:pStyle w:val="Tabletext"/>
                    <w:keepNext/>
                  </w:pPr>
                  <w:r w:rsidRPr="00E05465">
                    <w:t>2,700</w:t>
                  </w:r>
                </w:p>
              </w:tc>
              <w:tc>
                <w:tcPr>
                  <w:tcW w:w="1250" w:type="pct"/>
                </w:tcPr>
                <w:p w14:paraId="61A4DC3C" w14:textId="77777777" w:rsidR="001D559C" w:rsidRPr="00E05465" w:rsidRDefault="001D559C" w:rsidP="001D559C">
                  <w:pPr>
                    <w:pStyle w:val="Tabletext"/>
                    <w:keepNext/>
                  </w:pPr>
                  <w:r w:rsidRPr="00E05465">
                    <w:t>3,300</w:t>
                  </w:r>
                </w:p>
              </w:tc>
              <w:tc>
                <w:tcPr>
                  <w:tcW w:w="1249" w:type="pct"/>
                </w:tcPr>
                <w:p w14:paraId="0CA1E3C9" w14:textId="77777777" w:rsidR="001D559C" w:rsidRPr="00E05465" w:rsidRDefault="001D559C" w:rsidP="001D559C">
                  <w:pPr>
                    <w:pStyle w:val="Tabletext"/>
                    <w:keepNext/>
                  </w:pPr>
                  <w:r w:rsidRPr="00E05465">
                    <w:t>Every 8 weeks</w:t>
                  </w:r>
                </w:p>
              </w:tc>
            </w:tr>
            <w:tr w:rsidR="00E05465" w:rsidRPr="00E05465" w14:paraId="2008956E" w14:textId="77777777" w:rsidTr="001D559C">
              <w:tc>
                <w:tcPr>
                  <w:tcW w:w="1251" w:type="pct"/>
                </w:tcPr>
                <w:p w14:paraId="1FE2F1F3" w14:textId="77777777" w:rsidR="001D559C" w:rsidRPr="00E05465" w:rsidRDefault="001D559C" w:rsidP="001D559C">
                  <w:pPr>
                    <w:pStyle w:val="Tabletext"/>
                    <w:keepNext/>
                  </w:pPr>
                  <w:r w:rsidRPr="00E05465">
                    <w:t>≥100</w:t>
                  </w:r>
                </w:p>
              </w:tc>
              <w:tc>
                <w:tcPr>
                  <w:tcW w:w="1250" w:type="pct"/>
                </w:tcPr>
                <w:p w14:paraId="6068CCC5" w14:textId="77777777" w:rsidR="001D559C" w:rsidRPr="00E05465" w:rsidRDefault="001D559C" w:rsidP="001D559C">
                  <w:pPr>
                    <w:pStyle w:val="Tabletext"/>
                    <w:keepNext/>
                  </w:pPr>
                  <w:r w:rsidRPr="00E05465">
                    <w:t>3,000</w:t>
                  </w:r>
                </w:p>
              </w:tc>
              <w:tc>
                <w:tcPr>
                  <w:tcW w:w="1250" w:type="pct"/>
                </w:tcPr>
                <w:p w14:paraId="2F848513" w14:textId="77777777" w:rsidR="001D559C" w:rsidRPr="00E05465" w:rsidRDefault="001D559C" w:rsidP="001D559C">
                  <w:pPr>
                    <w:pStyle w:val="Tabletext"/>
                    <w:keepNext/>
                  </w:pPr>
                  <w:r w:rsidRPr="00E05465">
                    <w:t>3,600</w:t>
                  </w:r>
                </w:p>
              </w:tc>
              <w:tc>
                <w:tcPr>
                  <w:tcW w:w="1249" w:type="pct"/>
                </w:tcPr>
                <w:p w14:paraId="09F1E5C6" w14:textId="77777777" w:rsidR="001D559C" w:rsidRPr="00E05465" w:rsidRDefault="001D559C" w:rsidP="001D559C">
                  <w:pPr>
                    <w:pStyle w:val="Tabletext"/>
                    <w:keepNext/>
                  </w:pPr>
                  <w:r w:rsidRPr="00E05465">
                    <w:t>Every 8 weeks</w:t>
                  </w:r>
                </w:p>
              </w:tc>
            </w:tr>
          </w:tbl>
          <w:p w14:paraId="04594ECB" w14:textId="0E1A9C75" w:rsidR="001D559C" w:rsidRPr="00E05465" w:rsidRDefault="001D559C" w:rsidP="001D559C">
            <w:pPr>
              <w:pStyle w:val="Tabletext"/>
              <w:keepNext/>
            </w:pPr>
            <w:r w:rsidRPr="00E05465">
              <w:rPr>
                <w:lang w:val="en-US"/>
              </w:rPr>
              <w:t xml:space="preserve">For patients switching from eculizumab, the loading dose of ravulizumab should be administered </w:t>
            </w:r>
            <w:r w:rsidR="002032B0" w:rsidRPr="00E05465">
              <w:rPr>
                <w:lang w:val="en-US"/>
              </w:rPr>
              <w:t>2 </w:t>
            </w:r>
            <w:r w:rsidRPr="00E05465">
              <w:rPr>
                <w:lang w:val="en-US"/>
              </w:rPr>
              <w:t>weeks after the last eculizumab infusion, followed by maintenance doses starting 2 weeks after loading dose administration as per directions above.</w:t>
            </w:r>
          </w:p>
        </w:tc>
      </w:tr>
      <w:tr w:rsidR="00E05465" w:rsidRPr="00E05465" w14:paraId="7F0DE138" w14:textId="77777777" w:rsidTr="001D559C">
        <w:trPr>
          <w:cantSplit/>
        </w:trPr>
        <w:tc>
          <w:tcPr>
            <w:tcW w:w="808" w:type="pct"/>
            <w:vAlign w:val="center"/>
          </w:tcPr>
          <w:p w14:paraId="69DA4B37" w14:textId="77777777" w:rsidR="001D559C" w:rsidRPr="00E05465" w:rsidRDefault="001D559C" w:rsidP="001D559C">
            <w:pPr>
              <w:pStyle w:val="TableText0"/>
            </w:pPr>
            <w:r w:rsidRPr="00E05465">
              <w:t>Comparator</w:t>
            </w:r>
          </w:p>
        </w:tc>
        <w:tc>
          <w:tcPr>
            <w:tcW w:w="4192" w:type="pct"/>
            <w:vAlign w:val="center"/>
          </w:tcPr>
          <w:p w14:paraId="76846966" w14:textId="77777777" w:rsidR="001D559C" w:rsidRPr="00E05465" w:rsidRDefault="001D559C" w:rsidP="001D559C">
            <w:pPr>
              <w:pStyle w:val="Tabletext"/>
              <w:keepNext/>
              <w:rPr>
                <w:lang w:val="en-US"/>
              </w:rPr>
            </w:pPr>
            <w:r w:rsidRPr="00E05465">
              <w:rPr>
                <w:u w:val="single"/>
                <w:lang w:val="en-US"/>
              </w:rPr>
              <w:t>Eculizumab</w:t>
            </w:r>
            <w:r w:rsidRPr="00E05465">
              <w:rPr>
                <w:lang w:val="en-US"/>
              </w:rPr>
              <w:t>: The recommended dosing regimen in patients ≥ 40 kg consists of an initial phase comprising 900 mg weekly intravenous infusions for 4 weeks followed by a maintenance phase of 1200 mg intravenous infusions every 14 days, starting in the fifth week. For patients &lt; 40 kg, the initial and maintenance phase doses are weight-dependent, as outlined below.</w:t>
            </w:r>
          </w:p>
          <w:tbl>
            <w:tblPr>
              <w:tblStyle w:val="TableGrid"/>
              <w:tblW w:w="5000" w:type="pct"/>
              <w:tblLook w:val="04A0" w:firstRow="1" w:lastRow="0" w:firstColumn="1" w:lastColumn="0" w:noHBand="0" w:noVBand="1"/>
            </w:tblPr>
            <w:tblGrid>
              <w:gridCol w:w="1220"/>
              <w:gridCol w:w="2372"/>
              <w:gridCol w:w="3742"/>
            </w:tblGrid>
            <w:tr w:rsidR="00E05465" w:rsidRPr="00E05465" w14:paraId="5CEB256F" w14:textId="77777777" w:rsidTr="001D559C">
              <w:tc>
                <w:tcPr>
                  <w:tcW w:w="832" w:type="pct"/>
                </w:tcPr>
                <w:p w14:paraId="50CC67E3" w14:textId="77777777" w:rsidR="001D559C" w:rsidRPr="00E05465" w:rsidRDefault="001D559C" w:rsidP="001D559C">
                  <w:pPr>
                    <w:pStyle w:val="Tabletext"/>
                    <w:keepNext/>
                    <w:rPr>
                      <w:b/>
                      <w:bCs/>
                    </w:rPr>
                  </w:pPr>
                  <w:r w:rsidRPr="00E05465">
                    <w:rPr>
                      <w:b/>
                      <w:bCs/>
                    </w:rPr>
                    <w:t>Body weight range (kg)</w:t>
                  </w:r>
                </w:p>
              </w:tc>
              <w:tc>
                <w:tcPr>
                  <w:tcW w:w="1617" w:type="pct"/>
                </w:tcPr>
                <w:p w14:paraId="4CBA56CA" w14:textId="77777777" w:rsidR="001D559C" w:rsidRPr="00E05465" w:rsidRDefault="001D559C" w:rsidP="001D559C">
                  <w:pPr>
                    <w:pStyle w:val="Tabletext"/>
                    <w:keepNext/>
                    <w:rPr>
                      <w:b/>
                      <w:bCs/>
                    </w:rPr>
                  </w:pPr>
                  <w:r w:rsidRPr="00E05465">
                    <w:rPr>
                      <w:b/>
                      <w:bCs/>
                    </w:rPr>
                    <w:t>Initial phase</w:t>
                  </w:r>
                </w:p>
              </w:tc>
              <w:tc>
                <w:tcPr>
                  <w:tcW w:w="2551" w:type="pct"/>
                </w:tcPr>
                <w:p w14:paraId="23A06FBB" w14:textId="77777777" w:rsidR="001D559C" w:rsidRPr="00E05465" w:rsidRDefault="001D559C" w:rsidP="001D559C">
                  <w:pPr>
                    <w:pStyle w:val="Tabletext"/>
                    <w:keepNext/>
                    <w:rPr>
                      <w:b/>
                      <w:bCs/>
                    </w:rPr>
                  </w:pPr>
                  <w:r w:rsidRPr="00E05465">
                    <w:rPr>
                      <w:b/>
                      <w:bCs/>
                    </w:rPr>
                    <w:t xml:space="preserve">Maintenance phase </w:t>
                  </w:r>
                </w:p>
              </w:tc>
            </w:tr>
            <w:tr w:rsidR="00E05465" w:rsidRPr="00E05465" w14:paraId="4DB0ACAB" w14:textId="77777777" w:rsidTr="001D559C">
              <w:tc>
                <w:tcPr>
                  <w:tcW w:w="832" w:type="pct"/>
                </w:tcPr>
                <w:p w14:paraId="4407FE9F" w14:textId="77777777" w:rsidR="001D559C" w:rsidRPr="00E05465" w:rsidRDefault="001D559C" w:rsidP="001D559C">
                  <w:pPr>
                    <w:pStyle w:val="Tabletext"/>
                    <w:keepNext/>
                  </w:pPr>
                  <w:r w:rsidRPr="00E05465">
                    <w:t>5 to &lt;10</w:t>
                  </w:r>
                </w:p>
              </w:tc>
              <w:tc>
                <w:tcPr>
                  <w:tcW w:w="1617" w:type="pct"/>
                </w:tcPr>
                <w:p w14:paraId="01BFF7CD" w14:textId="77777777" w:rsidR="001D559C" w:rsidRPr="00E05465" w:rsidRDefault="001D559C" w:rsidP="001D559C">
                  <w:pPr>
                    <w:pStyle w:val="Tabletext"/>
                    <w:keepNext/>
                  </w:pPr>
                  <w:r w:rsidRPr="00E05465">
                    <w:t>300 mg week 1</w:t>
                  </w:r>
                </w:p>
              </w:tc>
              <w:tc>
                <w:tcPr>
                  <w:tcW w:w="2551" w:type="pct"/>
                </w:tcPr>
                <w:p w14:paraId="3C922560" w14:textId="77777777" w:rsidR="001D559C" w:rsidRPr="00E05465" w:rsidRDefault="001D559C" w:rsidP="001D559C">
                  <w:pPr>
                    <w:pStyle w:val="Tabletext"/>
                    <w:keepNext/>
                  </w:pPr>
                  <w:r w:rsidRPr="00E05465">
                    <w:t>300 mg week 2; then 300 mg every 3 weeks</w:t>
                  </w:r>
                </w:p>
              </w:tc>
            </w:tr>
            <w:tr w:rsidR="00E05465" w:rsidRPr="00E05465" w14:paraId="758F2941" w14:textId="77777777" w:rsidTr="001D559C">
              <w:tc>
                <w:tcPr>
                  <w:tcW w:w="832" w:type="pct"/>
                </w:tcPr>
                <w:p w14:paraId="0DDCEFF8" w14:textId="77777777" w:rsidR="001D559C" w:rsidRPr="00E05465" w:rsidRDefault="001D559C" w:rsidP="001D559C">
                  <w:pPr>
                    <w:pStyle w:val="Tabletext"/>
                    <w:keepNext/>
                  </w:pPr>
                  <w:r w:rsidRPr="00E05465">
                    <w:t>10 to &lt;20</w:t>
                  </w:r>
                </w:p>
              </w:tc>
              <w:tc>
                <w:tcPr>
                  <w:tcW w:w="1617" w:type="pct"/>
                </w:tcPr>
                <w:p w14:paraId="6FEEBA62" w14:textId="77777777" w:rsidR="001D559C" w:rsidRPr="00E05465" w:rsidRDefault="001D559C" w:rsidP="001D559C">
                  <w:pPr>
                    <w:pStyle w:val="Tabletext"/>
                    <w:keepNext/>
                  </w:pPr>
                  <w:r w:rsidRPr="00E05465">
                    <w:t>600 mg week 1</w:t>
                  </w:r>
                </w:p>
              </w:tc>
              <w:tc>
                <w:tcPr>
                  <w:tcW w:w="2551" w:type="pct"/>
                </w:tcPr>
                <w:p w14:paraId="347131C5" w14:textId="77777777" w:rsidR="001D559C" w:rsidRPr="00E05465" w:rsidRDefault="001D559C" w:rsidP="001D559C">
                  <w:pPr>
                    <w:pStyle w:val="Tabletext"/>
                    <w:keepNext/>
                  </w:pPr>
                  <w:r w:rsidRPr="00E05465">
                    <w:t>300 mg week 2; then 300 mg every 2 weeks</w:t>
                  </w:r>
                </w:p>
              </w:tc>
            </w:tr>
            <w:tr w:rsidR="00E05465" w:rsidRPr="00E05465" w14:paraId="1FB2121C" w14:textId="77777777" w:rsidTr="001D559C">
              <w:tc>
                <w:tcPr>
                  <w:tcW w:w="832" w:type="pct"/>
                </w:tcPr>
                <w:p w14:paraId="102EA8E3" w14:textId="77777777" w:rsidR="001D559C" w:rsidRPr="00E05465" w:rsidRDefault="001D559C" w:rsidP="001D559C">
                  <w:pPr>
                    <w:pStyle w:val="Tabletext"/>
                    <w:keepNext/>
                  </w:pPr>
                  <w:r w:rsidRPr="00E05465">
                    <w:t>20 to &lt;30</w:t>
                  </w:r>
                </w:p>
              </w:tc>
              <w:tc>
                <w:tcPr>
                  <w:tcW w:w="1617" w:type="pct"/>
                </w:tcPr>
                <w:p w14:paraId="6911D31F" w14:textId="77777777" w:rsidR="001D559C" w:rsidRPr="00E05465" w:rsidRDefault="001D559C" w:rsidP="001D559C">
                  <w:pPr>
                    <w:pStyle w:val="Tabletext"/>
                    <w:keepNext/>
                  </w:pPr>
                  <w:r w:rsidRPr="00E05465">
                    <w:t>600 mg weeks 1 and 2</w:t>
                  </w:r>
                </w:p>
              </w:tc>
              <w:tc>
                <w:tcPr>
                  <w:tcW w:w="2551" w:type="pct"/>
                </w:tcPr>
                <w:p w14:paraId="6BDD311D" w14:textId="77777777" w:rsidR="001D559C" w:rsidRPr="00E05465" w:rsidRDefault="001D559C" w:rsidP="001D559C">
                  <w:pPr>
                    <w:pStyle w:val="Tabletext"/>
                    <w:keepNext/>
                  </w:pPr>
                  <w:r w:rsidRPr="00E05465">
                    <w:t>600 mg week 3; then 600 mg every 2 weeks</w:t>
                  </w:r>
                </w:p>
              </w:tc>
            </w:tr>
            <w:tr w:rsidR="00E05465" w:rsidRPr="00E05465" w14:paraId="36C40E86" w14:textId="77777777" w:rsidTr="001D559C">
              <w:tc>
                <w:tcPr>
                  <w:tcW w:w="832" w:type="pct"/>
                  <w:tcBorders>
                    <w:bottom w:val="single" w:sz="4" w:space="0" w:color="auto"/>
                  </w:tcBorders>
                </w:tcPr>
                <w:p w14:paraId="0D6D774B" w14:textId="77777777" w:rsidR="001D559C" w:rsidRPr="00E05465" w:rsidRDefault="001D559C" w:rsidP="001D559C">
                  <w:pPr>
                    <w:pStyle w:val="Tabletext"/>
                    <w:keepNext/>
                  </w:pPr>
                  <w:r w:rsidRPr="00E05465">
                    <w:t>30 to &lt;40</w:t>
                  </w:r>
                </w:p>
              </w:tc>
              <w:tc>
                <w:tcPr>
                  <w:tcW w:w="1617" w:type="pct"/>
                  <w:tcBorders>
                    <w:bottom w:val="single" w:sz="4" w:space="0" w:color="auto"/>
                  </w:tcBorders>
                </w:tcPr>
                <w:p w14:paraId="3B8637C9" w14:textId="77777777" w:rsidR="001D559C" w:rsidRPr="00E05465" w:rsidRDefault="001D559C" w:rsidP="001D559C">
                  <w:pPr>
                    <w:pStyle w:val="Tabletext"/>
                    <w:keepNext/>
                  </w:pPr>
                  <w:r w:rsidRPr="00E05465">
                    <w:t>600 mg weeks 1 and 2</w:t>
                  </w:r>
                </w:p>
              </w:tc>
              <w:tc>
                <w:tcPr>
                  <w:tcW w:w="2551" w:type="pct"/>
                  <w:tcBorders>
                    <w:bottom w:val="single" w:sz="4" w:space="0" w:color="auto"/>
                  </w:tcBorders>
                </w:tcPr>
                <w:p w14:paraId="2716F50F" w14:textId="77777777" w:rsidR="001D559C" w:rsidRPr="00E05465" w:rsidRDefault="001D559C" w:rsidP="001D559C">
                  <w:pPr>
                    <w:pStyle w:val="Tabletext"/>
                    <w:keepNext/>
                  </w:pPr>
                  <w:r w:rsidRPr="00E05465">
                    <w:t>900 mg week 3; then 900 mg every 2 weeks</w:t>
                  </w:r>
                </w:p>
              </w:tc>
            </w:tr>
            <w:tr w:rsidR="00E05465" w:rsidRPr="00E05465" w14:paraId="0A9D762F" w14:textId="77777777" w:rsidTr="001D559C">
              <w:tc>
                <w:tcPr>
                  <w:tcW w:w="832" w:type="pct"/>
                  <w:tcBorders>
                    <w:bottom w:val="nil"/>
                  </w:tcBorders>
                </w:tcPr>
                <w:p w14:paraId="1A6E0EDD" w14:textId="77777777" w:rsidR="001D559C" w:rsidRPr="00E05465" w:rsidRDefault="001D559C" w:rsidP="001D559C">
                  <w:pPr>
                    <w:pStyle w:val="Tabletext"/>
                    <w:keepNext/>
                  </w:pPr>
                  <w:r w:rsidRPr="00E05465">
                    <w:t>≥40</w:t>
                  </w:r>
                </w:p>
              </w:tc>
              <w:tc>
                <w:tcPr>
                  <w:tcW w:w="1617" w:type="pct"/>
                  <w:tcBorders>
                    <w:bottom w:val="nil"/>
                  </w:tcBorders>
                </w:tcPr>
                <w:p w14:paraId="0B3CE225" w14:textId="77777777" w:rsidR="001D559C" w:rsidRPr="00E05465" w:rsidRDefault="001D559C" w:rsidP="001D559C">
                  <w:pPr>
                    <w:pStyle w:val="Tabletext"/>
                    <w:keepNext/>
                  </w:pPr>
                  <w:r w:rsidRPr="00E05465">
                    <w:t>900 mg weeks 1, 2, 3 and 4</w:t>
                  </w:r>
                </w:p>
              </w:tc>
              <w:tc>
                <w:tcPr>
                  <w:tcW w:w="2551" w:type="pct"/>
                  <w:tcBorders>
                    <w:bottom w:val="nil"/>
                  </w:tcBorders>
                </w:tcPr>
                <w:p w14:paraId="39BC5F36" w14:textId="77777777" w:rsidR="001D559C" w:rsidRPr="00E05465" w:rsidRDefault="001D559C" w:rsidP="001D559C">
                  <w:pPr>
                    <w:pStyle w:val="Tabletext"/>
                    <w:keepNext/>
                  </w:pPr>
                  <w:r w:rsidRPr="00E05465">
                    <w:t>1,200 mg week 5; then 1200 mg every 2 weeks</w:t>
                  </w:r>
                </w:p>
              </w:tc>
            </w:tr>
          </w:tbl>
          <w:p w14:paraId="55CB9B33" w14:textId="77777777" w:rsidR="001D559C" w:rsidRPr="00E05465" w:rsidRDefault="001D559C" w:rsidP="001D559C">
            <w:pPr>
              <w:pStyle w:val="TableText0"/>
            </w:pPr>
          </w:p>
        </w:tc>
      </w:tr>
      <w:tr w:rsidR="00E05465" w:rsidRPr="00E05465" w14:paraId="2BB8484C" w14:textId="77777777" w:rsidTr="001D559C">
        <w:trPr>
          <w:cantSplit/>
        </w:trPr>
        <w:tc>
          <w:tcPr>
            <w:tcW w:w="808" w:type="pct"/>
            <w:vAlign w:val="center"/>
          </w:tcPr>
          <w:p w14:paraId="52861E8C" w14:textId="77777777" w:rsidR="001D559C" w:rsidRPr="00E05465" w:rsidRDefault="001D559C" w:rsidP="001D559C">
            <w:pPr>
              <w:pStyle w:val="TableText0"/>
            </w:pPr>
            <w:r w:rsidRPr="00E05465">
              <w:t>Outcomes</w:t>
            </w:r>
          </w:p>
        </w:tc>
        <w:tc>
          <w:tcPr>
            <w:tcW w:w="4192" w:type="pct"/>
          </w:tcPr>
          <w:p w14:paraId="7E4ECEC7" w14:textId="77777777" w:rsidR="001D559C" w:rsidRPr="00E05465" w:rsidRDefault="001D559C" w:rsidP="005B6D71">
            <w:pPr>
              <w:pStyle w:val="PBACTableText0"/>
              <w:keepNext/>
              <w:numPr>
                <w:ilvl w:val="0"/>
                <w:numId w:val="10"/>
              </w:numPr>
              <w:spacing w:before="0"/>
              <w:ind w:left="300" w:hanging="300"/>
              <w:rPr>
                <w:rFonts w:cstheme="minorHAnsi"/>
              </w:rPr>
            </w:pPr>
            <w:r w:rsidRPr="00E05465">
              <w:rPr>
                <w:rFonts w:cstheme="minorHAnsi"/>
              </w:rPr>
              <w:t>Transfusion avoidance: proportion of patients who remain transfusion-free and do not require a transfusion (as per protocol) through Day 183 (Week 26)</w:t>
            </w:r>
          </w:p>
          <w:p w14:paraId="305F940B" w14:textId="77777777" w:rsidR="001D559C" w:rsidRPr="00E05465" w:rsidRDefault="001D559C" w:rsidP="005B6D71">
            <w:pPr>
              <w:pStyle w:val="PBACTableText0"/>
              <w:keepNext/>
              <w:numPr>
                <w:ilvl w:val="0"/>
                <w:numId w:val="10"/>
              </w:numPr>
              <w:spacing w:before="0"/>
              <w:ind w:left="300" w:hanging="300"/>
              <w:rPr>
                <w:rFonts w:cstheme="minorHAnsi"/>
              </w:rPr>
            </w:pPr>
            <w:r w:rsidRPr="00E05465">
              <w:rPr>
                <w:rFonts w:cstheme="minorHAnsi"/>
              </w:rPr>
              <w:t>Percentage change in LDH and free haemoglobin from baseline to Day 183 (Week 26)</w:t>
            </w:r>
          </w:p>
          <w:p w14:paraId="5DBF2543" w14:textId="77777777" w:rsidR="001D559C" w:rsidRPr="00E05465" w:rsidRDefault="001D559C" w:rsidP="005B6D71">
            <w:pPr>
              <w:pStyle w:val="PBACTableText0"/>
              <w:keepNext/>
              <w:numPr>
                <w:ilvl w:val="0"/>
                <w:numId w:val="10"/>
              </w:numPr>
              <w:spacing w:before="0"/>
              <w:ind w:left="300" w:hanging="300"/>
              <w:rPr>
                <w:rFonts w:cstheme="minorHAnsi"/>
              </w:rPr>
            </w:pPr>
            <w:r w:rsidRPr="00E05465">
              <w:rPr>
                <w:rFonts w:cstheme="minorHAnsi"/>
              </w:rPr>
              <w:t>Change in QoL (FACIT Fatigue questionnaire score) from baseline to Day 183 (Week 26)</w:t>
            </w:r>
          </w:p>
          <w:p w14:paraId="09056F2F" w14:textId="77777777" w:rsidR="001D559C" w:rsidRPr="00E05465" w:rsidRDefault="001D559C" w:rsidP="005B6D71">
            <w:pPr>
              <w:pStyle w:val="PBACTableText0"/>
              <w:keepNext/>
              <w:numPr>
                <w:ilvl w:val="0"/>
                <w:numId w:val="10"/>
              </w:numPr>
              <w:spacing w:before="0"/>
              <w:ind w:left="300" w:hanging="300"/>
              <w:rPr>
                <w:rFonts w:cstheme="minorHAnsi"/>
              </w:rPr>
            </w:pPr>
            <w:r w:rsidRPr="00E05465">
              <w:rPr>
                <w:rFonts w:cstheme="minorHAnsi"/>
              </w:rPr>
              <w:t>Proportion of patients with stabilised haemoglobin: avoidance of a ≥ 2 g/dL decrease in haemoglobin level from baseline in the absence of transfusion through Week 26</w:t>
            </w:r>
          </w:p>
          <w:p w14:paraId="30870A82" w14:textId="77777777" w:rsidR="001D559C" w:rsidRPr="00E05465" w:rsidRDefault="001D559C" w:rsidP="005B6D71">
            <w:pPr>
              <w:pStyle w:val="PBACTableText0"/>
              <w:keepNext/>
              <w:numPr>
                <w:ilvl w:val="0"/>
                <w:numId w:val="10"/>
              </w:numPr>
              <w:spacing w:before="0"/>
              <w:ind w:left="300" w:hanging="300"/>
              <w:rPr>
                <w:rFonts w:cstheme="minorHAnsi"/>
              </w:rPr>
            </w:pPr>
            <w:r w:rsidRPr="00E05465">
              <w:rPr>
                <w:rFonts w:cstheme="minorHAnsi"/>
              </w:rPr>
              <w:t>Proportion of patients with BTH: at least one new or worsening symptom or sign of intravascular haemolysis</w:t>
            </w:r>
            <w:r w:rsidRPr="00E05465">
              <w:rPr>
                <w:rFonts w:cstheme="minorHAnsi"/>
                <w:vertAlign w:val="superscript"/>
              </w:rPr>
              <w:t>a</w:t>
            </w:r>
            <w:r w:rsidRPr="00E05465">
              <w:rPr>
                <w:rFonts w:cstheme="minorHAnsi"/>
              </w:rPr>
              <w:t xml:space="preserve"> in the presence of elevated LDH as follows:</w:t>
            </w:r>
          </w:p>
          <w:p w14:paraId="47AAEC0D" w14:textId="2DF0E68F" w:rsidR="001D559C" w:rsidRPr="00E05465" w:rsidRDefault="001D559C" w:rsidP="005B6D71">
            <w:pPr>
              <w:pStyle w:val="PBACTableText0"/>
              <w:keepNext/>
              <w:numPr>
                <w:ilvl w:val="0"/>
                <w:numId w:val="11"/>
              </w:numPr>
              <w:spacing w:before="0"/>
              <w:ind w:left="600" w:hanging="300"/>
              <w:rPr>
                <w:rFonts w:cstheme="minorHAnsi"/>
              </w:rPr>
            </w:pPr>
            <w:r w:rsidRPr="00E05465">
              <w:rPr>
                <w:rFonts w:cstheme="minorHAnsi"/>
              </w:rPr>
              <w:t>For patients who enter the study naïve to complement inhibitor treatment, elevated LDH ≥</w:t>
            </w:r>
            <w:r w:rsidR="002032B0" w:rsidRPr="00E05465">
              <w:rPr>
                <w:rFonts w:cstheme="minorHAnsi"/>
              </w:rPr>
              <w:t> </w:t>
            </w:r>
            <w:r w:rsidRPr="00E05465">
              <w:rPr>
                <w:rFonts w:cstheme="minorHAnsi"/>
              </w:rPr>
              <w:t xml:space="preserve">2 x ULN after prior LDH reduction to &lt; 1.5 x ULN on </w:t>
            </w:r>
            <w:proofErr w:type="gramStart"/>
            <w:r w:rsidRPr="00E05465">
              <w:rPr>
                <w:rFonts w:cstheme="minorHAnsi"/>
              </w:rPr>
              <w:t>therapy</w:t>
            </w:r>
            <w:proofErr w:type="gramEnd"/>
          </w:p>
          <w:p w14:paraId="032E8BDD" w14:textId="0DC9BC51" w:rsidR="001D559C" w:rsidRPr="00E05465" w:rsidRDefault="001D559C" w:rsidP="005B6D71">
            <w:pPr>
              <w:pStyle w:val="PBACTableText0"/>
              <w:keepNext/>
              <w:numPr>
                <w:ilvl w:val="0"/>
                <w:numId w:val="11"/>
              </w:numPr>
              <w:spacing w:before="0"/>
              <w:ind w:left="600" w:hanging="300"/>
            </w:pPr>
            <w:r w:rsidRPr="00E05465">
              <w:rPr>
                <w:rFonts w:cstheme="minorHAnsi"/>
              </w:rPr>
              <w:t>For patients who enter the study stabilised on eculizumab treatment, elevated LDH ≥</w:t>
            </w:r>
            <w:r w:rsidR="002032B0" w:rsidRPr="00E05465">
              <w:rPr>
                <w:rFonts w:cstheme="minorHAnsi"/>
              </w:rPr>
              <w:t> </w:t>
            </w:r>
            <w:r w:rsidRPr="00E05465">
              <w:rPr>
                <w:rFonts w:cstheme="minorHAnsi"/>
              </w:rPr>
              <w:t>2 x ULN</w:t>
            </w:r>
          </w:p>
        </w:tc>
      </w:tr>
      <w:tr w:rsidR="00E05465" w:rsidRPr="00E05465" w14:paraId="735B38CA" w14:textId="77777777" w:rsidTr="001D559C">
        <w:trPr>
          <w:cantSplit/>
        </w:trPr>
        <w:tc>
          <w:tcPr>
            <w:tcW w:w="808" w:type="pct"/>
            <w:vAlign w:val="center"/>
          </w:tcPr>
          <w:p w14:paraId="57BA4920" w14:textId="77777777" w:rsidR="001D559C" w:rsidRPr="00E05465" w:rsidRDefault="001D559C" w:rsidP="001D559C">
            <w:pPr>
              <w:pStyle w:val="TableText0"/>
            </w:pPr>
            <w:r w:rsidRPr="00E05465">
              <w:t>Clinical claim</w:t>
            </w:r>
          </w:p>
        </w:tc>
        <w:tc>
          <w:tcPr>
            <w:tcW w:w="4192" w:type="pct"/>
            <w:vAlign w:val="center"/>
          </w:tcPr>
          <w:p w14:paraId="20944657" w14:textId="77777777" w:rsidR="001D559C" w:rsidRPr="00E05465" w:rsidRDefault="001D559C" w:rsidP="001D559C">
            <w:pPr>
              <w:pStyle w:val="TableText0"/>
            </w:pPr>
            <w:r w:rsidRPr="00E05465">
              <w:t>Ravulizumab is non-inferior in terms of efficacy and safety and has a reduced treatment burden relative to eculizumab.</w:t>
            </w:r>
          </w:p>
        </w:tc>
      </w:tr>
    </w:tbl>
    <w:p w14:paraId="0D9E9EA3" w14:textId="77777777" w:rsidR="001D559C" w:rsidRPr="00E05465" w:rsidRDefault="001D559C" w:rsidP="001D559C">
      <w:pPr>
        <w:pStyle w:val="TableFooter"/>
      </w:pPr>
      <w:r w:rsidRPr="00E05465">
        <w:t>Source: Table 1.1, pp15-16 of the submission</w:t>
      </w:r>
    </w:p>
    <w:p w14:paraId="1938936E" w14:textId="77777777" w:rsidR="001D559C" w:rsidRPr="00E05465" w:rsidRDefault="001D559C" w:rsidP="001D559C">
      <w:pPr>
        <w:pStyle w:val="TableFooter"/>
      </w:pPr>
      <w:r w:rsidRPr="00E05465">
        <w:t xml:space="preserve">BTH=breakthrough haemolysis; </w:t>
      </w:r>
      <w:bookmarkStart w:id="5" w:name="_Hlk132635337"/>
      <w:r w:rsidRPr="00E05465">
        <w:t>FACIT=Paediatric Functional Assessment of Chronic Illness Therapy</w:t>
      </w:r>
      <w:bookmarkEnd w:id="5"/>
      <w:r w:rsidRPr="00E05465">
        <w:t>; LDH=</w:t>
      </w:r>
      <w:bookmarkStart w:id="6" w:name="_Hlk132624062"/>
      <w:r w:rsidRPr="00E05465">
        <w:t>lactate dehydrogenase</w:t>
      </w:r>
      <w:bookmarkEnd w:id="6"/>
      <w:r w:rsidRPr="00E05465">
        <w:t>; QoL= quality of life; ULN=upper limit of normal</w:t>
      </w:r>
    </w:p>
    <w:p w14:paraId="2A7CAFFD" w14:textId="14B2B8D9" w:rsidR="001D559C" w:rsidRPr="00E05465" w:rsidRDefault="001D559C" w:rsidP="001D559C">
      <w:pPr>
        <w:pStyle w:val="TableFooter"/>
      </w:pPr>
      <w:r w:rsidRPr="00E05465">
        <w:rPr>
          <w:vertAlign w:val="superscript"/>
        </w:rPr>
        <w:t>a</w:t>
      </w:r>
      <w:r w:rsidR="00ED56D5" w:rsidRPr="00E05465">
        <w:rPr>
          <w:vertAlign w:val="superscript"/>
        </w:rPr>
        <w:t xml:space="preserve"> </w:t>
      </w:r>
      <w:r w:rsidRPr="00E05465">
        <w:t>Fatigue, hemoglobinuria, abdominal pain, shortness of breath, anaemia, major adverse vascular events, dysphagia, or erectile dysfunction.</w:t>
      </w:r>
    </w:p>
    <w:p w14:paraId="0C784C43" w14:textId="77777777" w:rsidR="001D559C" w:rsidRPr="00E05465" w:rsidRDefault="001D559C" w:rsidP="001D559C">
      <w:pPr>
        <w:pStyle w:val="2-SectionHeading"/>
        <w:numPr>
          <w:ilvl w:val="0"/>
          <w:numId w:val="1"/>
        </w:numPr>
      </w:pPr>
      <w:bookmarkStart w:id="7" w:name="_Toc135034930"/>
      <w:r w:rsidRPr="00E05465">
        <w:lastRenderedPageBreak/>
        <w:t>Background</w:t>
      </w:r>
      <w:bookmarkEnd w:id="7"/>
    </w:p>
    <w:p w14:paraId="7E126786" w14:textId="77777777" w:rsidR="001D559C" w:rsidRPr="00E05465" w:rsidRDefault="001D559C" w:rsidP="001D559C">
      <w:pPr>
        <w:pStyle w:val="4-SubsectionHeading"/>
      </w:pPr>
      <w:bookmarkStart w:id="8" w:name="_Toc22897638"/>
      <w:bookmarkStart w:id="9" w:name="_Toc135034931"/>
      <w:r w:rsidRPr="00E05465">
        <w:t>Registration status</w:t>
      </w:r>
      <w:bookmarkEnd w:id="8"/>
      <w:bookmarkEnd w:id="9"/>
    </w:p>
    <w:p w14:paraId="231A80EF" w14:textId="77777777" w:rsidR="001D559C" w:rsidRPr="00E05465" w:rsidRDefault="001D559C" w:rsidP="002032B0">
      <w:pPr>
        <w:pStyle w:val="3-BodyText"/>
      </w:pPr>
      <w:r w:rsidRPr="00E05465">
        <w:t>The TGA approved ravulizumab 10 mg/mL (300 mg in 30 mL) for the treatment of adult patients with PNH on 17 October 2019. An application to register an additional strength of 100 mg/mL (1,100 mg in 11 mL) was approved on 25 March 2021.</w:t>
      </w:r>
    </w:p>
    <w:p w14:paraId="4AD1110A" w14:textId="77777777" w:rsidR="001D559C" w:rsidRPr="00E05465" w:rsidRDefault="001D559C" w:rsidP="002032B0">
      <w:pPr>
        <w:pStyle w:val="3-BodyText"/>
      </w:pPr>
      <w:r w:rsidRPr="00E05465">
        <w:rPr>
          <w:lang w:val="en-US"/>
        </w:rPr>
        <w:t xml:space="preserve">In August 2022, TGA approved ravulizumab for the treatment of atypical Haemolytic Uraemic Syndrome (aHUS) and paediatric patients with PNH. </w:t>
      </w:r>
    </w:p>
    <w:p w14:paraId="518779A9" w14:textId="41769D98" w:rsidR="001D559C" w:rsidRPr="00E05465" w:rsidRDefault="001D559C" w:rsidP="002032B0">
      <w:pPr>
        <w:pStyle w:val="3-BodyText"/>
      </w:pPr>
      <w:r w:rsidRPr="00E05465">
        <w:t xml:space="preserve">In the United States, ravulizumab is approved for the treatment of adult and paediatric patients one month of age and older with PNH. In the European Union (EU) and the United Kingdom, ravulizumab is approved for the treatment of </w:t>
      </w:r>
      <w:r w:rsidRPr="00E05465">
        <w:rPr>
          <w:lang w:val="en-US"/>
        </w:rPr>
        <w:t xml:space="preserve">adult and paediatric patients with a body weight of </w:t>
      </w:r>
      <w:r w:rsidRPr="00E05465">
        <w:rPr>
          <w:rFonts w:cstheme="minorHAnsi"/>
          <w:lang w:val="en-US"/>
        </w:rPr>
        <w:t>≥</w:t>
      </w:r>
      <w:r w:rsidR="002032B0" w:rsidRPr="00E05465">
        <w:rPr>
          <w:rFonts w:cstheme="minorHAnsi"/>
          <w:lang w:val="en-US"/>
        </w:rPr>
        <w:t xml:space="preserve"> </w:t>
      </w:r>
      <w:r w:rsidRPr="00E05465">
        <w:rPr>
          <w:lang w:val="en-US"/>
        </w:rPr>
        <w:t>10 kg with PNH.</w:t>
      </w:r>
    </w:p>
    <w:p w14:paraId="6FC2BB92" w14:textId="77777777" w:rsidR="001D559C" w:rsidRPr="00E05465" w:rsidRDefault="001D559C" w:rsidP="001D559C">
      <w:pPr>
        <w:pStyle w:val="4-SubsectionHeading"/>
      </w:pPr>
      <w:bookmarkStart w:id="10" w:name="_Toc22897639"/>
      <w:bookmarkStart w:id="11" w:name="_Toc135034932"/>
      <w:r w:rsidRPr="00E05465">
        <w:t>Previous PBAC consideration</w:t>
      </w:r>
      <w:bookmarkEnd w:id="10"/>
      <w:bookmarkEnd w:id="11"/>
    </w:p>
    <w:p w14:paraId="1CA2D14B" w14:textId="77777777" w:rsidR="001D559C" w:rsidRPr="00E05465" w:rsidRDefault="001D559C" w:rsidP="002032B0">
      <w:pPr>
        <w:pStyle w:val="3-BodyText"/>
      </w:pPr>
      <w:r w:rsidRPr="00E05465">
        <w:t>This is the first submission to the PBAC for consideration of ravulizumab to treat paediatric patients with PNH.</w:t>
      </w:r>
    </w:p>
    <w:p w14:paraId="2D43EA76" w14:textId="1F30D15B" w:rsidR="001D559C" w:rsidRPr="00E05465" w:rsidRDefault="001D559C" w:rsidP="002032B0">
      <w:pPr>
        <w:pStyle w:val="3-BodyText"/>
      </w:pPr>
      <w:r w:rsidRPr="00E05465">
        <w:t xml:space="preserve">At the July 2020 PBAC meeting, the PBAC did not recommend ravulizumab for the treatment of adult patients (age </w:t>
      </w:r>
      <w:r w:rsidRPr="00E05465">
        <w:rPr>
          <w:rFonts w:cstheme="minorHAnsi"/>
        </w:rPr>
        <w:t>≥</w:t>
      </w:r>
      <w:r w:rsidRPr="00E05465">
        <w:t xml:space="preserve"> 18 years) with PNH. Although the PBAC considered that ravulizumab was likely non-inferior to eculizumab in the short-term, there was a lack of long-term follow-up data (paragraph 7.1, ravulizumab, </w:t>
      </w:r>
      <w:r w:rsidRPr="00E05465">
        <w:rPr>
          <w:lang w:val="en-US"/>
        </w:rPr>
        <w:t>Public Summary Document (PSD), July 2020 PBAC meeting)</w:t>
      </w:r>
      <w:r w:rsidRPr="00E05465">
        <w:t>.</w:t>
      </w:r>
    </w:p>
    <w:p w14:paraId="21867DE5" w14:textId="77777777" w:rsidR="001D559C" w:rsidRPr="00E05465" w:rsidRDefault="001D559C" w:rsidP="002032B0">
      <w:pPr>
        <w:pStyle w:val="3-BodyText"/>
      </w:pPr>
      <w:r w:rsidRPr="00E05465">
        <w:t xml:space="preserve">At the July 2020 PBAC meeting, the Committee noted that unlike eculizumab, which was indicated for use in both children and adults, the TGA approved indication and requested restriction for ravulizumab limited treatment to adults, as safety and efficacy data in children with PNH had not been established (paragraph 4.4, ravulizumab, </w:t>
      </w:r>
      <w:r w:rsidRPr="00E05465">
        <w:rPr>
          <w:lang w:val="en-US"/>
        </w:rPr>
        <w:t>PSD, July 2020 PBAC meeting).</w:t>
      </w:r>
    </w:p>
    <w:p w14:paraId="3F98898A" w14:textId="00EEFFA1" w:rsidR="001D559C" w:rsidRPr="00E05465" w:rsidRDefault="001D559C" w:rsidP="002032B0">
      <w:pPr>
        <w:pStyle w:val="3-BodyText"/>
      </w:pPr>
      <w:r w:rsidRPr="00E05465">
        <w:rPr>
          <w:lang w:val="en-US"/>
        </w:rPr>
        <w:t xml:space="preserve">Ravulizumab was </w:t>
      </w:r>
      <w:bookmarkStart w:id="12" w:name="_Hlk112161961"/>
      <w:r w:rsidRPr="00E05465">
        <w:rPr>
          <w:lang w:val="en-US"/>
        </w:rPr>
        <w:t xml:space="preserve">subsequently recommended by the PBAC </w:t>
      </w:r>
      <w:r w:rsidR="00BA1682" w:rsidRPr="00E05465">
        <w:rPr>
          <w:lang w:val="en-US"/>
        </w:rPr>
        <w:t>(</w:t>
      </w:r>
      <w:r w:rsidR="00BA1682" w:rsidRPr="00E05465">
        <w:t>under the Section 100 – Highly Specialised Drugs Program)</w:t>
      </w:r>
      <w:r w:rsidR="00BA1682" w:rsidRPr="00E05465">
        <w:rPr>
          <w:lang w:val="en-US"/>
        </w:rPr>
        <w:t xml:space="preserve"> </w:t>
      </w:r>
      <w:r w:rsidRPr="00E05465">
        <w:rPr>
          <w:lang w:val="en-US"/>
        </w:rPr>
        <w:t xml:space="preserve">for the treatment of PNH in adults </w:t>
      </w:r>
      <w:r w:rsidR="00BA1682" w:rsidRPr="00E05465">
        <w:rPr>
          <w:lang w:val="en-US"/>
        </w:rPr>
        <w:t>(</w:t>
      </w:r>
      <w:r w:rsidR="002032B0" w:rsidRPr="00E05465">
        <w:rPr>
          <w:lang w:val="en-US"/>
        </w:rPr>
        <w:t>July </w:t>
      </w:r>
      <w:r w:rsidRPr="00E05465">
        <w:rPr>
          <w:lang w:val="en-US"/>
        </w:rPr>
        <w:t>2021 meetin</w:t>
      </w:r>
      <w:bookmarkEnd w:id="12"/>
      <w:r w:rsidRPr="00E05465">
        <w:rPr>
          <w:lang w:val="en-US"/>
        </w:rPr>
        <w:t>g</w:t>
      </w:r>
      <w:r w:rsidR="00BA1682" w:rsidRPr="00E05465">
        <w:rPr>
          <w:lang w:val="en-US"/>
        </w:rPr>
        <w:t>)</w:t>
      </w:r>
      <w:r w:rsidRPr="00E05465">
        <w:rPr>
          <w:lang w:val="en-US"/>
        </w:rPr>
        <w:t xml:space="preserve"> and is currently reimbursed via the PBS. </w:t>
      </w:r>
      <w:r w:rsidRPr="00E05465">
        <w:t>The PBAC considered that ravulizumab was likely to be non-inferior in safety and effectiveness compared to eculizumab (paragraph 7.1, ravulizumab, PSD, July 2021 PBAC meeting).</w:t>
      </w:r>
      <w:r w:rsidRPr="00E05465">
        <w:rPr>
          <w:lang w:val="en-US"/>
        </w:rPr>
        <w:t xml:space="preserve"> At the time of the July 2021 PBAC meeting, ravulizumab had not yet received TGA approval for use in the paediatric population.</w:t>
      </w:r>
    </w:p>
    <w:p w14:paraId="59E15AAF" w14:textId="6BD181C0" w:rsidR="001D559C" w:rsidRPr="00E05465" w:rsidRDefault="001D559C" w:rsidP="002032B0">
      <w:pPr>
        <w:pStyle w:val="3-BodyText"/>
      </w:pPr>
      <w:r w:rsidRPr="00E05465">
        <w:t xml:space="preserve">The PBAC noted that eculizumab was funded on the Life Saving Drugs Program (LSDP) at the time of the July 2021 PBAC meeting. Although the magnitude of the survival benefit in PNH remained uncertain and the cost-effectiveness was very high, the PBAC considered eculizumab would be appropriate for inclusion on the PBS with a price reduction. The PBAC advised ravulizumab be listed based on a cost-minimisation to eculizumab at the reduced price (paragraphs 7.1-7.3, ravulizumab, PSD, </w:t>
      </w:r>
      <w:r w:rsidR="002032B0" w:rsidRPr="00E05465">
        <w:t>July </w:t>
      </w:r>
      <w:r w:rsidRPr="00E05465">
        <w:t xml:space="preserve">2021 PBAC meeting). </w:t>
      </w:r>
    </w:p>
    <w:p w14:paraId="3560C677" w14:textId="3F03EB9A" w:rsidR="001D559C" w:rsidRPr="00E05465" w:rsidRDefault="001D559C" w:rsidP="002032B0">
      <w:pPr>
        <w:pStyle w:val="3-BodyText"/>
      </w:pPr>
      <w:r w:rsidRPr="00E05465">
        <w:lastRenderedPageBreak/>
        <w:t xml:space="preserve">In the July 2021 ravulizumab resubmission, the PBAC advised that the </w:t>
      </w:r>
      <w:r w:rsidR="00BA1682" w:rsidRPr="00E05465">
        <w:t xml:space="preserve">CMA </w:t>
      </w:r>
      <w:r w:rsidRPr="00E05465">
        <w:t xml:space="preserve">analysis should </w:t>
      </w:r>
      <w:r w:rsidR="00BA1682" w:rsidRPr="00E05465">
        <w:t xml:space="preserve">be based </w:t>
      </w:r>
      <w:proofErr w:type="gramStart"/>
      <w:r w:rsidR="00BA1682" w:rsidRPr="00E05465">
        <w:t>on:</w:t>
      </w:r>
      <w:proofErr w:type="gramEnd"/>
      <w:r w:rsidR="00BA1682" w:rsidRPr="00E05465">
        <w:t xml:space="preserve"> i) </w:t>
      </w:r>
      <w:r w:rsidRPr="00E05465">
        <w:t xml:space="preserve">the eculizumab price established following the outcomes of its considerations; ii) administration costs </w:t>
      </w:r>
      <w:r w:rsidR="00BA1682" w:rsidRPr="00E05465">
        <w:t>for</w:t>
      </w:r>
      <w:r w:rsidRPr="00E05465">
        <w:t xml:space="preserve"> standard specialist follow-up consultation MBS item 105; and iii) a two-year period from initiation of treatment, for consistency with other drugs which include a loading dose in year one. The PBAC considered the estimated equi-effective doses over the first two years of treatment were ravulizumab 44,616 mg (13.75 infusions including loading dose) and eculizumab 47,</w:t>
      </w:r>
      <w:r w:rsidR="002032B0" w:rsidRPr="00E05465">
        <w:t>400 </w:t>
      </w:r>
      <w:r w:rsidRPr="00E05465">
        <w:t>mg (</w:t>
      </w:r>
      <w:r w:rsidR="002032B0" w:rsidRPr="00E05465">
        <w:t>54 </w:t>
      </w:r>
      <w:r w:rsidRPr="00E05465">
        <w:t>infusions) (paragraph 7.15, ravulizumab, PSD, July 2021 PBAC meeting).</w:t>
      </w:r>
    </w:p>
    <w:p w14:paraId="5CAA835E" w14:textId="14724FB6" w:rsidR="001D559C" w:rsidRPr="00E05465" w:rsidRDefault="001D559C" w:rsidP="002032B0">
      <w:pPr>
        <w:pStyle w:val="3-BodyText"/>
      </w:pPr>
      <w:r w:rsidRPr="00E05465">
        <w:t>The PBAC considered that a Risk Sharing Arrangement (RSA) was appropriate to manage any residual uncertainty associated with the cost to government of listing eculizumab and ravulizumab on the PBS, consistent with arrangements that currently apply to eculizumab under the Deed for supply through the LSDP. The PBAC also recommended that ravulizumab should be treated as interchangeable on an individual patient basis with eculizumab (paragraphs 7.17-7.18, ravulizumab, PSD, July</w:t>
      </w:r>
      <w:r w:rsidR="002032B0" w:rsidRPr="00E05465">
        <w:t> </w:t>
      </w:r>
      <w:r w:rsidRPr="00E05465">
        <w:t>2021 PBAC meeting).</w:t>
      </w:r>
    </w:p>
    <w:p w14:paraId="57D64982" w14:textId="77777777" w:rsidR="001D559C" w:rsidRPr="00E05465" w:rsidRDefault="001D559C" w:rsidP="001D559C">
      <w:pPr>
        <w:pStyle w:val="2-SectionHeading"/>
        <w:numPr>
          <w:ilvl w:val="0"/>
          <w:numId w:val="1"/>
        </w:numPr>
      </w:pPr>
      <w:bookmarkStart w:id="13" w:name="_Toc107902078"/>
      <w:bookmarkStart w:id="14" w:name="_Toc135034933"/>
      <w:bookmarkEnd w:id="13"/>
      <w:r w:rsidRPr="00E05465">
        <w:t xml:space="preserve">Requested </w:t>
      </w:r>
      <w:proofErr w:type="gramStart"/>
      <w:r w:rsidRPr="00E05465">
        <w:t>listing</w:t>
      </w:r>
      <w:bookmarkEnd w:id="14"/>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661"/>
        <w:gridCol w:w="848"/>
        <w:gridCol w:w="846"/>
        <w:gridCol w:w="845"/>
        <w:gridCol w:w="1128"/>
      </w:tblGrid>
      <w:tr w:rsidR="00E05465" w:rsidRPr="00E05465" w14:paraId="6C998C1C" w14:textId="77777777" w:rsidTr="002032B0">
        <w:trPr>
          <w:cantSplit/>
          <w:trHeight w:val="471"/>
        </w:trPr>
        <w:tc>
          <w:tcPr>
            <w:tcW w:w="2689" w:type="dxa"/>
          </w:tcPr>
          <w:p w14:paraId="52CEE767" w14:textId="77777777" w:rsidR="001D559C" w:rsidRPr="00E05465" w:rsidRDefault="001D559C" w:rsidP="001D559C">
            <w:pPr>
              <w:keepLines/>
              <w:rPr>
                <w:rFonts w:ascii="Arial Narrow" w:hAnsi="Arial Narrow"/>
                <w:b/>
                <w:bCs/>
                <w:sz w:val="20"/>
                <w:szCs w:val="20"/>
              </w:rPr>
            </w:pPr>
            <w:r w:rsidRPr="00E05465">
              <w:rPr>
                <w:rFonts w:ascii="Arial Narrow" w:hAnsi="Arial Narrow"/>
                <w:b/>
                <w:bCs/>
                <w:sz w:val="20"/>
                <w:szCs w:val="20"/>
              </w:rPr>
              <w:t>MEDICINAL PRODUCT</w:t>
            </w:r>
          </w:p>
          <w:p w14:paraId="669038D3" w14:textId="77777777" w:rsidR="001D559C" w:rsidRPr="00E05465" w:rsidRDefault="001D559C" w:rsidP="001D559C">
            <w:pPr>
              <w:keepLines/>
              <w:rPr>
                <w:rFonts w:ascii="Arial Narrow" w:hAnsi="Arial Narrow"/>
                <w:b/>
                <w:sz w:val="20"/>
                <w:szCs w:val="20"/>
              </w:rPr>
            </w:pPr>
            <w:r w:rsidRPr="00E05465">
              <w:rPr>
                <w:rFonts w:ascii="Arial Narrow" w:hAnsi="Arial Narrow"/>
                <w:b/>
                <w:bCs/>
                <w:sz w:val="20"/>
                <w:szCs w:val="20"/>
              </w:rPr>
              <w:t>medicinal product pack</w:t>
            </w:r>
          </w:p>
        </w:tc>
        <w:tc>
          <w:tcPr>
            <w:tcW w:w="2661" w:type="dxa"/>
          </w:tcPr>
          <w:p w14:paraId="45E0F1C2" w14:textId="77777777" w:rsidR="001D559C" w:rsidRPr="00E05465" w:rsidRDefault="001D559C" w:rsidP="001D559C">
            <w:pPr>
              <w:ind w:left="-108"/>
              <w:jc w:val="center"/>
              <w:rPr>
                <w:rFonts w:ascii="Arial Narrow" w:hAnsi="Arial Narrow"/>
                <w:b/>
                <w:sz w:val="20"/>
                <w:szCs w:val="20"/>
              </w:rPr>
            </w:pPr>
            <w:r w:rsidRPr="00E05465">
              <w:rPr>
                <w:rFonts w:ascii="Arial Narrow" w:hAnsi="Arial Narrow"/>
                <w:b/>
                <w:sz w:val="20"/>
                <w:szCs w:val="20"/>
              </w:rPr>
              <w:t>Dispensed price for Max. Qty</w:t>
            </w:r>
            <w:r w:rsidRPr="00E05465">
              <w:rPr>
                <w:rFonts w:ascii="Arial Narrow" w:hAnsi="Arial Narrow"/>
                <w:b/>
                <w:sz w:val="20"/>
                <w:szCs w:val="20"/>
              </w:rPr>
              <w:br/>
              <w:t xml:space="preserve">Published price (effective price) </w:t>
            </w:r>
          </w:p>
        </w:tc>
        <w:tc>
          <w:tcPr>
            <w:tcW w:w="848" w:type="dxa"/>
          </w:tcPr>
          <w:p w14:paraId="61A78A06" w14:textId="77777777" w:rsidR="001D559C" w:rsidRPr="00E05465" w:rsidRDefault="001D559C" w:rsidP="001D559C">
            <w:pPr>
              <w:ind w:left="-108"/>
              <w:jc w:val="center"/>
              <w:rPr>
                <w:rFonts w:ascii="Arial Narrow" w:hAnsi="Arial Narrow"/>
                <w:b/>
                <w:sz w:val="20"/>
                <w:szCs w:val="20"/>
              </w:rPr>
            </w:pPr>
            <w:r w:rsidRPr="00E05465">
              <w:rPr>
                <w:rFonts w:ascii="Arial Narrow" w:hAnsi="Arial Narrow"/>
                <w:b/>
                <w:sz w:val="20"/>
                <w:szCs w:val="20"/>
              </w:rPr>
              <w:t xml:space="preserve">Max. qty packs </w:t>
            </w:r>
          </w:p>
        </w:tc>
        <w:tc>
          <w:tcPr>
            <w:tcW w:w="846" w:type="dxa"/>
          </w:tcPr>
          <w:p w14:paraId="7366ED41" w14:textId="77777777" w:rsidR="001D559C" w:rsidRPr="00E05465" w:rsidRDefault="001D559C" w:rsidP="001D559C">
            <w:pPr>
              <w:ind w:left="-108"/>
              <w:jc w:val="center"/>
              <w:rPr>
                <w:rFonts w:ascii="Arial Narrow" w:hAnsi="Arial Narrow"/>
                <w:b/>
                <w:sz w:val="20"/>
                <w:szCs w:val="20"/>
              </w:rPr>
            </w:pPr>
            <w:r w:rsidRPr="00E05465">
              <w:rPr>
                <w:rFonts w:ascii="Arial Narrow" w:hAnsi="Arial Narrow"/>
                <w:b/>
                <w:sz w:val="20"/>
                <w:szCs w:val="20"/>
              </w:rPr>
              <w:t xml:space="preserve"> Max. qty units</w:t>
            </w:r>
          </w:p>
        </w:tc>
        <w:tc>
          <w:tcPr>
            <w:tcW w:w="845" w:type="dxa"/>
          </w:tcPr>
          <w:p w14:paraId="4EA8D817" w14:textId="00757501" w:rsidR="001D559C" w:rsidRPr="00E05465" w:rsidRDefault="001D559C" w:rsidP="001D559C">
            <w:pPr>
              <w:ind w:left="-108"/>
              <w:jc w:val="center"/>
              <w:rPr>
                <w:rFonts w:ascii="Arial Narrow" w:hAnsi="Arial Narrow"/>
                <w:b/>
                <w:sz w:val="20"/>
                <w:szCs w:val="20"/>
              </w:rPr>
            </w:pPr>
            <w:r w:rsidRPr="00E05465">
              <w:rPr>
                <w:rFonts w:ascii="Arial Narrow" w:hAnsi="Arial Narrow"/>
                <w:b/>
                <w:sz w:val="20"/>
                <w:szCs w:val="20"/>
              </w:rPr>
              <w:t xml:space="preserve"> </w:t>
            </w:r>
            <w:r w:rsidR="00ED56D5" w:rsidRPr="00E05465">
              <w:rPr>
                <w:rFonts w:ascii="Arial Narrow" w:hAnsi="Arial Narrow"/>
                <w:b/>
                <w:sz w:val="20"/>
                <w:szCs w:val="20"/>
              </w:rPr>
              <w:t>№. of</w:t>
            </w:r>
            <w:r w:rsidRPr="00E05465">
              <w:rPr>
                <w:rFonts w:ascii="Arial Narrow" w:hAnsi="Arial Narrow"/>
                <w:b/>
                <w:sz w:val="20"/>
                <w:szCs w:val="20"/>
              </w:rPr>
              <w:t xml:space="preserve"> Rpts</w:t>
            </w:r>
          </w:p>
        </w:tc>
        <w:tc>
          <w:tcPr>
            <w:tcW w:w="1128" w:type="dxa"/>
          </w:tcPr>
          <w:p w14:paraId="3E76BF66" w14:textId="77777777" w:rsidR="001D559C" w:rsidRPr="00E05465" w:rsidRDefault="001D559C" w:rsidP="001D559C">
            <w:pPr>
              <w:rPr>
                <w:rFonts w:ascii="Arial Narrow" w:hAnsi="Arial Narrow"/>
                <w:b/>
                <w:sz w:val="20"/>
                <w:szCs w:val="20"/>
              </w:rPr>
            </w:pPr>
            <w:r w:rsidRPr="00E05465">
              <w:rPr>
                <w:rFonts w:ascii="Arial Narrow" w:hAnsi="Arial Narrow"/>
                <w:b/>
                <w:sz w:val="20"/>
                <w:szCs w:val="20"/>
              </w:rPr>
              <w:t>Available brands</w:t>
            </w:r>
          </w:p>
        </w:tc>
      </w:tr>
      <w:tr w:rsidR="00E05465" w:rsidRPr="00E05465" w14:paraId="11E813AD" w14:textId="77777777" w:rsidTr="002032B0">
        <w:trPr>
          <w:cantSplit/>
          <w:trHeight w:val="60"/>
        </w:trPr>
        <w:tc>
          <w:tcPr>
            <w:tcW w:w="9017" w:type="dxa"/>
            <w:gridSpan w:val="6"/>
          </w:tcPr>
          <w:p w14:paraId="59A10921"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RAVULIZUMAB</w:t>
            </w:r>
          </w:p>
        </w:tc>
      </w:tr>
      <w:tr w:rsidR="00E05465" w:rsidRPr="00E05465" w14:paraId="34DA57AD" w14:textId="77777777" w:rsidTr="002032B0">
        <w:trPr>
          <w:cantSplit/>
          <w:trHeight w:val="359"/>
        </w:trPr>
        <w:tc>
          <w:tcPr>
            <w:tcW w:w="2689" w:type="dxa"/>
          </w:tcPr>
          <w:p w14:paraId="0F47A1C7" w14:textId="77777777" w:rsidR="001D559C" w:rsidRPr="00E05465" w:rsidRDefault="001D559C" w:rsidP="001D559C">
            <w:pPr>
              <w:pStyle w:val="TableText0"/>
              <w:keepNext w:val="0"/>
              <w:keepLines/>
              <w:rPr>
                <w:szCs w:val="20"/>
              </w:rPr>
            </w:pPr>
            <w:r w:rsidRPr="00E05465">
              <w:rPr>
                <w:szCs w:val="20"/>
              </w:rPr>
              <w:t>Ravulizumab 300 mg/3 mL injection, 3 mL vial</w:t>
            </w:r>
          </w:p>
        </w:tc>
        <w:tc>
          <w:tcPr>
            <w:tcW w:w="2661" w:type="dxa"/>
          </w:tcPr>
          <w:p w14:paraId="4A15FF2C" w14:textId="77777777" w:rsidR="001D559C" w:rsidRPr="00E05465" w:rsidRDefault="001D559C" w:rsidP="001D559C">
            <w:pPr>
              <w:pStyle w:val="TableText0"/>
              <w:keepNext w:val="0"/>
              <w:jc w:val="center"/>
              <w:rPr>
                <w:szCs w:val="20"/>
              </w:rPr>
            </w:pPr>
            <w:r w:rsidRPr="00E05465">
              <w:rPr>
                <w:szCs w:val="20"/>
              </w:rPr>
              <w:t>Public hospital:</w:t>
            </w:r>
          </w:p>
          <w:p w14:paraId="48EB1772" w14:textId="785770EB" w:rsidR="001D559C" w:rsidRPr="00E05465" w:rsidRDefault="001D559C" w:rsidP="001D559C">
            <w:pPr>
              <w:pStyle w:val="TableText0"/>
              <w:keepNext w:val="0"/>
              <w:jc w:val="center"/>
              <w:rPr>
                <w:szCs w:val="20"/>
              </w:rPr>
            </w:pPr>
            <w:r w:rsidRPr="00E05465">
              <w:rPr>
                <w:szCs w:val="20"/>
              </w:rPr>
              <w:t>$6,574.12 ($</w:t>
            </w:r>
            <w:r w:rsidR="00533927" w:rsidRPr="00533927">
              <w:rPr>
                <w:color w:val="000000"/>
                <w:szCs w:val="20"/>
                <w:shd w:val="solid" w:color="000000" w:fill="000000"/>
                <w14:textFill>
                  <w14:solidFill>
                    <w14:srgbClr w14:val="000000">
                      <w14:alpha w14:val="100000"/>
                    </w14:srgbClr>
                  </w14:solidFill>
                </w14:textFill>
              </w:rPr>
              <w:t>|</w:t>
            </w:r>
            <w:r w:rsidRPr="00E05465">
              <w:rPr>
                <w:szCs w:val="20"/>
              </w:rPr>
              <w:t>)</w:t>
            </w:r>
          </w:p>
          <w:p w14:paraId="7DEF4FCB" w14:textId="77777777" w:rsidR="001D559C" w:rsidRPr="00E05465" w:rsidRDefault="001D559C" w:rsidP="001D559C">
            <w:pPr>
              <w:pStyle w:val="TableText0"/>
              <w:keepNext w:val="0"/>
              <w:jc w:val="center"/>
              <w:rPr>
                <w:szCs w:val="20"/>
              </w:rPr>
            </w:pPr>
            <w:r w:rsidRPr="00E05465">
              <w:rPr>
                <w:szCs w:val="20"/>
              </w:rPr>
              <w:t xml:space="preserve">Private hospital: </w:t>
            </w:r>
          </w:p>
          <w:p w14:paraId="60D527B7" w14:textId="1EA40343" w:rsidR="001D559C" w:rsidRPr="00E05465" w:rsidRDefault="001D559C" w:rsidP="001D559C">
            <w:pPr>
              <w:jc w:val="center"/>
              <w:rPr>
                <w:rFonts w:ascii="Arial Narrow" w:hAnsi="Arial Narrow"/>
                <w:sz w:val="20"/>
                <w:szCs w:val="20"/>
              </w:rPr>
            </w:pPr>
            <w:r w:rsidRPr="00E05465">
              <w:rPr>
                <w:rFonts w:ascii="Arial Narrow" w:eastAsiaTheme="majorEastAsia" w:hAnsi="Arial Narrow" w:cstheme="majorBidi"/>
                <w:bCs/>
                <w:sz w:val="20"/>
                <w:szCs w:val="20"/>
              </w:rPr>
              <w:t>$6,621.94 ($</w:t>
            </w:r>
            <w:r w:rsidR="00533927" w:rsidRPr="0053392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Pr="00E05465">
              <w:rPr>
                <w:rFonts w:ascii="Arial Narrow" w:eastAsiaTheme="majorEastAsia" w:hAnsi="Arial Narrow" w:cstheme="majorBidi"/>
                <w:bCs/>
                <w:sz w:val="20"/>
                <w:szCs w:val="20"/>
              </w:rPr>
              <w:t>)</w:t>
            </w:r>
          </w:p>
        </w:tc>
        <w:tc>
          <w:tcPr>
            <w:tcW w:w="848" w:type="dxa"/>
          </w:tcPr>
          <w:p w14:paraId="6C6172D1" w14:textId="77777777" w:rsidR="001D559C" w:rsidRPr="00E05465" w:rsidRDefault="001D559C" w:rsidP="001D559C">
            <w:pPr>
              <w:jc w:val="center"/>
              <w:rPr>
                <w:rFonts w:ascii="Arial Narrow" w:hAnsi="Arial Narrow"/>
                <w:sz w:val="20"/>
                <w:szCs w:val="20"/>
              </w:rPr>
            </w:pPr>
            <w:r w:rsidRPr="00E05465">
              <w:rPr>
                <w:rFonts w:ascii="Arial Narrow" w:hAnsi="Arial Narrow"/>
                <w:sz w:val="20"/>
                <w:szCs w:val="20"/>
              </w:rPr>
              <w:t>1</w:t>
            </w:r>
          </w:p>
        </w:tc>
        <w:tc>
          <w:tcPr>
            <w:tcW w:w="846" w:type="dxa"/>
          </w:tcPr>
          <w:p w14:paraId="717EA5DF" w14:textId="77777777" w:rsidR="001D559C" w:rsidRPr="00E05465" w:rsidRDefault="001D559C" w:rsidP="001D559C">
            <w:pPr>
              <w:jc w:val="center"/>
              <w:rPr>
                <w:rFonts w:ascii="Arial Narrow" w:hAnsi="Arial Narrow"/>
                <w:sz w:val="20"/>
                <w:szCs w:val="20"/>
              </w:rPr>
            </w:pPr>
            <w:r w:rsidRPr="00E05465">
              <w:rPr>
                <w:rFonts w:ascii="Arial Narrow" w:hAnsi="Arial Narrow"/>
                <w:sz w:val="20"/>
                <w:szCs w:val="20"/>
              </w:rPr>
              <w:t>1</w:t>
            </w:r>
          </w:p>
        </w:tc>
        <w:tc>
          <w:tcPr>
            <w:tcW w:w="845" w:type="dxa"/>
          </w:tcPr>
          <w:p w14:paraId="22AE5639" w14:textId="77777777" w:rsidR="001D559C" w:rsidRPr="00E05465" w:rsidRDefault="001D559C" w:rsidP="001D559C">
            <w:pPr>
              <w:jc w:val="center"/>
              <w:rPr>
                <w:rFonts w:ascii="Arial Narrow" w:eastAsiaTheme="majorEastAsia" w:hAnsi="Arial Narrow" w:cstheme="majorBidi"/>
                <w:bCs/>
                <w:sz w:val="20"/>
                <w:szCs w:val="20"/>
              </w:rPr>
            </w:pPr>
            <w:r w:rsidRPr="00E05465">
              <w:rPr>
                <w:rFonts w:ascii="Arial Narrow" w:eastAsiaTheme="majorEastAsia" w:hAnsi="Arial Narrow" w:cstheme="majorBidi"/>
                <w:bCs/>
                <w:sz w:val="20"/>
                <w:szCs w:val="20"/>
              </w:rPr>
              <w:t>2</w:t>
            </w:r>
          </w:p>
        </w:tc>
        <w:tc>
          <w:tcPr>
            <w:tcW w:w="1128" w:type="dxa"/>
          </w:tcPr>
          <w:p w14:paraId="152E8614" w14:textId="77777777" w:rsidR="001D559C" w:rsidRPr="00E05465" w:rsidRDefault="001D559C" w:rsidP="001D559C">
            <w:pPr>
              <w:jc w:val="center"/>
              <w:rPr>
                <w:rFonts w:ascii="Arial Narrow" w:hAnsi="Arial Narrow"/>
                <w:sz w:val="20"/>
                <w:szCs w:val="20"/>
              </w:rPr>
            </w:pPr>
            <w:r w:rsidRPr="00E05465">
              <w:rPr>
                <w:rFonts w:ascii="Arial Narrow" w:hAnsi="Arial Narrow"/>
                <w:sz w:val="20"/>
                <w:szCs w:val="20"/>
              </w:rPr>
              <w:t>Ultomiris</w:t>
            </w:r>
          </w:p>
        </w:tc>
      </w:tr>
      <w:tr w:rsidR="00E05465" w:rsidRPr="00E05465" w14:paraId="0F944107" w14:textId="77777777" w:rsidTr="002032B0">
        <w:trPr>
          <w:cantSplit/>
          <w:trHeight w:val="347"/>
        </w:trPr>
        <w:tc>
          <w:tcPr>
            <w:tcW w:w="2689" w:type="dxa"/>
          </w:tcPr>
          <w:p w14:paraId="37625A58" w14:textId="77777777" w:rsidR="001D559C" w:rsidRPr="00E05465" w:rsidRDefault="001D559C" w:rsidP="001D559C">
            <w:pPr>
              <w:pStyle w:val="TableText0"/>
              <w:keepNext w:val="0"/>
              <w:keepLines/>
              <w:rPr>
                <w:szCs w:val="20"/>
              </w:rPr>
            </w:pPr>
            <w:r w:rsidRPr="00E05465">
              <w:rPr>
                <w:szCs w:val="20"/>
              </w:rPr>
              <w:t>Ravulizumab 1.1 g/11 mL injection, 11 mL vial</w:t>
            </w:r>
          </w:p>
        </w:tc>
        <w:tc>
          <w:tcPr>
            <w:tcW w:w="2661" w:type="dxa"/>
          </w:tcPr>
          <w:p w14:paraId="5330BB48" w14:textId="77777777" w:rsidR="001D559C" w:rsidRPr="00E05465" w:rsidRDefault="001D559C" w:rsidP="001D559C">
            <w:pPr>
              <w:pStyle w:val="TableText0"/>
              <w:keepNext w:val="0"/>
              <w:jc w:val="center"/>
              <w:rPr>
                <w:szCs w:val="20"/>
              </w:rPr>
            </w:pPr>
            <w:r w:rsidRPr="00E05465">
              <w:rPr>
                <w:szCs w:val="20"/>
              </w:rPr>
              <w:t>Public hospital:</w:t>
            </w:r>
          </w:p>
          <w:p w14:paraId="0F8DA6C8" w14:textId="3A0D2A03" w:rsidR="001D559C" w:rsidRPr="00E05465" w:rsidRDefault="001D559C" w:rsidP="001D559C">
            <w:pPr>
              <w:pStyle w:val="TableText0"/>
              <w:keepNext w:val="0"/>
              <w:jc w:val="center"/>
              <w:rPr>
                <w:szCs w:val="20"/>
              </w:rPr>
            </w:pPr>
            <w:r w:rsidRPr="00E05465">
              <w:rPr>
                <w:szCs w:val="20"/>
              </w:rPr>
              <w:t>$24,105.11 ($</w:t>
            </w:r>
            <w:r w:rsidR="00533927" w:rsidRPr="00533927">
              <w:rPr>
                <w:color w:val="000000"/>
                <w:szCs w:val="20"/>
                <w:shd w:val="solid" w:color="000000" w:fill="000000"/>
                <w14:textFill>
                  <w14:solidFill>
                    <w14:srgbClr w14:val="000000">
                      <w14:alpha w14:val="100000"/>
                    </w14:srgbClr>
                  </w14:solidFill>
                </w14:textFill>
              </w:rPr>
              <w:t>|</w:t>
            </w:r>
            <w:r w:rsidRPr="00E05465">
              <w:rPr>
                <w:szCs w:val="20"/>
              </w:rPr>
              <w:t>)</w:t>
            </w:r>
          </w:p>
          <w:p w14:paraId="4843F02B" w14:textId="77777777" w:rsidR="001D559C" w:rsidRPr="00E05465" w:rsidRDefault="001D559C" w:rsidP="001D559C">
            <w:pPr>
              <w:pStyle w:val="TableText0"/>
              <w:keepNext w:val="0"/>
              <w:jc w:val="center"/>
              <w:rPr>
                <w:szCs w:val="20"/>
              </w:rPr>
            </w:pPr>
            <w:r w:rsidRPr="00E05465">
              <w:rPr>
                <w:szCs w:val="20"/>
              </w:rPr>
              <w:t xml:space="preserve">Private hospital: </w:t>
            </w:r>
          </w:p>
          <w:p w14:paraId="71616D39" w14:textId="43A1B87F" w:rsidR="001D559C" w:rsidRPr="00E05465" w:rsidRDefault="001D559C" w:rsidP="001D559C">
            <w:pPr>
              <w:jc w:val="center"/>
              <w:rPr>
                <w:rFonts w:ascii="Arial Narrow" w:hAnsi="Arial Narrow"/>
                <w:sz w:val="20"/>
                <w:szCs w:val="20"/>
              </w:rPr>
            </w:pPr>
            <w:r w:rsidRPr="00E05465">
              <w:rPr>
                <w:rFonts w:ascii="Arial Narrow" w:eastAsiaTheme="majorEastAsia" w:hAnsi="Arial Narrow" w:cstheme="majorBidi"/>
                <w:bCs/>
                <w:sz w:val="20"/>
                <w:szCs w:val="20"/>
              </w:rPr>
              <w:t>$24,152.93 ($</w:t>
            </w:r>
            <w:r w:rsidR="00533927" w:rsidRPr="0053392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Pr="00E05465">
              <w:rPr>
                <w:rFonts w:ascii="Arial Narrow" w:eastAsiaTheme="majorEastAsia" w:hAnsi="Arial Narrow" w:cstheme="majorBidi"/>
                <w:bCs/>
                <w:sz w:val="20"/>
                <w:szCs w:val="20"/>
              </w:rPr>
              <w:t>)</w:t>
            </w:r>
          </w:p>
        </w:tc>
        <w:tc>
          <w:tcPr>
            <w:tcW w:w="848" w:type="dxa"/>
          </w:tcPr>
          <w:p w14:paraId="41A8081C" w14:textId="77777777" w:rsidR="001D559C" w:rsidRPr="00E05465" w:rsidRDefault="001D559C" w:rsidP="001D559C">
            <w:pPr>
              <w:jc w:val="center"/>
              <w:rPr>
                <w:rFonts w:ascii="Arial Narrow" w:hAnsi="Arial Narrow"/>
                <w:sz w:val="20"/>
                <w:szCs w:val="20"/>
              </w:rPr>
            </w:pPr>
            <w:r w:rsidRPr="00E05465">
              <w:rPr>
                <w:rFonts w:ascii="Arial Narrow" w:hAnsi="Arial Narrow"/>
                <w:sz w:val="20"/>
                <w:szCs w:val="20"/>
              </w:rPr>
              <w:t>1</w:t>
            </w:r>
          </w:p>
        </w:tc>
        <w:tc>
          <w:tcPr>
            <w:tcW w:w="846" w:type="dxa"/>
          </w:tcPr>
          <w:p w14:paraId="664C034B" w14:textId="77777777" w:rsidR="001D559C" w:rsidRPr="00E05465" w:rsidRDefault="001D559C" w:rsidP="001D559C">
            <w:pPr>
              <w:jc w:val="center"/>
              <w:rPr>
                <w:rFonts w:ascii="Arial Narrow" w:hAnsi="Arial Narrow"/>
                <w:sz w:val="20"/>
                <w:szCs w:val="20"/>
              </w:rPr>
            </w:pPr>
            <w:r w:rsidRPr="00E05465">
              <w:rPr>
                <w:rFonts w:ascii="Arial Narrow" w:hAnsi="Arial Narrow"/>
                <w:sz w:val="20"/>
                <w:szCs w:val="20"/>
              </w:rPr>
              <w:t>1</w:t>
            </w:r>
          </w:p>
        </w:tc>
        <w:tc>
          <w:tcPr>
            <w:tcW w:w="845" w:type="dxa"/>
          </w:tcPr>
          <w:p w14:paraId="0D274E62" w14:textId="77777777" w:rsidR="001D559C" w:rsidRPr="00E05465" w:rsidRDefault="001D559C" w:rsidP="001D559C">
            <w:pPr>
              <w:jc w:val="center"/>
              <w:rPr>
                <w:rFonts w:ascii="Arial Narrow" w:hAnsi="Arial Narrow"/>
                <w:sz w:val="20"/>
                <w:szCs w:val="20"/>
              </w:rPr>
            </w:pPr>
            <w:r w:rsidRPr="00E05465">
              <w:rPr>
                <w:rFonts w:ascii="Arial Narrow" w:eastAsiaTheme="majorEastAsia" w:hAnsi="Arial Narrow" w:cstheme="majorBidi"/>
                <w:bCs/>
                <w:sz w:val="20"/>
                <w:szCs w:val="20"/>
              </w:rPr>
              <w:t>2</w:t>
            </w:r>
          </w:p>
        </w:tc>
        <w:tc>
          <w:tcPr>
            <w:tcW w:w="1128" w:type="dxa"/>
          </w:tcPr>
          <w:p w14:paraId="37F6BBED" w14:textId="77777777" w:rsidR="001D559C" w:rsidRPr="00E05465" w:rsidRDefault="001D559C" w:rsidP="001D559C">
            <w:pPr>
              <w:jc w:val="center"/>
              <w:rPr>
                <w:rFonts w:ascii="Arial Narrow" w:hAnsi="Arial Narrow"/>
                <w:sz w:val="20"/>
                <w:szCs w:val="20"/>
              </w:rPr>
            </w:pPr>
            <w:r w:rsidRPr="00E05465">
              <w:rPr>
                <w:rFonts w:ascii="Arial Narrow" w:hAnsi="Arial Narrow"/>
                <w:sz w:val="20"/>
                <w:szCs w:val="20"/>
              </w:rPr>
              <w:t>Ultomiris</w:t>
            </w:r>
          </w:p>
        </w:tc>
      </w:tr>
      <w:tr w:rsidR="00E05465" w:rsidRPr="00E05465" w14:paraId="276660B3"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458F596C" w14:textId="77777777" w:rsidR="001D559C" w:rsidRPr="00E05465" w:rsidRDefault="001D559C" w:rsidP="001D559C">
            <w:pPr>
              <w:rPr>
                <w:rFonts w:ascii="Arial Narrow" w:hAnsi="Arial Narrow"/>
                <w:b/>
                <w:sz w:val="20"/>
                <w:szCs w:val="20"/>
              </w:rPr>
            </w:pPr>
            <w:r w:rsidRPr="00E05465">
              <w:rPr>
                <w:rFonts w:ascii="Arial Narrow" w:hAnsi="Arial Narrow"/>
                <w:b/>
                <w:sz w:val="20"/>
                <w:szCs w:val="20"/>
              </w:rPr>
              <w:t>Proposed PBS restriction: initiation for complement inhibitor-naïve patients with PNH</w:t>
            </w:r>
          </w:p>
        </w:tc>
      </w:tr>
      <w:tr w:rsidR="00E05465" w:rsidRPr="00E05465" w14:paraId="7B75EAF6"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1D986C0D" w14:textId="77777777" w:rsidR="001D559C" w:rsidRPr="00E05465" w:rsidRDefault="001D559C" w:rsidP="001D559C">
            <w:pPr>
              <w:rPr>
                <w:rFonts w:ascii="Arial Narrow" w:hAnsi="Arial Narrow"/>
                <w:sz w:val="20"/>
                <w:szCs w:val="20"/>
              </w:rPr>
            </w:pPr>
            <w:r w:rsidRPr="00E05465">
              <w:rPr>
                <w:rFonts w:ascii="Arial Narrow" w:hAnsi="Arial Narrow"/>
                <w:b/>
                <w:sz w:val="20"/>
                <w:szCs w:val="20"/>
              </w:rPr>
              <w:t xml:space="preserve">Category / Program: </w:t>
            </w:r>
            <w:r w:rsidRPr="00E05465">
              <w:rPr>
                <w:rFonts w:ascii="Arial Narrow" w:hAnsi="Arial Narrow"/>
                <w:sz w:val="20"/>
                <w:szCs w:val="20"/>
              </w:rPr>
              <w:t>Section 100 – Highly Specialised Drugs Program (Public/Private)</w:t>
            </w:r>
          </w:p>
        </w:tc>
      </w:tr>
      <w:tr w:rsidR="00E05465" w:rsidRPr="00E05465" w14:paraId="769E3332" w14:textId="77777777" w:rsidTr="002032B0">
        <w:tblPrEx>
          <w:tblCellMar>
            <w:top w:w="15" w:type="dxa"/>
            <w:left w:w="15" w:type="dxa"/>
            <w:bottom w:w="15" w:type="dxa"/>
            <w:right w:w="15" w:type="dxa"/>
          </w:tblCellMar>
          <w:tblLook w:val="04A0" w:firstRow="1" w:lastRow="0" w:firstColumn="1" w:lastColumn="0" w:noHBand="0" w:noVBand="1"/>
        </w:tblPrEx>
        <w:trPr>
          <w:cantSplit/>
          <w:trHeight w:val="240"/>
        </w:trPr>
        <w:tc>
          <w:tcPr>
            <w:tcW w:w="9017" w:type="dxa"/>
            <w:gridSpan w:val="6"/>
            <w:tcBorders>
              <w:top w:val="single" w:sz="4" w:space="0" w:color="auto"/>
              <w:left w:val="single" w:sz="4" w:space="0" w:color="auto"/>
              <w:bottom w:val="single" w:sz="4" w:space="0" w:color="auto"/>
              <w:right w:val="single" w:sz="4" w:space="0" w:color="auto"/>
            </w:tcBorders>
          </w:tcPr>
          <w:p w14:paraId="75C3E111" w14:textId="77777777" w:rsidR="001D559C" w:rsidRPr="00E05465" w:rsidRDefault="001D559C" w:rsidP="001D559C">
            <w:pPr>
              <w:rPr>
                <w:rFonts w:ascii="Arial Narrow" w:hAnsi="Arial Narrow"/>
                <w:b/>
                <w:sz w:val="20"/>
                <w:szCs w:val="20"/>
              </w:rPr>
            </w:pPr>
            <w:r w:rsidRPr="00E05465">
              <w:rPr>
                <w:rFonts w:ascii="Arial Narrow" w:hAnsi="Arial Narrow"/>
                <w:b/>
                <w:sz w:val="20"/>
                <w:szCs w:val="20"/>
              </w:rPr>
              <w:t>Prescriber type:</w:t>
            </w:r>
            <w:r w:rsidRPr="00E05465">
              <w:rPr>
                <w:rFonts w:ascii="Arial Narrow" w:hAnsi="Arial Narrow"/>
                <w:sz w:val="20"/>
                <w:szCs w:val="20"/>
              </w:rPr>
              <w:t xml:space="preserve"> </w:t>
            </w:r>
            <w:r w:rsidRPr="00E05465">
              <w:rPr>
                <w:rFonts w:ascii="Arial Narrow" w:hAnsi="Arial Narrow"/>
                <w:sz w:val="20"/>
                <w:szCs w:val="20"/>
              </w:rPr>
              <w:fldChar w:fldCharType="begin" w:fldLock="1">
                <w:ffData>
                  <w:name w:val=""/>
                  <w:enabled/>
                  <w:calcOnExit w:val="0"/>
                  <w:checkBox>
                    <w:sizeAuto/>
                    <w:default w:val="1"/>
                  </w:checkBox>
                </w:ffData>
              </w:fldChar>
            </w:r>
            <w:r w:rsidRPr="00E05465">
              <w:rPr>
                <w:rFonts w:ascii="Arial Narrow" w:hAnsi="Arial Narrow"/>
                <w:sz w:val="20"/>
                <w:szCs w:val="20"/>
              </w:rPr>
              <w:instrText xml:space="preserve"> FORMCHECKBOX </w:instrText>
            </w:r>
            <w:r w:rsidR="00687C33">
              <w:rPr>
                <w:rFonts w:ascii="Arial Narrow" w:hAnsi="Arial Narrow"/>
                <w:sz w:val="20"/>
                <w:szCs w:val="20"/>
              </w:rPr>
            </w:r>
            <w:r w:rsidR="00687C33">
              <w:rPr>
                <w:rFonts w:ascii="Arial Narrow" w:hAnsi="Arial Narrow"/>
                <w:sz w:val="20"/>
                <w:szCs w:val="20"/>
              </w:rPr>
              <w:fldChar w:fldCharType="separate"/>
            </w:r>
            <w:r w:rsidRPr="00E05465">
              <w:rPr>
                <w:rFonts w:ascii="Arial Narrow" w:hAnsi="Arial Narrow"/>
                <w:sz w:val="20"/>
                <w:szCs w:val="20"/>
              </w:rPr>
              <w:fldChar w:fldCharType="end"/>
            </w:r>
            <w:r w:rsidRPr="00E05465">
              <w:rPr>
                <w:rFonts w:ascii="Arial Narrow" w:hAnsi="Arial Narrow"/>
                <w:sz w:val="20"/>
                <w:szCs w:val="20"/>
              </w:rPr>
              <w:t>Medical Practitioners</w:t>
            </w:r>
          </w:p>
        </w:tc>
      </w:tr>
      <w:tr w:rsidR="00E05465" w:rsidRPr="00E05465" w14:paraId="77403757"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Borders>
              <w:top w:val="single" w:sz="4" w:space="0" w:color="auto"/>
              <w:left w:val="single" w:sz="4" w:space="0" w:color="auto"/>
              <w:bottom w:val="single" w:sz="4" w:space="0" w:color="auto"/>
              <w:right w:val="single" w:sz="4" w:space="0" w:color="auto"/>
            </w:tcBorders>
          </w:tcPr>
          <w:p w14:paraId="2E1F0644" w14:textId="77777777" w:rsidR="001D559C" w:rsidRPr="00E05465" w:rsidRDefault="001D559C" w:rsidP="001D559C">
            <w:pPr>
              <w:rPr>
                <w:rFonts w:ascii="Arial Narrow" w:eastAsia="Calibri" w:hAnsi="Arial Narrow"/>
                <w:sz w:val="20"/>
                <w:szCs w:val="20"/>
              </w:rPr>
            </w:pPr>
            <w:r w:rsidRPr="00E05465">
              <w:rPr>
                <w:rFonts w:ascii="Arial Narrow" w:hAnsi="Arial Narrow"/>
                <w:b/>
                <w:sz w:val="20"/>
                <w:szCs w:val="20"/>
              </w:rPr>
              <w:t xml:space="preserve">Restriction type: </w:t>
            </w:r>
            <w:r w:rsidRPr="00E05465">
              <w:rPr>
                <w:rFonts w:ascii="Arial Narrow" w:eastAsia="Calibri" w:hAnsi="Arial Narrow"/>
                <w:sz w:val="20"/>
                <w:szCs w:val="20"/>
              </w:rPr>
              <w:fldChar w:fldCharType="begin" w:fldLock="1">
                <w:ffData>
                  <w:name w:val=""/>
                  <w:enabled/>
                  <w:calcOnExit w:val="0"/>
                  <w:checkBox>
                    <w:sizeAuto/>
                    <w:default w:val="1"/>
                  </w:checkBox>
                </w:ffData>
              </w:fldChar>
            </w:r>
            <w:r w:rsidRPr="00E05465">
              <w:rPr>
                <w:rFonts w:ascii="Arial Narrow" w:eastAsia="Calibri" w:hAnsi="Arial Narrow"/>
                <w:sz w:val="20"/>
                <w:szCs w:val="20"/>
              </w:rPr>
              <w:instrText xml:space="preserve"> FORMCHECKBOX </w:instrText>
            </w:r>
            <w:r w:rsidR="00687C33">
              <w:rPr>
                <w:rFonts w:ascii="Arial Narrow" w:eastAsia="Calibri" w:hAnsi="Arial Narrow"/>
                <w:sz w:val="20"/>
                <w:szCs w:val="20"/>
              </w:rPr>
            </w:r>
            <w:r w:rsidR="00687C33">
              <w:rPr>
                <w:rFonts w:ascii="Arial Narrow" w:eastAsia="Calibri" w:hAnsi="Arial Narrow"/>
                <w:sz w:val="20"/>
                <w:szCs w:val="20"/>
              </w:rPr>
              <w:fldChar w:fldCharType="separate"/>
            </w:r>
            <w:r w:rsidRPr="00E05465">
              <w:rPr>
                <w:rFonts w:ascii="Arial Narrow" w:eastAsia="Calibri" w:hAnsi="Arial Narrow"/>
                <w:sz w:val="20"/>
                <w:szCs w:val="20"/>
              </w:rPr>
              <w:fldChar w:fldCharType="end"/>
            </w:r>
            <w:r w:rsidRPr="00E05465">
              <w:rPr>
                <w:rFonts w:ascii="Arial Narrow" w:eastAsia="Calibri" w:hAnsi="Arial Narrow"/>
                <w:sz w:val="20"/>
                <w:szCs w:val="20"/>
              </w:rPr>
              <w:t>Authority Required – written</w:t>
            </w:r>
          </w:p>
        </w:tc>
      </w:tr>
      <w:tr w:rsidR="00E05465" w:rsidRPr="00E05465" w14:paraId="634DF2E8"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vAlign w:val="center"/>
          </w:tcPr>
          <w:p w14:paraId="7598003C" w14:textId="77777777" w:rsidR="001D559C" w:rsidRPr="00E05465" w:rsidRDefault="001D559C" w:rsidP="001D559C">
            <w:pPr>
              <w:rPr>
                <w:rFonts w:ascii="Arial Narrow" w:hAnsi="Arial Narrow"/>
                <w:bCs/>
                <w:sz w:val="20"/>
                <w:szCs w:val="20"/>
              </w:rPr>
            </w:pPr>
            <w:r w:rsidRPr="00E05465">
              <w:rPr>
                <w:rFonts w:ascii="Arial Narrow" w:hAnsi="Arial Narrow"/>
                <w:b/>
                <w:bCs/>
                <w:sz w:val="20"/>
                <w:szCs w:val="20"/>
              </w:rPr>
              <w:t xml:space="preserve">Episodicity: </w:t>
            </w:r>
            <w:r w:rsidRPr="00E05465">
              <w:rPr>
                <w:rFonts w:ascii="Arial Narrow" w:eastAsia="Calibri" w:hAnsi="Arial Narrow"/>
                <w:sz w:val="20"/>
                <w:szCs w:val="20"/>
              </w:rPr>
              <w:t xml:space="preserve">Not applicable </w:t>
            </w:r>
          </w:p>
        </w:tc>
      </w:tr>
      <w:tr w:rsidR="00E05465" w:rsidRPr="00E05465" w14:paraId="23E4A2EE"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vAlign w:val="center"/>
          </w:tcPr>
          <w:p w14:paraId="406CAAE3" w14:textId="77777777" w:rsidR="001D559C" w:rsidRPr="00E05465" w:rsidRDefault="001D559C" w:rsidP="001D559C">
            <w:pPr>
              <w:rPr>
                <w:rFonts w:ascii="Arial Narrow" w:hAnsi="Arial Narrow"/>
                <w:b/>
                <w:bCs/>
                <w:sz w:val="20"/>
                <w:szCs w:val="20"/>
              </w:rPr>
            </w:pPr>
            <w:r w:rsidRPr="00E05465">
              <w:rPr>
                <w:rFonts w:ascii="Arial Narrow" w:hAnsi="Arial Narrow"/>
                <w:b/>
                <w:bCs/>
                <w:sz w:val="20"/>
                <w:szCs w:val="20"/>
              </w:rPr>
              <w:t xml:space="preserve">Severity: </w:t>
            </w:r>
            <w:r w:rsidRPr="00E05465">
              <w:rPr>
                <w:rFonts w:ascii="Arial Narrow" w:eastAsia="Calibri" w:hAnsi="Arial Narrow"/>
                <w:sz w:val="20"/>
                <w:szCs w:val="20"/>
              </w:rPr>
              <w:t>Not applicable</w:t>
            </w:r>
          </w:p>
        </w:tc>
      </w:tr>
      <w:tr w:rsidR="00E05465" w:rsidRPr="00E05465" w14:paraId="02827A4B"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vAlign w:val="center"/>
          </w:tcPr>
          <w:p w14:paraId="154B3D7C" w14:textId="77777777" w:rsidR="001D559C" w:rsidRPr="00E05465" w:rsidRDefault="001D559C" w:rsidP="001D559C">
            <w:pPr>
              <w:rPr>
                <w:rFonts w:ascii="Arial Narrow" w:hAnsi="Arial Narrow"/>
                <w:b/>
                <w:bCs/>
                <w:sz w:val="20"/>
                <w:szCs w:val="20"/>
              </w:rPr>
            </w:pPr>
            <w:r w:rsidRPr="00E05465">
              <w:rPr>
                <w:rFonts w:ascii="Arial Narrow" w:hAnsi="Arial Narrow"/>
                <w:b/>
                <w:bCs/>
                <w:sz w:val="20"/>
                <w:szCs w:val="20"/>
              </w:rPr>
              <w:t xml:space="preserve">Condition: </w:t>
            </w:r>
            <w:r w:rsidRPr="00E05465">
              <w:rPr>
                <w:rFonts w:ascii="Arial Narrow" w:eastAsia="Calibri" w:hAnsi="Arial Narrow"/>
                <w:sz w:val="20"/>
                <w:szCs w:val="20"/>
              </w:rPr>
              <w:t>Paroxysmal nocturnal haemoglobinuria (PNH)</w:t>
            </w:r>
          </w:p>
        </w:tc>
      </w:tr>
      <w:tr w:rsidR="00E05465" w:rsidRPr="00E05465" w14:paraId="5338024B"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vAlign w:val="center"/>
            <w:hideMark/>
          </w:tcPr>
          <w:p w14:paraId="629A4438" w14:textId="77777777" w:rsidR="001D559C" w:rsidRPr="00E05465" w:rsidRDefault="001D559C" w:rsidP="001D559C">
            <w:pPr>
              <w:rPr>
                <w:rFonts w:ascii="Arial Narrow" w:eastAsia="Calibri" w:hAnsi="Arial Narrow"/>
                <w:sz w:val="20"/>
                <w:szCs w:val="20"/>
              </w:rPr>
            </w:pPr>
            <w:r w:rsidRPr="00E05465">
              <w:rPr>
                <w:rFonts w:ascii="Arial Narrow" w:eastAsia="Calibri" w:hAnsi="Arial Narrow"/>
                <w:b/>
                <w:sz w:val="20"/>
                <w:szCs w:val="20"/>
              </w:rPr>
              <w:t>Treatment Phase:</w:t>
            </w:r>
            <w:r w:rsidRPr="00E05465">
              <w:rPr>
                <w:rFonts w:ascii="Arial Narrow" w:eastAsia="Calibri" w:hAnsi="Arial Narrow"/>
                <w:sz w:val="20"/>
                <w:szCs w:val="20"/>
              </w:rPr>
              <w:t xml:space="preserve"> Initial treatment- Initial 1 (new patient)</w:t>
            </w:r>
          </w:p>
        </w:tc>
      </w:tr>
      <w:tr w:rsidR="00E05465" w:rsidRPr="00E05465" w14:paraId="3734CD91"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vAlign w:val="center"/>
          </w:tcPr>
          <w:p w14:paraId="26BCE1F2" w14:textId="77777777" w:rsidR="001D559C" w:rsidRPr="00E05465" w:rsidRDefault="001D559C" w:rsidP="001D559C">
            <w:pPr>
              <w:rPr>
                <w:rFonts w:ascii="Arial Narrow" w:eastAsia="Calibri" w:hAnsi="Arial Narrow"/>
                <w:b/>
                <w:sz w:val="20"/>
                <w:szCs w:val="20"/>
              </w:rPr>
            </w:pPr>
            <w:r w:rsidRPr="00E05465">
              <w:rPr>
                <w:rFonts w:ascii="Arial Narrow" w:eastAsia="Calibri" w:hAnsi="Arial Narrow"/>
                <w:b/>
                <w:sz w:val="20"/>
                <w:szCs w:val="20"/>
              </w:rPr>
              <w:t xml:space="preserve">Restriction: </w:t>
            </w:r>
            <w:r w:rsidRPr="00E05465">
              <w:rPr>
                <w:rFonts w:ascii="Arial Narrow" w:eastAsia="Calibri" w:hAnsi="Arial Narrow"/>
                <w:sz w:val="20"/>
                <w:szCs w:val="20"/>
              </w:rPr>
              <w:t>Authority Required - written</w:t>
            </w:r>
          </w:p>
        </w:tc>
      </w:tr>
      <w:tr w:rsidR="00E05465" w:rsidRPr="00E05465" w14:paraId="49B825C2"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vAlign w:val="center"/>
          </w:tcPr>
          <w:p w14:paraId="7FBF068B" w14:textId="77777777" w:rsidR="001D559C" w:rsidRPr="00E05465" w:rsidRDefault="001D559C" w:rsidP="001D559C">
            <w:pPr>
              <w:rPr>
                <w:rFonts w:ascii="Arial Narrow" w:eastAsia="Calibri" w:hAnsi="Arial Narrow"/>
                <w:bCs/>
                <w:sz w:val="20"/>
                <w:szCs w:val="20"/>
              </w:rPr>
            </w:pPr>
            <w:r w:rsidRPr="00E05465">
              <w:rPr>
                <w:rFonts w:ascii="Arial Narrow" w:eastAsia="Calibri" w:hAnsi="Arial Narrow"/>
                <w:b/>
                <w:sz w:val="20"/>
                <w:szCs w:val="20"/>
              </w:rPr>
              <w:t xml:space="preserve">Treatment criteria: </w:t>
            </w:r>
            <w:r w:rsidRPr="00E05465">
              <w:rPr>
                <w:rFonts w:ascii="Arial Narrow" w:eastAsia="Calibri" w:hAnsi="Arial Narrow"/>
                <w:bCs/>
                <w:sz w:val="20"/>
                <w:szCs w:val="20"/>
              </w:rPr>
              <w:t>Must be treated by a haematologist; OR</w:t>
            </w:r>
          </w:p>
          <w:p w14:paraId="5E6AFEA7" w14:textId="77777777" w:rsidR="001D559C" w:rsidRPr="00E05465" w:rsidRDefault="001D559C" w:rsidP="001D559C">
            <w:pPr>
              <w:rPr>
                <w:rFonts w:ascii="Arial Narrow" w:eastAsia="Calibri" w:hAnsi="Arial Narrow"/>
                <w:sz w:val="20"/>
                <w:szCs w:val="20"/>
              </w:rPr>
            </w:pPr>
            <w:r w:rsidRPr="00E05465">
              <w:rPr>
                <w:rFonts w:ascii="Arial Narrow" w:eastAsia="Calibri" w:hAnsi="Arial Narrow"/>
                <w:sz w:val="20"/>
                <w:szCs w:val="20"/>
              </w:rPr>
              <w:t>Must be treated by a non-specialist medical physician who has consulted a haematologist on the patient’s drug treatment details</w:t>
            </w:r>
          </w:p>
        </w:tc>
      </w:tr>
      <w:tr w:rsidR="00E05465" w:rsidRPr="00E05465" w14:paraId="2216A00A"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hideMark/>
          </w:tcPr>
          <w:p w14:paraId="388D5C31" w14:textId="77777777" w:rsidR="001D559C" w:rsidRPr="00E05465" w:rsidRDefault="001D559C" w:rsidP="001D559C">
            <w:pPr>
              <w:rPr>
                <w:rFonts w:ascii="Arial Narrow" w:hAnsi="Arial Narrow"/>
                <w:b/>
                <w:sz w:val="20"/>
                <w:szCs w:val="20"/>
              </w:rPr>
            </w:pPr>
            <w:r w:rsidRPr="00E05465">
              <w:rPr>
                <w:rFonts w:ascii="Arial Narrow" w:hAnsi="Arial Narrow"/>
                <w:b/>
                <w:sz w:val="20"/>
                <w:szCs w:val="20"/>
              </w:rPr>
              <w:t>Clinical criteria:</w:t>
            </w:r>
          </w:p>
        </w:tc>
      </w:tr>
      <w:tr w:rsidR="00E05465" w:rsidRPr="00E05465" w14:paraId="6621A323"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Pr>
          <w:p w14:paraId="59066A1C" w14:textId="77777777" w:rsidR="001D559C" w:rsidRPr="00E05465" w:rsidRDefault="001D559C" w:rsidP="001D559C">
            <w:pPr>
              <w:rPr>
                <w:rFonts w:ascii="Arial Narrow" w:hAnsi="Arial Narrow"/>
                <w:sz w:val="20"/>
                <w:szCs w:val="20"/>
              </w:rPr>
            </w:pPr>
            <w:r w:rsidRPr="00E05465">
              <w:rPr>
                <w:rFonts w:ascii="Arial Narrow" w:hAnsi="Arial Narrow"/>
                <w:bCs/>
                <w:sz w:val="20"/>
                <w:szCs w:val="20"/>
              </w:rPr>
              <w:t>Patient must not have received prior treatment with this drug for this condition, AND</w:t>
            </w:r>
          </w:p>
        </w:tc>
      </w:tr>
      <w:tr w:rsidR="00E05465" w:rsidRPr="00E05465" w14:paraId="48D2E965"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hideMark/>
          </w:tcPr>
          <w:p w14:paraId="337C764B"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Patient must have a diagnosis of PNH established by flow cytometry, AND</w:t>
            </w:r>
          </w:p>
        </w:tc>
      </w:tr>
      <w:tr w:rsidR="00E05465" w:rsidRPr="00E05465" w14:paraId="58E9B234"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Pr>
          <w:p w14:paraId="5E50B2D6"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Patient must have a PNH granulocyte clone size equal to or greater than 10%, AND</w:t>
            </w:r>
          </w:p>
        </w:tc>
      </w:tr>
      <w:tr w:rsidR="00E05465" w:rsidRPr="00E05465" w14:paraId="28E70219"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hideMark/>
          </w:tcPr>
          <w:p w14:paraId="18665567"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 xml:space="preserve">Patient must have a raised lactate dehydrogenase value at least 1.5 times the upper limit of normal, AND </w:t>
            </w:r>
          </w:p>
        </w:tc>
      </w:tr>
      <w:tr w:rsidR="00E05465" w:rsidRPr="00E05465" w14:paraId="0B57BF4D"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Pr>
          <w:p w14:paraId="41483CF8"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Patient must have experienced a thrombotic/embolic event which required anticoagulant therapy; OR</w:t>
            </w:r>
          </w:p>
        </w:tc>
      </w:tr>
      <w:tr w:rsidR="00E05465" w:rsidRPr="00E05465" w14:paraId="3F8B6ECD"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Pr>
          <w:p w14:paraId="4052B235" w14:textId="77777777" w:rsidR="001D559C" w:rsidRPr="00E05465" w:rsidRDefault="001D559C" w:rsidP="001D559C">
            <w:pPr>
              <w:rPr>
                <w:rFonts w:ascii="Arial Narrow" w:hAnsi="Arial Narrow"/>
                <w:sz w:val="20"/>
                <w:szCs w:val="20"/>
              </w:rPr>
            </w:pPr>
            <w:r w:rsidRPr="00E05465">
              <w:rPr>
                <w:rFonts w:ascii="Arial Narrow" w:hAnsi="Arial Narrow"/>
                <w:sz w:val="20"/>
                <w:szCs w:val="20"/>
              </w:rPr>
              <w:lastRenderedPageBreak/>
              <w:t>Patient must have been transfused with at least 4 units of red blood cells in the last 12 months, OR</w:t>
            </w:r>
          </w:p>
        </w:tc>
      </w:tr>
      <w:tr w:rsidR="00E05465" w:rsidRPr="00E05465" w14:paraId="559375E7"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Pr>
          <w:p w14:paraId="63267641" w14:textId="77777777" w:rsidR="001D559C" w:rsidRPr="00E05465" w:rsidRDefault="001D559C" w:rsidP="001D559C">
            <w:pPr>
              <w:rPr>
                <w:rFonts w:ascii="Arial Narrow" w:hAnsi="Arial Narrow"/>
                <w:sz w:val="20"/>
                <w:szCs w:val="20"/>
              </w:rPr>
            </w:pPr>
            <w:r w:rsidRPr="00E05465">
              <w:rPr>
                <w:rFonts w:ascii="Arial Narrow" w:hAnsi="Arial Narrow"/>
                <w:bCs/>
                <w:sz w:val="20"/>
                <w:szCs w:val="20"/>
              </w:rPr>
              <w:t>Patient must have chronic/recurrent anaemia, where causes other than haemolysis have been excluded, together with multiple haemoglobin measurements not exceeding 70 g/L in the absence of anaemia symptoms; OR</w:t>
            </w:r>
          </w:p>
        </w:tc>
      </w:tr>
      <w:tr w:rsidR="00E05465" w:rsidRPr="00E05465" w14:paraId="5F84E44B"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Pr>
          <w:p w14:paraId="151EF40A" w14:textId="77777777" w:rsidR="001D559C" w:rsidRPr="00E05465" w:rsidRDefault="001D559C" w:rsidP="001D559C">
            <w:pPr>
              <w:rPr>
                <w:rFonts w:ascii="Arial Narrow" w:hAnsi="Arial Narrow"/>
                <w:bCs/>
                <w:sz w:val="20"/>
                <w:szCs w:val="20"/>
              </w:rPr>
            </w:pPr>
            <w:r w:rsidRPr="00E05465">
              <w:rPr>
                <w:rFonts w:ascii="Arial Narrow" w:hAnsi="Arial Narrow"/>
                <w:sz w:val="20"/>
                <w:szCs w:val="20"/>
              </w:rPr>
              <w:t>Patient must have chronic/recurrent anaemia, where causes other than haemolysis have been excluded, together with multiple red blood cell measurements not exceeding 100 g/L in addition to having anaemia symptoms; OR</w:t>
            </w:r>
          </w:p>
        </w:tc>
      </w:tr>
      <w:tr w:rsidR="00E05465" w:rsidRPr="00E05465" w14:paraId="423DEA9D"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Pr>
          <w:p w14:paraId="08370816"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Patient must have debilitating shortness of breath/chest pain resulting in limitation of normal activity (New York Heart Association Class III) and/or established diagnosis of pulmonary arterial hypertension, where causes other than PNH have been excluded; OR</w:t>
            </w:r>
          </w:p>
        </w:tc>
      </w:tr>
      <w:tr w:rsidR="00E05465" w:rsidRPr="00E05465" w14:paraId="2E684180"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Pr>
          <w:p w14:paraId="5C5E72D5"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Patient must have a history of renal insufficiency, demonstrated by an eGFR less than or equal to 60 mL/min/1.73m</w:t>
            </w:r>
            <w:r w:rsidRPr="00E05465">
              <w:rPr>
                <w:rFonts w:ascii="Arial Narrow" w:hAnsi="Arial Narrow"/>
                <w:sz w:val="20"/>
                <w:szCs w:val="20"/>
                <w:vertAlign w:val="superscript"/>
              </w:rPr>
              <w:t>2</w:t>
            </w:r>
            <w:r w:rsidRPr="00E05465">
              <w:rPr>
                <w:rFonts w:ascii="Arial Narrow" w:hAnsi="Arial Narrow"/>
                <w:sz w:val="20"/>
                <w:szCs w:val="20"/>
              </w:rPr>
              <w:t>, where causes other than PNH have been excluded; OR</w:t>
            </w:r>
          </w:p>
        </w:tc>
      </w:tr>
      <w:tr w:rsidR="00E05465" w:rsidRPr="00E05465" w14:paraId="1E62E52B"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Pr>
          <w:p w14:paraId="70A5A975"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Patients must have recurrent episodes of severe pain requiring hospitalisation and/or narcotic analgesia, where causes other than PNH have been excluded, AND</w:t>
            </w:r>
          </w:p>
        </w:tc>
      </w:tr>
      <w:tr w:rsidR="00E05465" w:rsidRPr="00E05465" w14:paraId="02B28954"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Pr>
          <w:p w14:paraId="52FE593E" w14:textId="77777777" w:rsidR="001D559C" w:rsidRPr="00E05465" w:rsidRDefault="001D559C" w:rsidP="001D559C">
            <w:pPr>
              <w:rPr>
                <w:rFonts w:ascii="Arial Narrow" w:hAnsi="Arial Narrow"/>
                <w:sz w:val="20"/>
                <w:szCs w:val="20"/>
              </w:rPr>
            </w:pPr>
            <w:r w:rsidRPr="00E05465">
              <w:rPr>
                <w:rFonts w:ascii="Arial Narrow" w:hAnsi="Arial Narrow"/>
                <w:bCs/>
                <w:sz w:val="20"/>
                <w:szCs w:val="20"/>
              </w:rPr>
              <w:t>The treatment must not be in combination with any of (i) another Complement 5 (C5) inhibitor, (ii) pegcetacoplan</w:t>
            </w:r>
          </w:p>
        </w:tc>
      </w:tr>
      <w:tr w:rsidR="00E05465" w:rsidRPr="00E05465" w14:paraId="55889A9B"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Pr>
          <w:p w14:paraId="164AFAEA" w14:textId="77777777" w:rsidR="001D559C" w:rsidRPr="00E05465" w:rsidRDefault="001D559C" w:rsidP="001D559C">
            <w:pPr>
              <w:rPr>
                <w:rFonts w:ascii="Arial Narrow" w:hAnsi="Arial Narrow"/>
                <w:bCs/>
                <w:sz w:val="20"/>
                <w:szCs w:val="20"/>
              </w:rPr>
            </w:pPr>
            <w:r w:rsidRPr="00E05465">
              <w:rPr>
                <w:rFonts w:ascii="Arial Narrow" w:hAnsi="Arial Narrow" w:cstheme="minorHAnsi"/>
                <w:b/>
                <w:strike/>
                <w:sz w:val="20"/>
                <w:szCs w:val="20"/>
              </w:rPr>
              <w:t>Population criteria</w:t>
            </w:r>
            <w:r w:rsidRPr="00E05465">
              <w:rPr>
                <w:rFonts w:ascii="Arial Narrow" w:hAnsi="Arial Narrow" w:cstheme="minorHAnsi"/>
                <w:strike/>
                <w:sz w:val="20"/>
                <w:szCs w:val="20"/>
              </w:rPr>
              <w:t>: Patient must be at least 18 years of age.</w:t>
            </w:r>
          </w:p>
        </w:tc>
      </w:tr>
      <w:tr w:rsidR="00E05465" w:rsidRPr="00E05465" w14:paraId="3C437884"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Pr>
          <w:p w14:paraId="74A0149B" w14:textId="77777777" w:rsidR="001D559C" w:rsidRPr="00E05465" w:rsidRDefault="001D559C" w:rsidP="001D559C">
            <w:pPr>
              <w:rPr>
                <w:rFonts w:ascii="Arial Narrow" w:hAnsi="Arial Narrow" w:cstheme="minorHAnsi"/>
                <w:b/>
                <w:strike/>
                <w:sz w:val="20"/>
                <w:szCs w:val="20"/>
              </w:rPr>
            </w:pPr>
            <w:r w:rsidRPr="00E05465">
              <w:rPr>
                <w:rFonts w:ascii="Arial Narrow" w:hAnsi="Arial Narrow"/>
                <w:b/>
                <w:sz w:val="20"/>
                <w:szCs w:val="20"/>
              </w:rPr>
              <w:t xml:space="preserve">Prescribing instructions: </w:t>
            </w:r>
            <w:r w:rsidRPr="00E05465">
              <w:rPr>
                <w:rFonts w:ascii="Arial Narrow" w:hAnsi="Arial Narrow"/>
                <w:sz w:val="20"/>
                <w:szCs w:val="20"/>
              </w:rPr>
              <w:t>At the time of the authority application, medical practitioners should request the appropriate number of vials, to provide for a single infusion to cover the loading dose and maintenance doses based on the patient’s weight and as per the Product Information. Refer to the Product information for patient weight ranges for the 100mg/mL doses (consisting of 300 mg in 3 mL and 1100 mg in 11 mL vials).</w:t>
            </w:r>
          </w:p>
        </w:tc>
      </w:tr>
      <w:tr w:rsidR="00E05465" w:rsidRPr="00E05465" w14:paraId="6491625E"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Pr>
          <w:p w14:paraId="037343B0" w14:textId="77777777" w:rsidR="001D559C" w:rsidRPr="00E05465" w:rsidRDefault="001D559C" w:rsidP="001D559C">
            <w:pPr>
              <w:rPr>
                <w:rFonts w:ascii="Arial Narrow" w:hAnsi="Arial Narrow"/>
                <w:b/>
                <w:sz w:val="20"/>
                <w:szCs w:val="20"/>
              </w:rPr>
            </w:pPr>
            <w:r w:rsidRPr="00E05465">
              <w:rPr>
                <w:rFonts w:ascii="Arial Narrow" w:hAnsi="Arial Narrow"/>
                <w:b/>
                <w:sz w:val="20"/>
                <w:szCs w:val="20"/>
              </w:rPr>
              <w:t>Administrative advice:</w:t>
            </w:r>
          </w:p>
          <w:p w14:paraId="77F86158"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Any queries concerning the arrangements to prescribe may be directed to Services Australia on 1800 700 270 (hours of operation 8 a.m. to 5 p.m. EST Monday to Friday).</w:t>
            </w:r>
          </w:p>
          <w:p w14:paraId="0EBB65D5"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 xml:space="preserve">Prescribing information (including Authority Application forms and other relevant documentation as applicable) is available on the Services Australia website at </w:t>
            </w:r>
            <w:proofErr w:type="gramStart"/>
            <w:r w:rsidRPr="00E05465">
              <w:rPr>
                <w:rFonts w:ascii="Arial Narrow" w:hAnsi="Arial Narrow"/>
                <w:sz w:val="20"/>
                <w:szCs w:val="20"/>
              </w:rPr>
              <w:t>www.servicesaustralia.gov.au</w:t>
            </w:r>
            <w:proofErr w:type="gramEnd"/>
          </w:p>
          <w:p w14:paraId="463E4F68"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 xml:space="preserve">Applications for authority to prescribe should be submitted online using the form upload facility in Health Professional Online Services (HPOS) at </w:t>
            </w:r>
            <w:proofErr w:type="gramStart"/>
            <w:r w:rsidRPr="00E05465">
              <w:rPr>
                <w:rFonts w:ascii="Arial Narrow" w:hAnsi="Arial Narrow"/>
                <w:sz w:val="20"/>
                <w:szCs w:val="20"/>
              </w:rPr>
              <w:t>www.servicesaustralia.gov.au/hpos</w:t>
            </w:r>
            <w:proofErr w:type="gramEnd"/>
          </w:p>
          <w:p w14:paraId="5F791701"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Or mailed to:</w:t>
            </w:r>
          </w:p>
          <w:p w14:paraId="4374737B"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Services Australia</w:t>
            </w:r>
          </w:p>
          <w:p w14:paraId="657F01A9"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Complex Drugs</w:t>
            </w:r>
          </w:p>
          <w:p w14:paraId="546F9147"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Reply Paid 9826</w:t>
            </w:r>
          </w:p>
          <w:p w14:paraId="57252550"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HOBART TAS 7001</w:t>
            </w:r>
          </w:p>
          <w:p w14:paraId="471543B5" w14:textId="77777777" w:rsidR="001D559C" w:rsidRPr="00E05465" w:rsidRDefault="001D559C" w:rsidP="001D559C">
            <w:pPr>
              <w:rPr>
                <w:rFonts w:ascii="Arial Narrow" w:hAnsi="Arial Narrow"/>
                <w:sz w:val="20"/>
                <w:szCs w:val="20"/>
              </w:rPr>
            </w:pPr>
          </w:p>
          <w:p w14:paraId="15D341D6" w14:textId="77777777" w:rsidR="001D559C" w:rsidRPr="00E05465" w:rsidRDefault="001D559C" w:rsidP="001D559C">
            <w:pPr>
              <w:rPr>
                <w:rFonts w:ascii="Arial Narrow" w:hAnsi="Arial Narrow"/>
                <w:b/>
                <w:sz w:val="20"/>
                <w:szCs w:val="20"/>
              </w:rPr>
            </w:pPr>
            <w:r w:rsidRPr="00E05465">
              <w:rPr>
                <w:rFonts w:ascii="Arial Narrow" w:hAnsi="Arial Narrow" w:cstheme="minorHAnsi"/>
                <w:sz w:val="20"/>
                <w:szCs w:val="20"/>
              </w:rPr>
              <w:t>No increase in the maximum number of repeats may be authorised</w:t>
            </w:r>
          </w:p>
        </w:tc>
      </w:tr>
      <w:tr w:rsidR="001D559C" w:rsidRPr="00E05465" w14:paraId="69CBB527" w14:textId="77777777" w:rsidTr="002032B0">
        <w:tblPrEx>
          <w:tblCellMar>
            <w:top w:w="15" w:type="dxa"/>
            <w:left w:w="15" w:type="dxa"/>
            <w:bottom w:w="15" w:type="dxa"/>
            <w:right w:w="15" w:type="dxa"/>
          </w:tblCellMar>
          <w:tblLook w:val="04A0" w:firstRow="1" w:lastRow="0" w:firstColumn="1" w:lastColumn="0" w:noHBand="0" w:noVBand="1"/>
        </w:tblPrEx>
        <w:trPr>
          <w:cantSplit/>
        </w:trPr>
        <w:tc>
          <w:tcPr>
            <w:tcW w:w="9017" w:type="dxa"/>
            <w:gridSpan w:val="6"/>
          </w:tcPr>
          <w:p w14:paraId="38778FC2" w14:textId="77777777" w:rsidR="001D559C" w:rsidRPr="00E05465" w:rsidRDefault="001D559C" w:rsidP="001D559C">
            <w:pPr>
              <w:rPr>
                <w:rFonts w:ascii="Arial Narrow" w:hAnsi="Arial Narrow"/>
                <w:sz w:val="20"/>
                <w:szCs w:val="20"/>
              </w:rPr>
            </w:pPr>
            <w:r w:rsidRPr="00E05465">
              <w:rPr>
                <w:rFonts w:ascii="Arial Narrow" w:hAnsi="Arial Narrow"/>
                <w:b/>
                <w:sz w:val="20"/>
                <w:szCs w:val="20"/>
              </w:rPr>
              <w:t>Caution:</w:t>
            </w:r>
          </w:p>
          <w:p w14:paraId="5DD2D69F"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 xml:space="preserve">WARNING: This drug increases the risk of meningococcal infections (sepsis and/or meningitis). </w:t>
            </w:r>
          </w:p>
          <w:p w14:paraId="7C808719" w14:textId="77777777" w:rsidR="001D559C" w:rsidRPr="00E05465" w:rsidRDefault="001D559C" w:rsidP="001D559C">
            <w:pPr>
              <w:rPr>
                <w:rFonts w:ascii="Arial Narrow" w:hAnsi="Arial Narrow"/>
                <w:b/>
                <w:sz w:val="20"/>
                <w:szCs w:val="20"/>
              </w:rPr>
            </w:pPr>
            <w:r w:rsidRPr="00E05465">
              <w:rPr>
                <w:rFonts w:ascii="Arial Narrow" w:hAnsi="Arial Narrow"/>
                <w:sz w:val="20"/>
                <w:szCs w:val="20"/>
              </w:rPr>
              <w:t>Consult the approved PI for information about vaccination against meningococcal infection.</w:t>
            </w:r>
          </w:p>
        </w:tc>
      </w:tr>
    </w:tbl>
    <w:p w14:paraId="46F188BC" w14:textId="77777777" w:rsidR="001D559C" w:rsidRPr="00E05465" w:rsidRDefault="001D559C" w:rsidP="002032B0">
      <w:pPr>
        <w:pStyle w:val="3-BodyText"/>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17"/>
      </w:tblGrid>
      <w:tr w:rsidR="00E05465" w:rsidRPr="00E05465" w14:paraId="0F9247BD" w14:textId="77777777" w:rsidTr="001D559C">
        <w:trPr>
          <w:cantSplit/>
        </w:trPr>
        <w:tc>
          <w:tcPr>
            <w:tcW w:w="9077" w:type="dxa"/>
            <w:tcBorders>
              <w:top w:val="single" w:sz="4" w:space="0" w:color="auto"/>
              <w:left w:val="single" w:sz="4" w:space="0" w:color="auto"/>
              <w:bottom w:val="single" w:sz="4" w:space="0" w:color="auto"/>
              <w:right w:val="single" w:sz="4" w:space="0" w:color="auto"/>
            </w:tcBorders>
          </w:tcPr>
          <w:p w14:paraId="3B177FE5" w14:textId="77777777" w:rsidR="001D559C" w:rsidRPr="00E05465" w:rsidRDefault="001D559C" w:rsidP="001D559C">
            <w:pPr>
              <w:rPr>
                <w:rFonts w:ascii="Arial Narrow" w:hAnsi="Arial Narrow"/>
                <w:b/>
                <w:sz w:val="20"/>
                <w:szCs w:val="20"/>
              </w:rPr>
            </w:pPr>
            <w:r w:rsidRPr="00E05465">
              <w:rPr>
                <w:rFonts w:ascii="Arial Narrow" w:hAnsi="Arial Narrow"/>
                <w:b/>
                <w:sz w:val="20"/>
                <w:szCs w:val="20"/>
              </w:rPr>
              <w:t>Requested restriction for ravulizumab –for patients transitioning from eculizumab to ravulizumab (abridged)</w:t>
            </w:r>
          </w:p>
        </w:tc>
      </w:tr>
      <w:tr w:rsidR="00E05465" w:rsidRPr="00E05465" w14:paraId="442CFA57" w14:textId="77777777" w:rsidTr="001D559C">
        <w:trPr>
          <w:cantSplit/>
        </w:trPr>
        <w:tc>
          <w:tcPr>
            <w:tcW w:w="9077" w:type="dxa"/>
            <w:tcBorders>
              <w:top w:val="single" w:sz="4" w:space="0" w:color="auto"/>
              <w:left w:val="single" w:sz="4" w:space="0" w:color="auto"/>
              <w:bottom w:val="single" w:sz="4" w:space="0" w:color="auto"/>
              <w:right w:val="single" w:sz="4" w:space="0" w:color="auto"/>
            </w:tcBorders>
          </w:tcPr>
          <w:p w14:paraId="79D6E570" w14:textId="77777777" w:rsidR="001D559C" w:rsidRPr="00E05465" w:rsidRDefault="001D559C" w:rsidP="001D559C">
            <w:pPr>
              <w:rPr>
                <w:rFonts w:ascii="Arial Narrow" w:hAnsi="Arial Narrow"/>
                <w:sz w:val="20"/>
                <w:szCs w:val="20"/>
              </w:rPr>
            </w:pPr>
            <w:r w:rsidRPr="00E05465">
              <w:rPr>
                <w:rFonts w:ascii="Arial Narrow" w:hAnsi="Arial Narrow"/>
                <w:b/>
                <w:sz w:val="20"/>
                <w:szCs w:val="20"/>
              </w:rPr>
              <w:t xml:space="preserve">Category / Program: </w:t>
            </w:r>
            <w:r w:rsidRPr="00E05465">
              <w:rPr>
                <w:rFonts w:ascii="Arial Narrow" w:hAnsi="Arial Narrow"/>
                <w:sz w:val="20"/>
                <w:szCs w:val="20"/>
              </w:rPr>
              <w:t>Section 100 – Highly Specialised Drugs Program (Public/Private)</w:t>
            </w:r>
          </w:p>
        </w:tc>
      </w:tr>
      <w:tr w:rsidR="00E05465" w:rsidRPr="00E05465" w14:paraId="0C67701C" w14:textId="77777777" w:rsidTr="001D559C">
        <w:trPr>
          <w:cantSplit/>
        </w:trPr>
        <w:tc>
          <w:tcPr>
            <w:tcW w:w="9077" w:type="dxa"/>
            <w:tcBorders>
              <w:top w:val="single" w:sz="4" w:space="0" w:color="auto"/>
              <w:left w:val="single" w:sz="4" w:space="0" w:color="auto"/>
              <w:bottom w:val="single" w:sz="4" w:space="0" w:color="auto"/>
              <w:right w:val="single" w:sz="4" w:space="0" w:color="auto"/>
            </w:tcBorders>
          </w:tcPr>
          <w:p w14:paraId="0C8CB0CD" w14:textId="77777777" w:rsidR="001D559C" w:rsidRPr="00E05465" w:rsidRDefault="001D559C" w:rsidP="001D559C">
            <w:pPr>
              <w:rPr>
                <w:rFonts w:ascii="Arial Narrow" w:hAnsi="Arial Narrow"/>
                <w:b/>
                <w:sz w:val="20"/>
                <w:szCs w:val="20"/>
              </w:rPr>
            </w:pPr>
            <w:r w:rsidRPr="00E05465">
              <w:rPr>
                <w:rFonts w:ascii="Arial Narrow" w:hAnsi="Arial Narrow"/>
                <w:b/>
                <w:sz w:val="20"/>
                <w:szCs w:val="20"/>
              </w:rPr>
              <w:t xml:space="preserve">Condition: </w:t>
            </w:r>
            <w:r w:rsidRPr="00E05465">
              <w:rPr>
                <w:rFonts w:ascii="Arial Narrow" w:hAnsi="Arial Narrow"/>
                <w:sz w:val="20"/>
                <w:szCs w:val="20"/>
              </w:rPr>
              <w:t>Paroxysmal nocturnal haemoglobinuria</w:t>
            </w:r>
          </w:p>
        </w:tc>
      </w:tr>
      <w:tr w:rsidR="00E05465" w:rsidRPr="00E05465" w14:paraId="1B286A42" w14:textId="77777777" w:rsidTr="001D559C">
        <w:trPr>
          <w:cantSplit/>
        </w:trPr>
        <w:tc>
          <w:tcPr>
            <w:tcW w:w="9077" w:type="dxa"/>
            <w:tcBorders>
              <w:top w:val="single" w:sz="4" w:space="0" w:color="auto"/>
              <w:left w:val="single" w:sz="4" w:space="0" w:color="auto"/>
              <w:bottom w:val="single" w:sz="4" w:space="0" w:color="auto"/>
              <w:right w:val="single" w:sz="4" w:space="0" w:color="auto"/>
            </w:tcBorders>
          </w:tcPr>
          <w:p w14:paraId="77448828" w14:textId="77777777" w:rsidR="001D559C" w:rsidRPr="00E05465" w:rsidRDefault="001D559C" w:rsidP="001D559C">
            <w:pPr>
              <w:rPr>
                <w:rFonts w:ascii="Arial Narrow" w:hAnsi="Arial Narrow"/>
                <w:b/>
                <w:sz w:val="20"/>
                <w:szCs w:val="20"/>
              </w:rPr>
            </w:pPr>
            <w:r w:rsidRPr="00E05465">
              <w:rPr>
                <w:rFonts w:ascii="Arial Narrow" w:hAnsi="Arial Narrow"/>
                <w:b/>
                <w:sz w:val="20"/>
                <w:szCs w:val="20"/>
              </w:rPr>
              <w:t xml:space="preserve">PBS indication: </w:t>
            </w:r>
            <w:r w:rsidRPr="00E05465">
              <w:rPr>
                <w:rFonts w:ascii="Arial Narrow" w:hAnsi="Arial Narrow"/>
                <w:sz w:val="20"/>
                <w:szCs w:val="20"/>
              </w:rPr>
              <w:t>Paroxysmal nocturnal haemoglobinuria</w:t>
            </w:r>
          </w:p>
        </w:tc>
      </w:tr>
      <w:tr w:rsidR="00E05465" w:rsidRPr="00E05465" w14:paraId="0D9D3317" w14:textId="77777777" w:rsidTr="001D559C">
        <w:trPr>
          <w:cantSplit/>
        </w:trPr>
        <w:tc>
          <w:tcPr>
            <w:tcW w:w="9077" w:type="dxa"/>
            <w:tcBorders>
              <w:top w:val="single" w:sz="4" w:space="0" w:color="auto"/>
              <w:left w:val="single" w:sz="4" w:space="0" w:color="auto"/>
              <w:bottom w:val="single" w:sz="4" w:space="0" w:color="auto"/>
              <w:right w:val="single" w:sz="4" w:space="0" w:color="auto"/>
            </w:tcBorders>
          </w:tcPr>
          <w:p w14:paraId="7881260A" w14:textId="77777777" w:rsidR="001D559C" w:rsidRPr="00E05465" w:rsidRDefault="001D559C" w:rsidP="001D559C">
            <w:pPr>
              <w:rPr>
                <w:rFonts w:ascii="Arial Narrow" w:eastAsia="Calibri" w:hAnsi="Arial Narrow"/>
                <w:sz w:val="20"/>
                <w:szCs w:val="20"/>
              </w:rPr>
            </w:pPr>
            <w:r w:rsidRPr="00E05465">
              <w:rPr>
                <w:rFonts w:ascii="Arial Narrow" w:hAnsi="Arial Narrow"/>
                <w:b/>
                <w:sz w:val="20"/>
                <w:szCs w:val="20"/>
              </w:rPr>
              <w:t xml:space="preserve">Restriction type: </w:t>
            </w:r>
            <w:r w:rsidRPr="00E05465">
              <w:rPr>
                <w:rFonts w:ascii="Arial Narrow" w:eastAsia="Calibri" w:hAnsi="Arial Narrow"/>
                <w:sz w:val="20"/>
                <w:szCs w:val="20"/>
              </w:rPr>
              <w:fldChar w:fldCharType="begin" w:fldLock="1">
                <w:ffData>
                  <w:name w:val=""/>
                  <w:enabled/>
                  <w:calcOnExit w:val="0"/>
                  <w:checkBox>
                    <w:sizeAuto/>
                    <w:default w:val="1"/>
                  </w:checkBox>
                </w:ffData>
              </w:fldChar>
            </w:r>
            <w:r w:rsidRPr="00E05465">
              <w:rPr>
                <w:rFonts w:ascii="Arial Narrow" w:eastAsia="Calibri" w:hAnsi="Arial Narrow"/>
                <w:sz w:val="20"/>
                <w:szCs w:val="20"/>
              </w:rPr>
              <w:instrText xml:space="preserve"> FORMCHECKBOX </w:instrText>
            </w:r>
            <w:r w:rsidR="00687C33">
              <w:rPr>
                <w:rFonts w:ascii="Arial Narrow" w:eastAsia="Calibri" w:hAnsi="Arial Narrow"/>
                <w:sz w:val="20"/>
                <w:szCs w:val="20"/>
              </w:rPr>
            </w:r>
            <w:r w:rsidR="00687C33">
              <w:rPr>
                <w:rFonts w:ascii="Arial Narrow" w:eastAsia="Calibri" w:hAnsi="Arial Narrow"/>
                <w:sz w:val="20"/>
                <w:szCs w:val="20"/>
              </w:rPr>
              <w:fldChar w:fldCharType="separate"/>
            </w:r>
            <w:r w:rsidRPr="00E05465">
              <w:rPr>
                <w:rFonts w:ascii="Arial Narrow" w:eastAsia="Calibri" w:hAnsi="Arial Narrow"/>
                <w:sz w:val="20"/>
                <w:szCs w:val="20"/>
              </w:rPr>
              <w:fldChar w:fldCharType="end"/>
            </w:r>
            <w:r w:rsidRPr="00E05465">
              <w:rPr>
                <w:rFonts w:ascii="Arial Narrow" w:eastAsia="Calibri" w:hAnsi="Arial Narrow"/>
                <w:sz w:val="20"/>
                <w:szCs w:val="20"/>
              </w:rPr>
              <w:t>Authority Required – written</w:t>
            </w:r>
          </w:p>
        </w:tc>
      </w:tr>
      <w:tr w:rsidR="00E05465" w:rsidRPr="00E05465" w14:paraId="214BBCAD" w14:textId="77777777" w:rsidTr="001D559C">
        <w:trPr>
          <w:cantSplit/>
        </w:trPr>
        <w:tc>
          <w:tcPr>
            <w:tcW w:w="9077" w:type="dxa"/>
            <w:vAlign w:val="center"/>
            <w:hideMark/>
          </w:tcPr>
          <w:p w14:paraId="62BDAABB" w14:textId="77777777" w:rsidR="001D559C" w:rsidRPr="00E05465" w:rsidRDefault="001D559C" w:rsidP="001D559C">
            <w:pPr>
              <w:rPr>
                <w:rFonts w:ascii="Arial Narrow" w:eastAsia="Calibri" w:hAnsi="Arial Narrow"/>
                <w:sz w:val="20"/>
                <w:szCs w:val="20"/>
              </w:rPr>
            </w:pPr>
            <w:r w:rsidRPr="00E05465">
              <w:rPr>
                <w:rFonts w:ascii="Arial Narrow" w:eastAsia="Calibri" w:hAnsi="Arial Narrow"/>
                <w:b/>
                <w:sz w:val="20"/>
                <w:szCs w:val="20"/>
              </w:rPr>
              <w:t>Treatment Phase:</w:t>
            </w:r>
            <w:r w:rsidRPr="00E05465">
              <w:rPr>
                <w:rFonts w:ascii="Arial Narrow" w:eastAsia="Calibri" w:hAnsi="Arial Narrow"/>
                <w:sz w:val="20"/>
                <w:szCs w:val="20"/>
              </w:rPr>
              <w:t xml:space="preserve"> Initial treatment- Initial 2 (switching from eculizumab)</w:t>
            </w:r>
          </w:p>
        </w:tc>
      </w:tr>
      <w:tr w:rsidR="00E05465" w:rsidRPr="00E05465" w14:paraId="51408D42" w14:textId="77777777" w:rsidTr="001D559C">
        <w:trPr>
          <w:cantSplit/>
        </w:trPr>
        <w:tc>
          <w:tcPr>
            <w:tcW w:w="9077" w:type="dxa"/>
            <w:vAlign w:val="center"/>
          </w:tcPr>
          <w:p w14:paraId="7191EC2C" w14:textId="77777777" w:rsidR="001D559C" w:rsidRPr="00E05465" w:rsidRDefault="001D559C" w:rsidP="001D559C">
            <w:pPr>
              <w:rPr>
                <w:rFonts w:ascii="Arial Narrow" w:eastAsia="Calibri" w:hAnsi="Arial Narrow"/>
                <w:bCs/>
                <w:sz w:val="20"/>
                <w:szCs w:val="20"/>
              </w:rPr>
            </w:pPr>
            <w:r w:rsidRPr="00E05465">
              <w:rPr>
                <w:rFonts w:ascii="Arial Narrow" w:eastAsia="Calibri" w:hAnsi="Arial Narrow"/>
                <w:b/>
                <w:sz w:val="20"/>
                <w:szCs w:val="20"/>
              </w:rPr>
              <w:t xml:space="preserve">Treatment criteria: </w:t>
            </w:r>
            <w:r w:rsidRPr="00E05465">
              <w:rPr>
                <w:rFonts w:ascii="Arial Narrow" w:eastAsia="Calibri" w:hAnsi="Arial Narrow"/>
                <w:bCs/>
                <w:sz w:val="20"/>
                <w:szCs w:val="20"/>
              </w:rPr>
              <w:t>Must be treated by a haematologist; OR</w:t>
            </w:r>
          </w:p>
          <w:p w14:paraId="061E3E16" w14:textId="77777777" w:rsidR="001D559C" w:rsidRPr="00E05465" w:rsidRDefault="001D559C" w:rsidP="001D559C">
            <w:pPr>
              <w:rPr>
                <w:rFonts w:ascii="Arial Narrow" w:eastAsia="Calibri" w:hAnsi="Arial Narrow"/>
                <w:sz w:val="20"/>
                <w:szCs w:val="20"/>
              </w:rPr>
            </w:pPr>
            <w:r w:rsidRPr="00E05465">
              <w:rPr>
                <w:rFonts w:ascii="Arial Narrow" w:eastAsia="Calibri" w:hAnsi="Arial Narrow"/>
                <w:sz w:val="20"/>
                <w:szCs w:val="20"/>
              </w:rPr>
              <w:t>Must be treated by a non-specialist medical physician who has consulted a haematologist on the patient’s drug treatment details</w:t>
            </w:r>
          </w:p>
        </w:tc>
      </w:tr>
      <w:tr w:rsidR="00E05465" w:rsidRPr="00E05465" w14:paraId="7D29F4B8" w14:textId="77777777" w:rsidTr="001D559C">
        <w:trPr>
          <w:cantSplit/>
        </w:trPr>
        <w:tc>
          <w:tcPr>
            <w:tcW w:w="9077" w:type="dxa"/>
            <w:hideMark/>
          </w:tcPr>
          <w:p w14:paraId="347810D1" w14:textId="77777777" w:rsidR="001D559C" w:rsidRPr="00E05465" w:rsidRDefault="001D559C" w:rsidP="001D559C">
            <w:pPr>
              <w:rPr>
                <w:rFonts w:ascii="Arial Narrow" w:hAnsi="Arial Narrow"/>
                <w:b/>
                <w:sz w:val="20"/>
                <w:szCs w:val="20"/>
              </w:rPr>
            </w:pPr>
            <w:r w:rsidRPr="00E05465">
              <w:rPr>
                <w:rFonts w:ascii="Arial Narrow" w:hAnsi="Arial Narrow"/>
                <w:b/>
                <w:sz w:val="20"/>
                <w:szCs w:val="20"/>
              </w:rPr>
              <w:t>Clinical criteria:</w:t>
            </w:r>
          </w:p>
        </w:tc>
      </w:tr>
      <w:tr w:rsidR="00E05465" w:rsidRPr="00E05465" w14:paraId="480C0C0B" w14:textId="77777777" w:rsidTr="001D559C">
        <w:trPr>
          <w:cantSplit/>
        </w:trPr>
        <w:tc>
          <w:tcPr>
            <w:tcW w:w="9077" w:type="dxa"/>
          </w:tcPr>
          <w:p w14:paraId="4D9E2C08" w14:textId="77777777" w:rsidR="001D559C" w:rsidRPr="00E05465" w:rsidRDefault="001D559C" w:rsidP="001D559C">
            <w:pPr>
              <w:rPr>
                <w:rFonts w:ascii="Arial Narrow" w:hAnsi="Arial Narrow"/>
                <w:sz w:val="20"/>
                <w:szCs w:val="20"/>
              </w:rPr>
            </w:pPr>
            <w:r w:rsidRPr="00E05465">
              <w:rPr>
                <w:rFonts w:ascii="Arial Narrow" w:hAnsi="Arial Narrow"/>
                <w:bCs/>
                <w:sz w:val="20"/>
                <w:szCs w:val="20"/>
              </w:rPr>
              <w:t>Patient must have previously received eculizumab for the treatment of this condition funded under the Australian Government's Life Saving Drugs Program (LSDP), OR</w:t>
            </w:r>
          </w:p>
        </w:tc>
      </w:tr>
      <w:tr w:rsidR="00E05465" w:rsidRPr="00E05465" w14:paraId="7F57A106" w14:textId="77777777" w:rsidTr="001D559C">
        <w:trPr>
          <w:cantSplit/>
        </w:trPr>
        <w:tc>
          <w:tcPr>
            <w:tcW w:w="9077" w:type="dxa"/>
            <w:hideMark/>
          </w:tcPr>
          <w:p w14:paraId="1136D35F"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Patient must have received prior PBS-subsidised treatment with this drug for this condition; AND</w:t>
            </w:r>
          </w:p>
        </w:tc>
      </w:tr>
      <w:tr w:rsidR="00E05465" w:rsidRPr="00E05465" w14:paraId="4CB14FDE" w14:textId="77777777" w:rsidTr="001D559C">
        <w:trPr>
          <w:cantSplit/>
        </w:trPr>
        <w:tc>
          <w:tcPr>
            <w:tcW w:w="9077" w:type="dxa"/>
          </w:tcPr>
          <w:p w14:paraId="5FC96840" w14:textId="77777777" w:rsidR="001D559C" w:rsidRPr="00E05465" w:rsidRDefault="001D559C" w:rsidP="001D559C">
            <w:pPr>
              <w:rPr>
                <w:rFonts w:ascii="Arial Narrow" w:hAnsi="Arial Narrow"/>
                <w:sz w:val="20"/>
                <w:szCs w:val="20"/>
              </w:rPr>
            </w:pPr>
            <w:r w:rsidRPr="00E05465">
              <w:rPr>
                <w:rFonts w:ascii="Arial Narrow" w:hAnsi="Arial Narrow"/>
                <w:sz w:val="20"/>
                <w:szCs w:val="20"/>
              </w:rPr>
              <w:lastRenderedPageBreak/>
              <w:t>Patient must have a diagnosis of PNH established by flow cytometry prior to LSDP-funded treatment with eculizumab, AND received prior PBS-subsidised treatment with eculizumab through the 'Initial treatment - Initial 2 (switching from PBS-subsidised ravulizumab for pregnancy)' criteria; AND</w:t>
            </w:r>
          </w:p>
        </w:tc>
      </w:tr>
      <w:tr w:rsidR="00E05465" w:rsidRPr="00E05465" w14:paraId="62E719B1" w14:textId="77777777" w:rsidTr="001D559C">
        <w:trPr>
          <w:cantSplit/>
        </w:trPr>
        <w:tc>
          <w:tcPr>
            <w:tcW w:w="9077" w:type="dxa"/>
          </w:tcPr>
          <w:p w14:paraId="4951D1B6" w14:textId="77777777" w:rsidR="001D559C" w:rsidRPr="00E05465" w:rsidRDefault="001D559C" w:rsidP="001D559C">
            <w:pPr>
              <w:rPr>
                <w:rFonts w:ascii="Arial Narrow" w:hAnsi="Arial Narrow"/>
                <w:sz w:val="20"/>
                <w:szCs w:val="20"/>
              </w:rPr>
            </w:pPr>
            <w:r w:rsidRPr="00E05465">
              <w:rPr>
                <w:rFonts w:ascii="Arial Narrow" w:hAnsi="Arial Narrow"/>
                <w:sz w:val="20"/>
                <w:szCs w:val="20"/>
              </w:rPr>
              <w:t>The treatment must not be in combination with any of (i) another Complement 5 (C5) inhibitor, (ii) pegcetacoplan</w:t>
            </w:r>
          </w:p>
        </w:tc>
      </w:tr>
      <w:tr w:rsidR="001D559C" w:rsidRPr="00E05465" w14:paraId="405BEBA6" w14:textId="77777777" w:rsidTr="001D559C">
        <w:trPr>
          <w:cantSplit/>
        </w:trPr>
        <w:tc>
          <w:tcPr>
            <w:tcW w:w="9077" w:type="dxa"/>
          </w:tcPr>
          <w:p w14:paraId="56D18EB0" w14:textId="77777777" w:rsidR="001D559C" w:rsidRPr="00E05465" w:rsidRDefault="001D559C" w:rsidP="001D559C">
            <w:pPr>
              <w:rPr>
                <w:rFonts w:ascii="Arial Narrow" w:hAnsi="Arial Narrow"/>
                <w:bCs/>
                <w:sz w:val="20"/>
                <w:szCs w:val="20"/>
              </w:rPr>
            </w:pPr>
            <w:r w:rsidRPr="00E05465">
              <w:rPr>
                <w:rFonts w:ascii="Arial Narrow" w:hAnsi="Arial Narrow" w:cstheme="minorHAnsi"/>
                <w:b/>
                <w:strike/>
                <w:sz w:val="20"/>
                <w:szCs w:val="20"/>
              </w:rPr>
              <w:t>Population criteria</w:t>
            </w:r>
            <w:r w:rsidRPr="00E05465">
              <w:rPr>
                <w:rFonts w:ascii="Arial Narrow" w:hAnsi="Arial Narrow" w:cstheme="minorHAnsi"/>
                <w:strike/>
                <w:sz w:val="20"/>
                <w:szCs w:val="20"/>
              </w:rPr>
              <w:t>: Patient must be at least 18 years of age.</w:t>
            </w:r>
          </w:p>
        </w:tc>
      </w:tr>
    </w:tbl>
    <w:p w14:paraId="216C26DC" w14:textId="77777777" w:rsidR="001D559C" w:rsidRPr="00E05465" w:rsidRDefault="001D559C" w:rsidP="002032B0">
      <w:pPr>
        <w:pStyle w:val="3-BodyText"/>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17"/>
      </w:tblGrid>
      <w:tr w:rsidR="00E05465" w:rsidRPr="00E05465" w14:paraId="32354DEB" w14:textId="77777777" w:rsidTr="001D559C">
        <w:trPr>
          <w:cantSplit/>
        </w:trPr>
        <w:tc>
          <w:tcPr>
            <w:tcW w:w="9077" w:type="dxa"/>
            <w:tcBorders>
              <w:top w:val="single" w:sz="4" w:space="0" w:color="auto"/>
              <w:left w:val="single" w:sz="4" w:space="0" w:color="auto"/>
              <w:bottom w:val="single" w:sz="4" w:space="0" w:color="auto"/>
              <w:right w:val="single" w:sz="4" w:space="0" w:color="auto"/>
            </w:tcBorders>
          </w:tcPr>
          <w:p w14:paraId="4D1B7A72" w14:textId="77777777" w:rsidR="001D559C" w:rsidRPr="00E05465" w:rsidRDefault="001D559C" w:rsidP="001D559C">
            <w:pPr>
              <w:keepNext/>
              <w:rPr>
                <w:rFonts w:ascii="Arial Narrow" w:hAnsi="Arial Narrow"/>
                <w:b/>
                <w:sz w:val="20"/>
                <w:szCs w:val="20"/>
              </w:rPr>
            </w:pPr>
            <w:r w:rsidRPr="00E05465">
              <w:rPr>
                <w:rFonts w:ascii="Arial Narrow" w:hAnsi="Arial Narrow"/>
                <w:b/>
                <w:sz w:val="20"/>
                <w:szCs w:val="20"/>
              </w:rPr>
              <w:t>Requested restriction for ravulizumab – continuing treatment</w:t>
            </w:r>
          </w:p>
        </w:tc>
      </w:tr>
      <w:tr w:rsidR="00E05465" w:rsidRPr="00E05465" w14:paraId="53CCAD6E" w14:textId="77777777" w:rsidTr="001D559C">
        <w:trPr>
          <w:cantSplit/>
        </w:trPr>
        <w:tc>
          <w:tcPr>
            <w:tcW w:w="9077" w:type="dxa"/>
            <w:tcBorders>
              <w:top w:val="single" w:sz="4" w:space="0" w:color="auto"/>
              <w:left w:val="single" w:sz="4" w:space="0" w:color="auto"/>
              <w:bottom w:val="single" w:sz="4" w:space="0" w:color="auto"/>
              <w:right w:val="single" w:sz="4" w:space="0" w:color="auto"/>
            </w:tcBorders>
          </w:tcPr>
          <w:p w14:paraId="41FAF66E" w14:textId="77777777" w:rsidR="001D559C" w:rsidRPr="00E05465" w:rsidRDefault="001D559C" w:rsidP="001D559C">
            <w:pPr>
              <w:keepNext/>
              <w:rPr>
                <w:rFonts w:ascii="Arial Narrow" w:hAnsi="Arial Narrow"/>
                <w:sz w:val="20"/>
                <w:szCs w:val="20"/>
              </w:rPr>
            </w:pPr>
            <w:r w:rsidRPr="00E05465">
              <w:rPr>
                <w:rFonts w:ascii="Arial Narrow" w:hAnsi="Arial Narrow"/>
                <w:b/>
                <w:sz w:val="20"/>
                <w:szCs w:val="20"/>
              </w:rPr>
              <w:t xml:space="preserve">Category / Program: </w:t>
            </w:r>
            <w:r w:rsidRPr="00E05465">
              <w:rPr>
                <w:rFonts w:ascii="Arial Narrow" w:hAnsi="Arial Narrow"/>
                <w:sz w:val="20"/>
                <w:szCs w:val="20"/>
              </w:rPr>
              <w:t>Section 100 – Highly Specialised Drugs Program (Public/Private)</w:t>
            </w:r>
          </w:p>
        </w:tc>
      </w:tr>
      <w:tr w:rsidR="00E05465" w:rsidRPr="00E05465" w14:paraId="4BDDE920" w14:textId="77777777" w:rsidTr="001D559C">
        <w:trPr>
          <w:cantSplit/>
        </w:trPr>
        <w:tc>
          <w:tcPr>
            <w:tcW w:w="9077" w:type="dxa"/>
            <w:tcBorders>
              <w:top w:val="single" w:sz="4" w:space="0" w:color="auto"/>
              <w:left w:val="single" w:sz="4" w:space="0" w:color="auto"/>
              <w:bottom w:val="single" w:sz="4" w:space="0" w:color="auto"/>
              <w:right w:val="single" w:sz="4" w:space="0" w:color="auto"/>
            </w:tcBorders>
          </w:tcPr>
          <w:p w14:paraId="6E263C22" w14:textId="77777777" w:rsidR="001D559C" w:rsidRPr="00E05465" w:rsidRDefault="001D559C" w:rsidP="001D559C">
            <w:pPr>
              <w:keepNext/>
              <w:rPr>
                <w:rFonts w:ascii="Arial Narrow" w:hAnsi="Arial Narrow"/>
                <w:b/>
                <w:sz w:val="20"/>
                <w:szCs w:val="20"/>
              </w:rPr>
            </w:pPr>
            <w:r w:rsidRPr="00E05465">
              <w:rPr>
                <w:rFonts w:ascii="Arial Narrow" w:hAnsi="Arial Narrow"/>
                <w:b/>
                <w:sz w:val="20"/>
                <w:szCs w:val="20"/>
              </w:rPr>
              <w:t xml:space="preserve">PBS indication: </w:t>
            </w:r>
            <w:r w:rsidRPr="00E05465">
              <w:rPr>
                <w:rFonts w:ascii="Arial Narrow" w:hAnsi="Arial Narrow"/>
                <w:sz w:val="20"/>
                <w:szCs w:val="20"/>
              </w:rPr>
              <w:t>Paroxysmal nocturnal haemoglobinuria</w:t>
            </w:r>
          </w:p>
        </w:tc>
      </w:tr>
      <w:tr w:rsidR="00E05465" w:rsidRPr="00E05465" w14:paraId="4B8311B2" w14:textId="77777777" w:rsidTr="001D559C">
        <w:trPr>
          <w:cantSplit/>
        </w:trPr>
        <w:tc>
          <w:tcPr>
            <w:tcW w:w="9077" w:type="dxa"/>
            <w:tcBorders>
              <w:top w:val="single" w:sz="4" w:space="0" w:color="auto"/>
              <w:left w:val="single" w:sz="4" w:space="0" w:color="auto"/>
              <w:bottom w:val="single" w:sz="4" w:space="0" w:color="auto"/>
              <w:right w:val="single" w:sz="4" w:space="0" w:color="auto"/>
            </w:tcBorders>
          </w:tcPr>
          <w:p w14:paraId="1B45455F" w14:textId="77777777" w:rsidR="001D559C" w:rsidRPr="00E05465" w:rsidRDefault="001D559C" w:rsidP="001D559C">
            <w:pPr>
              <w:keepNext/>
              <w:rPr>
                <w:rFonts w:ascii="Arial Narrow" w:eastAsia="Calibri" w:hAnsi="Arial Narrow"/>
                <w:sz w:val="20"/>
                <w:szCs w:val="20"/>
              </w:rPr>
            </w:pPr>
            <w:r w:rsidRPr="00E05465">
              <w:rPr>
                <w:rFonts w:ascii="Arial Narrow" w:hAnsi="Arial Narrow"/>
                <w:b/>
                <w:sz w:val="20"/>
                <w:szCs w:val="20"/>
              </w:rPr>
              <w:t xml:space="preserve">Restriction type: </w:t>
            </w:r>
            <w:r w:rsidRPr="00E05465">
              <w:rPr>
                <w:rFonts w:ascii="Arial Narrow" w:eastAsia="Calibri" w:hAnsi="Arial Narrow"/>
                <w:sz w:val="20"/>
                <w:szCs w:val="20"/>
              </w:rPr>
              <w:fldChar w:fldCharType="begin" w:fldLock="1">
                <w:ffData>
                  <w:name w:val=""/>
                  <w:enabled/>
                  <w:calcOnExit w:val="0"/>
                  <w:checkBox>
                    <w:sizeAuto/>
                    <w:default w:val="1"/>
                  </w:checkBox>
                </w:ffData>
              </w:fldChar>
            </w:r>
            <w:r w:rsidRPr="00E05465">
              <w:rPr>
                <w:rFonts w:ascii="Arial Narrow" w:eastAsia="Calibri" w:hAnsi="Arial Narrow"/>
                <w:sz w:val="20"/>
                <w:szCs w:val="20"/>
              </w:rPr>
              <w:instrText xml:space="preserve"> FORMCHECKBOX </w:instrText>
            </w:r>
            <w:r w:rsidR="00687C33">
              <w:rPr>
                <w:rFonts w:ascii="Arial Narrow" w:eastAsia="Calibri" w:hAnsi="Arial Narrow"/>
                <w:sz w:val="20"/>
                <w:szCs w:val="20"/>
              </w:rPr>
            </w:r>
            <w:r w:rsidR="00687C33">
              <w:rPr>
                <w:rFonts w:ascii="Arial Narrow" w:eastAsia="Calibri" w:hAnsi="Arial Narrow"/>
                <w:sz w:val="20"/>
                <w:szCs w:val="20"/>
              </w:rPr>
              <w:fldChar w:fldCharType="separate"/>
            </w:r>
            <w:r w:rsidRPr="00E05465">
              <w:rPr>
                <w:rFonts w:ascii="Arial Narrow" w:eastAsia="Calibri" w:hAnsi="Arial Narrow"/>
                <w:sz w:val="20"/>
                <w:szCs w:val="20"/>
              </w:rPr>
              <w:fldChar w:fldCharType="end"/>
            </w:r>
            <w:r w:rsidRPr="00E05465">
              <w:rPr>
                <w:rFonts w:ascii="Arial Narrow" w:eastAsia="Calibri" w:hAnsi="Arial Narrow"/>
                <w:sz w:val="20"/>
                <w:szCs w:val="20"/>
              </w:rPr>
              <w:t>Authority Required – written</w:t>
            </w:r>
          </w:p>
        </w:tc>
      </w:tr>
      <w:tr w:rsidR="00E05465" w:rsidRPr="00E05465" w14:paraId="14845A24" w14:textId="77777777" w:rsidTr="001D559C">
        <w:trPr>
          <w:cantSplit/>
        </w:trPr>
        <w:tc>
          <w:tcPr>
            <w:tcW w:w="9077" w:type="dxa"/>
            <w:vAlign w:val="center"/>
            <w:hideMark/>
          </w:tcPr>
          <w:p w14:paraId="7E4ABEBD" w14:textId="77777777" w:rsidR="001D559C" w:rsidRPr="00E05465" w:rsidRDefault="001D559C" w:rsidP="001D559C">
            <w:pPr>
              <w:keepNext/>
              <w:rPr>
                <w:rFonts w:ascii="Arial Narrow" w:eastAsia="Calibri" w:hAnsi="Arial Narrow"/>
                <w:sz w:val="20"/>
                <w:szCs w:val="20"/>
              </w:rPr>
            </w:pPr>
            <w:r w:rsidRPr="00E05465">
              <w:rPr>
                <w:rFonts w:ascii="Arial Narrow" w:eastAsia="Calibri" w:hAnsi="Arial Narrow"/>
                <w:b/>
                <w:sz w:val="20"/>
                <w:szCs w:val="20"/>
              </w:rPr>
              <w:t>Treatment Phase:</w:t>
            </w:r>
            <w:r w:rsidRPr="00E05465">
              <w:rPr>
                <w:rFonts w:ascii="Arial Narrow" w:eastAsia="Calibri" w:hAnsi="Arial Narrow"/>
                <w:sz w:val="20"/>
                <w:szCs w:val="20"/>
              </w:rPr>
              <w:t xml:space="preserve"> continuing treatment</w:t>
            </w:r>
          </w:p>
        </w:tc>
      </w:tr>
      <w:tr w:rsidR="00E05465" w:rsidRPr="00E05465" w14:paraId="7467F35C" w14:textId="77777777" w:rsidTr="001D559C">
        <w:trPr>
          <w:cantSplit/>
        </w:trPr>
        <w:tc>
          <w:tcPr>
            <w:tcW w:w="9077" w:type="dxa"/>
            <w:vAlign w:val="center"/>
          </w:tcPr>
          <w:p w14:paraId="3482C5C2" w14:textId="77777777" w:rsidR="001D559C" w:rsidRPr="00E05465" w:rsidRDefault="001D559C" w:rsidP="001D559C">
            <w:pPr>
              <w:keepNext/>
              <w:rPr>
                <w:rFonts w:ascii="Arial Narrow" w:eastAsia="Calibri" w:hAnsi="Arial Narrow"/>
                <w:bCs/>
                <w:sz w:val="20"/>
                <w:szCs w:val="20"/>
              </w:rPr>
            </w:pPr>
            <w:r w:rsidRPr="00E05465">
              <w:rPr>
                <w:rFonts w:ascii="Arial Narrow" w:eastAsia="Calibri" w:hAnsi="Arial Narrow"/>
                <w:b/>
                <w:sz w:val="20"/>
                <w:szCs w:val="20"/>
              </w:rPr>
              <w:t xml:space="preserve">Treatment criteria: </w:t>
            </w:r>
            <w:r w:rsidRPr="00E05465">
              <w:rPr>
                <w:rFonts w:ascii="Arial Narrow" w:eastAsia="Calibri" w:hAnsi="Arial Narrow"/>
                <w:bCs/>
                <w:sz w:val="20"/>
                <w:szCs w:val="20"/>
              </w:rPr>
              <w:t>Must be treated by a haematologist; OR</w:t>
            </w:r>
          </w:p>
          <w:p w14:paraId="17E9838A" w14:textId="77777777" w:rsidR="001D559C" w:rsidRPr="00E05465" w:rsidRDefault="001D559C" w:rsidP="001D559C">
            <w:pPr>
              <w:keepNext/>
              <w:rPr>
                <w:rFonts w:ascii="Arial Narrow" w:eastAsia="Calibri" w:hAnsi="Arial Narrow"/>
                <w:sz w:val="20"/>
                <w:szCs w:val="20"/>
              </w:rPr>
            </w:pPr>
            <w:r w:rsidRPr="00E05465">
              <w:rPr>
                <w:rFonts w:ascii="Arial Narrow" w:eastAsia="Calibri" w:hAnsi="Arial Narrow"/>
                <w:sz w:val="20"/>
                <w:szCs w:val="20"/>
              </w:rPr>
              <w:t>Must be treated by a non-specialist medical physician who has consulted a haematologist on the patient’s drug treatment details</w:t>
            </w:r>
          </w:p>
        </w:tc>
      </w:tr>
      <w:tr w:rsidR="00E05465" w:rsidRPr="00E05465" w14:paraId="5F24F703" w14:textId="77777777" w:rsidTr="001D559C">
        <w:trPr>
          <w:cantSplit/>
        </w:trPr>
        <w:tc>
          <w:tcPr>
            <w:tcW w:w="9077" w:type="dxa"/>
            <w:hideMark/>
          </w:tcPr>
          <w:p w14:paraId="52F01365" w14:textId="77777777" w:rsidR="001D559C" w:rsidRPr="00E05465" w:rsidRDefault="001D559C" w:rsidP="001D559C">
            <w:pPr>
              <w:keepNext/>
              <w:rPr>
                <w:rFonts w:ascii="Arial Narrow" w:hAnsi="Arial Narrow"/>
                <w:b/>
                <w:sz w:val="20"/>
                <w:szCs w:val="20"/>
              </w:rPr>
            </w:pPr>
            <w:r w:rsidRPr="00E05465">
              <w:rPr>
                <w:rFonts w:ascii="Arial Narrow" w:hAnsi="Arial Narrow"/>
                <w:b/>
                <w:sz w:val="20"/>
                <w:szCs w:val="20"/>
              </w:rPr>
              <w:t>Clinical criteria:</w:t>
            </w:r>
          </w:p>
        </w:tc>
      </w:tr>
      <w:tr w:rsidR="00E05465" w:rsidRPr="00E05465" w14:paraId="07A51B38" w14:textId="77777777" w:rsidTr="001D559C">
        <w:trPr>
          <w:cantSplit/>
        </w:trPr>
        <w:tc>
          <w:tcPr>
            <w:tcW w:w="9077" w:type="dxa"/>
          </w:tcPr>
          <w:p w14:paraId="28250875" w14:textId="77777777" w:rsidR="001D559C" w:rsidRPr="00E05465" w:rsidRDefault="001D559C" w:rsidP="001D559C">
            <w:pPr>
              <w:keepNext/>
              <w:rPr>
                <w:rFonts w:ascii="Arial Narrow" w:hAnsi="Arial Narrow"/>
                <w:bCs/>
                <w:sz w:val="20"/>
                <w:szCs w:val="20"/>
              </w:rPr>
            </w:pPr>
            <w:r w:rsidRPr="00E05465">
              <w:rPr>
                <w:rFonts w:ascii="Arial Narrow" w:hAnsi="Arial Narrow"/>
                <w:bCs/>
                <w:sz w:val="20"/>
                <w:szCs w:val="20"/>
                <w:u w:val="single"/>
              </w:rPr>
              <w:t>First Continuing Criteria</w:t>
            </w:r>
            <w:r w:rsidRPr="00E05465">
              <w:rPr>
                <w:rFonts w:ascii="Arial Narrow" w:hAnsi="Arial Narrow"/>
                <w:bCs/>
                <w:sz w:val="20"/>
                <w:szCs w:val="20"/>
              </w:rPr>
              <w:t>:</w:t>
            </w:r>
          </w:p>
          <w:p w14:paraId="2FC2263B" w14:textId="77777777" w:rsidR="001D559C" w:rsidRPr="00E05465" w:rsidRDefault="001D559C" w:rsidP="001D559C">
            <w:pPr>
              <w:keepNext/>
              <w:rPr>
                <w:rFonts w:ascii="Arial Narrow" w:hAnsi="Arial Narrow"/>
                <w:bCs/>
                <w:sz w:val="20"/>
                <w:szCs w:val="20"/>
              </w:rPr>
            </w:pPr>
            <w:r w:rsidRPr="00E05465">
              <w:rPr>
                <w:rFonts w:ascii="Arial Narrow" w:hAnsi="Arial Narrow"/>
                <w:bCs/>
                <w:sz w:val="20"/>
                <w:szCs w:val="20"/>
              </w:rPr>
              <w:t>Patient must have received PBS-subsidised treatment with this drug for this condition under the 'Initial' or 'Grandfather' treatment restriction, AND</w:t>
            </w:r>
          </w:p>
          <w:p w14:paraId="464161FA" w14:textId="77777777" w:rsidR="001D559C" w:rsidRPr="00E05465" w:rsidRDefault="001D559C" w:rsidP="001D559C">
            <w:pPr>
              <w:keepNext/>
              <w:rPr>
                <w:rFonts w:ascii="Arial Narrow" w:hAnsi="Arial Narrow"/>
                <w:bCs/>
                <w:sz w:val="20"/>
                <w:szCs w:val="20"/>
              </w:rPr>
            </w:pPr>
            <w:r w:rsidRPr="00E05465">
              <w:rPr>
                <w:rFonts w:ascii="Arial Narrow" w:hAnsi="Arial Narrow"/>
                <w:bCs/>
                <w:sz w:val="20"/>
                <w:szCs w:val="20"/>
              </w:rPr>
              <w:t>The treatment must not be in combination with any of (i) another Complement 5 (C5) inhibitor, (ii) pegcetacoplan.</w:t>
            </w:r>
          </w:p>
          <w:p w14:paraId="555884AB" w14:textId="77777777" w:rsidR="001D559C" w:rsidRPr="00E05465" w:rsidRDefault="001D559C" w:rsidP="001D559C">
            <w:pPr>
              <w:keepNext/>
              <w:rPr>
                <w:rFonts w:ascii="Arial Narrow" w:hAnsi="Arial Narrow"/>
                <w:bCs/>
                <w:sz w:val="20"/>
                <w:szCs w:val="20"/>
              </w:rPr>
            </w:pPr>
          </w:p>
          <w:p w14:paraId="3FE66D96" w14:textId="77777777" w:rsidR="001D559C" w:rsidRPr="00E05465" w:rsidRDefault="001D559C" w:rsidP="001D559C">
            <w:pPr>
              <w:keepNext/>
              <w:rPr>
                <w:rFonts w:ascii="Arial Narrow" w:hAnsi="Arial Narrow"/>
                <w:bCs/>
                <w:sz w:val="20"/>
                <w:szCs w:val="20"/>
              </w:rPr>
            </w:pPr>
            <w:r w:rsidRPr="00E05465">
              <w:rPr>
                <w:rFonts w:ascii="Arial Narrow" w:hAnsi="Arial Narrow"/>
                <w:bCs/>
                <w:sz w:val="20"/>
                <w:szCs w:val="20"/>
                <w:u w:val="single"/>
              </w:rPr>
              <w:t>Subsequent Continuing Treatment</w:t>
            </w:r>
            <w:r w:rsidRPr="00E05465">
              <w:rPr>
                <w:rFonts w:ascii="Arial Narrow" w:hAnsi="Arial Narrow"/>
                <w:bCs/>
                <w:sz w:val="20"/>
                <w:szCs w:val="20"/>
              </w:rPr>
              <w:t>:</w:t>
            </w:r>
          </w:p>
          <w:p w14:paraId="0606E8B1" w14:textId="77777777" w:rsidR="001D559C" w:rsidRPr="00E05465" w:rsidRDefault="001D559C" w:rsidP="001D559C">
            <w:pPr>
              <w:keepNext/>
              <w:rPr>
                <w:rFonts w:ascii="Arial Narrow" w:hAnsi="Arial Narrow"/>
                <w:bCs/>
                <w:sz w:val="20"/>
                <w:szCs w:val="20"/>
              </w:rPr>
            </w:pPr>
            <w:r w:rsidRPr="00E05465">
              <w:rPr>
                <w:rFonts w:ascii="Arial Narrow" w:hAnsi="Arial Narrow"/>
                <w:bCs/>
                <w:sz w:val="20"/>
                <w:szCs w:val="20"/>
              </w:rPr>
              <w:t>Patient must have previously received PBS-subsidised treatment with this drug for this condition under the 'First Continuing Treatment' or 'Return' criteria, AND</w:t>
            </w:r>
          </w:p>
          <w:p w14:paraId="52196F91" w14:textId="77777777" w:rsidR="001D559C" w:rsidRPr="00E05465" w:rsidRDefault="001D559C" w:rsidP="001D559C">
            <w:pPr>
              <w:keepNext/>
              <w:rPr>
                <w:rFonts w:ascii="Arial Narrow" w:hAnsi="Arial Narrow"/>
                <w:bCs/>
                <w:sz w:val="20"/>
                <w:szCs w:val="20"/>
              </w:rPr>
            </w:pPr>
            <w:r w:rsidRPr="00E05465">
              <w:rPr>
                <w:rFonts w:ascii="Arial Narrow" w:hAnsi="Arial Narrow"/>
                <w:bCs/>
                <w:sz w:val="20"/>
                <w:szCs w:val="20"/>
              </w:rPr>
              <w:t>Patient must have experienced clinical improvement as a result of treatment with this drug, OR</w:t>
            </w:r>
          </w:p>
          <w:p w14:paraId="34DA0064" w14:textId="77777777" w:rsidR="001D559C" w:rsidRPr="00E05465" w:rsidRDefault="001D559C" w:rsidP="001D559C">
            <w:pPr>
              <w:keepNext/>
              <w:rPr>
                <w:rFonts w:ascii="Arial Narrow" w:hAnsi="Arial Narrow"/>
                <w:bCs/>
                <w:sz w:val="20"/>
                <w:szCs w:val="20"/>
              </w:rPr>
            </w:pPr>
            <w:r w:rsidRPr="00E05465">
              <w:rPr>
                <w:rFonts w:ascii="Arial Narrow" w:hAnsi="Arial Narrow"/>
                <w:bCs/>
                <w:sz w:val="20"/>
                <w:szCs w:val="20"/>
              </w:rPr>
              <w:t>Patient must have experienced a stabilisation of the condition as a result of treatment with this drug; AND</w:t>
            </w:r>
          </w:p>
          <w:p w14:paraId="2A4DD9B1" w14:textId="77777777" w:rsidR="001D559C" w:rsidRPr="00E05465" w:rsidRDefault="001D559C" w:rsidP="001D559C">
            <w:pPr>
              <w:keepNext/>
              <w:rPr>
                <w:rFonts w:ascii="Arial Narrow" w:hAnsi="Arial Narrow"/>
                <w:sz w:val="20"/>
                <w:szCs w:val="20"/>
              </w:rPr>
            </w:pPr>
            <w:r w:rsidRPr="00E05465">
              <w:rPr>
                <w:rFonts w:ascii="Arial Narrow" w:hAnsi="Arial Narrow"/>
                <w:bCs/>
                <w:sz w:val="20"/>
                <w:szCs w:val="20"/>
              </w:rPr>
              <w:t>The treatment must not be in combination with any of (i) another Complement 5 (C5) inhibitor, (ii) pegcetacoplan.</w:t>
            </w:r>
          </w:p>
        </w:tc>
      </w:tr>
      <w:tr w:rsidR="00E05465" w:rsidRPr="00E05465" w14:paraId="1D77BBF9" w14:textId="77777777" w:rsidTr="001D559C">
        <w:trPr>
          <w:cantSplit/>
        </w:trPr>
        <w:tc>
          <w:tcPr>
            <w:tcW w:w="9077" w:type="dxa"/>
          </w:tcPr>
          <w:p w14:paraId="6411E47F" w14:textId="77777777" w:rsidR="001D559C" w:rsidRPr="00E05465" w:rsidRDefault="001D559C" w:rsidP="001D559C">
            <w:pPr>
              <w:keepNext/>
              <w:rPr>
                <w:rFonts w:ascii="Arial Narrow" w:hAnsi="Arial Narrow"/>
                <w:bCs/>
                <w:sz w:val="20"/>
                <w:szCs w:val="20"/>
              </w:rPr>
            </w:pPr>
            <w:r w:rsidRPr="00E05465">
              <w:rPr>
                <w:rFonts w:ascii="Arial Narrow" w:hAnsi="Arial Narrow" w:cstheme="minorHAnsi"/>
                <w:b/>
                <w:strike/>
                <w:sz w:val="20"/>
                <w:szCs w:val="20"/>
              </w:rPr>
              <w:t>Population criteria</w:t>
            </w:r>
            <w:r w:rsidRPr="00E05465">
              <w:rPr>
                <w:rFonts w:ascii="Arial Narrow" w:hAnsi="Arial Narrow" w:cstheme="minorHAnsi"/>
                <w:strike/>
                <w:sz w:val="20"/>
                <w:szCs w:val="20"/>
              </w:rPr>
              <w:t>: Patient must be at least 18 years of age.</w:t>
            </w:r>
          </w:p>
        </w:tc>
      </w:tr>
    </w:tbl>
    <w:p w14:paraId="1572FF26" w14:textId="77777777" w:rsidR="001D559C" w:rsidRPr="00E05465" w:rsidRDefault="001D559C" w:rsidP="002032B0">
      <w:pPr>
        <w:pStyle w:val="TableFooter"/>
        <w:spacing w:after="120"/>
      </w:pPr>
      <w:r w:rsidRPr="00E05465">
        <w:t>The submission requested an amendment to the existing ‘Population criteria’ for ravulizumab on the PBS that removes the criterion of a patient being at least 18 years of age (as indicated in red strikethrough text).</w:t>
      </w:r>
    </w:p>
    <w:p w14:paraId="17CAC352" w14:textId="77777777" w:rsidR="001D559C" w:rsidRPr="00E05465" w:rsidRDefault="001D559C" w:rsidP="002032B0">
      <w:pPr>
        <w:pStyle w:val="3-BodyText"/>
      </w:pPr>
      <w:r w:rsidRPr="00E05465">
        <w:t>The submission stated that:</w:t>
      </w:r>
    </w:p>
    <w:p w14:paraId="58B3EDF7" w14:textId="77777777" w:rsidR="001D559C" w:rsidRPr="00E05465" w:rsidRDefault="001D559C" w:rsidP="002032B0">
      <w:pPr>
        <w:pStyle w:val="ListParagraph"/>
      </w:pPr>
      <w:r w:rsidRPr="00E05465">
        <w:t xml:space="preserve">due to international price referencing concerns, the sponsor required </w:t>
      </w:r>
      <w:bookmarkStart w:id="15" w:name="_Hlk133418497"/>
      <w:r w:rsidRPr="00E05465">
        <w:t>the existing Special Pricing Arrangement (SPA) to remain upon the expansion to the listing of ravulizumab on the PBS to include both adult and paediatric PNH patients</w:t>
      </w:r>
      <w:bookmarkEnd w:id="15"/>
      <w:r w:rsidRPr="00E05465">
        <w:t>; and</w:t>
      </w:r>
    </w:p>
    <w:p w14:paraId="09BCFA05" w14:textId="77777777" w:rsidR="001D559C" w:rsidRPr="00E05465" w:rsidRDefault="001D559C" w:rsidP="002032B0">
      <w:pPr>
        <w:pStyle w:val="ListParagraph"/>
      </w:pPr>
      <w:r w:rsidRPr="00E05465">
        <w:t>no changes were proposed to the existing RSA established prior to the listing of eculizumab and ravulizumab on 1 March 2022 for the treatment of PNH and amended on 1 December 2022 to include pegcetacoplan.</w:t>
      </w:r>
    </w:p>
    <w:p w14:paraId="31D04AC3" w14:textId="6F1FCC32" w:rsidR="001D559C" w:rsidRPr="00E05465" w:rsidRDefault="001D559C" w:rsidP="002032B0">
      <w:pPr>
        <w:pStyle w:val="3-BodyText"/>
      </w:pPr>
      <w:r w:rsidRPr="00E05465">
        <w:t xml:space="preserve">A SPA and RSA apply to i) eculizumab: PNH - intravenous (IV) infusion </w:t>
      </w:r>
      <w:r w:rsidR="002032B0" w:rsidRPr="00E05465">
        <w:t>300 </w:t>
      </w:r>
      <w:r w:rsidRPr="00E05465">
        <w:t xml:space="preserve">mg in </w:t>
      </w:r>
      <w:r w:rsidR="002032B0" w:rsidRPr="00E05465">
        <w:t>30 </w:t>
      </w:r>
      <w:r w:rsidRPr="00E05465">
        <w:t>mL = $</w:t>
      </w:r>
      <w:r w:rsidR="00533927" w:rsidRPr="00687C33">
        <w:rPr>
          <w:color w:val="000000"/>
          <w:w w:val="15"/>
          <w:shd w:val="solid" w:color="000000" w:fill="000000"/>
          <w:fitText w:val="-20" w:id="-1168291584"/>
          <w14:textFill>
            <w14:solidFill>
              <w14:srgbClr w14:val="000000">
                <w14:alpha w14:val="100000"/>
              </w14:srgbClr>
            </w14:solidFill>
          </w14:textFill>
        </w:rPr>
        <w:t xml:space="preserve">|  </w:t>
      </w:r>
      <w:r w:rsidR="00533927" w:rsidRPr="00687C33">
        <w:rPr>
          <w:color w:val="000000"/>
          <w:spacing w:val="-69"/>
          <w:w w:val="15"/>
          <w:shd w:val="solid" w:color="000000" w:fill="000000"/>
          <w:fitText w:val="-20" w:id="-1168291584"/>
          <w14:textFill>
            <w14:solidFill>
              <w14:srgbClr w14:val="000000">
                <w14:alpha w14:val="100000"/>
              </w14:srgbClr>
            </w14:solidFill>
          </w14:textFill>
        </w:rPr>
        <w:t>|</w:t>
      </w:r>
      <w:r w:rsidRPr="00E05465">
        <w:t xml:space="preserve"> (</w:t>
      </w:r>
      <w:r w:rsidR="000F3DD1" w:rsidRPr="00E05465">
        <w:t xml:space="preserve">pricing quantity </w:t>
      </w:r>
      <w:r w:rsidR="0084208B" w:rsidRPr="00E05465">
        <w:t>(</w:t>
      </w:r>
      <w:r w:rsidRPr="00E05465">
        <w:t>PQ</w:t>
      </w:r>
      <w:r w:rsidR="0084208B" w:rsidRPr="00E05465">
        <w:t>)</w:t>
      </w:r>
      <w:r w:rsidRPr="00E05465">
        <w:t xml:space="preserve"> = 1), and ii) ravulizumab: PNH </w:t>
      </w:r>
      <w:r w:rsidR="002032B0" w:rsidRPr="00E05465">
        <w:t>–</w:t>
      </w:r>
      <w:r w:rsidRPr="00E05465">
        <w:t xml:space="preserve"> IV infusion 300</w:t>
      </w:r>
      <w:r w:rsidR="002032B0" w:rsidRPr="00E05465">
        <w:t> </w:t>
      </w:r>
      <w:r w:rsidRPr="00E05465">
        <w:t>mg in 3</w:t>
      </w:r>
      <w:r w:rsidR="002032B0" w:rsidRPr="00E05465">
        <w:t> </w:t>
      </w:r>
      <w:r w:rsidRPr="00E05465">
        <w:t>mL = $</w:t>
      </w:r>
      <w:r w:rsidR="00533927" w:rsidRPr="00687C33">
        <w:rPr>
          <w:color w:val="000000"/>
          <w:w w:val="15"/>
          <w:shd w:val="solid" w:color="000000" w:fill="000000"/>
          <w:fitText w:val="-20" w:id="-1168291583"/>
          <w14:textFill>
            <w14:solidFill>
              <w14:srgbClr w14:val="000000">
                <w14:alpha w14:val="100000"/>
              </w14:srgbClr>
            </w14:solidFill>
          </w14:textFill>
        </w:rPr>
        <w:t xml:space="preserve">|  </w:t>
      </w:r>
      <w:r w:rsidR="00533927" w:rsidRPr="00687C33">
        <w:rPr>
          <w:color w:val="000000"/>
          <w:spacing w:val="-69"/>
          <w:w w:val="15"/>
          <w:shd w:val="solid" w:color="000000" w:fill="000000"/>
          <w:fitText w:val="-20" w:id="-1168291583"/>
          <w14:textFill>
            <w14:solidFill>
              <w14:srgbClr w14:val="000000">
                <w14:alpha w14:val="100000"/>
              </w14:srgbClr>
            </w14:solidFill>
          </w14:textFill>
        </w:rPr>
        <w:t>|</w:t>
      </w:r>
      <w:r w:rsidRPr="00E05465">
        <w:t xml:space="preserve"> (</w:t>
      </w:r>
      <w:r w:rsidR="001E05CD" w:rsidRPr="00E05465">
        <w:t>PQ </w:t>
      </w:r>
      <w:r w:rsidRPr="00E05465">
        <w:t>=</w:t>
      </w:r>
      <w:r w:rsidR="001E05CD" w:rsidRPr="00E05465">
        <w:t> </w:t>
      </w:r>
      <w:r w:rsidRPr="00E05465">
        <w:t>1); PNH - IV infusion 1,</w:t>
      </w:r>
      <w:r w:rsidR="002032B0" w:rsidRPr="00E05465">
        <w:t>100 </w:t>
      </w:r>
      <w:r w:rsidRPr="00E05465">
        <w:t>mg in 11</w:t>
      </w:r>
      <w:r w:rsidR="002032B0" w:rsidRPr="00E05465">
        <w:t> </w:t>
      </w:r>
      <w:r w:rsidRPr="00E05465">
        <w:t>mL = $</w:t>
      </w:r>
      <w:r w:rsidR="00533927" w:rsidRPr="00687C33">
        <w:rPr>
          <w:color w:val="000000"/>
          <w:w w:val="15"/>
          <w:shd w:val="solid" w:color="000000" w:fill="000000"/>
          <w:fitText w:val="-20" w:id="-1168291582"/>
          <w14:textFill>
            <w14:solidFill>
              <w14:srgbClr w14:val="000000">
                <w14:alpha w14:val="100000"/>
              </w14:srgbClr>
            </w14:solidFill>
          </w14:textFill>
        </w:rPr>
        <w:t xml:space="preserve">|  </w:t>
      </w:r>
      <w:r w:rsidR="00533927" w:rsidRPr="00687C33">
        <w:rPr>
          <w:color w:val="000000"/>
          <w:spacing w:val="-69"/>
          <w:w w:val="15"/>
          <w:shd w:val="solid" w:color="000000" w:fill="000000"/>
          <w:fitText w:val="-20" w:id="-1168291582"/>
          <w14:textFill>
            <w14:solidFill>
              <w14:srgbClr w14:val="000000">
                <w14:alpha w14:val="100000"/>
              </w14:srgbClr>
            </w14:solidFill>
          </w14:textFill>
        </w:rPr>
        <w:t>|</w:t>
      </w:r>
      <w:r w:rsidRPr="00E05465">
        <w:t xml:space="preserve"> (PQ</w:t>
      </w:r>
      <w:r w:rsidR="002032B0" w:rsidRPr="00E05465">
        <w:t> = </w:t>
      </w:r>
      <w:r w:rsidRPr="00E05465">
        <w:t>1).</w:t>
      </w:r>
    </w:p>
    <w:p w14:paraId="1ED0F67B" w14:textId="1D27B954" w:rsidR="001D559C" w:rsidRPr="00E05465" w:rsidRDefault="001D559C" w:rsidP="002032B0">
      <w:pPr>
        <w:pStyle w:val="3-BodyText"/>
      </w:pPr>
      <w:r w:rsidRPr="00E05465">
        <w:t xml:space="preserve">The submission requested an amendment to the existing ‘Population criteria’ for ravulizumab on the PBS – to remove the criterion of a patient being at least </w:t>
      </w:r>
      <w:r w:rsidR="001E05CD" w:rsidRPr="00E05465">
        <w:t>18 </w:t>
      </w:r>
      <w:r w:rsidRPr="00E05465">
        <w:t>years of age.</w:t>
      </w:r>
    </w:p>
    <w:p w14:paraId="518C85C7" w14:textId="00303D88" w:rsidR="001D559C" w:rsidRPr="00E05465" w:rsidRDefault="001D559C" w:rsidP="002032B0">
      <w:pPr>
        <w:pStyle w:val="3-BodyText"/>
      </w:pPr>
      <w:r w:rsidRPr="00E05465">
        <w:rPr>
          <w:lang w:val="en-US"/>
        </w:rPr>
        <w:t xml:space="preserve">The assessment and monitoring requirements for determining patient eligibility for initial or continuing treatment were </w:t>
      </w:r>
      <w:r w:rsidR="00B924B5" w:rsidRPr="00E05465">
        <w:rPr>
          <w:lang w:val="en-US"/>
        </w:rPr>
        <w:t>unchanged from the</w:t>
      </w:r>
      <w:r w:rsidRPr="00E05465">
        <w:rPr>
          <w:lang w:val="en-US"/>
        </w:rPr>
        <w:t xml:space="preserve"> existing PBS eligibility criteria </w:t>
      </w:r>
      <w:r w:rsidRPr="00E05465">
        <w:rPr>
          <w:lang w:val="en-US"/>
        </w:rPr>
        <w:lastRenderedPageBreak/>
        <w:t xml:space="preserve">for treatment with eculizumab and ravulizumab. The requested restriction </w:t>
      </w:r>
      <w:r w:rsidRPr="00E05465">
        <w:t>for ravulizumab allows for patients transitioning from eculizumab to ravulizumab.</w:t>
      </w:r>
      <w:r w:rsidR="002C1848" w:rsidRPr="00E05465">
        <w:t xml:space="preserve"> </w:t>
      </w:r>
    </w:p>
    <w:p w14:paraId="5A1958C2" w14:textId="77777777" w:rsidR="002C1848" w:rsidRPr="00E05465" w:rsidRDefault="002C1848" w:rsidP="002C1848">
      <w:pPr>
        <w:ind w:firstLine="709"/>
        <w:rPr>
          <w:rFonts w:asciiTheme="minorHAnsi" w:hAnsiTheme="minorHAnsi"/>
          <w:i/>
        </w:rPr>
      </w:pPr>
      <w:bookmarkStart w:id="16" w:name="_Hlk76375324"/>
      <w:r w:rsidRPr="00E05465">
        <w:rPr>
          <w:rFonts w:asciiTheme="minorHAnsi" w:hAnsiTheme="minorHAnsi"/>
          <w:i/>
        </w:rPr>
        <w:t>For more detail on PBAC’s view, see section 7 PBAC outcome.</w:t>
      </w:r>
    </w:p>
    <w:p w14:paraId="16F50CDF" w14:textId="77777777" w:rsidR="001D559C" w:rsidRPr="00E05465" w:rsidDel="00195452" w:rsidRDefault="001D559C" w:rsidP="001D559C">
      <w:pPr>
        <w:pStyle w:val="2-SectionHeading"/>
        <w:numPr>
          <w:ilvl w:val="0"/>
          <w:numId w:val="1"/>
        </w:numPr>
      </w:pPr>
      <w:bookmarkStart w:id="17" w:name="_Toc135034934"/>
      <w:bookmarkEnd w:id="16"/>
      <w:r w:rsidRPr="00E05465" w:rsidDel="00195452">
        <w:t>Population and disease</w:t>
      </w:r>
      <w:bookmarkEnd w:id="17"/>
    </w:p>
    <w:p w14:paraId="51FB77DD" w14:textId="77777777" w:rsidR="001D559C" w:rsidRPr="00E05465" w:rsidRDefault="001D559C" w:rsidP="002032B0">
      <w:pPr>
        <w:pStyle w:val="3-BodyText"/>
      </w:pPr>
      <w:r w:rsidRPr="00E05465">
        <w:t>PNH is a rare, life-threatening condition that can occur at any age but is most often diagnosed in young adults 30 to 40 years of age. It occurs due to an acquired mutation in the phosphatidylinositol glycan A (</w:t>
      </w:r>
      <w:r w:rsidRPr="00E05465">
        <w:rPr>
          <w:i/>
        </w:rPr>
        <w:t>PIG-A</w:t>
      </w:r>
      <w:r w:rsidRPr="00E05465">
        <w:t>) gene which results in a lack of terminal complement inhibitor proteins on cell surfaces. Their absence in blood cells results in uncontrolled complement activation and systemic complications which include chronic intravascular haemolysis, impaired bone marrow function, and thrombosis. Thromboembolic events are the leading cause of death in patients with PNH.</w:t>
      </w:r>
    </w:p>
    <w:p w14:paraId="3732439C" w14:textId="77777777" w:rsidR="001D559C" w:rsidRPr="00E05465" w:rsidRDefault="001D559C" w:rsidP="002032B0">
      <w:pPr>
        <w:pStyle w:val="3-BodyText"/>
      </w:pPr>
      <w:r w:rsidRPr="00E05465">
        <w:t>The severity of PNH is variable and not all patients require active complement inhibitor therapy. Patients with less severe disease can be treated with supportive therapies including folic acid and iron tablets; while patients with more severe disease may require red blood cell transfusions and anticoagulants. Life-long treatment is usually required. There is potential for cure with allogeneic stem cell transplantation; but this is rarely used as it is associated with a high level of morbidity and mortality (paragraph 4.2, ravulizumab, PSD, July 2021 PBAC meeting).</w:t>
      </w:r>
    </w:p>
    <w:p w14:paraId="1E5887D9" w14:textId="17FD7E65" w:rsidR="001D559C" w:rsidRPr="00E05465" w:rsidRDefault="001D559C" w:rsidP="002032B0">
      <w:pPr>
        <w:pStyle w:val="3-BodyText"/>
      </w:pPr>
      <w:r w:rsidRPr="00E05465">
        <w:t>Patients with classic PNH had a significant reduction in age-specific life expectancy. Prognosis is likely to change over time, with differences in risk of thromboembolic events and mortality among subtypes of PNH (classic PNH, aplastic anaemia PNH, and intermediate PNH). Paediatric cases of PNH account for 5</w:t>
      </w:r>
      <w:r w:rsidR="00B924B5" w:rsidRPr="00E05465">
        <w:t>–</w:t>
      </w:r>
      <w:r w:rsidRPr="00E05465">
        <w:t xml:space="preserve">10% of reported cases of PNH (Delegate’s Overview for ravulizumab, PM-2021-01659-1-6). The submission noted that </w:t>
      </w:r>
      <w:bookmarkStart w:id="18" w:name="_Hlk126229821"/>
      <w:r w:rsidRPr="00E05465">
        <w:t>as of October 2022</w:t>
      </w:r>
      <w:bookmarkEnd w:id="18"/>
      <w:r w:rsidRPr="00E05465">
        <w:t>, PBS service data indicated that a total of 152 PNH patients were on treatment with either eculizumab or ravulizumab, of whom only two patients were &lt;</w:t>
      </w:r>
      <w:r w:rsidR="001E05CD" w:rsidRPr="00E05465">
        <w:t> </w:t>
      </w:r>
      <w:r w:rsidRPr="00E05465">
        <w:t>18 years old and were being treated with eculizumab.</w:t>
      </w:r>
    </w:p>
    <w:p w14:paraId="456050F2" w14:textId="670F6A39" w:rsidR="001D559C" w:rsidRPr="00E05465" w:rsidRDefault="001D559C" w:rsidP="002032B0">
      <w:pPr>
        <w:pStyle w:val="3-BodyText"/>
      </w:pPr>
      <w:r w:rsidRPr="00E05465">
        <w:t xml:space="preserve">Ravulizumab, a long-acting anti-C5 monoclonal antibody that antagonises terminal complement at the same C5 epitope as eculizumab, is administered as a weight-based dose </w:t>
      </w:r>
      <w:bookmarkStart w:id="19" w:name="_Hlk133565134"/>
      <w:r w:rsidRPr="00E05465">
        <w:t>via IV infusion</w:t>
      </w:r>
      <w:bookmarkEnd w:id="19"/>
      <w:r w:rsidRPr="00E05465">
        <w:t>. The regimen starts with a loading dose, followed by maintenance dosing (every 4 weeks for body weight ≥</w:t>
      </w:r>
      <w:r w:rsidR="001E05CD" w:rsidRPr="00E05465">
        <w:t> </w:t>
      </w:r>
      <w:r w:rsidRPr="00E05465">
        <w:t>5 to &lt;</w:t>
      </w:r>
      <w:r w:rsidR="001E05CD" w:rsidRPr="00E05465">
        <w:t> </w:t>
      </w:r>
      <w:r w:rsidRPr="00E05465">
        <w:t>20 kg and every 8 weeks for body weight ≥</w:t>
      </w:r>
      <w:r w:rsidR="001E05CD" w:rsidRPr="00E05465">
        <w:t> </w:t>
      </w:r>
      <w:r w:rsidRPr="00E05465">
        <w:t xml:space="preserve">20 kg) as per </w:t>
      </w:r>
      <w:r w:rsidRPr="00E05465">
        <w:fldChar w:fldCharType="begin" w:fldLock="1"/>
      </w:r>
      <w:r w:rsidRPr="00E05465">
        <w:instrText xml:space="preserve"> REF _Ref132097378 \h </w:instrText>
      </w:r>
      <w:r w:rsidRPr="00E05465">
        <w:fldChar w:fldCharType="separate"/>
      </w:r>
      <w:r w:rsidR="00231664" w:rsidRPr="00E05465">
        <w:t xml:space="preserve">Table </w:t>
      </w:r>
      <w:r w:rsidR="00231664" w:rsidRPr="00E05465">
        <w:rPr>
          <w:noProof/>
        </w:rPr>
        <w:t>1</w:t>
      </w:r>
      <w:r w:rsidRPr="00E05465">
        <w:fldChar w:fldCharType="end"/>
      </w:r>
      <w:r w:rsidRPr="00E05465">
        <w:t>, and therefore has a lower treatment burden (less frequent dosing) than eculizumab (dosing every 3 weeks for body weight 5 to &lt;</w:t>
      </w:r>
      <w:r w:rsidR="001E05CD" w:rsidRPr="00E05465">
        <w:t> </w:t>
      </w:r>
      <w:r w:rsidRPr="00E05465">
        <w:t>10 kg and every 2 weeks for body weight ≥ 20 kg).</w:t>
      </w:r>
    </w:p>
    <w:p w14:paraId="1B0E27D6" w14:textId="5BF796B9" w:rsidR="001D559C" w:rsidRPr="00E05465" w:rsidRDefault="001D559C" w:rsidP="002032B0">
      <w:pPr>
        <w:pStyle w:val="3-BodyText"/>
      </w:pPr>
      <w:r w:rsidRPr="00E05465">
        <w:t>Ravulizumab has not been studied in PNH patients who weigh &lt;</w:t>
      </w:r>
      <w:r w:rsidR="001E05CD" w:rsidRPr="00E05465">
        <w:t> </w:t>
      </w:r>
      <w:r w:rsidRPr="00E05465">
        <w:t>30 kg. The dosing regimen to be used in paediatric patients with PNH who weigh &lt;</w:t>
      </w:r>
      <w:r w:rsidR="001E05CD" w:rsidRPr="00E05465">
        <w:t> </w:t>
      </w:r>
      <w:r w:rsidRPr="00E05465">
        <w:t xml:space="preserve">30 kg is identical to the weight-based dosing recommendations provided for paediatric patients with aHUS based on pharmacokinetic/pharmacodynamic (PK/PD) data available in aHUS/PNH patients treated with ravulizumab. The efficacy and safety profile in paediatric patients with body weight ≥5 kg is expected to be similar to that of adults (p5, TGA approved Product Information (PI) for ravulizumab). </w:t>
      </w:r>
    </w:p>
    <w:p w14:paraId="091B0101" w14:textId="77777777" w:rsidR="001D559C" w:rsidRPr="00E05465" w:rsidRDefault="001D559C" w:rsidP="002032B0">
      <w:pPr>
        <w:pStyle w:val="3-BodyText"/>
      </w:pPr>
      <w:r w:rsidRPr="00E05465">
        <w:rPr>
          <w:lang w:val="en-US"/>
        </w:rPr>
        <w:lastRenderedPageBreak/>
        <w:t>Similar to eculizumab, the PI for ravulizumab contains a boxed warning regarding the risk of meningococcal infections and recommendations for vaccination and monitoring. Patients must be administered a meningococcal vaccine at least two weeks prior to the first dose of ravulizumab unless the risks of delaying ravulizumab therapy outweigh the risk of developing a meningococcal infection.</w:t>
      </w:r>
      <w:r w:rsidRPr="00E05465">
        <w:rPr>
          <w:b/>
          <w:bCs/>
        </w:rPr>
        <w:t xml:space="preserve"> </w:t>
      </w:r>
      <w:r w:rsidRPr="00E05465">
        <w:rPr>
          <w:lang w:val="en-US"/>
        </w:rPr>
        <w:t xml:space="preserve">Patients who initiate ravulizumab treatment less than two weeks after receiving a meningococcal vaccine must receive treatment with appropriate prophylactic antibiotics until two weeks after vaccination). </w:t>
      </w:r>
    </w:p>
    <w:p w14:paraId="6C02490B" w14:textId="26500A8D" w:rsidR="001D559C" w:rsidRPr="00E05465" w:rsidRDefault="001D559C" w:rsidP="002032B0">
      <w:pPr>
        <w:pStyle w:val="3-BodyText"/>
      </w:pPr>
      <w:r w:rsidRPr="00E05465">
        <w:t>Ravulizumab is positioned as an alternative treatment to eculizumab for paediatric patients with PNH. Patients with PNH who do not meet the criteria for subsidised treatment with eculizumab or ravulizumab receive symptomatic treatment with best supportive care (BSC), such as transfusion of red blood cells, iron/folic acid therapy, steroids, anticoagulants, and immunosuppressive therapies.</w:t>
      </w:r>
      <w:r w:rsidR="002C1848" w:rsidRPr="00E05465">
        <w:t xml:space="preserve"> </w:t>
      </w:r>
    </w:p>
    <w:p w14:paraId="09718BD8" w14:textId="77777777" w:rsidR="002C1848" w:rsidRPr="00E05465" w:rsidRDefault="002C1848" w:rsidP="002C1848">
      <w:pPr>
        <w:ind w:firstLine="709"/>
        <w:rPr>
          <w:rFonts w:asciiTheme="minorHAnsi" w:hAnsiTheme="minorHAnsi"/>
          <w:i/>
        </w:rPr>
      </w:pPr>
      <w:r w:rsidRPr="00E05465">
        <w:rPr>
          <w:rFonts w:asciiTheme="minorHAnsi" w:hAnsiTheme="minorHAnsi"/>
          <w:i/>
        </w:rPr>
        <w:t>For more detail on PBAC’s view, see section 7 PBAC outcome.</w:t>
      </w:r>
    </w:p>
    <w:p w14:paraId="2EB9285A" w14:textId="77777777" w:rsidR="001D559C" w:rsidRPr="00E05465" w:rsidRDefault="001D559C" w:rsidP="001D559C">
      <w:pPr>
        <w:pStyle w:val="2-SectionHeading"/>
        <w:numPr>
          <w:ilvl w:val="0"/>
          <w:numId w:val="1"/>
        </w:numPr>
      </w:pPr>
      <w:bookmarkStart w:id="20" w:name="_Toc135034935"/>
      <w:r w:rsidRPr="00E05465">
        <w:t>Comparator</w:t>
      </w:r>
      <w:bookmarkEnd w:id="20"/>
    </w:p>
    <w:p w14:paraId="104DDA31" w14:textId="6B60C168" w:rsidR="001D559C" w:rsidRPr="00E05465" w:rsidRDefault="001D559C" w:rsidP="002032B0">
      <w:pPr>
        <w:pStyle w:val="3-BodyText"/>
      </w:pPr>
      <w:r w:rsidRPr="00E05465">
        <w:rPr>
          <w:lang w:val="en-US"/>
        </w:rPr>
        <w:t xml:space="preserve">The submission nominated eculizumab as the comparator. </w:t>
      </w:r>
      <w:r w:rsidRPr="00E05465">
        <w:rPr>
          <w:iCs/>
          <w:lang w:val="en-US"/>
        </w:rPr>
        <w:t xml:space="preserve">This </w:t>
      </w:r>
      <w:r w:rsidR="00BC5ED8" w:rsidRPr="00E05465">
        <w:rPr>
          <w:iCs/>
          <w:lang w:val="en-US"/>
        </w:rPr>
        <w:t>wa</w:t>
      </w:r>
      <w:r w:rsidRPr="00E05465">
        <w:rPr>
          <w:iCs/>
          <w:lang w:val="en-US"/>
        </w:rPr>
        <w:t>s appropriate.</w:t>
      </w:r>
      <w:r w:rsidRPr="00E05465">
        <w:rPr>
          <w:i/>
          <w:lang w:val="en-US"/>
        </w:rPr>
        <w:t xml:space="preserve"> </w:t>
      </w:r>
    </w:p>
    <w:p w14:paraId="6A288138" w14:textId="77777777" w:rsidR="002C1848" w:rsidRPr="00E05465" w:rsidRDefault="002C1848" w:rsidP="002C1848">
      <w:pPr>
        <w:ind w:firstLine="709"/>
        <w:rPr>
          <w:rFonts w:asciiTheme="minorHAnsi" w:hAnsiTheme="minorHAnsi"/>
          <w:i/>
        </w:rPr>
      </w:pPr>
      <w:r w:rsidRPr="00E05465">
        <w:rPr>
          <w:rFonts w:asciiTheme="minorHAnsi" w:hAnsiTheme="minorHAnsi"/>
          <w:i/>
        </w:rPr>
        <w:t>For more detail on PBAC’s view, see section 7 PBAC outcome.</w:t>
      </w:r>
    </w:p>
    <w:p w14:paraId="15B846F2" w14:textId="77777777" w:rsidR="001D559C" w:rsidRPr="00E05465" w:rsidRDefault="001D559C" w:rsidP="001D559C">
      <w:pPr>
        <w:pStyle w:val="2-SectionHeading"/>
        <w:numPr>
          <w:ilvl w:val="0"/>
          <w:numId w:val="1"/>
        </w:numPr>
      </w:pPr>
      <w:bookmarkStart w:id="21" w:name="_Toc135034936"/>
      <w:bookmarkStart w:id="22" w:name="_Toc22897640"/>
      <w:r w:rsidRPr="00E05465">
        <w:t>Consideration of the evidence</w:t>
      </w:r>
      <w:bookmarkEnd w:id="21"/>
    </w:p>
    <w:p w14:paraId="397F2BB3" w14:textId="77777777" w:rsidR="00B01B0F" w:rsidRPr="00E05465" w:rsidRDefault="00B01B0F" w:rsidP="00B01B0F">
      <w:pPr>
        <w:pStyle w:val="3-SubsectionHeading"/>
        <w:rPr>
          <w:lang w:eastAsia="en-AU"/>
        </w:rPr>
      </w:pPr>
      <w:bookmarkStart w:id="23" w:name="_Hlk76375935"/>
      <w:bookmarkStart w:id="24" w:name="_Toc135034937"/>
      <w:r w:rsidRPr="00E05465">
        <w:rPr>
          <w:lang w:eastAsia="en-AU"/>
        </w:rPr>
        <w:t>Sponsor hearing</w:t>
      </w:r>
    </w:p>
    <w:p w14:paraId="5EBC34DD" w14:textId="77777777" w:rsidR="00B01B0F" w:rsidRPr="00E05465" w:rsidRDefault="00B01B0F" w:rsidP="00B01B0F">
      <w:pPr>
        <w:widowControl w:val="0"/>
        <w:numPr>
          <w:ilvl w:val="1"/>
          <w:numId w:val="1"/>
        </w:numPr>
        <w:spacing w:after="120"/>
        <w:rPr>
          <w:rFonts w:cs="Calibri"/>
          <w:bCs/>
          <w:snapToGrid w:val="0"/>
        </w:rPr>
      </w:pPr>
      <w:r w:rsidRPr="00E05465">
        <w:rPr>
          <w:rFonts w:cs="Calibri"/>
          <w:bCs/>
          <w:snapToGrid w:val="0"/>
        </w:rPr>
        <w:t>There was no hearing for this item.</w:t>
      </w:r>
    </w:p>
    <w:p w14:paraId="7544DD05" w14:textId="77777777" w:rsidR="00B01B0F" w:rsidRPr="00E05465" w:rsidRDefault="00B01B0F" w:rsidP="00B01B0F">
      <w:pPr>
        <w:pStyle w:val="3-SubsectionHeading"/>
        <w:rPr>
          <w:lang w:eastAsia="en-AU"/>
        </w:rPr>
      </w:pPr>
      <w:r w:rsidRPr="00E05465">
        <w:rPr>
          <w:lang w:eastAsia="en-AU"/>
        </w:rPr>
        <w:t>Consumer comments</w:t>
      </w:r>
    </w:p>
    <w:p w14:paraId="6DE007BE" w14:textId="77777777" w:rsidR="00B01B0F" w:rsidRPr="00E05465" w:rsidRDefault="00B01B0F" w:rsidP="00B01B0F">
      <w:pPr>
        <w:widowControl w:val="0"/>
        <w:numPr>
          <w:ilvl w:val="1"/>
          <w:numId w:val="1"/>
        </w:numPr>
        <w:spacing w:after="120"/>
        <w:rPr>
          <w:rFonts w:asciiTheme="minorHAnsi" w:hAnsiTheme="minorHAnsi"/>
          <w:bCs/>
          <w:snapToGrid w:val="0"/>
        </w:rPr>
      </w:pPr>
      <w:bookmarkStart w:id="25" w:name="_Hlk76382618"/>
      <w:r w:rsidRPr="00E05465">
        <w:rPr>
          <w:rFonts w:asciiTheme="minorHAnsi" w:hAnsiTheme="minorHAnsi"/>
          <w:bCs/>
          <w:snapToGrid w:val="0"/>
        </w:rPr>
        <w:t>The PBAC noted that no consumer comments were received for this item.</w:t>
      </w:r>
    </w:p>
    <w:bookmarkEnd w:id="23"/>
    <w:bookmarkEnd w:id="25"/>
    <w:p w14:paraId="59866DC8" w14:textId="77777777" w:rsidR="001D559C" w:rsidRPr="00E05465" w:rsidRDefault="001D559C" w:rsidP="001D559C">
      <w:pPr>
        <w:pStyle w:val="4-SubsectionHeading"/>
      </w:pPr>
      <w:r w:rsidRPr="00E05465">
        <w:t>Clinical studies</w:t>
      </w:r>
      <w:bookmarkEnd w:id="22"/>
      <w:bookmarkEnd w:id="24"/>
    </w:p>
    <w:p w14:paraId="152E7085" w14:textId="77777777" w:rsidR="001D559C" w:rsidRPr="00E05465" w:rsidRDefault="001D559C" w:rsidP="002032B0">
      <w:pPr>
        <w:pStyle w:val="3-BodyText"/>
        <w:rPr>
          <w:lang w:val="en-US"/>
        </w:rPr>
      </w:pPr>
      <w:r w:rsidRPr="00E05465">
        <w:rPr>
          <w:snapToGrid/>
          <w:lang w:val="en-US"/>
        </w:rPr>
        <w:t xml:space="preserve">The submission was based on an </w:t>
      </w:r>
      <w:r w:rsidRPr="00E05465">
        <w:rPr>
          <w:lang w:val="en-US"/>
        </w:rPr>
        <w:t>unanchored indirect comparison using the key single arm study of ravulizumab (Study 304) and a single arm study of eculizumab (M07-005).</w:t>
      </w:r>
    </w:p>
    <w:p w14:paraId="319F5025" w14:textId="77777777" w:rsidR="001D559C" w:rsidRPr="00E05465" w:rsidRDefault="001D559C" w:rsidP="002032B0">
      <w:pPr>
        <w:pStyle w:val="3-BodyText"/>
        <w:rPr>
          <w:lang w:val="en-US"/>
        </w:rPr>
      </w:pPr>
      <w:r w:rsidRPr="00E05465">
        <w:rPr>
          <w:lang w:val="en-US"/>
        </w:rPr>
        <w:t>Study 304 included a complement inhibitor treatment-naïve cohort (n=4) and an eculizumab-experienced cohort (n=8). Study M07-005 only included complement inhibitor treatment-naïve patients (n=7).</w:t>
      </w:r>
    </w:p>
    <w:p w14:paraId="47D26D43" w14:textId="77777777" w:rsidR="001D559C" w:rsidRPr="00E05465" w:rsidRDefault="001D559C" w:rsidP="002032B0">
      <w:pPr>
        <w:pStyle w:val="3-BodyText"/>
        <w:rPr>
          <w:lang w:val="en-US"/>
        </w:rPr>
      </w:pPr>
      <w:r w:rsidRPr="00E05465">
        <w:rPr>
          <w:lang w:val="en-US"/>
        </w:rPr>
        <w:t>The indirect comparison approach taken by the submission was as follows:</w:t>
      </w:r>
    </w:p>
    <w:p w14:paraId="6EB68AAA" w14:textId="77777777" w:rsidR="001D559C" w:rsidRPr="00E05465" w:rsidRDefault="001D559C" w:rsidP="001E05CD">
      <w:pPr>
        <w:pStyle w:val="ListParagraph"/>
        <w:rPr>
          <w:lang w:val="en-US"/>
        </w:rPr>
      </w:pPr>
      <w:r w:rsidRPr="00E05465">
        <w:rPr>
          <w:lang w:val="en-US"/>
        </w:rPr>
        <w:t>Complement inhibitor treatment-naïve patients: The treatment-naïve cohort from Study 304 (n=4) was compared with the whole study population from the eculizumab study M07-005 (complement inhibitor treatment-naïve population, n=7).</w:t>
      </w:r>
    </w:p>
    <w:p w14:paraId="6BF2881A" w14:textId="77777777" w:rsidR="001D559C" w:rsidRPr="00E05465" w:rsidRDefault="001D559C" w:rsidP="001E05CD">
      <w:pPr>
        <w:pStyle w:val="ListParagraph"/>
        <w:rPr>
          <w:lang w:val="en-US"/>
        </w:rPr>
      </w:pPr>
      <w:r w:rsidRPr="00E05465">
        <w:rPr>
          <w:lang w:val="en-US"/>
        </w:rPr>
        <w:t xml:space="preserve">Eculizumab-experienced patients: In Study 304, eight patients switched from eculizumab to ravulizumab at baseline. As study M07-005 did not include </w:t>
      </w:r>
      <w:r w:rsidRPr="00E05465">
        <w:rPr>
          <w:lang w:val="en-US"/>
        </w:rPr>
        <w:lastRenderedPageBreak/>
        <w:t>complement treatment-experienced patients, the submission presented a ‘before and after’ comparison of the eculizumab-experienced cohort in Study 304 (n=8) to inform the efficacy and safety of ravulizumab in patients who switch from eculizumab.</w:t>
      </w:r>
    </w:p>
    <w:p w14:paraId="525C4076" w14:textId="6B59F47E" w:rsidR="001D559C" w:rsidRPr="00E05465" w:rsidRDefault="001D559C" w:rsidP="002032B0">
      <w:pPr>
        <w:pStyle w:val="3-BodyText"/>
      </w:pPr>
      <w:r w:rsidRPr="00E05465">
        <w:rPr>
          <w:snapToGrid/>
          <w:lang w:val="en-US"/>
        </w:rPr>
        <w:t xml:space="preserve">Details of the studies presented in the submission are provided in </w:t>
      </w:r>
      <w:r w:rsidRPr="00E05465">
        <w:rPr>
          <w:snapToGrid/>
          <w:lang w:val="en-US"/>
        </w:rPr>
        <w:fldChar w:fldCharType="begin" w:fldLock="1"/>
      </w:r>
      <w:r w:rsidRPr="00E05465">
        <w:rPr>
          <w:snapToGrid/>
          <w:lang w:val="en-US"/>
        </w:rPr>
        <w:instrText xml:space="preserve"> REF _Ref133486590 \h </w:instrText>
      </w:r>
      <w:r w:rsidRPr="00E05465">
        <w:rPr>
          <w:snapToGrid/>
          <w:lang w:val="en-US"/>
        </w:rPr>
      </w:r>
      <w:r w:rsidRPr="00E05465">
        <w:rPr>
          <w:snapToGrid/>
          <w:lang w:val="en-US"/>
        </w:rPr>
        <w:fldChar w:fldCharType="separate"/>
      </w:r>
      <w:r w:rsidR="00231664" w:rsidRPr="00E05465">
        <w:t xml:space="preserve">Table </w:t>
      </w:r>
      <w:r w:rsidR="00231664" w:rsidRPr="00E05465">
        <w:rPr>
          <w:noProof/>
        </w:rPr>
        <w:t>2</w:t>
      </w:r>
      <w:r w:rsidRPr="00E05465">
        <w:rPr>
          <w:snapToGrid/>
          <w:lang w:val="en-US"/>
        </w:rPr>
        <w:fldChar w:fldCharType="end"/>
      </w:r>
      <w:r w:rsidRPr="00E05465">
        <w:rPr>
          <w:snapToGrid/>
          <w:lang w:val="en-US"/>
        </w:rPr>
        <w:t>.</w:t>
      </w:r>
    </w:p>
    <w:p w14:paraId="3821C1D0" w14:textId="12D012AA" w:rsidR="001D559C" w:rsidRPr="00E05465" w:rsidRDefault="001D559C" w:rsidP="001D559C">
      <w:pPr>
        <w:pStyle w:val="Caption"/>
      </w:pPr>
      <w:bookmarkStart w:id="26" w:name="_Ref133486590"/>
      <w:r w:rsidRPr="00E05465">
        <w:t xml:space="preserve">Table </w:t>
      </w:r>
      <w:r w:rsidR="00687C33">
        <w:fldChar w:fldCharType="begin" w:fldLock="1"/>
      </w:r>
      <w:r w:rsidR="00687C33">
        <w:instrText xml:space="preserve"> SEQ Table \* ARABIC </w:instrText>
      </w:r>
      <w:r w:rsidR="00687C33">
        <w:fldChar w:fldCharType="separate"/>
      </w:r>
      <w:r w:rsidR="00231664" w:rsidRPr="00E05465">
        <w:rPr>
          <w:noProof/>
        </w:rPr>
        <w:t>2</w:t>
      </w:r>
      <w:r w:rsidR="00687C33">
        <w:rPr>
          <w:noProof/>
        </w:rPr>
        <w:fldChar w:fldCharType="end"/>
      </w:r>
      <w:bookmarkEnd w:id="26"/>
      <w:r w:rsidRPr="00E05465">
        <w:t xml:space="preserve">: Studies and associated reports presented in the </w:t>
      </w:r>
      <w:proofErr w:type="gramStart"/>
      <w:r w:rsidRPr="00E05465">
        <w:t>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77"/>
        <w:gridCol w:w="6049"/>
        <w:gridCol w:w="1791"/>
      </w:tblGrid>
      <w:tr w:rsidR="00E05465" w:rsidRPr="00E05465" w14:paraId="12FCAE85" w14:textId="77777777" w:rsidTr="001D559C">
        <w:trPr>
          <w:tblHeader/>
        </w:trPr>
        <w:tc>
          <w:tcPr>
            <w:tcW w:w="653" w:type="pct"/>
            <w:vAlign w:val="center"/>
          </w:tcPr>
          <w:p w14:paraId="02152554" w14:textId="77777777" w:rsidR="001D559C" w:rsidRPr="00E05465" w:rsidRDefault="001D559C" w:rsidP="001D559C">
            <w:pPr>
              <w:pStyle w:val="Tableheadingrow"/>
              <w:keepLines/>
              <w:rPr>
                <w:lang w:val="en-AU"/>
              </w:rPr>
            </w:pPr>
            <w:r w:rsidRPr="00E05465">
              <w:rPr>
                <w:lang w:val="en-AU"/>
              </w:rPr>
              <w:t>Trial ID</w:t>
            </w:r>
          </w:p>
        </w:tc>
        <w:tc>
          <w:tcPr>
            <w:tcW w:w="3354" w:type="pct"/>
            <w:vAlign w:val="center"/>
          </w:tcPr>
          <w:p w14:paraId="0045B60D" w14:textId="77777777" w:rsidR="001D559C" w:rsidRPr="00E05465" w:rsidRDefault="001D559C" w:rsidP="001D559C">
            <w:pPr>
              <w:pStyle w:val="Tableheadingrow"/>
              <w:keepLines/>
              <w:rPr>
                <w:lang w:val="en-AU"/>
              </w:rPr>
            </w:pPr>
            <w:r w:rsidRPr="00E05465">
              <w:rPr>
                <w:lang w:val="en-AU"/>
              </w:rPr>
              <w:t>Protocol title/ Publication title</w:t>
            </w:r>
          </w:p>
        </w:tc>
        <w:tc>
          <w:tcPr>
            <w:tcW w:w="993" w:type="pct"/>
          </w:tcPr>
          <w:p w14:paraId="0D65BC7D" w14:textId="77777777" w:rsidR="001D559C" w:rsidRPr="00E05465" w:rsidRDefault="001D559C" w:rsidP="001D559C">
            <w:pPr>
              <w:pStyle w:val="Tableheadingrow"/>
              <w:keepLines/>
              <w:rPr>
                <w:lang w:val="en-AU"/>
              </w:rPr>
            </w:pPr>
            <w:r w:rsidRPr="00E05465">
              <w:rPr>
                <w:lang w:val="en-AU"/>
              </w:rPr>
              <w:t>Publication citation</w:t>
            </w:r>
          </w:p>
        </w:tc>
      </w:tr>
      <w:tr w:rsidR="00E05465" w:rsidRPr="00E05465" w14:paraId="17081E6D" w14:textId="77777777" w:rsidTr="001D559C">
        <w:trPr>
          <w:trHeight w:val="158"/>
        </w:trPr>
        <w:tc>
          <w:tcPr>
            <w:tcW w:w="5000" w:type="pct"/>
            <w:gridSpan w:val="3"/>
          </w:tcPr>
          <w:p w14:paraId="02BFE6DB" w14:textId="77777777" w:rsidR="001D559C" w:rsidRPr="00E05465" w:rsidRDefault="001D559C" w:rsidP="001D559C">
            <w:pPr>
              <w:pStyle w:val="Tableheadingrow"/>
              <w:keepLines/>
              <w:rPr>
                <w:lang w:val="en-AU"/>
              </w:rPr>
            </w:pPr>
            <w:r w:rsidRPr="00E05465">
              <w:rPr>
                <w:lang w:val="en-AU"/>
              </w:rPr>
              <w:t>Single arm study of ravulizumab in paediatric patients with PNH</w:t>
            </w:r>
          </w:p>
        </w:tc>
      </w:tr>
      <w:tr w:rsidR="00E05465" w:rsidRPr="00E05465" w14:paraId="19255492" w14:textId="77777777" w:rsidTr="001D559C">
        <w:tc>
          <w:tcPr>
            <w:tcW w:w="653" w:type="pct"/>
            <w:vMerge w:val="restart"/>
            <w:vAlign w:val="center"/>
          </w:tcPr>
          <w:p w14:paraId="2D83FE4A" w14:textId="77777777" w:rsidR="001D559C" w:rsidRPr="00E05465" w:rsidRDefault="001D559C" w:rsidP="001D559C">
            <w:pPr>
              <w:pStyle w:val="TableText0"/>
              <w:keepLines/>
            </w:pPr>
            <w:r w:rsidRPr="00E05465">
              <w:t>Study 304</w:t>
            </w:r>
          </w:p>
        </w:tc>
        <w:tc>
          <w:tcPr>
            <w:tcW w:w="3354" w:type="pct"/>
            <w:tcBorders>
              <w:bottom w:val="nil"/>
            </w:tcBorders>
          </w:tcPr>
          <w:p w14:paraId="3BBF1A53" w14:textId="77777777" w:rsidR="001D559C" w:rsidRPr="00E05465" w:rsidRDefault="001D559C" w:rsidP="001D559C">
            <w:pPr>
              <w:pStyle w:val="TableText0"/>
              <w:keepLines/>
              <w:rPr>
                <w:shd w:val="clear" w:color="auto" w:fill="FFFFFF"/>
              </w:rPr>
            </w:pPr>
            <w:r w:rsidRPr="00E05465">
              <w:rPr>
                <w:shd w:val="clear" w:color="auto" w:fill="FFFFFF"/>
              </w:rPr>
              <w:t xml:space="preserve">CSR ALXN1210-PNH-304. A </w:t>
            </w:r>
            <w:r w:rsidRPr="00E05465">
              <w:rPr>
                <w:shd w:val="clear" w:color="auto" w:fill="FFFFFF"/>
                <w:lang w:val="en-US"/>
              </w:rPr>
              <w:t xml:space="preserve">Phase 3, Open-Label Study of ALXN1210 in Children and Adolescents with </w:t>
            </w:r>
            <w:bookmarkStart w:id="27" w:name="_Hlk133485550"/>
            <w:r w:rsidRPr="00E05465">
              <w:rPr>
                <w:shd w:val="clear" w:color="auto" w:fill="FFFFFF"/>
                <w:lang w:val="en-US"/>
              </w:rPr>
              <w:t>Paroxysmal Nocturnal Hemoglobinuria</w:t>
            </w:r>
            <w:bookmarkEnd w:id="27"/>
            <w:r w:rsidRPr="00E05465">
              <w:rPr>
                <w:shd w:val="clear" w:color="auto" w:fill="FFFFFF"/>
                <w:lang w:val="en-US"/>
              </w:rPr>
              <w:t xml:space="preserve"> (PNH)</w:t>
            </w:r>
          </w:p>
        </w:tc>
        <w:tc>
          <w:tcPr>
            <w:tcW w:w="993" w:type="pct"/>
            <w:tcBorders>
              <w:bottom w:val="nil"/>
            </w:tcBorders>
          </w:tcPr>
          <w:p w14:paraId="2D61B9E5" w14:textId="77777777" w:rsidR="001D559C" w:rsidRPr="00E05465" w:rsidRDefault="001D559C" w:rsidP="001D559C">
            <w:pPr>
              <w:pStyle w:val="TableText0"/>
              <w:keepLines/>
            </w:pPr>
            <w:r w:rsidRPr="00E05465">
              <w:t>September 2020</w:t>
            </w:r>
          </w:p>
        </w:tc>
      </w:tr>
      <w:tr w:rsidR="00E05465" w:rsidRPr="00E05465" w14:paraId="33411166" w14:textId="77777777" w:rsidTr="001D559C">
        <w:trPr>
          <w:trHeight w:val="1147"/>
        </w:trPr>
        <w:tc>
          <w:tcPr>
            <w:tcW w:w="653" w:type="pct"/>
            <w:vMerge/>
            <w:vAlign w:val="center"/>
          </w:tcPr>
          <w:p w14:paraId="482A185D" w14:textId="77777777" w:rsidR="001D559C" w:rsidRPr="00E05465" w:rsidRDefault="001D559C" w:rsidP="001D559C">
            <w:pPr>
              <w:pStyle w:val="TableText0"/>
              <w:keepLines/>
            </w:pPr>
          </w:p>
        </w:tc>
        <w:tc>
          <w:tcPr>
            <w:tcW w:w="3354" w:type="pct"/>
            <w:tcBorders>
              <w:top w:val="nil"/>
            </w:tcBorders>
          </w:tcPr>
          <w:p w14:paraId="11F591E3" w14:textId="77777777" w:rsidR="001D559C" w:rsidRPr="00E05465" w:rsidRDefault="001D559C" w:rsidP="001D559C">
            <w:pPr>
              <w:keepNext/>
              <w:keepLines/>
              <w:autoSpaceDE w:val="0"/>
              <w:autoSpaceDN w:val="0"/>
              <w:adjustRightInd w:val="0"/>
              <w:rPr>
                <w:rFonts w:ascii="Arial Narrow" w:hAnsi="Arial Narrow"/>
                <w:sz w:val="20"/>
                <w:shd w:val="clear" w:color="auto" w:fill="FFFFFF"/>
                <w:lang w:val="en-US"/>
              </w:rPr>
            </w:pPr>
          </w:p>
          <w:p w14:paraId="14EA6CBC" w14:textId="77777777" w:rsidR="001D559C" w:rsidRPr="00E05465" w:rsidRDefault="001D559C" w:rsidP="001D559C">
            <w:pPr>
              <w:keepNext/>
              <w:keepLines/>
              <w:autoSpaceDE w:val="0"/>
              <w:autoSpaceDN w:val="0"/>
              <w:adjustRightInd w:val="0"/>
              <w:rPr>
                <w:rFonts w:ascii="Arial Narrow" w:hAnsi="Arial Narrow"/>
                <w:i/>
                <w:iCs/>
                <w:sz w:val="20"/>
                <w:shd w:val="clear" w:color="auto" w:fill="FFFFFF"/>
              </w:rPr>
            </w:pPr>
            <w:r w:rsidRPr="00E05465">
              <w:rPr>
                <w:rFonts w:ascii="Arial Narrow" w:hAnsi="Arial Narrow"/>
                <w:sz w:val="20"/>
                <w:shd w:val="clear" w:color="auto" w:fill="FFFFFF"/>
                <w:lang w:val="en-US"/>
              </w:rPr>
              <w:t xml:space="preserve">Poster. Pharmacokinetics, pharmacodynamics, </w:t>
            </w:r>
            <w:proofErr w:type="gramStart"/>
            <w:r w:rsidRPr="00E05465">
              <w:rPr>
                <w:rFonts w:ascii="Arial Narrow" w:hAnsi="Arial Narrow"/>
                <w:sz w:val="20"/>
                <w:shd w:val="clear" w:color="auto" w:fill="FFFFFF"/>
                <w:lang w:val="en-US"/>
              </w:rPr>
              <w:t>efficacy</w:t>
            </w:r>
            <w:proofErr w:type="gramEnd"/>
            <w:r w:rsidRPr="00E05465">
              <w:rPr>
                <w:rFonts w:ascii="Arial Narrow" w:hAnsi="Arial Narrow"/>
                <w:sz w:val="20"/>
                <w:shd w:val="clear" w:color="auto" w:fill="FFFFFF"/>
                <w:lang w:val="en-US"/>
              </w:rPr>
              <w:t xml:space="preserve"> and safety of ravulizumab in children and adolescents with paroxysmal nocturnal hemoglobinuria: interim analysis of a phase 3, open-label study. European Hematology Association (</w:t>
            </w:r>
            <w:r w:rsidRPr="00E05465">
              <w:rPr>
                <w:rFonts w:ascii="Arial Narrow" w:hAnsi="Arial Narrow"/>
                <w:iCs/>
                <w:sz w:val="20"/>
                <w:shd w:val="clear" w:color="auto" w:fill="FFFFFF"/>
              </w:rPr>
              <w:t>EHA)</w:t>
            </w:r>
            <w:r w:rsidRPr="00E05465">
              <w:rPr>
                <w:rFonts w:ascii="Arial Narrow" w:hAnsi="Arial Narrow"/>
                <w:i/>
                <w:iCs/>
                <w:sz w:val="20"/>
                <w:shd w:val="clear" w:color="auto" w:fill="FFFFFF"/>
              </w:rPr>
              <w:t xml:space="preserve"> </w:t>
            </w:r>
            <w:r w:rsidRPr="00E05465">
              <w:rPr>
                <w:rFonts w:ascii="Arial Narrow" w:hAnsi="Arial Narrow"/>
                <w:iCs/>
                <w:sz w:val="20"/>
                <w:shd w:val="clear" w:color="auto" w:fill="FFFFFF"/>
              </w:rPr>
              <w:t xml:space="preserve">Poster number EP590, Virtual. </w:t>
            </w:r>
          </w:p>
        </w:tc>
        <w:tc>
          <w:tcPr>
            <w:tcW w:w="993" w:type="pct"/>
            <w:tcBorders>
              <w:top w:val="nil"/>
            </w:tcBorders>
          </w:tcPr>
          <w:p w14:paraId="005A35C7" w14:textId="77777777" w:rsidR="001D559C" w:rsidRPr="00E05465" w:rsidRDefault="001D559C" w:rsidP="001D559C">
            <w:pPr>
              <w:pStyle w:val="TableText0"/>
              <w:keepLines/>
              <w:rPr>
                <w:iCs/>
                <w:szCs w:val="18"/>
              </w:rPr>
            </w:pPr>
          </w:p>
          <w:p w14:paraId="1FCDBFBA" w14:textId="77777777" w:rsidR="001D559C" w:rsidRPr="00E05465" w:rsidRDefault="001D559C" w:rsidP="001D559C">
            <w:pPr>
              <w:pStyle w:val="TableText0"/>
              <w:keepLines/>
              <w:rPr>
                <w:szCs w:val="18"/>
              </w:rPr>
            </w:pPr>
            <w:r w:rsidRPr="00E05465">
              <w:rPr>
                <w:iCs/>
                <w:szCs w:val="18"/>
              </w:rPr>
              <w:t>June 9–17, 2021</w:t>
            </w:r>
          </w:p>
        </w:tc>
      </w:tr>
      <w:tr w:rsidR="00E05465" w:rsidRPr="00E05465" w14:paraId="14FD798F" w14:textId="77777777" w:rsidTr="001D559C">
        <w:trPr>
          <w:trHeight w:val="287"/>
        </w:trPr>
        <w:tc>
          <w:tcPr>
            <w:tcW w:w="5000" w:type="pct"/>
            <w:gridSpan w:val="3"/>
            <w:vAlign w:val="center"/>
          </w:tcPr>
          <w:p w14:paraId="62453B36" w14:textId="77777777" w:rsidR="001D559C" w:rsidRPr="00E05465" w:rsidRDefault="001D559C" w:rsidP="001D559C">
            <w:pPr>
              <w:pStyle w:val="TableText0"/>
              <w:keepLines/>
              <w:rPr>
                <w:b/>
                <w:iCs/>
                <w:szCs w:val="18"/>
              </w:rPr>
            </w:pPr>
            <w:r w:rsidRPr="00E05465">
              <w:rPr>
                <w:b/>
                <w:iCs/>
                <w:szCs w:val="18"/>
              </w:rPr>
              <w:t>Single arm study of eculizumab in paediatric patients with PNH</w:t>
            </w:r>
          </w:p>
        </w:tc>
      </w:tr>
      <w:tr w:rsidR="00E05465" w:rsidRPr="00E05465" w14:paraId="2298F5E8" w14:textId="77777777" w:rsidTr="001D559C">
        <w:tc>
          <w:tcPr>
            <w:tcW w:w="653" w:type="pct"/>
            <w:vMerge w:val="restart"/>
            <w:vAlign w:val="center"/>
          </w:tcPr>
          <w:p w14:paraId="5B2D2EDA" w14:textId="77777777" w:rsidR="001D559C" w:rsidRPr="00E05465" w:rsidRDefault="001D559C" w:rsidP="001D559C">
            <w:pPr>
              <w:pStyle w:val="TableText0"/>
              <w:keepLines/>
            </w:pPr>
            <w:r w:rsidRPr="00E05465">
              <w:t xml:space="preserve">Study </w:t>
            </w:r>
            <w:r w:rsidRPr="00E05465">
              <w:rPr>
                <w:lang w:val="en-US"/>
              </w:rPr>
              <w:t>M07-005</w:t>
            </w:r>
          </w:p>
        </w:tc>
        <w:tc>
          <w:tcPr>
            <w:tcW w:w="3354" w:type="pct"/>
            <w:tcBorders>
              <w:bottom w:val="nil"/>
            </w:tcBorders>
          </w:tcPr>
          <w:p w14:paraId="6F6B3B1B" w14:textId="77777777" w:rsidR="001D559C" w:rsidRPr="00E05465" w:rsidRDefault="001D559C" w:rsidP="001D559C">
            <w:pPr>
              <w:pStyle w:val="TableText0"/>
              <w:keepLines/>
              <w:rPr>
                <w:rFonts w:cs="Arial"/>
                <w:shd w:val="clear" w:color="auto" w:fill="FFFFFF"/>
              </w:rPr>
            </w:pPr>
            <w:r w:rsidRPr="00E05465">
              <w:rPr>
                <w:rFonts w:cs="Arial"/>
                <w:shd w:val="clear" w:color="auto" w:fill="FFFFFF"/>
                <w:lang w:val="en-US"/>
              </w:rPr>
              <w:t xml:space="preserve">CSR </w:t>
            </w:r>
            <w:r w:rsidRPr="00E05465">
              <w:rPr>
                <w:lang w:val="en-US"/>
              </w:rPr>
              <w:t xml:space="preserve">M07-005. </w:t>
            </w:r>
            <w:r w:rsidRPr="00E05465">
              <w:rPr>
                <w:rFonts w:cs="Arial"/>
                <w:shd w:val="clear" w:color="auto" w:fill="FFFFFF"/>
                <w:lang w:val="en-US"/>
              </w:rPr>
              <w:t>An Open-Label Multi-Center Study of Eculizumab in Children and Adolescents with a Diagnosis of Paroxysmal Nocturnal Hemoglobinuria</w:t>
            </w:r>
          </w:p>
        </w:tc>
        <w:tc>
          <w:tcPr>
            <w:tcW w:w="993" w:type="pct"/>
            <w:tcBorders>
              <w:bottom w:val="nil"/>
            </w:tcBorders>
          </w:tcPr>
          <w:p w14:paraId="7FC779CF" w14:textId="77777777" w:rsidR="001D559C" w:rsidRPr="00E05465" w:rsidRDefault="001D559C" w:rsidP="001D559C">
            <w:pPr>
              <w:pStyle w:val="TableText0"/>
              <w:keepLines/>
            </w:pPr>
            <w:r w:rsidRPr="00E05465">
              <w:t>March 2012</w:t>
            </w:r>
          </w:p>
        </w:tc>
      </w:tr>
      <w:tr w:rsidR="00E05465" w:rsidRPr="00E05465" w14:paraId="6189CFD5" w14:textId="77777777" w:rsidTr="001D559C">
        <w:trPr>
          <w:trHeight w:val="653"/>
        </w:trPr>
        <w:tc>
          <w:tcPr>
            <w:tcW w:w="653" w:type="pct"/>
            <w:vMerge/>
            <w:vAlign w:val="center"/>
          </w:tcPr>
          <w:p w14:paraId="611E9AEC" w14:textId="77777777" w:rsidR="001D559C" w:rsidRPr="00E05465" w:rsidRDefault="001D559C" w:rsidP="001D559C">
            <w:pPr>
              <w:pStyle w:val="TableText0"/>
              <w:keepLines/>
            </w:pPr>
          </w:p>
        </w:tc>
        <w:tc>
          <w:tcPr>
            <w:tcW w:w="3354" w:type="pct"/>
            <w:tcBorders>
              <w:top w:val="nil"/>
            </w:tcBorders>
          </w:tcPr>
          <w:p w14:paraId="6E2A412C" w14:textId="77777777" w:rsidR="001D559C" w:rsidRPr="00E05465" w:rsidRDefault="001D559C" w:rsidP="001D559C">
            <w:pPr>
              <w:pStyle w:val="TableText0"/>
              <w:keepLines/>
              <w:rPr>
                <w:rFonts w:cs="Arial"/>
                <w:shd w:val="clear" w:color="auto" w:fill="FFFFFF"/>
                <w:lang w:val="en-US"/>
              </w:rPr>
            </w:pPr>
          </w:p>
          <w:p w14:paraId="66133556" w14:textId="77777777" w:rsidR="001D559C" w:rsidRPr="00E05465" w:rsidRDefault="001D559C" w:rsidP="001D559C">
            <w:pPr>
              <w:pStyle w:val="TableText0"/>
              <w:keepLines/>
              <w:rPr>
                <w:rFonts w:cs="Arial"/>
                <w:shd w:val="clear" w:color="auto" w:fill="FFFFFF"/>
              </w:rPr>
            </w:pPr>
            <w:r w:rsidRPr="00E05465">
              <w:rPr>
                <w:rFonts w:cs="Arial"/>
                <w:shd w:val="clear" w:color="auto" w:fill="FFFFFF"/>
                <w:lang w:val="en-US"/>
              </w:rPr>
              <w:t xml:space="preserve">Reiss, UM, et al. Efficacy and safety of eculizumab in children and adolescents with paroxysmal nocturnal hemoglobinuria. </w:t>
            </w:r>
          </w:p>
        </w:tc>
        <w:tc>
          <w:tcPr>
            <w:tcW w:w="993" w:type="pct"/>
            <w:tcBorders>
              <w:top w:val="nil"/>
            </w:tcBorders>
          </w:tcPr>
          <w:p w14:paraId="09F203EE" w14:textId="77777777" w:rsidR="001D559C" w:rsidRPr="00E05465" w:rsidRDefault="001D559C" w:rsidP="001D559C">
            <w:pPr>
              <w:pStyle w:val="TableText0"/>
              <w:keepLines/>
              <w:rPr>
                <w:i/>
                <w:lang w:val="en-US"/>
              </w:rPr>
            </w:pPr>
          </w:p>
          <w:p w14:paraId="248D7337" w14:textId="77777777" w:rsidR="001D559C" w:rsidRPr="00E05465" w:rsidRDefault="001D559C" w:rsidP="001D559C">
            <w:pPr>
              <w:pStyle w:val="TableText0"/>
              <w:keepLines/>
            </w:pPr>
            <w:r w:rsidRPr="00E05465">
              <w:rPr>
                <w:i/>
                <w:lang w:val="en-US"/>
              </w:rPr>
              <w:t xml:space="preserve">Pediatric blood &amp; cancer </w:t>
            </w:r>
            <w:r w:rsidRPr="00E05465">
              <w:rPr>
                <w:lang w:val="en-US"/>
              </w:rPr>
              <w:t>2014</w:t>
            </w:r>
            <w:r w:rsidRPr="00E05465">
              <w:rPr>
                <w:i/>
                <w:lang w:val="en-US"/>
              </w:rPr>
              <w:t>;</w:t>
            </w:r>
            <w:r w:rsidRPr="00E05465">
              <w:rPr>
                <w:lang w:val="en-US"/>
              </w:rPr>
              <w:t xml:space="preserve"> 61(9), 1544–1550</w:t>
            </w:r>
          </w:p>
        </w:tc>
      </w:tr>
    </w:tbl>
    <w:p w14:paraId="7EF709D3" w14:textId="77777777" w:rsidR="001D559C" w:rsidRPr="00E05465" w:rsidRDefault="001D559C" w:rsidP="001D559C">
      <w:pPr>
        <w:pStyle w:val="TableFooter"/>
      </w:pPr>
      <w:r w:rsidRPr="00E05465">
        <w:t>Source: Table 4, Section 1.2.3, Clinical Overview, Attachment 2 accompanying the submission.</w:t>
      </w:r>
    </w:p>
    <w:p w14:paraId="6640CF9F" w14:textId="77777777" w:rsidR="001D559C" w:rsidRPr="00E05465" w:rsidRDefault="001D559C" w:rsidP="001E05CD">
      <w:pPr>
        <w:pStyle w:val="TableFooter"/>
        <w:spacing w:after="120"/>
      </w:pPr>
      <w:r w:rsidRPr="00E05465">
        <w:t>PNH = Paroxysmal Nocturnal Haemoglobinuria</w:t>
      </w:r>
    </w:p>
    <w:p w14:paraId="00245438" w14:textId="7AD94D0D" w:rsidR="001D559C" w:rsidRPr="00E05465" w:rsidRDefault="001D559C" w:rsidP="002032B0">
      <w:pPr>
        <w:pStyle w:val="3-BodyText"/>
        <w:rPr>
          <w:lang w:val="en-US"/>
        </w:rPr>
      </w:pPr>
      <w:r w:rsidRPr="00E05465">
        <w:rPr>
          <w:lang w:val="en-US"/>
        </w:rPr>
        <w:t xml:space="preserve">A summary of the characteristics of the included studies is presented in </w:t>
      </w:r>
      <w:r w:rsidRPr="00E05465">
        <w:rPr>
          <w:lang w:val="en-US"/>
        </w:rPr>
        <w:fldChar w:fldCharType="begin" w:fldLock="1"/>
      </w:r>
      <w:r w:rsidRPr="00E05465">
        <w:rPr>
          <w:lang w:val="en-US"/>
        </w:rPr>
        <w:instrText xml:space="preserve"> REF _Ref132621849 \h </w:instrText>
      </w:r>
      <w:r w:rsidRPr="00E05465">
        <w:rPr>
          <w:lang w:val="en-US"/>
        </w:rPr>
      </w:r>
      <w:r w:rsidRPr="00E05465">
        <w:rPr>
          <w:lang w:val="en-US"/>
        </w:rPr>
        <w:fldChar w:fldCharType="separate"/>
      </w:r>
      <w:r w:rsidR="00231664" w:rsidRPr="00E05465">
        <w:t xml:space="preserve">Table </w:t>
      </w:r>
      <w:r w:rsidR="00231664" w:rsidRPr="00E05465">
        <w:rPr>
          <w:noProof/>
        </w:rPr>
        <w:t>3</w:t>
      </w:r>
      <w:r w:rsidRPr="00E05465">
        <w:rPr>
          <w:lang w:val="en-US"/>
        </w:rPr>
        <w:fldChar w:fldCharType="end"/>
      </w:r>
      <w:r w:rsidRPr="00E05465">
        <w:rPr>
          <w:lang w:val="en-US"/>
        </w:rPr>
        <w:t xml:space="preserve">. </w:t>
      </w:r>
    </w:p>
    <w:p w14:paraId="0CBF9A06" w14:textId="2859EB67" w:rsidR="001D559C" w:rsidRPr="00E05465" w:rsidRDefault="001D559C" w:rsidP="001D559C">
      <w:pPr>
        <w:pStyle w:val="Caption"/>
      </w:pPr>
      <w:bookmarkStart w:id="28" w:name="_Ref132621849"/>
      <w:r w:rsidRPr="00E05465">
        <w:t xml:space="preserve">Table </w:t>
      </w:r>
      <w:r w:rsidR="00687C33">
        <w:fldChar w:fldCharType="begin" w:fldLock="1"/>
      </w:r>
      <w:r w:rsidR="00687C33">
        <w:instrText xml:space="preserve"> SE</w:instrText>
      </w:r>
      <w:r w:rsidR="00687C33">
        <w:instrText xml:space="preserve">Q Table \* ARABIC </w:instrText>
      </w:r>
      <w:r w:rsidR="00687C33">
        <w:fldChar w:fldCharType="separate"/>
      </w:r>
      <w:r w:rsidR="00231664" w:rsidRPr="00E05465">
        <w:rPr>
          <w:noProof/>
        </w:rPr>
        <w:t>3</w:t>
      </w:r>
      <w:r w:rsidR="00687C33">
        <w:rPr>
          <w:noProof/>
        </w:rPr>
        <w:fldChar w:fldCharType="end"/>
      </w:r>
      <w:bookmarkEnd w:id="28"/>
      <w:r w:rsidRPr="00E05465">
        <w:t xml:space="preserve">: Summary of key characteristics of the studies included in the </w:t>
      </w:r>
      <w:proofErr w:type="gramStart"/>
      <w:r w:rsidRPr="00E05465">
        <w:t>submission</w:t>
      </w:r>
      <w:proofErr w:type="gramEnd"/>
    </w:p>
    <w:tbl>
      <w:tblPr>
        <w:tblStyle w:val="TableGrid"/>
        <w:tblW w:w="5000" w:type="pct"/>
        <w:tblLook w:val="04A0" w:firstRow="1" w:lastRow="0" w:firstColumn="1" w:lastColumn="0" w:noHBand="0" w:noVBand="1"/>
      </w:tblPr>
      <w:tblGrid>
        <w:gridCol w:w="1131"/>
        <w:gridCol w:w="3967"/>
        <w:gridCol w:w="3919"/>
      </w:tblGrid>
      <w:tr w:rsidR="00E05465" w:rsidRPr="00E05465" w14:paraId="3BA6CC15" w14:textId="77777777" w:rsidTr="001D559C">
        <w:trPr>
          <w:cantSplit/>
          <w:trHeight w:val="199"/>
          <w:tblHeader/>
        </w:trPr>
        <w:tc>
          <w:tcPr>
            <w:tcW w:w="627" w:type="pct"/>
            <w:vMerge w:val="restart"/>
            <w:shd w:val="clear" w:color="auto" w:fill="auto"/>
          </w:tcPr>
          <w:p w14:paraId="2D849C11" w14:textId="77777777" w:rsidR="001D559C" w:rsidRPr="00E05465" w:rsidRDefault="001D559C" w:rsidP="001D559C">
            <w:pPr>
              <w:pStyle w:val="PBACTabletext"/>
              <w:keepNext/>
              <w:spacing w:after="0"/>
              <w:rPr>
                <w:b/>
                <w:lang w:val="en-US"/>
              </w:rPr>
            </w:pPr>
          </w:p>
        </w:tc>
        <w:tc>
          <w:tcPr>
            <w:tcW w:w="2200" w:type="pct"/>
            <w:shd w:val="clear" w:color="auto" w:fill="auto"/>
          </w:tcPr>
          <w:p w14:paraId="53640FC2" w14:textId="77777777" w:rsidR="001D559C" w:rsidRPr="00E05465" w:rsidRDefault="001D559C" w:rsidP="001D559C">
            <w:pPr>
              <w:pStyle w:val="PBACTabletext"/>
              <w:keepNext/>
              <w:spacing w:after="0"/>
              <w:rPr>
                <w:b/>
                <w:lang w:val="en-US"/>
              </w:rPr>
            </w:pPr>
            <w:r w:rsidRPr="00E05465">
              <w:rPr>
                <w:b/>
                <w:lang w:val="en-US"/>
              </w:rPr>
              <w:t>Ravulizumab study</w:t>
            </w:r>
          </w:p>
        </w:tc>
        <w:tc>
          <w:tcPr>
            <w:tcW w:w="2173" w:type="pct"/>
            <w:shd w:val="clear" w:color="auto" w:fill="auto"/>
          </w:tcPr>
          <w:p w14:paraId="40BD5D08" w14:textId="77777777" w:rsidR="001D559C" w:rsidRPr="00E05465" w:rsidRDefault="001D559C" w:rsidP="001D559C">
            <w:pPr>
              <w:pStyle w:val="PBACTabletext"/>
              <w:keepNext/>
              <w:spacing w:after="0"/>
              <w:rPr>
                <w:b/>
                <w:lang w:val="en-US"/>
              </w:rPr>
            </w:pPr>
            <w:r w:rsidRPr="00E05465">
              <w:rPr>
                <w:b/>
                <w:lang w:val="en-US"/>
              </w:rPr>
              <w:t>Eculizumab study</w:t>
            </w:r>
          </w:p>
        </w:tc>
      </w:tr>
      <w:tr w:rsidR="00E05465" w:rsidRPr="00E05465" w14:paraId="1BDC221C" w14:textId="77777777" w:rsidTr="001D559C">
        <w:trPr>
          <w:cantSplit/>
          <w:trHeight w:val="199"/>
          <w:tblHeader/>
        </w:trPr>
        <w:tc>
          <w:tcPr>
            <w:tcW w:w="627" w:type="pct"/>
            <w:vMerge/>
            <w:shd w:val="clear" w:color="auto" w:fill="auto"/>
          </w:tcPr>
          <w:p w14:paraId="08F002BF" w14:textId="77777777" w:rsidR="001D559C" w:rsidRPr="00E05465" w:rsidRDefault="001D559C" w:rsidP="001D559C">
            <w:pPr>
              <w:pStyle w:val="PBACTabletext"/>
              <w:keepNext/>
              <w:spacing w:after="0"/>
              <w:rPr>
                <w:b/>
                <w:lang w:val="en-US"/>
              </w:rPr>
            </w:pPr>
          </w:p>
        </w:tc>
        <w:tc>
          <w:tcPr>
            <w:tcW w:w="2200" w:type="pct"/>
            <w:shd w:val="clear" w:color="auto" w:fill="auto"/>
          </w:tcPr>
          <w:p w14:paraId="7AA606F1" w14:textId="77777777" w:rsidR="001D559C" w:rsidRPr="00E05465" w:rsidRDefault="001D559C" w:rsidP="001D559C">
            <w:pPr>
              <w:pStyle w:val="PBACTabletext"/>
              <w:keepNext/>
              <w:spacing w:after="0"/>
              <w:rPr>
                <w:b/>
                <w:lang w:val="en-US"/>
              </w:rPr>
            </w:pPr>
            <w:r w:rsidRPr="00E05465">
              <w:rPr>
                <w:b/>
                <w:lang w:val="en-US"/>
              </w:rPr>
              <w:t>Study 304 (NCT03406507)</w:t>
            </w:r>
          </w:p>
        </w:tc>
        <w:tc>
          <w:tcPr>
            <w:tcW w:w="2173" w:type="pct"/>
            <w:shd w:val="clear" w:color="auto" w:fill="auto"/>
          </w:tcPr>
          <w:p w14:paraId="4E65362C" w14:textId="77777777" w:rsidR="001D559C" w:rsidRPr="00E05465" w:rsidRDefault="001D559C" w:rsidP="001D559C">
            <w:pPr>
              <w:pStyle w:val="PBACTabletext"/>
              <w:keepNext/>
              <w:spacing w:after="0"/>
              <w:rPr>
                <w:b/>
                <w:lang w:val="en-US"/>
              </w:rPr>
            </w:pPr>
            <w:r w:rsidRPr="00E05465">
              <w:rPr>
                <w:b/>
                <w:lang w:val="en-US"/>
              </w:rPr>
              <w:t>Study M07-005 (NCT00867932)</w:t>
            </w:r>
          </w:p>
        </w:tc>
      </w:tr>
      <w:tr w:rsidR="00E05465" w:rsidRPr="00E05465" w14:paraId="668864FE" w14:textId="77777777" w:rsidTr="001D559C">
        <w:trPr>
          <w:cantSplit/>
          <w:trHeight w:val="191"/>
        </w:trPr>
        <w:tc>
          <w:tcPr>
            <w:tcW w:w="627" w:type="pct"/>
            <w:shd w:val="clear" w:color="auto" w:fill="auto"/>
          </w:tcPr>
          <w:p w14:paraId="671543C4" w14:textId="77777777" w:rsidR="001D559C" w:rsidRPr="00E05465" w:rsidRDefault="001D559C" w:rsidP="001D559C">
            <w:pPr>
              <w:pStyle w:val="PBACTabletext"/>
              <w:keepNext/>
              <w:spacing w:after="0"/>
            </w:pPr>
            <w:r w:rsidRPr="00E05465">
              <w:t>N</w:t>
            </w:r>
          </w:p>
        </w:tc>
        <w:tc>
          <w:tcPr>
            <w:tcW w:w="2200" w:type="pct"/>
            <w:shd w:val="clear" w:color="auto" w:fill="auto"/>
          </w:tcPr>
          <w:p w14:paraId="35D5ADDD" w14:textId="77777777" w:rsidR="001D559C" w:rsidRPr="00E05465" w:rsidRDefault="001D559C" w:rsidP="001D559C">
            <w:pPr>
              <w:pStyle w:val="PBACTabletext"/>
              <w:keepNext/>
              <w:spacing w:after="0"/>
              <w:rPr>
                <w:lang w:val="en-US"/>
              </w:rPr>
            </w:pPr>
            <w:r w:rsidRPr="00E05465">
              <w:rPr>
                <w:lang w:val="en-US"/>
              </w:rPr>
              <w:t>12</w:t>
            </w:r>
          </w:p>
        </w:tc>
        <w:tc>
          <w:tcPr>
            <w:tcW w:w="2173" w:type="pct"/>
            <w:shd w:val="clear" w:color="auto" w:fill="auto"/>
          </w:tcPr>
          <w:p w14:paraId="617BD432" w14:textId="77777777" w:rsidR="001D559C" w:rsidRPr="00E05465" w:rsidRDefault="001D559C" w:rsidP="001D559C">
            <w:pPr>
              <w:pStyle w:val="PBACTabletext"/>
              <w:keepNext/>
              <w:spacing w:after="0"/>
              <w:rPr>
                <w:lang w:val="en-US"/>
              </w:rPr>
            </w:pPr>
            <w:r w:rsidRPr="00E05465">
              <w:rPr>
                <w:lang w:val="en-US"/>
              </w:rPr>
              <w:t>7</w:t>
            </w:r>
          </w:p>
        </w:tc>
      </w:tr>
      <w:tr w:rsidR="00E05465" w:rsidRPr="00E05465" w14:paraId="4423E6E1" w14:textId="77777777" w:rsidTr="001D559C">
        <w:trPr>
          <w:cantSplit/>
          <w:trHeight w:val="191"/>
        </w:trPr>
        <w:tc>
          <w:tcPr>
            <w:tcW w:w="627" w:type="pct"/>
            <w:shd w:val="clear" w:color="auto" w:fill="auto"/>
          </w:tcPr>
          <w:p w14:paraId="19975485" w14:textId="77777777" w:rsidR="001D559C" w:rsidRPr="00E05465" w:rsidRDefault="001D559C" w:rsidP="001D559C">
            <w:pPr>
              <w:pStyle w:val="PBACTabletext"/>
              <w:keepNext/>
              <w:spacing w:after="0"/>
              <w:rPr>
                <w:lang w:val="en-US"/>
              </w:rPr>
            </w:pPr>
            <w:r w:rsidRPr="00E05465">
              <w:t>Period conducted</w:t>
            </w:r>
          </w:p>
        </w:tc>
        <w:tc>
          <w:tcPr>
            <w:tcW w:w="2200" w:type="pct"/>
            <w:shd w:val="clear" w:color="auto" w:fill="auto"/>
          </w:tcPr>
          <w:p w14:paraId="5D922989" w14:textId="77777777" w:rsidR="001D559C" w:rsidRPr="00E05465" w:rsidRDefault="001D559C" w:rsidP="001D559C">
            <w:pPr>
              <w:pStyle w:val="PBACTabletext"/>
              <w:keepNext/>
              <w:spacing w:after="0"/>
              <w:rPr>
                <w:lang w:val="en-US"/>
              </w:rPr>
            </w:pPr>
            <w:r w:rsidRPr="00E05465">
              <w:rPr>
                <w:lang w:val="en-US"/>
              </w:rPr>
              <w:t>Start: February 2018</w:t>
            </w:r>
          </w:p>
          <w:p w14:paraId="4B5067F4" w14:textId="77777777" w:rsidR="001D559C" w:rsidRPr="00E05465" w:rsidRDefault="001D559C" w:rsidP="001D559C">
            <w:pPr>
              <w:pStyle w:val="PBACTabletext"/>
              <w:keepNext/>
              <w:spacing w:after="0"/>
              <w:rPr>
                <w:lang w:val="en-US"/>
              </w:rPr>
            </w:pPr>
            <w:r w:rsidRPr="00E05465">
              <w:rPr>
                <w:lang w:val="en-US"/>
              </w:rPr>
              <w:t>Data cutoff: March 2020</w:t>
            </w:r>
          </w:p>
        </w:tc>
        <w:tc>
          <w:tcPr>
            <w:tcW w:w="2173" w:type="pct"/>
            <w:shd w:val="clear" w:color="auto" w:fill="auto"/>
          </w:tcPr>
          <w:p w14:paraId="66B0C6CB" w14:textId="77777777" w:rsidR="001D559C" w:rsidRPr="00E05465" w:rsidRDefault="001D559C" w:rsidP="001D559C">
            <w:pPr>
              <w:pStyle w:val="PBACTabletext"/>
              <w:keepNext/>
              <w:spacing w:after="0"/>
              <w:rPr>
                <w:lang w:val="en-US"/>
              </w:rPr>
            </w:pPr>
            <w:r w:rsidRPr="00E05465">
              <w:rPr>
                <w:lang w:val="en-US"/>
              </w:rPr>
              <w:t>Start: October 2009</w:t>
            </w:r>
          </w:p>
          <w:p w14:paraId="26C73AB5" w14:textId="77777777" w:rsidR="001D559C" w:rsidRPr="00E05465" w:rsidRDefault="001D559C" w:rsidP="001D559C">
            <w:pPr>
              <w:pStyle w:val="PBACTabletext"/>
              <w:keepNext/>
              <w:spacing w:after="0"/>
              <w:rPr>
                <w:lang w:val="en-US"/>
              </w:rPr>
            </w:pPr>
            <w:r w:rsidRPr="00E05465">
              <w:rPr>
                <w:lang w:val="en-US"/>
              </w:rPr>
              <w:t>Data cutoff: May 2011</w:t>
            </w:r>
          </w:p>
        </w:tc>
      </w:tr>
      <w:tr w:rsidR="00E05465" w:rsidRPr="00E05465" w14:paraId="118FB323" w14:textId="77777777" w:rsidTr="001D559C">
        <w:trPr>
          <w:cantSplit/>
          <w:trHeight w:val="199"/>
        </w:trPr>
        <w:tc>
          <w:tcPr>
            <w:tcW w:w="627" w:type="pct"/>
            <w:shd w:val="clear" w:color="auto" w:fill="auto"/>
          </w:tcPr>
          <w:p w14:paraId="305D1743" w14:textId="77777777" w:rsidR="001D559C" w:rsidRPr="00E05465" w:rsidRDefault="001D559C" w:rsidP="001D559C">
            <w:pPr>
              <w:pStyle w:val="PBACTabletext"/>
              <w:keepNext/>
              <w:spacing w:after="0"/>
              <w:rPr>
                <w:lang w:val="en-US"/>
              </w:rPr>
            </w:pPr>
            <w:r w:rsidRPr="00E05465">
              <w:t>Design</w:t>
            </w:r>
          </w:p>
        </w:tc>
        <w:tc>
          <w:tcPr>
            <w:tcW w:w="2200" w:type="pct"/>
            <w:shd w:val="clear" w:color="auto" w:fill="auto"/>
          </w:tcPr>
          <w:p w14:paraId="7E5230CA" w14:textId="77777777" w:rsidR="001D559C" w:rsidRPr="00E05465" w:rsidRDefault="001D559C" w:rsidP="001D559C">
            <w:pPr>
              <w:pStyle w:val="PBACTabletext"/>
              <w:keepNext/>
              <w:spacing w:after="0"/>
              <w:rPr>
                <w:lang w:val="en-US"/>
              </w:rPr>
            </w:pPr>
            <w:r w:rsidRPr="00E05465">
              <w:rPr>
                <w:lang w:val="en-US"/>
              </w:rPr>
              <w:t>Open-label, single-arm, multicentre/multinational</w:t>
            </w:r>
          </w:p>
        </w:tc>
        <w:tc>
          <w:tcPr>
            <w:tcW w:w="2173" w:type="pct"/>
            <w:shd w:val="clear" w:color="auto" w:fill="auto"/>
          </w:tcPr>
          <w:p w14:paraId="3226B237" w14:textId="77777777" w:rsidR="001D559C" w:rsidRPr="00E05465" w:rsidRDefault="001D559C" w:rsidP="001D559C">
            <w:pPr>
              <w:pStyle w:val="PBACTabletext"/>
              <w:keepNext/>
              <w:spacing w:after="0"/>
              <w:rPr>
                <w:lang w:val="en-US"/>
              </w:rPr>
            </w:pPr>
            <w:r w:rsidRPr="00E05465">
              <w:rPr>
                <w:lang w:val="en-US"/>
              </w:rPr>
              <w:t xml:space="preserve">Post-marketing, single-arm </w:t>
            </w:r>
            <w:r w:rsidRPr="00E05465">
              <w:t>multicentre</w:t>
            </w:r>
          </w:p>
        </w:tc>
      </w:tr>
      <w:tr w:rsidR="00E05465" w:rsidRPr="00E05465" w14:paraId="0DC824D3" w14:textId="77777777" w:rsidTr="001D559C">
        <w:trPr>
          <w:cantSplit/>
          <w:trHeight w:val="199"/>
        </w:trPr>
        <w:tc>
          <w:tcPr>
            <w:tcW w:w="627" w:type="pct"/>
            <w:shd w:val="clear" w:color="auto" w:fill="auto"/>
          </w:tcPr>
          <w:p w14:paraId="50D8004F" w14:textId="77777777" w:rsidR="001D559C" w:rsidRPr="00E05465" w:rsidRDefault="001D559C" w:rsidP="001D559C">
            <w:pPr>
              <w:pStyle w:val="PBACTabletext"/>
              <w:keepNext/>
              <w:spacing w:after="0"/>
              <w:rPr>
                <w:lang w:val="en-US"/>
              </w:rPr>
            </w:pPr>
            <w:r w:rsidRPr="00E05465">
              <w:t>Population</w:t>
            </w:r>
          </w:p>
        </w:tc>
        <w:tc>
          <w:tcPr>
            <w:tcW w:w="2200" w:type="pct"/>
            <w:shd w:val="clear" w:color="auto" w:fill="auto"/>
          </w:tcPr>
          <w:p w14:paraId="0990B231" w14:textId="77777777" w:rsidR="001D559C" w:rsidRPr="00E05465" w:rsidRDefault="001D559C" w:rsidP="001D559C">
            <w:pPr>
              <w:pStyle w:val="PBACTabletext"/>
              <w:keepNext/>
              <w:spacing w:after="0"/>
              <w:rPr>
                <w:lang w:val="en-US"/>
              </w:rPr>
            </w:pPr>
            <w:r w:rsidRPr="00E05465">
              <w:rPr>
                <w:lang w:val="en-US"/>
              </w:rPr>
              <w:t>Paediatric patients (&lt; 18 years of age) with PNH</w:t>
            </w:r>
          </w:p>
        </w:tc>
        <w:tc>
          <w:tcPr>
            <w:tcW w:w="2173" w:type="pct"/>
            <w:shd w:val="clear" w:color="auto" w:fill="auto"/>
          </w:tcPr>
          <w:p w14:paraId="0F10ACF6" w14:textId="77777777" w:rsidR="001D559C" w:rsidRPr="00E05465" w:rsidRDefault="001D559C" w:rsidP="001D559C">
            <w:pPr>
              <w:pStyle w:val="PBACTabletext"/>
              <w:keepNext/>
              <w:spacing w:after="0"/>
              <w:rPr>
                <w:lang w:val="en-US"/>
              </w:rPr>
            </w:pPr>
            <w:r w:rsidRPr="00E05465">
              <w:rPr>
                <w:lang w:val="en-US"/>
              </w:rPr>
              <w:t>Paediatric patients (2 - 17 years of age) with PNH</w:t>
            </w:r>
          </w:p>
        </w:tc>
      </w:tr>
      <w:tr w:rsidR="00E05465" w:rsidRPr="00E05465" w14:paraId="1BA21B09" w14:textId="77777777" w:rsidTr="001D559C">
        <w:trPr>
          <w:cantSplit/>
          <w:trHeight w:val="191"/>
        </w:trPr>
        <w:tc>
          <w:tcPr>
            <w:tcW w:w="627" w:type="pct"/>
            <w:shd w:val="clear" w:color="auto" w:fill="auto"/>
          </w:tcPr>
          <w:p w14:paraId="523962C1" w14:textId="77777777" w:rsidR="001D559C" w:rsidRPr="00E05465" w:rsidRDefault="001D559C" w:rsidP="001D559C">
            <w:pPr>
              <w:pStyle w:val="PBACTabletext"/>
              <w:keepNext/>
              <w:spacing w:after="0"/>
              <w:rPr>
                <w:lang w:val="en-US"/>
              </w:rPr>
            </w:pPr>
            <w:r w:rsidRPr="00E05465">
              <w:t>Treatment duration</w:t>
            </w:r>
          </w:p>
        </w:tc>
        <w:tc>
          <w:tcPr>
            <w:tcW w:w="2200" w:type="pct"/>
            <w:shd w:val="clear" w:color="auto" w:fill="auto"/>
          </w:tcPr>
          <w:p w14:paraId="7E8E777A" w14:textId="77777777" w:rsidR="001D559C" w:rsidRPr="00E05465" w:rsidRDefault="001D559C" w:rsidP="001D559C">
            <w:pPr>
              <w:pStyle w:val="PBACTabletext"/>
              <w:keepNext/>
              <w:spacing w:after="0"/>
              <w:rPr>
                <w:lang w:val="en-US"/>
              </w:rPr>
            </w:pPr>
            <w:r w:rsidRPr="00E05465">
              <w:rPr>
                <w:lang w:val="en-US"/>
              </w:rPr>
              <w:t>Primary evaluation: 26 weeks.</w:t>
            </w:r>
          </w:p>
          <w:p w14:paraId="3A8A7CB4" w14:textId="77777777" w:rsidR="001D559C" w:rsidRPr="00E05465" w:rsidRDefault="001D559C" w:rsidP="001D559C">
            <w:pPr>
              <w:pStyle w:val="PBACTabletext"/>
              <w:keepNext/>
              <w:spacing w:after="0"/>
              <w:rPr>
                <w:lang w:val="en-US"/>
              </w:rPr>
            </w:pPr>
            <w:r w:rsidRPr="00E05465">
              <w:rPr>
                <w:lang w:val="en-US"/>
              </w:rPr>
              <w:t>Extension period: until the product is registered or approved (in accordance with country-specific regulations) or for up to 4 years whichever occurs first.</w:t>
            </w:r>
          </w:p>
        </w:tc>
        <w:tc>
          <w:tcPr>
            <w:tcW w:w="2173" w:type="pct"/>
            <w:shd w:val="clear" w:color="auto" w:fill="auto"/>
          </w:tcPr>
          <w:p w14:paraId="6DDEE91E" w14:textId="77777777" w:rsidR="001D559C" w:rsidRPr="00E05465" w:rsidRDefault="001D559C" w:rsidP="001D559C">
            <w:pPr>
              <w:pStyle w:val="PBACTabletext"/>
              <w:keepNext/>
              <w:spacing w:after="0"/>
              <w:rPr>
                <w:lang w:val="en-US"/>
              </w:rPr>
            </w:pPr>
            <w:r w:rsidRPr="00E05465">
              <w:rPr>
                <w:lang w:val="en-US"/>
              </w:rPr>
              <w:t>12 weeks.</w:t>
            </w:r>
          </w:p>
        </w:tc>
      </w:tr>
      <w:tr w:rsidR="00E05465" w:rsidRPr="00E05465" w14:paraId="510D12AE" w14:textId="77777777" w:rsidTr="001D559C">
        <w:trPr>
          <w:cantSplit/>
          <w:trHeight w:val="191"/>
        </w:trPr>
        <w:tc>
          <w:tcPr>
            <w:tcW w:w="627" w:type="pct"/>
            <w:shd w:val="clear" w:color="auto" w:fill="auto"/>
          </w:tcPr>
          <w:p w14:paraId="34F3FAEB" w14:textId="77777777" w:rsidR="001D559C" w:rsidRPr="00E05465" w:rsidRDefault="001D559C" w:rsidP="001D559C">
            <w:pPr>
              <w:pStyle w:val="PBACTabletext"/>
              <w:keepNext/>
              <w:spacing w:after="0"/>
              <w:rPr>
                <w:lang w:val="en-US"/>
              </w:rPr>
            </w:pPr>
            <w:r w:rsidRPr="00E05465">
              <w:t xml:space="preserve">Primary endpoint </w:t>
            </w:r>
          </w:p>
        </w:tc>
        <w:tc>
          <w:tcPr>
            <w:tcW w:w="2200" w:type="pct"/>
            <w:shd w:val="clear" w:color="auto" w:fill="auto"/>
          </w:tcPr>
          <w:p w14:paraId="0EEDCA43" w14:textId="77777777" w:rsidR="001D559C" w:rsidRPr="00E05465" w:rsidRDefault="001D559C" w:rsidP="001D559C">
            <w:pPr>
              <w:pStyle w:val="PBACTabletext"/>
              <w:keepNext/>
              <w:spacing w:after="0"/>
              <w:rPr>
                <w:lang w:val="en-US"/>
              </w:rPr>
            </w:pPr>
            <w:r w:rsidRPr="00E05465">
              <w:rPr>
                <w:lang w:val="en-US"/>
              </w:rPr>
              <w:t>PK/PD parameters (trough and peak) at baseline and Weeks 2, 10, 18, and 26</w:t>
            </w:r>
          </w:p>
        </w:tc>
        <w:tc>
          <w:tcPr>
            <w:tcW w:w="2173" w:type="pct"/>
            <w:shd w:val="clear" w:color="auto" w:fill="auto"/>
          </w:tcPr>
          <w:p w14:paraId="53752B5B" w14:textId="77777777" w:rsidR="001D559C" w:rsidRPr="00E05465" w:rsidRDefault="001D559C" w:rsidP="001D559C">
            <w:pPr>
              <w:pStyle w:val="PBACTabletext"/>
              <w:keepNext/>
              <w:spacing w:after="0"/>
              <w:rPr>
                <w:lang w:val="en-US"/>
              </w:rPr>
            </w:pPr>
            <w:r w:rsidRPr="00E05465">
              <w:rPr>
                <w:lang w:val="en-US"/>
              </w:rPr>
              <w:t xml:space="preserve">PK/PD parameters (trough and peak) at Baseline and Weeks 6 and 12 </w:t>
            </w:r>
          </w:p>
        </w:tc>
      </w:tr>
      <w:tr w:rsidR="00E05465" w:rsidRPr="00E05465" w14:paraId="2FE55D39" w14:textId="77777777" w:rsidTr="001D559C">
        <w:trPr>
          <w:cantSplit/>
          <w:trHeight w:val="191"/>
        </w:trPr>
        <w:tc>
          <w:tcPr>
            <w:tcW w:w="627" w:type="pct"/>
            <w:shd w:val="clear" w:color="auto" w:fill="auto"/>
          </w:tcPr>
          <w:p w14:paraId="7D928821" w14:textId="77777777" w:rsidR="001D559C" w:rsidRPr="00E05465" w:rsidRDefault="001D559C" w:rsidP="001D559C">
            <w:pPr>
              <w:pStyle w:val="PBACTabletext"/>
              <w:keepNext/>
              <w:spacing w:after="0"/>
              <w:rPr>
                <w:lang w:val="en-US"/>
              </w:rPr>
            </w:pPr>
            <w:r w:rsidRPr="00E05465">
              <w:t>Key secondary or other endpoints</w:t>
            </w:r>
          </w:p>
        </w:tc>
        <w:tc>
          <w:tcPr>
            <w:tcW w:w="2200" w:type="pct"/>
            <w:shd w:val="clear" w:color="auto" w:fill="auto"/>
          </w:tcPr>
          <w:p w14:paraId="797D61E8" w14:textId="77777777" w:rsidR="001D559C" w:rsidRPr="00E05465" w:rsidRDefault="001D559C" w:rsidP="001D559C">
            <w:pPr>
              <w:pStyle w:val="PBACTabletext"/>
              <w:keepNext/>
              <w:spacing w:after="0"/>
            </w:pPr>
            <w:r w:rsidRPr="00E05465">
              <w:t>Change in LDH, plasma-free haemoglobin, and QoL from baseline to Week 26 (Day 183).</w:t>
            </w:r>
          </w:p>
          <w:p w14:paraId="5A21EE4D" w14:textId="77777777" w:rsidR="001D559C" w:rsidRPr="00E05465" w:rsidRDefault="001D559C" w:rsidP="001D559C">
            <w:pPr>
              <w:pStyle w:val="PBACTabletext"/>
              <w:keepNext/>
              <w:spacing w:after="0"/>
            </w:pPr>
            <w:r w:rsidRPr="00E05465">
              <w:t xml:space="preserve">Transfusion avoidance </w:t>
            </w:r>
          </w:p>
          <w:p w14:paraId="62BFE4E6" w14:textId="77777777" w:rsidR="001D559C" w:rsidRPr="00E05465" w:rsidRDefault="001D559C" w:rsidP="001D559C">
            <w:pPr>
              <w:pStyle w:val="PBACTabletext"/>
              <w:keepNext/>
              <w:spacing w:after="0"/>
            </w:pPr>
            <w:r w:rsidRPr="00E05465">
              <w:t>Proportion of patients with stabilised haemoglobin</w:t>
            </w:r>
          </w:p>
          <w:p w14:paraId="76BD3F17" w14:textId="77777777" w:rsidR="001D559C" w:rsidRPr="00E05465" w:rsidRDefault="001D559C" w:rsidP="001D559C">
            <w:pPr>
              <w:pStyle w:val="PBACTabletext"/>
              <w:keepNext/>
              <w:spacing w:after="0"/>
            </w:pPr>
            <w:r w:rsidRPr="00E05465">
              <w:t>Proportion of patients with BTH</w:t>
            </w:r>
          </w:p>
          <w:p w14:paraId="552A5901" w14:textId="77777777" w:rsidR="001D559C" w:rsidRPr="00E05465" w:rsidRDefault="001D559C" w:rsidP="001D559C">
            <w:pPr>
              <w:pStyle w:val="PBACTabletext"/>
              <w:keepNext/>
              <w:spacing w:after="0"/>
              <w:rPr>
                <w:lang w:val="en-US"/>
              </w:rPr>
            </w:pPr>
            <w:r w:rsidRPr="00E05465">
              <w:t>Safety</w:t>
            </w:r>
          </w:p>
        </w:tc>
        <w:tc>
          <w:tcPr>
            <w:tcW w:w="2173" w:type="pct"/>
            <w:shd w:val="clear" w:color="auto" w:fill="auto"/>
          </w:tcPr>
          <w:p w14:paraId="54A55ABF" w14:textId="77777777" w:rsidR="001D559C" w:rsidRPr="00E05465" w:rsidRDefault="001D559C" w:rsidP="001D559C">
            <w:pPr>
              <w:pStyle w:val="PBACTabletext"/>
              <w:keepNext/>
              <w:spacing w:after="0"/>
              <w:rPr>
                <w:lang w:val="en-US"/>
              </w:rPr>
            </w:pPr>
            <w:r w:rsidRPr="00E05465">
              <w:rPr>
                <w:lang w:val="en-US"/>
              </w:rPr>
              <w:t>Change in LDH from baseline to Week 12</w:t>
            </w:r>
          </w:p>
          <w:p w14:paraId="669733FE" w14:textId="77777777" w:rsidR="001D559C" w:rsidRPr="00E05465" w:rsidRDefault="001D559C" w:rsidP="001D559C">
            <w:pPr>
              <w:pStyle w:val="PBACTabletext"/>
              <w:keepNext/>
              <w:spacing w:after="0"/>
              <w:rPr>
                <w:lang w:val="en-US"/>
              </w:rPr>
            </w:pPr>
            <w:r w:rsidRPr="00E05465">
              <w:rPr>
                <w:lang w:val="en-US"/>
              </w:rPr>
              <w:t>Change in plasma-free haemoglobin from Baseline to Week 12</w:t>
            </w:r>
          </w:p>
          <w:p w14:paraId="51B2729C" w14:textId="77777777" w:rsidR="001D559C" w:rsidRPr="00E05465" w:rsidRDefault="001D559C" w:rsidP="001D559C">
            <w:pPr>
              <w:pStyle w:val="PBACTabletext"/>
              <w:keepNext/>
              <w:spacing w:after="0"/>
              <w:rPr>
                <w:lang w:val="en-US"/>
              </w:rPr>
            </w:pPr>
            <w:r w:rsidRPr="00E05465">
              <w:rPr>
                <w:lang w:val="en-US"/>
              </w:rPr>
              <w:t>Change in QoL</w:t>
            </w:r>
          </w:p>
          <w:p w14:paraId="45E3B49F" w14:textId="77777777" w:rsidR="001D559C" w:rsidRPr="00E05465" w:rsidRDefault="001D559C" w:rsidP="001D559C">
            <w:pPr>
              <w:pStyle w:val="PBACTabletext"/>
              <w:keepNext/>
              <w:spacing w:after="0"/>
              <w:rPr>
                <w:lang w:val="en-US"/>
              </w:rPr>
            </w:pPr>
            <w:r w:rsidRPr="00E05465">
              <w:rPr>
                <w:lang w:val="en-US"/>
              </w:rPr>
              <w:t>PNH clone size</w:t>
            </w:r>
          </w:p>
          <w:p w14:paraId="4B950B75" w14:textId="77777777" w:rsidR="001D559C" w:rsidRPr="00E05465" w:rsidRDefault="001D559C" w:rsidP="001D559C">
            <w:pPr>
              <w:pStyle w:val="PBACTabletext"/>
              <w:keepNext/>
              <w:spacing w:after="0"/>
              <w:rPr>
                <w:lang w:val="en-US"/>
              </w:rPr>
            </w:pPr>
            <w:r w:rsidRPr="00E05465">
              <w:rPr>
                <w:lang w:val="en-US"/>
              </w:rPr>
              <w:t>Safety</w:t>
            </w:r>
          </w:p>
        </w:tc>
      </w:tr>
    </w:tbl>
    <w:p w14:paraId="0D3625C2" w14:textId="77777777" w:rsidR="001D559C" w:rsidRPr="00E05465" w:rsidRDefault="001D559C" w:rsidP="001D559C">
      <w:pPr>
        <w:pStyle w:val="TableFooter"/>
        <w:rPr>
          <w:rStyle w:val="TableFooterChar"/>
        </w:rPr>
      </w:pPr>
      <w:r w:rsidRPr="00E05465">
        <w:rPr>
          <w:rStyle w:val="TableFooterChar"/>
        </w:rPr>
        <w:t>Source: Table 2.1, p33 of the submission.</w:t>
      </w:r>
    </w:p>
    <w:p w14:paraId="715332FA" w14:textId="77777777" w:rsidR="001D559C" w:rsidRPr="00E05465" w:rsidRDefault="001D559C" w:rsidP="002032B0">
      <w:pPr>
        <w:pStyle w:val="3-BodyText"/>
        <w:numPr>
          <w:ilvl w:val="0"/>
          <w:numId w:val="0"/>
        </w:numPr>
        <w:rPr>
          <w:rStyle w:val="TableFooterChar"/>
        </w:rPr>
      </w:pPr>
      <w:r w:rsidRPr="00E05465">
        <w:rPr>
          <w:rStyle w:val="TableFooterChar"/>
        </w:rPr>
        <w:t>BTH=breakthrough haemolysis; LDH=lactate dehydrogenase; PD=pharmacodynamic; PNH=Paroxysmal Nocturnal Hemoglobinuria; PK=pharmacokinetic; QoL=quality of life</w:t>
      </w:r>
    </w:p>
    <w:p w14:paraId="2F34EA53" w14:textId="556B06B0" w:rsidR="001D559C" w:rsidRPr="00E05465" w:rsidRDefault="001D559C" w:rsidP="002032B0">
      <w:pPr>
        <w:pStyle w:val="3-BodyText"/>
        <w:rPr>
          <w:lang w:val="en-US"/>
        </w:rPr>
      </w:pPr>
      <w:r w:rsidRPr="00E05465">
        <w:lastRenderedPageBreak/>
        <w:t xml:space="preserve">Study 304 included patients aged </w:t>
      </w:r>
      <w:r w:rsidR="001E05CD" w:rsidRPr="00E05465">
        <w:t>&lt; </w:t>
      </w:r>
      <w:r w:rsidRPr="00E05465">
        <w:t>18 years and weighing ≥ 5 kg (in line with the minimum weight as per the dosing recommendations for ravulizumab in the PI). Study M07-005 included patients between 2 to 17 years of age, with no weight-based requirement.</w:t>
      </w:r>
    </w:p>
    <w:p w14:paraId="1C0E337E" w14:textId="77777777" w:rsidR="001D559C" w:rsidRPr="00E05465" w:rsidRDefault="001D559C" w:rsidP="002032B0">
      <w:pPr>
        <w:pStyle w:val="3-BodyText"/>
        <w:rPr>
          <w:lang w:val="en-US"/>
        </w:rPr>
      </w:pPr>
      <w:r w:rsidRPr="00E05465">
        <w:t>Study 304 required patients to have a lactate dehydrogenase (LDH) level ≥ 1.5 × upper limit of normal (ULN) at baseline (consistent with the requested restriction); whereas in Study M07-005, patients must have an LDH level &gt; ULN or at least one transfusion in the past two years for anaemia-related symptoms.</w:t>
      </w:r>
    </w:p>
    <w:p w14:paraId="67DA2B3C" w14:textId="23E97EEA" w:rsidR="001D559C" w:rsidRPr="00E05465" w:rsidRDefault="001D559C" w:rsidP="002032B0">
      <w:pPr>
        <w:pStyle w:val="3-BodyText"/>
        <w:rPr>
          <w:lang w:val="en-US"/>
        </w:rPr>
      </w:pPr>
      <w:r w:rsidRPr="00E05465">
        <w:rPr>
          <w:lang w:val="en-US"/>
        </w:rPr>
        <w:t xml:space="preserve">Study 304 excluded patients with platelet count </w:t>
      </w:r>
      <w:r w:rsidR="00055C3B" w:rsidRPr="00E05465">
        <w:rPr>
          <w:lang w:val="en-US"/>
        </w:rPr>
        <w:t>&lt; </w:t>
      </w:r>
      <w:r w:rsidRPr="00E05465">
        <w:rPr>
          <w:lang w:val="en-US"/>
        </w:rPr>
        <w:t>30</w:t>
      </w:r>
      <w:r w:rsidR="00055C3B" w:rsidRPr="00E05465">
        <w:rPr>
          <w:lang w:val="en-US"/>
        </w:rPr>
        <w:t> </w:t>
      </w:r>
      <w:r w:rsidRPr="00E05465">
        <w:rPr>
          <w:lang w:val="en-US"/>
        </w:rPr>
        <w:t>×</w:t>
      </w:r>
      <w:r w:rsidR="00055C3B" w:rsidRPr="00E05465">
        <w:rPr>
          <w:lang w:val="en-US"/>
        </w:rPr>
        <w:t> </w:t>
      </w:r>
      <w:r w:rsidRPr="00E05465">
        <w:rPr>
          <w:lang w:val="en-US"/>
        </w:rPr>
        <w:t>10</w:t>
      </w:r>
      <w:r w:rsidRPr="00E05465">
        <w:rPr>
          <w:vertAlign w:val="superscript"/>
          <w:lang w:val="en-US"/>
        </w:rPr>
        <w:t>9</w:t>
      </w:r>
      <w:r w:rsidRPr="00E05465">
        <w:rPr>
          <w:lang w:val="en-US"/>
        </w:rPr>
        <w:t xml:space="preserve">/L and absolute neutrophil count </w:t>
      </w:r>
      <w:r w:rsidR="00055C3B" w:rsidRPr="00E05465">
        <w:rPr>
          <w:lang w:val="en-US"/>
        </w:rPr>
        <w:t>&lt; </w:t>
      </w:r>
      <w:r w:rsidRPr="00E05465">
        <w:rPr>
          <w:lang w:val="en-US"/>
        </w:rPr>
        <w:t>0.5</w:t>
      </w:r>
      <w:r w:rsidR="00055C3B" w:rsidRPr="00E05465">
        <w:rPr>
          <w:lang w:val="en-US"/>
        </w:rPr>
        <w:t> </w:t>
      </w:r>
      <w:r w:rsidRPr="00E05465">
        <w:rPr>
          <w:lang w:val="en-US"/>
        </w:rPr>
        <w:t>×</w:t>
      </w:r>
      <w:r w:rsidR="00055C3B" w:rsidRPr="00E05465">
        <w:rPr>
          <w:lang w:val="en-US"/>
        </w:rPr>
        <w:t> </w:t>
      </w:r>
      <w:r w:rsidRPr="00E05465">
        <w:rPr>
          <w:lang w:val="en-US"/>
        </w:rPr>
        <w:t>10</w:t>
      </w:r>
      <w:r w:rsidRPr="00E05465">
        <w:rPr>
          <w:vertAlign w:val="superscript"/>
          <w:lang w:val="en-US"/>
        </w:rPr>
        <w:t>9</w:t>
      </w:r>
      <w:r w:rsidRPr="00E05465">
        <w:rPr>
          <w:lang w:val="en-US"/>
        </w:rPr>
        <w:t>/L; Study M07-005 did not exclude patients based on these parameters. In Study 304, concomitant use of anticoagulants was prohibited for patients not on a stable regimen for at least two weeks prior to Day 1; this was not a requirement in Study M07-005.</w:t>
      </w:r>
    </w:p>
    <w:p w14:paraId="37B97B0F" w14:textId="22FC939D" w:rsidR="001D559C" w:rsidRPr="00E05465" w:rsidRDefault="001D559C" w:rsidP="002032B0">
      <w:pPr>
        <w:pStyle w:val="3-BodyText"/>
        <w:rPr>
          <w:lang w:val="en-US"/>
        </w:rPr>
      </w:pPr>
      <w:r w:rsidRPr="00E05465">
        <w:rPr>
          <w:lang w:val="en-US"/>
        </w:rPr>
        <w:t>A comparison of baseline characteristics between the studies is not reliable given the small number of enrolled patients and should be interpreted in the context of the rarity of PNH in the paediatric population.</w:t>
      </w:r>
    </w:p>
    <w:p w14:paraId="61B2B541" w14:textId="77777777" w:rsidR="001D559C" w:rsidRPr="00E05465" w:rsidRDefault="001D559C" w:rsidP="002032B0">
      <w:pPr>
        <w:pStyle w:val="3-BodyText"/>
        <w:rPr>
          <w:lang w:val="en-US"/>
        </w:rPr>
      </w:pPr>
      <w:r w:rsidRPr="00E05465">
        <w:rPr>
          <w:lang w:val="en-US"/>
        </w:rPr>
        <w:t xml:space="preserve">The submission stated that the treatment-naïve cohort (N=4) of Study 304 and the M07-005 study population (all treatment-naïve, N=7) were broadly similar in terms of baseline characteristics. Patients enrolled in both studies had comparable mean (standard deviation (SD)) baseline LDH levels (Study 304 eculizumab treatment-naïve cohort: 961.38 (874.3) U/L; M07-005: 1019.6 (967.3) U/L). </w:t>
      </w:r>
    </w:p>
    <w:p w14:paraId="1FE07168" w14:textId="5FEA6320" w:rsidR="001D559C" w:rsidRPr="00E05465" w:rsidRDefault="001D559C" w:rsidP="002032B0">
      <w:pPr>
        <w:pStyle w:val="3-BodyText"/>
        <w:rPr>
          <w:lang w:val="en-US"/>
        </w:rPr>
      </w:pPr>
      <w:r w:rsidRPr="00E05465">
        <w:rPr>
          <w:lang w:val="en-US"/>
        </w:rPr>
        <w:t xml:space="preserve">The proposed PBS initiation criteria for ravulizumab stipulate patients must have a PNH granulocyte clone size </w:t>
      </w:r>
      <w:r w:rsidR="00055C3B" w:rsidRPr="00E05465">
        <w:rPr>
          <w:lang w:val="en-US"/>
        </w:rPr>
        <w:t>≥ </w:t>
      </w:r>
      <w:r w:rsidRPr="00E05465">
        <w:rPr>
          <w:lang w:val="en-US"/>
        </w:rPr>
        <w:t xml:space="preserve">10%. Although the eligibility criteria for </w:t>
      </w:r>
      <w:r w:rsidR="00055C3B" w:rsidRPr="00E05465">
        <w:rPr>
          <w:lang w:val="en-US"/>
        </w:rPr>
        <w:t>Study </w:t>
      </w:r>
      <w:r w:rsidRPr="00E05465">
        <w:rPr>
          <w:lang w:val="en-US"/>
        </w:rPr>
        <w:t xml:space="preserve">304 required that patients must have a PNH granulocyte clone size </w:t>
      </w:r>
      <w:r w:rsidR="00055C3B" w:rsidRPr="00E05465">
        <w:rPr>
          <w:lang w:val="en-US"/>
        </w:rPr>
        <w:t>≥ </w:t>
      </w:r>
      <w:r w:rsidRPr="00E05465">
        <w:rPr>
          <w:lang w:val="en-US"/>
        </w:rPr>
        <w:t>5%, all patients enrolled in Study 304 had a PNH granulocyte clone size ≥</w:t>
      </w:r>
      <w:r w:rsidR="00055C3B" w:rsidRPr="00E05465">
        <w:rPr>
          <w:lang w:val="en-US"/>
        </w:rPr>
        <w:t> </w:t>
      </w:r>
      <w:r w:rsidRPr="00E05465">
        <w:rPr>
          <w:lang w:val="en-US"/>
        </w:rPr>
        <w:t>10% at baseline, and so did the patients in Study M07-005. Mean (SD) plasma-free haemoglobin was similar between the two studies (Study 304: 23.8</w:t>
      </w:r>
      <w:r w:rsidR="00055C3B" w:rsidRPr="00E05465">
        <w:rPr>
          <w:lang w:val="en-US"/>
        </w:rPr>
        <w:t> </w:t>
      </w:r>
      <w:r w:rsidRPr="00E05465">
        <w:rPr>
          <w:lang w:val="en-US"/>
        </w:rPr>
        <w:t>[15.9]</w:t>
      </w:r>
      <w:r w:rsidR="00055C3B" w:rsidRPr="00E05465">
        <w:rPr>
          <w:lang w:val="en-US"/>
        </w:rPr>
        <w:t> </w:t>
      </w:r>
      <w:r w:rsidRPr="00E05465">
        <w:rPr>
          <w:lang w:val="en-US"/>
        </w:rPr>
        <w:t>mg/dL; M07-005: 17.7</w:t>
      </w:r>
      <w:r w:rsidR="00055C3B" w:rsidRPr="00E05465">
        <w:rPr>
          <w:lang w:val="en-US"/>
        </w:rPr>
        <w:t> </w:t>
      </w:r>
      <w:r w:rsidRPr="00E05465">
        <w:rPr>
          <w:lang w:val="en-US"/>
        </w:rPr>
        <w:t>[19.1]</w:t>
      </w:r>
      <w:r w:rsidR="00055C3B" w:rsidRPr="00E05465">
        <w:rPr>
          <w:lang w:val="en-US"/>
        </w:rPr>
        <w:t> </w:t>
      </w:r>
      <w:r w:rsidRPr="00E05465">
        <w:rPr>
          <w:lang w:val="en-US"/>
        </w:rPr>
        <w:t>mg/dL).</w:t>
      </w:r>
    </w:p>
    <w:p w14:paraId="006B60C0" w14:textId="77777777" w:rsidR="001D559C" w:rsidRPr="00E05465" w:rsidRDefault="001D559C" w:rsidP="002032B0">
      <w:pPr>
        <w:pStyle w:val="3-BodyText"/>
        <w:rPr>
          <w:lang w:val="en-US"/>
        </w:rPr>
      </w:pPr>
      <w:r w:rsidRPr="00E05465">
        <w:rPr>
          <w:lang w:val="en-US"/>
        </w:rPr>
        <w:t>The submission noted the following differences between the ravulizumab and eculizumab studies in the treatment-naïve population:</w:t>
      </w:r>
    </w:p>
    <w:p w14:paraId="326B618B" w14:textId="2E05B595" w:rsidR="001D559C" w:rsidRPr="00E05465" w:rsidRDefault="001D559C" w:rsidP="00055C3B">
      <w:pPr>
        <w:pStyle w:val="ListParagraph"/>
        <w:rPr>
          <w:lang w:val="en-US"/>
        </w:rPr>
      </w:pPr>
      <w:r w:rsidRPr="00E05465">
        <w:rPr>
          <w:lang w:val="en-US"/>
        </w:rPr>
        <w:t xml:space="preserve">Study 304 enrolled Caucasian patients </w:t>
      </w:r>
      <w:r w:rsidR="00ED56D5" w:rsidRPr="00E05465">
        <w:rPr>
          <w:lang w:val="en-US"/>
        </w:rPr>
        <w:t>only,</w:t>
      </w:r>
      <w:r w:rsidRPr="00E05465">
        <w:rPr>
          <w:lang w:val="en-US"/>
        </w:rPr>
        <w:t xml:space="preserve"> whereas 71.4% of patients in M07-005 were Caucasian. There were more female patients in the M07-005 study compared to Study 304 (57% vs 25%, respectively).</w:t>
      </w:r>
    </w:p>
    <w:p w14:paraId="5C89E963" w14:textId="77777777" w:rsidR="001D559C" w:rsidRPr="00E05465" w:rsidRDefault="001D559C" w:rsidP="00055C3B">
      <w:pPr>
        <w:pStyle w:val="ListParagraph"/>
        <w:rPr>
          <w:lang w:val="en-US"/>
        </w:rPr>
      </w:pPr>
      <w:r w:rsidRPr="00E05465">
        <w:rPr>
          <w:lang w:val="en-US"/>
        </w:rPr>
        <w:t>The proportion of patients with prior packed red blood cells (pRBC) per whole blood transfusions was lower in Study 304 compared with Study M07-005 (50.0% vs 85.7%, respectively).</w:t>
      </w:r>
    </w:p>
    <w:p w14:paraId="31CB62C7" w14:textId="77777777" w:rsidR="001D559C" w:rsidRPr="00E05465" w:rsidRDefault="001D559C" w:rsidP="00055C3B">
      <w:pPr>
        <w:pStyle w:val="ListParagraph"/>
      </w:pPr>
      <w:r w:rsidRPr="00E05465">
        <w:t>PNH-associated conditions prior to informed consent were reported for all patients in Study 304. Three (75.0%) patients had aplastic anaemia, two (50.0%) patients each had anaemia and haematuria or haemoglobinuria. In study M07-</w:t>
      </w:r>
      <w:r w:rsidRPr="00E05465">
        <w:lastRenderedPageBreak/>
        <w:t>005, three (42.9%) patients had aplastic anaemia, and one patient (14.3%) had haematuria or haemoglobinuria.</w:t>
      </w:r>
    </w:p>
    <w:p w14:paraId="2E12ED4A" w14:textId="08F18838" w:rsidR="001D559C" w:rsidRPr="00E05465" w:rsidRDefault="001D559C" w:rsidP="002032B0">
      <w:pPr>
        <w:pStyle w:val="3-BodyText"/>
      </w:pPr>
      <w:r w:rsidRPr="00E05465">
        <w:t xml:space="preserve">The key features of the included studies are summarised in </w:t>
      </w:r>
      <w:r w:rsidRPr="00E05465">
        <w:fldChar w:fldCharType="begin" w:fldLock="1"/>
      </w:r>
      <w:r w:rsidRPr="00E05465">
        <w:instrText xml:space="preserve"> REF _Ref132621973 \h </w:instrText>
      </w:r>
      <w:r w:rsidRPr="00E05465">
        <w:fldChar w:fldCharType="separate"/>
      </w:r>
      <w:r w:rsidR="00231664" w:rsidRPr="00E05465">
        <w:t xml:space="preserve">Table </w:t>
      </w:r>
      <w:r w:rsidR="00231664" w:rsidRPr="00E05465">
        <w:rPr>
          <w:noProof/>
        </w:rPr>
        <w:t>4</w:t>
      </w:r>
      <w:r w:rsidRPr="00E05465">
        <w:fldChar w:fldCharType="end"/>
      </w:r>
      <w:r w:rsidRPr="00E05465">
        <w:t>.</w:t>
      </w:r>
    </w:p>
    <w:p w14:paraId="27260C7F" w14:textId="1A4BFEA3" w:rsidR="001D559C" w:rsidRPr="00E05465" w:rsidRDefault="001D559C" w:rsidP="001D559C">
      <w:pPr>
        <w:pStyle w:val="TableFigureHeading"/>
        <w:rPr>
          <w:rStyle w:val="CommentReference"/>
          <w:b/>
          <w:szCs w:val="24"/>
        </w:rPr>
      </w:pPr>
      <w:bookmarkStart w:id="29" w:name="_Ref132621973"/>
      <w:r w:rsidRPr="00E05465">
        <w:t xml:space="preserve">Table </w:t>
      </w:r>
      <w:r w:rsidR="00687C33">
        <w:fldChar w:fldCharType="begin" w:fldLock="1"/>
      </w:r>
      <w:r w:rsidR="00687C33">
        <w:instrText xml:space="preserve"> SEQ Table \* ARABIC </w:instrText>
      </w:r>
      <w:r w:rsidR="00687C33">
        <w:fldChar w:fldCharType="separate"/>
      </w:r>
      <w:r w:rsidR="00231664" w:rsidRPr="00E05465">
        <w:rPr>
          <w:noProof/>
        </w:rPr>
        <w:t>4</w:t>
      </w:r>
      <w:r w:rsidR="00687C33">
        <w:rPr>
          <w:noProof/>
        </w:rPr>
        <w:fldChar w:fldCharType="end"/>
      </w:r>
      <w:bookmarkEnd w:id="29"/>
      <w:r w:rsidRPr="00E05465">
        <w:t xml:space="preserve">: </w:t>
      </w:r>
      <w:r w:rsidRPr="00E05465">
        <w:rPr>
          <w:rStyle w:val="CommentReference"/>
          <w:b/>
          <w:szCs w:val="24"/>
        </w:rPr>
        <w:t>Key features of the included evidence – descriptive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7"/>
        <w:gridCol w:w="572"/>
        <w:gridCol w:w="1134"/>
        <w:gridCol w:w="705"/>
        <w:gridCol w:w="1560"/>
        <w:gridCol w:w="1417"/>
        <w:gridCol w:w="2642"/>
      </w:tblGrid>
      <w:tr w:rsidR="00E05465" w:rsidRPr="00E05465" w14:paraId="0DA89D6C" w14:textId="77777777" w:rsidTr="001D559C">
        <w:trPr>
          <w:tblHeader/>
        </w:trPr>
        <w:tc>
          <w:tcPr>
            <w:tcW w:w="547" w:type="pct"/>
            <w:shd w:val="clear" w:color="auto" w:fill="auto"/>
            <w:vAlign w:val="center"/>
          </w:tcPr>
          <w:p w14:paraId="79BA2B17" w14:textId="77777777" w:rsidR="001D559C" w:rsidRPr="00E05465" w:rsidRDefault="001D559C" w:rsidP="001D559C">
            <w:pPr>
              <w:pStyle w:val="In-tableHeading"/>
            </w:pPr>
            <w:r w:rsidRPr="00E05465">
              <w:t>Trial</w:t>
            </w:r>
          </w:p>
        </w:tc>
        <w:tc>
          <w:tcPr>
            <w:tcW w:w="317" w:type="pct"/>
            <w:shd w:val="clear" w:color="auto" w:fill="auto"/>
            <w:vAlign w:val="center"/>
          </w:tcPr>
          <w:p w14:paraId="76141214" w14:textId="77777777" w:rsidR="001D559C" w:rsidRPr="00E05465" w:rsidRDefault="001D559C" w:rsidP="001D559C">
            <w:pPr>
              <w:pStyle w:val="In-tableHeading"/>
              <w:jc w:val="center"/>
            </w:pPr>
            <w:r w:rsidRPr="00E05465">
              <w:t>N</w:t>
            </w:r>
          </w:p>
        </w:tc>
        <w:tc>
          <w:tcPr>
            <w:tcW w:w="629" w:type="pct"/>
            <w:shd w:val="clear" w:color="auto" w:fill="auto"/>
            <w:vAlign w:val="center"/>
          </w:tcPr>
          <w:p w14:paraId="7B068BDD" w14:textId="77777777" w:rsidR="001D559C" w:rsidRPr="00E05465" w:rsidRDefault="001D559C" w:rsidP="001D559C">
            <w:pPr>
              <w:pStyle w:val="In-tableHeading"/>
              <w:jc w:val="center"/>
            </w:pPr>
            <w:r w:rsidRPr="00E05465">
              <w:t>Design/ duration</w:t>
            </w:r>
          </w:p>
        </w:tc>
        <w:tc>
          <w:tcPr>
            <w:tcW w:w="391" w:type="pct"/>
            <w:shd w:val="clear" w:color="auto" w:fill="auto"/>
            <w:vAlign w:val="center"/>
          </w:tcPr>
          <w:p w14:paraId="45308E34" w14:textId="77777777" w:rsidR="001D559C" w:rsidRPr="00E05465" w:rsidRDefault="001D559C" w:rsidP="001D559C">
            <w:pPr>
              <w:pStyle w:val="In-tableHeading"/>
              <w:jc w:val="center"/>
            </w:pPr>
            <w:r w:rsidRPr="00E05465">
              <w:t>Risk of bias</w:t>
            </w:r>
          </w:p>
        </w:tc>
        <w:tc>
          <w:tcPr>
            <w:tcW w:w="865" w:type="pct"/>
            <w:shd w:val="clear" w:color="auto" w:fill="auto"/>
            <w:vAlign w:val="center"/>
          </w:tcPr>
          <w:p w14:paraId="72CC3089" w14:textId="77777777" w:rsidR="001D559C" w:rsidRPr="00E05465" w:rsidRDefault="001D559C" w:rsidP="001D559C">
            <w:pPr>
              <w:pStyle w:val="In-tableHeading"/>
              <w:jc w:val="center"/>
            </w:pPr>
            <w:r w:rsidRPr="00E05465">
              <w:t>Patient population</w:t>
            </w:r>
          </w:p>
        </w:tc>
        <w:tc>
          <w:tcPr>
            <w:tcW w:w="786" w:type="pct"/>
            <w:shd w:val="clear" w:color="auto" w:fill="auto"/>
            <w:vAlign w:val="center"/>
          </w:tcPr>
          <w:p w14:paraId="1E6EFB32" w14:textId="144A8BB1" w:rsidR="001D559C" w:rsidRPr="00E05465" w:rsidRDefault="001D559C" w:rsidP="001D559C">
            <w:pPr>
              <w:pStyle w:val="In-tableHeading"/>
              <w:jc w:val="center"/>
            </w:pPr>
            <w:r w:rsidRPr="00E05465">
              <w:t>Outcome(s) (</w:t>
            </w:r>
            <w:r w:rsidR="00ED56D5" w:rsidRPr="00E05465">
              <w:t>non-exhaustive</w:t>
            </w:r>
            <w:r w:rsidRPr="00E05465">
              <w:t>)</w:t>
            </w:r>
          </w:p>
        </w:tc>
        <w:tc>
          <w:tcPr>
            <w:tcW w:w="1465" w:type="pct"/>
            <w:shd w:val="clear" w:color="auto" w:fill="auto"/>
            <w:vAlign w:val="center"/>
          </w:tcPr>
          <w:p w14:paraId="22A777B8" w14:textId="77777777" w:rsidR="001D559C" w:rsidRPr="00E05465" w:rsidRDefault="001D559C" w:rsidP="001D559C">
            <w:pPr>
              <w:pStyle w:val="In-tableHeading"/>
              <w:jc w:val="center"/>
            </w:pPr>
            <w:r w:rsidRPr="00E05465">
              <w:t>Use in cost-minimisation analysis</w:t>
            </w:r>
          </w:p>
        </w:tc>
      </w:tr>
      <w:tr w:rsidR="00E05465" w:rsidRPr="00E05465" w14:paraId="15EEBD42" w14:textId="77777777" w:rsidTr="001D559C">
        <w:tc>
          <w:tcPr>
            <w:tcW w:w="5000" w:type="pct"/>
            <w:gridSpan w:val="7"/>
            <w:shd w:val="clear" w:color="auto" w:fill="auto"/>
            <w:vAlign w:val="center"/>
          </w:tcPr>
          <w:p w14:paraId="18ABE7F7" w14:textId="77777777" w:rsidR="001D559C" w:rsidRPr="00E05465" w:rsidRDefault="001D559C" w:rsidP="001D559C">
            <w:pPr>
              <w:pStyle w:val="In-tableHeading"/>
            </w:pPr>
            <w:r w:rsidRPr="00E05465">
              <w:t>Ravulizumab (proposed medicine for paediatric PNH population)</w:t>
            </w:r>
          </w:p>
        </w:tc>
      </w:tr>
      <w:tr w:rsidR="00E05465" w:rsidRPr="00E05465" w14:paraId="733F1435" w14:textId="77777777" w:rsidTr="001D559C">
        <w:tc>
          <w:tcPr>
            <w:tcW w:w="547" w:type="pct"/>
            <w:shd w:val="clear" w:color="auto" w:fill="auto"/>
            <w:vAlign w:val="center"/>
          </w:tcPr>
          <w:p w14:paraId="02DF4E3E" w14:textId="77777777" w:rsidR="001D559C" w:rsidRPr="00E05465" w:rsidRDefault="001D559C" w:rsidP="001D559C">
            <w:pPr>
              <w:pStyle w:val="TableText0"/>
              <w:rPr>
                <w:lang w:val="en-US"/>
              </w:rPr>
            </w:pPr>
            <w:r w:rsidRPr="00E05465">
              <w:rPr>
                <w:lang w:val="en-US"/>
              </w:rPr>
              <w:t>Study 304</w:t>
            </w:r>
          </w:p>
        </w:tc>
        <w:tc>
          <w:tcPr>
            <w:tcW w:w="317" w:type="pct"/>
            <w:shd w:val="clear" w:color="auto" w:fill="auto"/>
            <w:vAlign w:val="center"/>
          </w:tcPr>
          <w:p w14:paraId="4BC95C04" w14:textId="77777777" w:rsidR="001D559C" w:rsidRPr="00E05465" w:rsidRDefault="001D559C" w:rsidP="001D559C">
            <w:pPr>
              <w:pStyle w:val="TableText0"/>
              <w:jc w:val="center"/>
              <w:rPr>
                <w:lang w:val="en-US"/>
              </w:rPr>
            </w:pPr>
            <w:r w:rsidRPr="00E05465">
              <w:rPr>
                <w:lang w:val="en-US"/>
              </w:rPr>
              <w:t>12</w:t>
            </w:r>
          </w:p>
        </w:tc>
        <w:tc>
          <w:tcPr>
            <w:tcW w:w="629" w:type="pct"/>
            <w:shd w:val="clear" w:color="auto" w:fill="auto"/>
            <w:vAlign w:val="center"/>
          </w:tcPr>
          <w:p w14:paraId="06DBE7D7" w14:textId="77777777" w:rsidR="001D559C" w:rsidRPr="00E05465" w:rsidRDefault="001D559C" w:rsidP="001D559C">
            <w:pPr>
              <w:pStyle w:val="TableText0"/>
              <w:jc w:val="center"/>
              <w:rPr>
                <w:lang w:val="en-US"/>
              </w:rPr>
            </w:pPr>
            <w:r w:rsidRPr="00E05465">
              <w:rPr>
                <w:lang w:val="en-US"/>
              </w:rPr>
              <w:t>Single arm</w:t>
            </w:r>
          </w:p>
          <w:p w14:paraId="3D59DA2E" w14:textId="77777777" w:rsidR="001D559C" w:rsidRPr="00E05465" w:rsidRDefault="001D559C" w:rsidP="001D559C">
            <w:pPr>
              <w:pStyle w:val="TableText0"/>
              <w:jc w:val="center"/>
              <w:rPr>
                <w:lang w:val="en-US"/>
              </w:rPr>
            </w:pPr>
            <w:r w:rsidRPr="00E05465">
              <w:rPr>
                <w:lang w:val="en-US"/>
              </w:rPr>
              <w:t>26 weeks</w:t>
            </w:r>
          </w:p>
        </w:tc>
        <w:tc>
          <w:tcPr>
            <w:tcW w:w="391" w:type="pct"/>
            <w:shd w:val="clear" w:color="auto" w:fill="auto"/>
            <w:vAlign w:val="center"/>
          </w:tcPr>
          <w:p w14:paraId="3B13DD98" w14:textId="77777777" w:rsidR="001D559C" w:rsidRPr="00E05465" w:rsidRDefault="001D559C" w:rsidP="001D559C">
            <w:pPr>
              <w:pStyle w:val="TableText0"/>
              <w:jc w:val="center"/>
              <w:rPr>
                <w:lang w:val="en-US"/>
              </w:rPr>
            </w:pPr>
            <w:r w:rsidRPr="00E05465">
              <w:rPr>
                <w:lang w:val="en-US"/>
              </w:rPr>
              <w:t>High</w:t>
            </w:r>
          </w:p>
        </w:tc>
        <w:tc>
          <w:tcPr>
            <w:tcW w:w="865" w:type="pct"/>
            <w:shd w:val="clear" w:color="auto" w:fill="auto"/>
            <w:vAlign w:val="center"/>
          </w:tcPr>
          <w:p w14:paraId="0428E39E" w14:textId="77777777" w:rsidR="001D559C" w:rsidRPr="00E05465" w:rsidRDefault="001D559C" w:rsidP="001D559C">
            <w:pPr>
              <w:pStyle w:val="TableText0"/>
              <w:jc w:val="center"/>
              <w:rPr>
                <w:lang w:val="en-US"/>
              </w:rPr>
            </w:pPr>
            <w:r w:rsidRPr="00E05465">
              <w:rPr>
                <w:lang w:val="en-US"/>
              </w:rPr>
              <w:t>Complement inhibitor naïve: n=4</w:t>
            </w:r>
          </w:p>
          <w:p w14:paraId="2FB0DE3F" w14:textId="77777777" w:rsidR="001D559C" w:rsidRPr="00E05465" w:rsidRDefault="001D559C" w:rsidP="001D559C">
            <w:pPr>
              <w:pStyle w:val="TableText0"/>
              <w:jc w:val="center"/>
              <w:rPr>
                <w:lang w:val="en-US"/>
              </w:rPr>
            </w:pPr>
            <w:r w:rsidRPr="00E05465">
              <w:rPr>
                <w:lang w:val="en-US"/>
              </w:rPr>
              <w:t>Eculizumab experienced: n=8</w:t>
            </w:r>
          </w:p>
        </w:tc>
        <w:tc>
          <w:tcPr>
            <w:tcW w:w="786" w:type="pct"/>
            <w:shd w:val="clear" w:color="auto" w:fill="auto"/>
            <w:vAlign w:val="center"/>
          </w:tcPr>
          <w:p w14:paraId="2F4AD30E" w14:textId="77777777" w:rsidR="001D559C" w:rsidRPr="00E05465" w:rsidRDefault="001D559C" w:rsidP="001D559C">
            <w:pPr>
              <w:pStyle w:val="TableText0"/>
              <w:jc w:val="center"/>
              <w:rPr>
                <w:lang w:val="en-US"/>
              </w:rPr>
            </w:pPr>
            <w:r w:rsidRPr="00E05465">
              <w:rPr>
                <w:lang w:val="en-US"/>
              </w:rPr>
              <w:t xml:space="preserve">Change from baseline in LDH, plasma-free haemoglobin, QoL, transfusion avoidance, safety </w:t>
            </w:r>
          </w:p>
        </w:tc>
        <w:tc>
          <w:tcPr>
            <w:tcW w:w="1465" w:type="pct"/>
            <w:shd w:val="clear" w:color="auto" w:fill="auto"/>
            <w:vAlign w:val="center"/>
          </w:tcPr>
          <w:p w14:paraId="648F9474" w14:textId="2D121A0B" w:rsidR="001D559C" w:rsidRPr="00E05465" w:rsidRDefault="001D559C" w:rsidP="001D559C">
            <w:pPr>
              <w:pStyle w:val="TableText0"/>
              <w:jc w:val="center"/>
              <w:rPr>
                <w:lang w:val="en-US"/>
              </w:rPr>
            </w:pPr>
            <w:r w:rsidRPr="00E05465">
              <w:rPr>
                <w:lang w:val="en-US"/>
              </w:rPr>
              <w:t>Not used</w:t>
            </w:r>
            <w:r w:rsidR="00FE21FD" w:rsidRPr="00E05465">
              <w:rPr>
                <w:u w:val="single"/>
                <w:lang w:val="en-US"/>
              </w:rPr>
              <w:t>, Patient weights and TGA approved PI dosing used</w:t>
            </w:r>
          </w:p>
        </w:tc>
      </w:tr>
      <w:tr w:rsidR="00E05465" w:rsidRPr="00E05465" w14:paraId="06D0866E" w14:textId="77777777" w:rsidTr="001D559C">
        <w:tc>
          <w:tcPr>
            <w:tcW w:w="5000" w:type="pct"/>
            <w:gridSpan w:val="7"/>
            <w:shd w:val="clear" w:color="auto" w:fill="auto"/>
            <w:vAlign w:val="center"/>
          </w:tcPr>
          <w:p w14:paraId="55F72EF0" w14:textId="77777777" w:rsidR="001D559C" w:rsidRPr="00E05465" w:rsidRDefault="001D559C" w:rsidP="001D559C">
            <w:pPr>
              <w:pStyle w:val="In-tableHeading"/>
            </w:pPr>
            <w:r w:rsidRPr="00E05465">
              <w:t>Eculizumab (nominated comparator for paediatric PNH population)</w:t>
            </w:r>
          </w:p>
        </w:tc>
      </w:tr>
      <w:tr w:rsidR="00E05465" w:rsidRPr="00E05465" w14:paraId="5B63A7B2" w14:textId="77777777" w:rsidTr="001D559C">
        <w:tc>
          <w:tcPr>
            <w:tcW w:w="547" w:type="pct"/>
            <w:shd w:val="clear" w:color="auto" w:fill="auto"/>
            <w:vAlign w:val="center"/>
          </w:tcPr>
          <w:p w14:paraId="08C1EA41" w14:textId="77777777" w:rsidR="001D559C" w:rsidRPr="00E05465" w:rsidRDefault="001D559C" w:rsidP="001D559C">
            <w:pPr>
              <w:pStyle w:val="TableText0"/>
              <w:rPr>
                <w:lang w:val="en-US"/>
              </w:rPr>
            </w:pPr>
            <w:r w:rsidRPr="00E05465">
              <w:rPr>
                <w:lang w:val="en-US"/>
              </w:rPr>
              <w:t>Study M07-005</w:t>
            </w:r>
          </w:p>
        </w:tc>
        <w:tc>
          <w:tcPr>
            <w:tcW w:w="317" w:type="pct"/>
            <w:shd w:val="clear" w:color="auto" w:fill="auto"/>
            <w:vAlign w:val="center"/>
          </w:tcPr>
          <w:p w14:paraId="12446D3F" w14:textId="77777777" w:rsidR="001D559C" w:rsidRPr="00E05465" w:rsidRDefault="001D559C" w:rsidP="001D559C">
            <w:pPr>
              <w:pStyle w:val="TableText0"/>
              <w:jc w:val="center"/>
              <w:rPr>
                <w:lang w:val="en-US"/>
              </w:rPr>
            </w:pPr>
            <w:r w:rsidRPr="00E05465">
              <w:rPr>
                <w:lang w:val="en-US"/>
              </w:rPr>
              <w:t>7</w:t>
            </w:r>
          </w:p>
        </w:tc>
        <w:tc>
          <w:tcPr>
            <w:tcW w:w="629" w:type="pct"/>
            <w:shd w:val="clear" w:color="auto" w:fill="auto"/>
            <w:vAlign w:val="center"/>
          </w:tcPr>
          <w:p w14:paraId="661FD51D" w14:textId="77777777" w:rsidR="001D559C" w:rsidRPr="00E05465" w:rsidRDefault="001D559C" w:rsidP="001D559C">
            <w:pPr>
              <w:pStyle w:val="TableText0"/>
              <w:jc w:val="center"/>
              <w:rPr>
                <w:lang w:val="en-US"/>
              </w:rPr>
            </w:pPr>
            <w:r w:rsidRPr="00E05465">
              <w:rPr>
                <w:lang w:val="en-US"/>
              </w:rPr>
              <w:t>Single arm</w:t>
            </w:r>
          </w:p>
          <w:p w14:paraId="6E3FA175" w14:textId="77777777" w:rsidR="001D559C" w:rsidRPr="00E05465" w:rsidRDefault="001D559C" w:rsidP="001D559C">
            <w:pPr>
              <w:pStyle w:val="TableText0"/>
              <w:jc w:val="center"/>
              <w:rPr>
                <w:lang w:val="en-US"/>
              </w:rPr>
            </w:pPr>
            <w:r w:rsidRPr="00E05465">
              <w:rPr>
                <w:lang w:val="en-US"/>
              </w:rPr>
              <w:t>12 weeks</w:t>
            </w:r>
          </w:p>
        </w:tc>
        <w:tc>
          <w:tcPr>
            <w:tcW w:w="391" w:type="pct"/>
            <w:shd w:val="clear" w:color="auto" w:fill="auto"/>
            <w:vAlign w:val="center"/>
          </w:tcPr>
          <w:p w14:paraId="1A22033C" w14:textId="77777777" w:rsidR="001D559C" w:rsidRPr="00E05465" w:rsidRDefault="001D559C" w:rsidP="001D559C">
            <w:pPr>
              <w:pStyle w:val="TableText0"/>
              <w:jc w:val="center"/>
              <w:rPr>
                <w:lang w:val="en-US"/>
              </w:rPr>
            </w:pPr>
            <w:r w:rsidRPr="00E05465">
              <w:rPr>
                <w:lang w:val="en-US"/>
              </w:rPr>
              <w:t>High</w:t>
            </w:r>
          </w:p>
        </w:tc>
        <w:tc>
          <w:tcPr>
            <w:tcW w:w="865" w:type="pct"/>
            <w:shd w:val="clear" w:color="auto" w:fill="auto"/>
            <w:vAlign w:val="center"/>
          </w:tcPr>
          <w:p w14:paraId="25E2E6D8" w14:textId="77777777" w:rsidR="001D559C" w:rsidRPr="00E05465" w:rsidRDefault="001D559C" w:rsidP="001D559C">
            <w:pPr>
              <w:pStyle w:val="TableText0"/>
              <w:jc w:val="center"/>
              <w:rPr>
                <w:lang w:val="en-US"/>
              </w:rPr>
            </w:pPr>
            <w:r w:rsidRPr="00E05465">
              <w:rPr>
                <w:lang w:val="en-US"/>
              </w:rPr>
              <w:t>Complement inhibitor naïve: n=7</w:t>
            </w:r>
          </w:p>
        </w:tc>
        <w:tc>
          <w:tcPr>
            <w:tcW w:w="786" w:type="pct"/>
            <w:shd w:val="clear" w:color="auto" w:fill="auto"/>
            <w:vAlign w:val="center"/>
          </w:tcPr>
          <w:p w14:paraId="0CBEC257" w14:textId="77777777" w:rsidR="001D559C" w:rsidRPr="00E05465" w:rsidRDefault="001D559C" w:rsidP="001D559C">
            <w:pPr>
              <w:pStyle w:val="TableText0"/>
              <w:jc w:val="center"/>
              <w:rPr>
                <w:lang w:val="en-US"/>
              </w:rPr>
            </w:pPr>
            <w:r w:rsidRPr="00E05465">
              <w:rPr>
                <w:lang w:val="en-US"/>
              </w:rPr>
              <w:t>Change from baseline in LDH, plasma-free haemoglobin, QoL, PNH clone size, safety</w:t>
            </w:r>
          </w:p>
        </w:tc>
        <w:tc>
          <w:tcPr>
            <w:tcW w:w="1465" w:type="pct"/>
            <w:shd w:val="clear" w:color="auto" w:fill="auto"/>
            <w:vAlign w:val="center"/>
          </w:tcPr>
          <w:p w14:paraId="0D323D3B" w14:textId="215314AF" w:rsidR="001D559C" w:rsidRPr="00E05465" w:rsidRDefault="001D559C" w:rsidP="001D559C">
            <w:pPr>
              <w:pStyle w:val="TableText0"/>
              <w:jc w:val="center"/>
              <w:rPr>
                <w:lang w:val="en-US"/>
              </w:rPr>
            </w:pPr>
            <w:r w:rsidRPr="00E05465">
              <w:rPr>
                <w:lang w:val="en-US"/>
              </w:rPr>
              <w:t>Not used</w:t>
            </w:r>
            <w:r w:rsidR="00FE21FD" w:rsidRPr="00E05465">
              <w:rPr>
                <w:lang w:val="en-US"/>
              </w:rPr>
              <w:t xml:space="preserve">, </w:t>
            </w:r>
            <w:r w:rsidR="00FE21FD" w:rsidRPr="00E05465">
              <w:rPr>
                <w:u w:val="single"/>
                <w:lang w:val="en-US"/>
              </w:rPr>
              <w:t xml:space="preserve">Patient weights </w:t>
            </w:r>
            <w:r w:rsidR="00195FDB" w:rsidRPr="00E05465">
              <w:rPr>
                <w:u w:val="single"/>
                <w:lang w:val="en-US"/>
              </w:rPr>
              <w:t>from S</w:t>
            </w:r>
            <w:r w:rsidR="00664112" w:rsidRPr="00E05465">
              <w:rPr>
                <w:u w:val="single"/>
                <w:lang w:val="en-US"/>
              </w:rPr>
              <w:t>tudy</w:t>
            </w:r>
            <w:r w:rsidR="00195FDB" w:rsidRPr="00E05465">
              <w:rPr>
                <w:u w:val="single"/>
                <w:lang w:val="en-US"/>
              </w:rPr>
              <w:t xml:space="preserve"> 304 </w:t>
            </w:r>
            <w:r w:rsidR="00FE21FD" w:rsidRPr="00E05465">
              <w:rPr>
                <w:u w:val="single"/>
                <w:lang w:val="en-US"/>
              </w:rPr>
              <w:t>and TGA approved PI dosing used</w:t>
            </w:r>
          </w:p>
        </w:tc>
      </w:tr>
    </w:tbl>
    <w:p w14:paraId="19253866" w14:textId="77777777" w:rsidR="001D559C" w:rsidRPr="00E05465" w:rsidRDefault="001D559C" w:rsidP="001D559C">
      <w:pPr>
        <w:pStyle w:val="TableFooter"/>
        <w:rPr>
          <w:rStyle w:val="TableFooterChar"/>
        </w:rPr>
      </w:pPr>
      <w:r w:rsidRPr="00E05465">
        <w:rPr>
          <w:rStyle w:val="TableFooterChar"/>
        </w:rPr>
        <w:t>Source: Sections 2.2-2.5, pp32-42 of the submission.</w:t>
      </w:r>
    </w:p>
    <w:p w14:paraId="43F167A3" w14:textId="77777777" w:rsidR="001D559C" w:rsidRPr="00E05465" w:rsidRDefault="001D559C" w:rsidP="001D559C">
      <w:pPr>
        <w:pStyle w:val="FooterTableFigure"/>
      </w:pPr>
      <w:r w:rsidRPr="00E05465">
        <w:rPr>
          <w:rStyle w:val="TableFooterChar"/>
        </w:rPr>
        <w:t>BTH=breakthrough haemolysis; LDH=lactate dehydrogenase; PD=pharmacodynamic; PNH=Paroxysmal Nocturnal Hemoglobinuria; PK=pharmacokinetic; QoL=quality of life</w:t>
      </w:r>
      <w:r w:rsidRPr="00E05465">
        <w:t>.</w:t>
      </w:r>
    </w:p>
    <w:p w14:paraId="6B53CDC6" w14:textId="77777777" w:rsidR="001D559C" w:rsidRPr="00E05465" w:rsidRDefault="001D559C" w:rsidP="002032B0">
      <w:pPr>
        <w:pStyle w:val="3-BodyText"/>
      </w:pPr>
      <w:r w:rsidRPr="00E05465">
        <w:t>The risk of bias was considered high given the single arm nature of the studies involved in the indirect comparison and the small sample size of the datasets. Awareness of treatment allocation may have affected the reporting of subjective patient outcomes (e.g. safety, quality of life (QoL)). However, these limitations are unavoidable and cannot be adequately addressed given the rarity of PNH in the paediatric population.</w:t>
      </w:r>
    </w:p>
    <w:p w14:paraId="090A05F7" w14:textId="77777777" w:rsidR="001D559C" w:rsidRPr="00E05465" w:rsidRDefault="001D559C" w:rsidP="001D559C">
      <w:pPr>
        <w:pStyle w:val="4-SubsectionHeading"/>
      </w:pPr>
      <w:bookmarkStart w:id="30" w:name="_Toc22897641"/>
      <w:bookmarkStart w:id="31" w:name="_Toc135034938"/>
      <w:r w:rsidRPr="00E05465">
        <w:t>Comparative effectiveness</w:t>
      </w:r>
      <w:bookmarkEnd w:id="30"/>
      <w:bookmarkEnd w:id="31"/>
    </w:p>
    <w:p w14:paraId="609390E5" w14:textId="45FEF495" w:rsidR="001D559C" w:rsidRPr="00E05465" w:rsidRDefault="001D559C" w:rsidP="002032B0">
      <w:pPr>
        <w:pStyle w:val="3-BodyText"/>
      </w:pPr>
      <w:r w:rsidRPr="00E05465">
        <w:rPr>
          <w:lang w:val="en-US"/>
        </w:rPr>
        <w:t xml:space="preserve">The assessment of efficacy was a secondary objective in Studies 304 and M07-005 (primary objectives were to assess PK/PD parameters and safety). A summary of PK/PD data is presented </w:t>
      </w:r>
      <w:r w:rsidR="00055C3B" w:rsidRPr="00E05465">
        <w:rPr>
          <w:lang w:val="en-US"/>
        </w:rPr>
        <w:t>in</w:t>
      </w:r>
      <w:r w:rsidRPr="00E05465">
        <w:rPr>
          <w:lang w:val="en-US"/>
        </w:rPr>
        <w:t xml:space="preserve"> the submission and is not reproduced in this </w:t>
      </w:r>
      <w:r w:rsidR="00055C3B" w:rsidRPr="00E05465">
        <w:rPr>
          <w:lang w:val="en-US"/>
        </w:rPr>
        <w:t>PSD</w:t>
      </w:r>
      <w:r w:rsidRPr="00E05465">
        <w:rPr>
          <w:lang w:val="en-US"/>
        </w:rPr>
        <w:t xml:space="preserve">. </w:t>
      </w:r>
    </w:p>
    <w:p w14:paraId="182A9BED" w14:textId="51EC2728" w:rsidR="001D559C" w:rsidRPr="00E05465" w:rsidRDefault="001D559C" w:rsidP="002032B0">
      <w:pPr>
        <w:pStyle w:val="3-BodyText"/>
      </w:pPr>
      <w:r w:rsidRPr="00E05465">
        <w:t xml:space="preserve">The key efficacy results are summarised in </w:t>
      </w:r>
      <w:r w:rsidRPr="00E05465">
        <w:fldChar w:fldCharType="begin" w:fldLock="1"/>
      </w:r>
      <w:r w:rsidRPr="00E05465">
        <w:instrText xml:space="preserve"> REF _Ref132635947 \h </w:instrText>
      </w:r>
      <w:r w:rsidRPr="00E05465">
        <w:fldChar w:fldCharType="separate"/>
      </w:r>
      <w:r w:rsidR="00231664" w:rsidRPr="00E05465">
        <w:t xml:space="preserve">Table </w:t>
      </w:r>
      <w:r w:rsidR="00231664" w:rsidRPr="00E05465">
        <w:rPr>
          <w:noProof/>
        </w:rPr>
        <w:t>5</w:t>
      </w:r>
      <w:r w:rsidRPr="00E05465">
        <w:fldChar w:fldCharType="end"/>
      </w:r>
      <w:r w:rsidRPr="00E05465">
        <w:t>.</w:t>
      </w:r>
    </w:p>
    <w:p w14:paraId="35AC9ACE" w14:textId="7A1CBDB9" w:rsidR="001D559C" w:rsidRPr="00E05465" w:rsidRDefault="001D559C" w:rsidP="000D02AC">
      <w:pPr>
        <w:pStyle w:val="Caption"/>
        <w:rPr>
          <w:snapToGrid w:val="0"/>
        </w:rPr>
      </w:pPr>
      <w:bookmarkStart w:id="32" w:name="_Ref132635947"/>
      <w:r w:rsidRPr="00E05465">
        <w:lastRenderedPageBreak/>
        <w:t xml:space="preserve">Table </w:t>
      </w:r>
      <w:r w:rsidR="00687C33">
        <w:fldChar w:fldCharType="begin" w:fldLock="1"/>
      </w:r>
      <w:r w:rsidR="00687C33">
        <w:instrText xml:space="preserve"> SEQ Table \* ARABIC </w:instrText>
      </w:r>
      <w:r w:rsidR="00687C33">
        <w:fldChar w:fldCharType="separate"/>
      </w:r>
      <w:r w:rsidR="00231664" w:rsidRPr="00E05465">
        <w:rPr>
          <w:noProof/>
        </w:rPr>
        <w:t>5</w:t>
      </w:r>
      <w:r w:rsidR="00687C33">
        <w:rPr>
          <w:noProof/>
        </w:rPr>
        <w:fldChar w:fldCharType="end"/>
      </w:r>
      <w:bookmarkEnd w:id="32"/>
      <w:r w:rsidRPr="00E05465">
        <w:t>: Study 304 – Summary of efficacy results in paediatric patients with PNH through primary evaluation Period (FAS)</w:t>
      </w:r>
    </w:p>
    <w:tbl>
      <w:tblPr>
        <w:tblStyle w:val="TableGrid"/>
        <w:tblW w:w="5000" w:type="pct"/>
        <w:tblLook w:val="04A0" w:firstRow="1" w:lastRow="0" w:firstColumn="1" w:lastColumn="0" w:noHBand="0" w:noVBand="1"/>
      </w:tblPr>
      <w:tblGrid>
        <w:gridCol w:w="3397"/>
        <w:gridCol w:w="2976"/>
        <w:gridCol w:w="2644"/>
      </w:tblGrid>
      <w:tr w:rsidR="00E05465" w:rsidRPr="00E05465" w14:paraId="3DD6777D" w14:textId="77777777" w:rsidTr="00055C3B">
        <w:trPr>
          <w:cantSplit/>
        </w:trPr>
        <w:tc>
          <w:tcPr>
            <w:tcW w:w="1884" w:type="pct"/>
            <w:tcMar>
              <w:left w:w="20" w:type="dxa"/>
              <w:right w:w="20" w:type="dxa"/>
            </w:tcMar>
          </w:tcPr>
          <w:p w14:paraId="39BBA428" w14:textId="77777777" w:rsidR="001D559C" w:rsidRPr="00E05465" w:rsidRDefault="001D559C" w:rsidP="000D02AC">
            <w:pPr>
              <w:pStyle w:val="PBACTabletext"/>
              <w:keepNext/>
              <w:keepLines/>
              <w:spacing w:after="0"/>
              <w:rPr>
                <w:b/>
              </w:rPr>
            </w:pPr>
            <w:r w:rsidRPr="00E05465">
              <w:rPr>
                <w:b/>
              </w:rPr>
              <w:t>Key efficacy endpoints</w:t>
            </w:r>
          </w:p>
        </w:tc>
        <w:tc>
          <w:tcPr>
            <w:tcW w:w="1650" w:type="pct"/>
            <w:tcMar>
              <w:left w:w="20" w:type="dxa"/>
              <w:right w:w="20" w:type="dxa"/>
            </w:tcMar>
          </w:tcPr>
          <w:p w14:paraId="6E956BC5" w14:textId="77777777" w:rsidR="001D559C" w:rsidRPr="00E05465" w:rsidRDefault="001D559C" w:rsidP="000D02AC">
            <w:pPr>
              <w:pStyle w:val="PBACTabletext"/>
              <w:keepNext/>
              <w:keepLines/>
              <w:spacing w:after="0"/>
              <w:rPr>
                <w:b/>
              </w:rPr>
            </w:pPr>
            <w:r w:rsidRPr="00E05465">
              <w:rPr>
                <w:b/>
              </w:rPr>
              <w:t>Complement inhibitor treatment naïve patients (n=4)</w:t>
            </w:r>
          </w:p>
        </w:tc>
        <w:tc>
          <w:tcPr>
            <w:tcW w:w="1466" w:type="pct"/>
            <w:tcMar>
              <w:left w:w="20" w:type="dxa"/>
              <w:right w:w="20" w:type="dxa"/>
            </w:tcMar>
          </w:tcPr>
          <w:p w14:paraId="75544B37" w14:textId="77777777" w:rsidR="001D559C" w:rsidRPr="00E05465" w:rsidRDefault="001D559C" w:rsidP="000D02AC">
            <w:pPr>
              <w:pStyle w:val="PBACTabletext"/>
              <w:keepNext/>
              <w:keepLines/>
              <w:spacing w:after="0"/>
              <w:rPr>
                <w:b/>
              </w:rPr>
            </w:pPr>
            <w:r w:rsidRPr="00E05465">
              <w:rPr>
                <w:b/>
              </w:rPr>
              <w:t>Eculizumab treatment experienced patients (n=8)</w:t>
            </w:r>
          </w:p>
        </w:tc>
      </w:tr>
      <w:tr w:rsidR="00E05465" w:rsidRPr="00E05465" w14:paraId="19BACB3B" w14:textId="77777777" w:rsidTr="00055C3B">
        <w:trPr>
          <w:cantSplit/>
        </w:trPr>
        <w:tc>
          <w:tcPr>
            <w:tcW w:w="1884" w:type="pct"/>
            <w:tcMar>
              <w:left w:w="20" w:type="dxa"/>
              <w:right w:w="20" w:type="dxa"/>
            </w:tcMar>
          </w:tcPr>
          <w:p w14:paraId="67B2CFA6" w14:textId="77777777" w:rsidR="001D559C" w:rsidRPr="00E05465" w:rsidRDefault="001D559C" w:rsidP="000D02AC">
            <w:pPr>
              <w:pStyle w:val="PBACTabletext"/>
              <w:keepNext/>
              <w:keepLines/>
              <w:spacing w:after="0"/>
            </w:pPr>
            <w:r w:rsidRPr="00E05465">
              <w:t>LDH % change from baseline to end of primary evaluation period</w:t>
            </w:r>
            <w:r w:rsidRPr="00E05465">
              <w:rPr>
                <w:vertAlign w:val="superscript"/>
              </w:rPr>
              <w:t>a</w:t>
            </w:r>
            <w:r w:rsidRPr="00E05465">
              <w:t>, mean (SD)</w:t>
            </w:r>
          </w:p>
        </w:tc>
        <w:tc>
          <w:tcPr>
            <w:tcW w:w="1650" w:type="pct"/>
            <w:tcMar>
              <w:left w:w="20" w:type="dxa"/>
              <w:right w:w="20" w:type="dxa"/>
            </w:tcMar>
          </w:tcPr>
          <w:p w14:paraId="51D4F9F5" w14:textId="77777777" w:rsidR="001D559C" w:rsidRPr="00E05465" w:rsidRDefault="001D559C" w:rsidP="000D02AC">
            <w:pPr>
              <w:pStyle w:val="PBACTabletext"/>
              <w:keepNext/>
              <w:keepLines/>
              <w:spacing w:after="0"/>
            </w:pPr>
            <w:r w:rsidRPr="00E05465">
              <w:t>-42.09 (58.99)</w:t>
            </w:r>
          </w:p>
        </w:tc>
        <w:tc>
          <w:tcPr>
            <w:tcW w:w="1466" w:type="pct"/>
            <w:tcMar>
              <w:left w:w="20" w:type="dxa"/>
              <w:right w:w="20" w:type="dxa"/>
            </w:tcMar>
          </w:tcPr>
          <w:p w14:paraId="7285FFFF" w14:textId="77777777" w:rsidR="001D559C" w:rsidRPr="00E05465" w:rsidRDefault="001D559C" w:rsidP="000D02AC">
            <w:pPr>
              <w:pStyle w:val="PBACTabletext"/>
              <w:keepNext/>
              <w:keepLines/>
              <w:spacing w:after="0"/>
            </w:pPr>
            <w:r w:rsidRPr="00E05465">
              <w:t>4.65 (44.70)</w:t>
            </w:r>
          </w:p>
        </w:tc>
      </w:tr>
      <w:tr w:rsidR="00E05465" w:rsidRPr="00E05465" w14:paraId="11619B46" w14:textId="77777777" w:rsidTr="00055C3B">
        <w:trPr>
          <w:cantSplit/>
        </w:trPr>
        <w:tc>
          <w:tcPr>
            <w:tcW w:w="1884" w:type="pct"/>
            <w:tcMar>
              <w:left w:w="20" w:type="dxa"/>
              <w:right w:w="20" w:type="dxa"/>
            </w:tcMar>
          </w:tcPr>
          <w:p w14:paraId="2E1357FF" w14:textId="77777777" w:rsidR="001D559C" w:rsidRPr="00E05465" w:rsidRDefault="001D559C" w:rsidP="000D02AC">
            <w:pPr>
              <w:pStyle w:val="PBACTabletext"/>
              <w:keepNext/>
              <w:keepLines/>
              <w:spacing w:after="0"/>
            </w:pPr>
            <w:r w:rsidRPr="00E05465">
              <w:t>Transfusion avoidance</w:t>
            </w:r>
            <w:r w:rsidRPr="00E05465">
              <w:rPr>
                <w:vertAlign w:val="superscript"/>
              </w:rPr>
              <w:t>b</w:t>
            </w:r>
            <w:r w:rsidRPr="00E05465">
              <w:t>, n (%)</w:t>
            </w:r>
          </w:p>
        </w:tc>
        <w:tc>
          <w:tcPr>
            <w:tcW w:w="1650" w:type="pct"/>
            <w:tcMar>
              <w:left w:w="20" w:type="dxa"/>
              <w:right w:w="20" w:type="dxa"/>
            </w:tcMar>
          </w:tcPr>
          <w:p w14:paraId="3723A901" w14:textId="77777777" w:rsidR="001D559C" w:rsidRPr="00E05465" w:rsidRDefault="001D559C" w:rsidP="000D02AC">
            <w:pPr>
              <w:pStyle w:val="PBACTabletext"/>
              <w:keepNext/>
              <w:keepLines/>
              <w:spacing w:after="0"/>
            </w:pPr>
            <w:r w:rsidRPr="00E05465">
              <w:t>2 (50.00)</w:t>
            </w:r>
          </w:p>
        </w:tc>
        <w:tc>
          <w:tcPr>
            <w:tcW w:w="1466" w:type="pct"/>
            <w:tcMar>
              <w:left w:w="20" w:type="dxa"/>
              <w:right w:w="20" w:type="dxa"/>
            </w:tcMar>
          </w:tcPr>
          <w:p w14:paraId="6E175D42" w14:textId="77777777" w:rsidR="001D559C" w:rsidRPr="00E05465" w:rsidRDefault="001D559C" w:rsidP="000D02AC">
            <w:pPr>
              <w:pStyle w:val="PBACTabletext"/>
              <w:keepNext/>
              <w:keepLines/>
              <w:spacing w:after="0"/>
            </w:pPr>
            <w:r w:rsidRPr="00E05465">
              <w:t>8 (100.00)</w:t>
            </w:r>
          </w:p>
        </w:tc>
      </w:tr>
      <w:tr w:rsidR="00E05465" w:rsidRPr="00E05465" w14:paraId="7A57220F" w14:textId="77777777" w:rsidTr="00055C3B">
        <w:trPr>
          <w:cantSplit/>
          <w:trHeight w:val="602"/>
        </w:trPr>
        <w:tc>
          <w:tcPr>
            <w:tcW w:w="1884" w:type="pct"/>
            <w:tcMar>
              <w:left w:w="20" w:type="dxa"/>
              <w:right w:w="20" w:type="dxa"/>
            </w:tcMar>
          </w:tcPr>
          <w:p w14:paraId="688E8E4A" w14:textId="77777777" w:rsidR="001D559C" w:rsidRPr="00E05465" w:rsidRDefault="001D559C" w:rsidP="000D02AC">
            <w:pPr>
              <w:pStyle w:val="PBACTabletext"/>
              <w:keepNext/>
              <w:keepLines/>
              <w:spacing w:after="0"/>
            </w:pPr>
            <w:r w:rsidRPr="00E05465">
              <w:t>FACIT-Fatigue, change from baseline to end of primary evaluation period</w:t>
            </w:r>
            <w:r w:rsidRPr="00E05465">
              <w:rPr>
                <w:vertAlign w:val="superscript"/>
              </w:rPr>
              <w:t xml:space="preserve">a, </w:t>
            </w:r>
            <w:r w:rsidRPr="00E05465">
              <w:t>Mean (SD)</w:t>
            </w:r>
          </w:p>
        </w:tc>
        <w:tc>
          <w:tcPr>
            <w:tcW w:w="1650" w:type="pct"/>
            <w:tcMar>
              <w:left w:w="20" w:type="dxa"/>
              <w:right w:w="20" w:type="dxa"/>
            </w:tcMar>
          </w:tcPr>
          <w:p w14:paraId="3FF5A01F" w14:textId="77777777" w:rsidR="001D559C" w:rsidRPr="00E05465" w:rsidRDefault="001D559C" w:rsidP="000D02AC">
            <w:pPr>
              <w:pStyle w:val="PBACTabletext"/>
              <w:keepNext/>
              <w:keepLines/>
              <w:spacing w:after="0"/>
            </w:pPr>
            <w:r w:rsidRPr="00E05465">
              <w:t>3.00 (6.98)</w:t>
            </w:r>
          </w:p>
        </w:tc>
        <w:tc>
          <w:tcPr>
            <w:tcW w:w="1466" w:type="pct"/>
            <w:tcMar>
              <w:left w:w="20" w:type="dxa"/>
              <w:right w:w="20" w:type="dxa"/>
            </w:tcMar>
          </w:tcPr>
          <w:p w14:paraId="4D0CAD09" w14:textId="77777777" w:rsidR="001D559C" w:rsidRPr="00E05465" w:rsidRDefault="001D559C" w:rsidP="000D02AC">
            <w:pPr>
              <w:pStyle w:val="PBACTabletext"/>
              <w:keepNext/>
              <w:keepLines/>
              <w:spacing w:after="0"/>
            </w:pPr>
            <w:r w:rsidRPr="00E05465">
              <w:t>1.28 (5.24)</w:t>
            </w:r>
          </w:p>
        </w:tc>
      </w:tr>
      <w:tr w:rsidR="00E05465" w:rsidRPr="00E05465" w14:paraId="3D243E82" w14:textId="77777777" w:rsidTr="00055C3B">
        <w:trPr>
          <w:cantSplit/>
        </w:trPr>
        <w:tc>
          <w:tcPr>
            <w:tcW w:w="1884" w:type="pct"/>
            <w:tcMar>
              <w:left w:w="20" w:type="dxa"/>
              <w:right w:w="20" w:type="dxa"/>
            </w:tcMar>
          </w:tcPr>
          <w:p w14:paraId="7BC299F3" w14:textId="77777777" w:rsidR="001D559C" w:rsidRPr="00E05465" w:rsidRDefault="001D559C" w:rsidP="000D02AC">
            <w:pPr>
              <w:pStyle w:val="PBACTabletext"/>
              <w:keepNext/>
              <w:keepLines/>
              <w:spacing w:after="0"/>
            </w:pPr>
            <w:r w:rsidRPr="00E05465">
              <w:t>Achieved stabilised haemoglobin</w:t>
            </w:r>
            <w:r w:rsidRPr="00E05465">
              <w:rPr>
                <w:vertAlign w:val="superscript"/>
              </w:rPr>
              <w:t>c</w:t>
            </w:r>
            <w:r w:rsidRPr="00E05465">
              <w:t xml:space="preserve">, n (%) </w:t>
            </w:r>
          </w:p>
        </w:tc>
        <w:tc>
          <w:tcPr>
            <w:tcW w:w="1650" w:type="pct"/>
            <w:tcMar>
              <w:left w:w="20" w:type="dxa"/>
              <w:right w:w="20" w:type="dxa"/>
            </w:tcMar>
          </w:tcPr>
          <w:p w14:paraId="7398ECE5" w14:textId="77777777" w:rsidR="001D559C" w:rsidRPr="00E05465" w:rsidRDefault="001D559C" w:rsidP="000D02AC">
            <w:pPr>
              <w:pStyle w:val="PBACTabletext"/>
              <w:keepNext/>
              <w:keepLines/>
              <w:spacing w:after="0"/>
            </w:pPr>
            <w:r w:rsidRPr="00E05465">
              <w:t>2 (50.00)</w:t>
            </w:r>
          </w:p>
        </w:tc>
        <w:tc>
          <w:tcPr>
            <w:tcW w:w="1466" w:type="pct"/>
            <w:tcMar>
              <w:left w:w="20" w:type="dxa"/>
              <w:right w:w="20" w:type="dxa"/>
            </w:tcMar>
          </w:tcPr>
          <w:p w14:paraId="4CC50381" w14:textId="77777777" w:rsidR="001D559C" w:rsidRPr="00E05465" w:rsidRDefault="001D559C" w:rsidP="000D02AC">
            <w:pPr>
              <w:pStyle w:val="PBACTabletext"/>
              <w:keepNext/>
              <w:keepLines/>
              <w:spacing w:after="0"/>
            </w:pPr>
            <w:r w:rsidRPr="00E05465">
              <w:t>6 (75.00)</w:t>
            </w:r>
          </w:p>
        </w:tc>
      </w:tr>
    </w:tbl>
    <w:p w14:paraId="327EE87B" w14:textId="77777777" w:rsidR="001D559C" w:rsidRPr="00E05465" w:rsidRDefault="001D559C" w:rsidP="000D02AC">
      <w:pPr>
        <w:pStyle w:val="TableFooter"/>
        <w:keepNext/>
        <w:keepLines/>
      </w:pPr>
      <w:r w:rsidRPr="00E05465">
        <w:t>Source: Table 11, p32 of the Delegate’s Overview for ravulizumab; PM- 2021-01659-1-6</w:t>
      </w:r>
    </w:p>
    <w:p w14:paraId="49A975B3" w14:textId="77777777" w:rsidR="001D559C" w:rsidRPr="00E05465" w:rsidRDefault="001D559C" w:rsidP="000D02AC">
      <w:pPr>
        <w:pStyle w:val="TableFooter"/>
        <w:keepNext/>
        <w:keepLines/>
      </w:pPr>
      <w:r w:rsidRPr="00E05465">
        <w:t>FACIT=Paediatric Functional Assessment of chronic illness Therapy; FAS=full analysis set; LDH=lactate dehydrogenase; PNH=Paroxysmal Nocturnal Hemoglobinuria; SD=standard deviation</w:t>
      </w:r>
    </w:p>
    <w:p w14:paraId="051524A7" w14:textId="77777777" w:rsidR="001D559C" w:rsidRPr="00E05465" w:rsidRDefault="001D559C" w:rsidP="000D02AC">
      <w:pPr>
        <w:pStyle w:val="TableFooter"/>
        <w:keepNext/>
        <w:keepLines/>
      </w:pPr>
      <w:proofErr w:type="spellStart"/>
      <w:r w:rsidRPr="00E05465">
        <w:rPr>
          <w:vertAlign w:val="superscript"/>
        </w:rPr>
        <w:t>a</w:t>
      </w:r>
      <w:proofErr w:type="spellEnd"/>
      <w:r w:rsidRPr="00E05465">
        <w:rPr>
          <w:vertAlign w:val="superscript"/>
        </w:rPr>
        <w:t xml:space="preserve"> </w:t>
      </w:r>
      <w:r w:rsidRPr="00E05465">
        <w:t>End of primary evaluation period was defined as Day 183 (Week 26) for Study 304.</w:t>
      </w:r>
    </w:p>
    <w:p w14:paraId="172BDF3B" w14:textId="77777777" w:rsidR="001D559C" w:rsidRPr="00E05465" w:rsidRDefault="001D559C" w:rsidP="000D02AC">
      <w:pPr>
        <w:pStyle w:val="TableFooter"/>
        <w:keepNext/>
        <w:keepLines/>
      </w:pPr>
      <w:r w:rsidRPr="00E05465">
        <w:rPr>
          <w:vertAlign w:val="superscript"/>
        </w:rPr>
        <w:t>b</w:t>
      </w:r>
      <w:r w:rsidRPr="00E05465">
        <w:t xml:space="preserve"> Transfusion avoidance was defined as patients who remained transfusion free and did not require a transfusion through Day 183 (Week 26). Percentages were based on the total number of patients in each cohort.</w:t>
      </w:r>
    </w:p>
    <w:p w14:paraId="091F95A1" w14:textId="77777777" w:rsidR="001D559C" w:rsidRPr="00E05465" w:rsidRDefault="001D559C" w:rsidP="000D02AC">
      <w:pPr>
        <w:pStyle w:val="TableFooter"/>
        <w:keepLines/>
      </w:pPr>
      <w:r w:rsidRPr="00E05465">
        <w:rPr>
          <w:vertAlign w:val="superscript"/>
        </w:rPr>
        <w:t>c</w:t>
      </w:r>
      <w:r w:rsidRPr="00E05465">
        <w:t xml:space="preserve"> Stabilised haemoglobin was defined as avoidance of a ≥ 2 g/dL decrease in haemoglobin level from baseline in the absence of transfusion through Day 183 (Week 26). Percentages were based on the total number of patients in each cohort.</w:t>
      </w:r>
    </w:p>
    <w:p w14:paraId="178B988E" w14:textId="77777777" w:rsidR="001D559C" w:rsidRPr="00E05465" w:rsidRDefault="001D559C" w:rsidP="001D559C">
      <w:pPr>
        <w:pStyle w:val="5-SubsectionSubheading"/>
        <w:rPr>
          <w:color w:val="auto"/>
        </w:rPr>
      </w:pPr>
      <w:bookmarkStart w:id="33" w:name="_Toc135034939"/>
      <w:r w:rsidRPr="00E05465">
        <w:rPr>
          <w:color w:val="auto"/>
        </w:rPr>
        <w:t xml:space="preserve">Complement inhibitor treatment-naïve </w:t>
      </w:r>
      <w:proofErr w:type="gramStart"/>
      <w:r w:rsidRPr="00E05465">
        <w:rPr>
          <w:color w:val="auto"/>
        </w:rPr>
        <w:t>cohort</w:t>
      </w:r>
      <w:bookmarkEnd w:id="33"/>
      <w:proofErr w:type="gramEnd"/>
    </w:p>
    <w:p w14:paraId="79868FED" w14:textId="77777777" w:rsidR="001D559C" w:rsidRPr="00E05465" w:rsidRDefault="001D559C" w:rsidP="002032B0">
      <w:pPr>
        <w:pStyle w:val="3-BodyText"/>
      </w:pPr>
      <w:r w:rsidRPr="00E05465">
        <w:t xml:space="preserve">The mean (SD) percent change from baseline in LDH on Day 183 was -42.09% (59.00). </w:t>
      </w:r>
      <w:r w:rsidRPr="00E05465">
        <w:rPr>
          <w:lang w:val="en-US"/>
        </w:rPr>
        <w:t>On Day 183, two patients had a LDH ≤ 1 × ULN and one patient had a LDH ≤ 1.5 × ULN. The fourth patient had a LDH value of 637 U/L on Day 183. The submission noted that this may be attributable to table-top haemolysis (TTH) of the sample suggestive of a likely false event detection.</w:t>
      </w:r>
    </w:p>
    <w:p w14:paraId="3A4C5D13" w14:textId="7447B982" w:rsidR="001D559C" w:rsidRPr="00E05465" w:rsidRDefault="001D559C" w:rsidP="002032B0">
      <w:pPr>
        <w:pStyle w:val="3-BodyText"/>
      </w:pPr>
      <w:r w:rsidRPr="00E05465">
        <w:t xml:space="preserve">Two of four patients (50.0%) remained transfusion </w:t>
      </w:r>
      <w:r w:rsidR="00ED56D5" w:rsidRPr="00E05465">
        <w:t>free,</w:t>
      </w:r>
      <w:r w:rsidRPr="00E05465">
        <w:t xml:space="preserve"> and two patients (50%) achieved haemoglobin stabilisation</w:t>
      </w:r>
      <w:r w:rsidRPr="00E05465">
        <w:rPr>
          <w:rStyle w:val="FootnoteReference"/>
        </w:rPr>
        <w:footnoteReference w:id="1"/>
      </w:r>
      <w:r w:rsidRPr="00E05465">
        <w:t>. One patient received three blood transfusions administered during treatment for multiple serious adverse events (SAEs) including device-related thrombosis and septic shock. There were no events of breakthrough haemolysis (BTH)</w:t>
      </w:r>
      <w:r w:rsidRPr="00E05465">
        <w:rPr>
          <w:rStyle w:val="FootnoteReference"/>
        </w:rPr>
        <w:footnoteReference w:id="2"/>
      </w:r>
      <w:r w:rsidRPr="00E05465">
        <w:t xml:space="preserve"> during the primary evaluation period (baseline to Day 183).</w:t>
      </w:r>
    </w:p>
    <w:p w14:paraId="1E9B83FC" w14:textId="77777777" w:rsidR="001D559C" w:rsidRPr="00E05465" w:rsidRDefault="001D559C" w:rsidP="002032B0">
      <w:pPr>
        <w:pStyle w:val="3-BodyText"/>
      </w:pPr>
      <w:r w:rsidRPr="00E05465">
        <w:rPr>
          <w:lang w:val="en-US"/>
        </w:rPr>
        <w:t>No meaningful trends in change of free haemoglobin were observed. Decreases from baseline in mean free haemoglobin levels were observed at Days 15, 43, 71, 99, 127, and 155, but on Day 183, mean free haemoglobin increased to 30.23 mg/dL (108.74% change from baseline) due to values above 450 mg/dL for two patients.</w:t>
      </w:r>
    </w:p>
    <w:p w14:paraId="4F232B78" w14:textId="6A8BAF56" w:rsidR="001D559C" w:rsidRPr="00E05465" w:rsidRDefault="001D559C" w:rsidP="002032B0">
      <w:pPr>
        <w:pStyle w:val="3-BodyText"/>
      </w:pPr>
      <w:r w:rsidRPr="00E05465">
        <w:t xml:space="preserve">QoL was assessed using the Paediatric Functional Assessment of </w:t>
      </w:r>
      <w:r w:rsidR="00055C3B" w:rsidRPr="00E05465">
        <w:t>Chronic I</w:t>
      </w:r>
      <w:r w:rsidRPr="00E05465">
        <w:t>llness Therapy</w:t>
      </w:r>
      <w:r w:rsidRPr="00E05465">
        <w:rPr>
          <w:lang w:val="en-US"/>
        </w:rPr>
        <w:t xml:space="preserve"> (</w:t>
      </w:r>
      <w:r w:rsidRPr="00E05465">
        <w:t xml:space="preserve">FACIT)-Fatigue Questionnaire. A </w:t>
      </w:r>
      <w:r w:rsidRPr="00E05465">
        <w:rPr>
          <w:lang w:val="en-US"/>
        </w:rPr>
        <w:t xml:space="preserve">mean improvement in FACIT-Fatigue score of </w:t>
      </w:r>
      <w:r w:rsidRPr="00E05465">
        <w:rPr>
          <w:rFonts w:cstheme="minorHAnsi"/>
          <w:lang w:val="en-US"/>
        </w:rPr>
        <w:t>≥</w:t>
      </w:r>
      <w:r w:rsidRPr="00E05465">
        <w:rPr>
          <w:lang w:val="en-US"/>
        </w:rPr>
        <w:t xml:space="preserve"> 3 units was considered a clinically meaningful change</w:t>
      </w:r>
      <w:r w:rsidRPr="00E05465">
        <w:rPr>
          <w:rStyle w:val="FootnoteReference"/>
          <w:lang w:val="en-US"/>
        </w:rPr>
        <w:footnoteReference w:id="3"/>
      </w:r>
      <w:r w:rsidRPr="00E05465">
        <w:rPr>
          <w:lang w:val="en-US"/>
        </w:rPr>
        <w:t xml:space="preserve">. This was observed </w:t>
      </w:r>
      <w:r w:rsidRPr="00E05465">
        <w:t xml:space="preserve">in two patients (50%) at Day 15 which was sustained through to Day 183. On Day 183, the mean (SD) improvement in FACIT-Fatigue score compared to baseline was 3.00 (6.98). </w:t>
      </w:r>
      <w:r w:rsidRPr="00E05465">
        <w:rPr>
          <w:iCs/>
        </w:rPr>
        <w:lastRenderedPageBreak/>
        <w:t>The European Medicines Agency (EMA)</w:t>
      </w:r>
      <w:r w:rsidRPr="00E05465">
        <w:rPr>
          <w:rStyle w:val="FootnoteReference"/>
          <w:iCs/>
        </w:rPr>
        <w:footnoteReference w:id="4"/>
      </w:r>
      <w:r w:rsidRPr="00E05465">
        <w:rPr>
          <w:iCs/>
        </w:rPr>
        <w:t xml:space="preserve"> has adopted a slightly more conservative level of </w:t>
      </w:r>
      <w:r w:rsidRPr="00E05465">
        <w:rPr>
          <w:rFonts w:cstheme="minorHAnsi"/>
          <w:iCs/>
        </w:rPr>
        <w:t>≥</w:t>
      </w:r>
      <w:r w:rsidRPr="00E05465">
        <w:rPr>
          <w:iCs/>
        </w:rPr>
        <w:t xml:space="preserve"> 4 points.</w:t>
      </w:r>
    </w:p>
    <w:p w14:paraId="13477B08" w14:textId="77777777" w:rsidR="001D559C" w:rsidRPr="00E05465" w:rsidRDefault="001D559C" w:rsidP="001D559C">
      <w:pPr>
        <w:pStyle w:val="5-SubsectionSubheading"/>
        <w:rPr>
          <w:color w:val="auto"/>
        </w:rPr>
      </w:pPr>
      <w:bookmarkStart w:id="34" w:name="_Toc135034940"/>
      <w:r w:rsidRPr="00E05465">
        <w:rPr>
          <w:color w:val="auto"/>
        </w:rPr>
        <w:t>Eculizumab treatment-experienced cohort</w:t>
      </w:r>
      <w:bookmarkEnd w:id="34"/>
    </w:p>
    <w:p w14:paraId="38478C9E" w14:textId="77777777" w:rsidR="001D559C" w:rsidRPr="00E05465" w:rsidRDefault="001D559C" w:rsidP="002032B0">
      <w:pPr>
        <w:pStyle w:val="3-BodyText"/>
      </w:pPr>
      <w:r w:rsidRPr="00E05465">
        <w:rPr>
          <w:lang w:val="en-US"/>
        </w:rPr>
        <w:t xml:space="preserve">During the 26-week primary evaluation period, mean percent change from baseline in LDH remained stable, with mean percent change from baseline ranging between </w:t>
      </w:r>
      <w:r w:rsidRPr="00E05465">
        <w:rPr>
          <w:lang w:val="en-US"/>
        </w:rPr>
        <w:noBreakHyphen/>
        <w:t>7.27% and +11.5%.</w:t>
      </w:r>
    </w:p>
    <w:p w14:paraId="2BEA5168" w14:textId="77777777" w:rsidR="001D559C" w:rsidRPr="00E05465" w:rsidRDefault="001D559C" w:rsidP="002032B0">
      <w:pPr>
        <w:pStyle w:val="3-BodyText"/>
      </w:pPr>
      <w:r w:rsidRPr="00E05465">
        <w:t xml:space="preserve">All eight (100%) eculizumab-experienced patients remained transfusion free, and six of eight (75%) patients achieved haemoglobin stabilisation. </w:t>
      </w:r>
      <w:r w:rsidRPr="00E05465">
        <w:rPr>
          <w:lang w:val="en-US"/>
        </w:rPr>
        <w:t>Mean free haemoglobin levels were generally stable over time</w:t>
      </w:r>
      <w:r w:rsidRPr="00E05465">
        <w:t xml:space="preserve">. None of the patients experienced BTH. </w:t>
      </w:r>
    </w:p>
    <w:p w14:paraId="5741CB9C" w14:textId="77777777" w:rsidR="001D559C" w:rsidRPr="00E05465" w:rsidRDefault="001D559C" w:rsidP="002032B0">
      <w:pPr>
        <w:pStyle w:val="3-BodyText"/>
      </w:pPr>
      <w:r w:rsidRPr="00E05465">
        <w:t>The eculizumab-experienced cohort had a mean (SD) improvement in paediatric FACIT-Fatigue score of 1.28 (5.24). The submission stated that this improvement was suggestive of stable QoL for patients switching from eculizumab to ravulizumab.</w:t>
      </w:r>
    </w:p>
    <w:p w14:paraId="122D0ECB" w14:textId="77777777" w:rsidR="001D559C" w:rsidRPr="00E05465" w:rsidRDefault="001D559C" w:rsidP="001D559C">
      <w:pPr>
        <w:pStyle w:val="5-SubsectionSubheading"/>
        <w:spacing w:before="0"/>
        <w:rPr>
          <w:color w:val="auto"/>
        </w:rPr>
      </w:pPr>
      <w:bookmarkStart w:id="35" w:name="_Toc135034941"/>
      <w:r w:rsidRPr="00E05465">
        <w:rPr>
          <w:color w:val="auto"/>
        </w:rPr>
        <w:t>Indirect comparison</w:t>
      </w:r>
      <w:bookmarkEnd w:id="35"/>
    </w:p>
    <w:p w14:paraId="659D4388" w14:textId="11B6FC1F" w:rsidR="001D559C" w:rsidRPr="00E05465" w:rsidRDefault="001D559C" w:rsidP="000D02AC">
      <w:pPr>
        <w:pStyle w:val="3-BodyText"/>
        <w:rPr>
          <w:snapToGrid/>
          <w:lang w:val="en-US"/>
        </w:rPr>
      </w:pPr>
      <w:r w:rsidRPr="00E05465">
        <w:rPr>
          <w:snapToGrid/>
          <w:lang w:val="en-US"/>
        </w:rPr>
        <w:t xml:space="preserve">Results for efficacy endpoints commonly reported across Studies 304 and M07-005 in complement inhibitor treatment-naïve patients are summarised in </w:t>
      </w:r>
      <w:r w:rsidRPr="00E05465">
        <w:rPr>
          <w:snapToGrid/>
          <w:lang w:val="en-US"/>
        </w:rPr>
        <w:fldChar w:fldCharType="begin" w:fldLock="1"/>
      </w:r>
      <w:r w:rsidRPr="00E05465">
        <w:rPr>
          <w:snapToGrid/>
          <w:lang w:val="en-US"/>
        </w:rPr>
        <w:instrText xml:space="preserve"> REF _Ref132639473 \h </w:instrText>
      </w:r>
      <w:r w:rsidRPr="00E05465">
        <w:rPr>
          <w:snapToGrid/>
          <w:lang w:val="en-US"/>
        </w:rPr>
      </w:r>
      <w:r w:rsidRPr="00E05465">
        <w:rPr>
          <w:snapToGrid/>
          <w:lang w:val="en-US"/>
        </w:rPr>
        <w:fldChar w:fldCharType="separate"/>
      </w:r>
      <w:r w:rsidR="00231664" w:rsidRPr="00E05465">
        <w:t xml:space="preserve">Table </w:t>
      </w:r>
      <w:r w:rsidR="00231664" w:rsidRPr="00E05465">
        <w:rPr>
          <w:noProof/>
        </w:rPr>
        <w:t>6</w:t>
      </w:r>
      <w:r w:rsidRPr="00E05465">
        <w:rPr>
          <w:snapToGrid/>
          <w:lang w:val="en-US"/>
        </w:rPr>
        <w:fldChar w:fldCharType="end"/>
      </w:r>
      <w:r w:rsidRPr="00E05465">
        <w:rPr>
          <w:snapToGrid/>
          <w:lang w:val="en-US"/>
        </w:rPr>
        <w:t xml:space="preserve">. </w:t>
      </w:r>
    </w:p>
    <w:p w14:paraId="5D34A4AD" w14:textId="25FB5461" w:rsidR="001D559C" w:rsidRPr="00E05465" w:rsidRDefault="001D559C" w:rsidP="000D02AC">
      <w:pPr>
        <w:pStyle w:val="Caption"/>
      </w:pPr>
      <w:bookmarkStart w:id="36" w:name="_Ref132639473"/>
      <w:r w:rsidRPr="00E05465">
        <w:lastRenderedPageBreak/>
        <w:t xml:space="preserve">Table </w:t>
      </w:r>
      <w:r w:rsidR="00687C33">
        <w:fldChar w:fldCharType="begin" w:fldLock="1"/>
      </w:r>
      <w:r w:rsidR="00687C33">
        <w:instrText xml:space="preserve"> SEQ Table \* ARABIC </w:instrText>
      </w:r>
      <w:r w:rsidR="00687C33">
        <w:fldChar w:fldCharType="separate"/>
      </w:r>
      <w:r w:rsidR="00231664" w:rsidRPr="00E05465">
        <w:rPr>
          <w:noProof/>
        </w:rPr>
        <w:t>6</w:t>
      </w:r>
      <w:r w:rsidR="00687C33">
        <w:rPr>
          <w:noProof/>
        </w:rPr>
        <w:fldChar w:fldCharType="end"/>
      </w:r>
      <w:bookmarkEnd w:id="36"/>
      <w:r w:rsidRPr="00E05465">
        <w:t xml:space="preserve">: Change from baseline in LDH and free haemoglobin between ravulizumab and eculizumab in complement inhibitor treatment-naïve patients across the </w:t>
      </w:r>
      <w:proofErr w:type="gramStart"/>
      <w:r w:rsidRPr="00E05465">
        <w:t>studies</w:t>
      </w:r>
      <w:proofErr w:type="gramEnd"/>
    </w:p>
    <w:tbl>
      <w:tblPr>
        <w:tblStyle w:val="TableGrid"/>
        <w:tblW w:w="5000" w:type="pct"/>
        <w:tblLook w:val="04A0" w:firstRow="1" w:lastRow="0" w:firstColumn="1" w:lastColumn="0" w:noHBand="0" w:noVBand="1"/>
      </w:tblPr>
      <w:tblGrid>
        <w:gridCol w:w="2955"/>
        <w:gridCol w:w="1550"/>
        <w:gridCol w:w="2231"/>
        <w:gridCol w:w="2281"/>
      </w:tblGrid>
      <w:tr w:rsidR="00E05465" w:rsidRPr="00E05465" w14:paraId="3A83E850" w14:textId="77777777" w:rsidTr="001D559C">
        <w:trPr>
          <w:cantSplit/>
          <w:tblHeader/>
        </w:trPr>
        <w:tc>
          <w:tcPr>
            <w:tcW w:w="1638" w:type="pct"/>
            <w:tcBorders>
              <w:right w:val="nil"/>
            </w:tcBorders>
            <w:shd w:val="clear" w:color="auto" w:fill="auto"/>
          </w:tcPr>
          <w:p w14:paraId="479E6CBF" w14:textId="77777777" w:rsidR="001D559C" w:rsidRPr="00E05465" w:rsidRDefault="001D559C" w:rsidP="000D02AC">
            <w:pPr>
              <w:pStyle w:val="PBACTabletext"/>
              <w:keepNext/>
              <w:keepLines/>
              <w:spacing w:after="0"/>
              <w:rPr>
                <w:b/>
              </w:rPr>
            </w:pPr>
            <w:r w:rsidRPr="00E05465">
              <w:rPr>
                <w:b/>
              </w:rPr>
              <w:t xml:space="preserve">Endpoints </w:t>
            </w:r>
          </w:p>
        </w:tc>
        <w:tc>
          <w:tcPr>
            <w:tcW w:w="859" w:type="pct"/>
            <w:tcBorders>
              <w:left w:val="nil"/>
            </w:tcBorders>
            <w:shd w:val="clear" w:color="auto" w:fill="auto"/>
          </w:tcPr>
          <w:p w14:paraId="23BEA472" w14:textId="77777777" w:rsidR="001D559C" w:rsidRPr="00E05465" w:rsidRDefault="001D559C" w:rsidP="000D02AC">
            <w:pPr>
              <w:pStyle w:val="PBACTabletext"/>
              <w:keepNext/>
              <w:keepLines/>
              <w:spacing w:after="0"/>
              <w:rPr>
                <w:b/>
              </w:rPr>
            </w:pPr>
          </w:p>
        </w:tc>
        <w:tc>
          <w:tcPr>
            <w:tcW w:w="1237" w:type="pct"/>
            <w:shd w:val="clear" w:color="auto" w:fill="auto"/>
          </w:tcPr>
          <w:p w14:paraId="63B760B6" w14:textId="7668A4AB" w:rsidR="001D559C" w:rsidRPr="00E05465" w:rsidRDefault="00745F51" w:rsidP="000D02AC">
            <w:pPr>
              <w:pStyle w:val="PBACTabletext"/>
              <w:keepNext/>
              <w:keepLines/>
              <w:spacing w:after="0"/>
              <w:rPr>
                <w:b/>
              </w:rPr>
            </w:pPr>
            <w:r w:rsidRPr="00E05465">
              <w:rPr>
                <w:b/>
              </w:rPr>
              <w:t xml:space="preserve">Ravulizumab </w:t>
            </w:r>
            <w:r w:rsidR="001D559C" w:rsidRPr="00E05465">
              <w:rPr>
                <w:b/>
              </w:rPr>
              <w:t>Study 304 Complement inhibitor treatment-naïve cohort (N=4)</w:t>
            </w:r>
          </w:p>
        </w:tc>
        <w:tc>
          <w:tcPr>
            <w:tcW w:w="1265" w:type="pct"/>
            <w:shd w:val="clear" w:color="auto" w:fill="auto"/>
          </w:tcPr>
          <w:p w14:paraId="0D0601E8" w14:textId="76D77AC1" w:rsidR="001D559C" w:rsidRPr="00E05465" w:rsidRDefault="00745F51" w:rsidP="000D02AC">
            <w:pPr>
              <w:pStyle w:val="PBACTabletext"/>
              <w:keepNext/>
              <w:keepLines/>
              <w:spacing w:after="0"/>
              <w:rPr>
                <w:b/>
              </w:rPr>
            </w:pPr>
            <w:r w:rsidRPr="00E05465">
              <w:rPr>
                <w:b/>
              </w:rPr>
              <w:t xml:space="preserve">Eculizumab </w:t>
            </w:r>
            <w:r w:rsidR="001D559C" w:rsidRPr="00E05465">
              <w:rPr>
                <w:b/>
              </w:rPr>
              <w:t>M07-005 Complement inhibitor treatment-naïve cohort (N=7)</w:t>
            </w:r>
          </w:p>
        </w:tc>
      </w:tr>
      <w:tr w:rsidR="00E05465" w:rsidRPr="00E05465" w14:paraId="64516EF7" w14:textId="77777777" w:rsidTr="001D559C">
        <w:trPr>
          <w:cantSplit/>
        </w:trPr>
        <w:tc>
          <w:tcPr>
            <w:tcW w:w="1638" w:type="pct"/>
            <w:tcBorders>
              <w:right w:val="nil"/>
            </w:tcBorders>
            <w:shd w:val="clear" w:color="auto" w:fill="auto"/>
          </w:tcPr>
          <w:p w14:paraId="71742664" w14:textId="77777777" w:rsidR="001D559C" w:rsidRPr="00E05465" w:rsidRDefault="001D559C" w:rsidP="000D02AC">
            <w:pPr>
              <w:pStyle w:val="PBACTabletext"/>
              <w:keepNext/>
              <w:keepLines/>
              <w:spacing w:after="0"/>
              <w:rPr>
                <w:b/>
              </w:rPr>
            </w:pPr>
            <w:r w:rsidRPr="00E05465">
              <w:rPr>
                <w:b/>
              </w:rPr>
              <w:t>LDH (U/L)</w:t>
            </w:r>
          </w:p>
        </w:tc>
        <w:tc>
          <w:tcPr>
            <w:tcW w:w="859" w:type="pct"/>
            <w:tcBorders>
              <w:left w:val="nil"/>
              <w:right w:val="nil"/>
            </w:tcBorders>
            <w:shd w:val="clear" w:color="auto" w:fill="auto"/>
          </w:tcPr>
          <w:p w14:paraId="0FF1C8A9" w14:textId="77777777" w:rsidR="001D559C" w:rsidRPr="00E05465" w:rsidRDefault="001D559C" w:rsidP="000D02AC">
            <w:pPr>
              <w:pStyle w:val="PBACTabletext"/>
              <w:keepNext/>
              <w:keepLines/>
              <w:spacing w:after="0"/>
            </w:pPr>
          </w:p>
        </w:tc>
        <w:tc>
          <w:tcPr>
            <w:tcW w:w="1237" w:type="pct"/>
            <w:tcBorders>
              <w:left w:val="nil"/>
              <w:right w:val="nil"/>
            </w:tcBorders>
            <w:shd w:val="clear" w:color="auto" w:fill="auto"/>
          </w:tcPr>
          <w:p w14:paraId="49ABB876" w14:textId="77777777" w:rsidR="001D559C" w:rsidRPr="00E05465" w:rsidRDefault="001D559C" w:rsidP="000D02AC">
            <w:pPr>
              <w:pStyle w:val="PBACTabletext"/>
              <w:keepNext/>
              <w:keepLines/>
              <w:spacing w:after="0"/>
            </w:pPr>
          </w:p>
        </w:tc>
        <w:tc>
          <w:tcPr>
            <w:tcW w:w="1265" w:type="pct"/>
            <w:tcBorders>
              <w:left w:val="nil"/>
            </w:tcBorders>
            <w:shd w:val="clear" w:color="auto" w:fill="auto"/>
          </w:tcPr>
          <w:p w14:paraId="5BD06221" w14:textId="77777777" w:rsidR="001D559C" w:rsidRPr="00E05465" w:rsidRDefault="001D559C" w:rsidP="000D02AC">
            <w:pPr>
              <w:pStyle w:val="PBACTabletext"/>
              <w:keepNext/>
              <w:keepLines/>
              <w:spacing w:after="0"/>
            </w:pPr>
          </w:p>
        </w:tc>
      </w:tr>
      <w:tr w:rsidR="00E05465" w:rsidRPr="00E05465" w14:paraId="0E52CCDC" w14:textId="77777777" w:rsidTr="001D559C">
        <w:trPr>
          <w:cantSplit/>
        </w:trPr>
        <w:tc>
          <w:tcPr>
            <w:tcW w:w="1638" w:type="pct"/>
            <w:vMerge w:val="restart"/>
            <w:shd w:val="clear" w:color="auto" w:fill="auto"/>
          </w:tcPr>
          <w:p w14:paraId="231AF7E9" w14:textId="77777777" w:rsidR="001D559C" w:rsidRPr="00E05465" w:rsidRDefault="001D559C" w:rsidP="000D02AC">
            <w:pPr>
              <w:pStyle w:val="PBACTabletext"/>
              <w:keepNext/>
              <w:keepLines/>
              <w:spacing w:after="0"/>
            </w:pPr>
            <w:r w:rsidRPr="00E05465">
              <w:t xml:space="preserve">Baseline </w:t>
            </w:r>
          </w:p>
        </w:tc>
        <w:tc>
          <w:tcPr>
            <w:tcW w:w="859" w:type="pct"/>
            <w:tcBorders>
              <w:bottom w:val="dotted" w:sz="4" w:space="0" w:color="auto"/>
            </w:tcBorders>
            <w:shd w:val="clear" w:color="auto" w:fill="auto"/>
          </w:tcPr>
          <w:p w14:paraId="5CA57AFD" w14:textId="77777777" w:rsidR="001D559C" w:rsidRPr="00E05465" w:rsidRDefault="001D559C" w:rsidP="000D02AC">
            <w:pPr>
              <w:pStyle w:val="PBACTabletext"/>
              <w:keepNext/>
              <w:keepLines/>
              <w:spacing w:after="0"/>
            </w:pPr>
            <w:r w:rsidRPr="00E05465">
              <w:t>Mean (SD)</w:t>
            </w:r>
          </w:p>
        </w:tc>
        <w:tc>
          <w:tcPr>
            <w:tcW w:w="1237" w:type="pct"/>
            <w:tcBorders>
              <w:bottom w:val="dotted" w:sz="4" w:space="0" w:color="auto"/>
            </w:tcBorders>
            <w:shd w:val="clear" w:color="auto" w:fill="auto"/>
          </w:tcPr>
          <w:p w14:paraId="536C117A" w14:textId="77777777" w:rsidR="001D559C" w:rsidRPr="00E05465" w:rsidRDefault="001D559C" w:rsidP="000D02AC">
            <w:pPr>
              <w:pStyle w:val="PBACTabletext"/>
              <w:keepNext/>
              <w:keepLines/>
              <w:spacing w:after="0"/>
            </w:pPr>
            <w:r w:rsidRPr="00E05465">
              <w:t>961.38 (874.30)</w:t>
            </w:r>
          </w:p>
        </w:tc>
        <w:tc>
          <w:tcPr>
            <w:tcW w:w="1265" w:type="pct"/>
            <w:tcBorders>
              <w:bottom w:val="dotted" w:sz="4" w:space="0" w:color="auto"/>
            </w:tcBorders>
            <w:shd w:val="clear" w:color="auto" w:fill="auto"/>
          </w:tcPr>
          <w:p w14:paraId="73E75FCA" w14:textId="77777777" w:rsidR="001D559C" w:rsidRPr="00E05465" w:rsidRDefault="001D559C" w:rsidP="000D02AC">
            <w:pPr>
              <w:pStyle w:val="PBACTabletext"/>
              <w:keepNext/>
              <w:keepLines/>
              <w:spacing w:after="0"/>
            </w:pPr>
            <w:r w:rsidRPr="00E05465">
              <w:t>1019.6 (967.34)</w:t>
            </w:r>
          </w:p>
        </w:tc>
      </w:tr>
      <w:tr w:rsidR="00E05465" w:rsidRPr="00E05465" w14:paraId="7606B589" w14:textId="77777777" w:rsidTr="001D559C">
        <w:trPr>
          <w:cantSplit/>
        </w:trPr>
        <w:tc>
          <w:tcPr>
            <w:tcW w:w="1638" w:type="pct"/>
            <w:vMerge/>
            <w:shd w:val="clear" w:color="auto" w:fill="auto"/>
          </w:tcPr>
          <w:p w14:paraId="1989CCCC" w14:textId="77777777" w:rsidR="001D559C" w:rsidRPr="00E05465" w:rsidRDefault="001D559C" w:rsidP="000D02AC">
            <w:pPr>
              <w:pStyle w:val="PBACTabletext"/>
              <w:keepNext/>
              <w:keepLines/>
              <w:spacing w:after="0"/>
            </w:pPr>
          </w:p>
        </w:tc>
        <w:tc>
          <w:tcPr>
            <w:tcW w:w="859" w:type="pct"/>
            <w:tcBorders>
              <w:top w:val="dotted" w:sz="4" w:space="0" w:color="auto"/>
            </w:tcBorders>
            <w:shd w:val="clear" w:color="auto" w:fill="auto"/>
          </w:tcPr>
          <w:p w14:paraId="56825C6A" w14:textId="77777777" w:rsidR="001D559C" w:rsidRPr="00E05465" w:rsidRDefault="001D559C" w:rsidP="000D02AC">
            <w:pPr>
              <w:pStyle w:val="PBACTabletext"/>
              <w:keepNext/>
              <w:keepLines/>
              <w:spacing w:after="0"/>
            </w:pPr>
            <w:r w:rsidRPr="00E05465">
              <w:t>Median (range)</w:t>
            </w:r>
          </w:p>
        </w:tc>
        <w:tc>
          <w:tcPr>
            <w:tcW w:w="1237" w:type="pct"/>
            <w:tcBorders>
              <w:top w:val="dotted" w:sz="4" w:space="0" w:color="auto"/>
            </w:tcBorders>
            <w:shd w:val="clear" w:color="auto" w:fill="auto"/>
          </w:tcPr>
          <w:p w14:paraId="62203216" w14:textId="77777777" w:rsidR="001D559C" w:rsidRPr="00E05465" w:rsidRDefault="001D559C" w:rsidP="000D02AC">
            <w:pPr>
              <w:pStyle w:val="PBACTabletext"/>
              <w:keepNext/>
              <w:keepLines/>
              <w:spacing w:after="0"/>
            </w:pPr>
            <w:r w:rsidRPr="00E05465">
              <w:t>565.90 (444.00, 2269.70)</w:t>
            </w:r>
          </w:p>
        </w:tc>
        <w:tc>
          <w:tcPr>
            <w:tcW w:w="1265" w:type="pct"/>
            <w:tcBorders>
              <w:top w:val="dotted" w:sz="4" w:space="0" w:color="auto"/>
            </w:tcBorders>
            <w:shd w:val="clear" w:color="auto" w:fill="auto"/>
          </w:tcPr>
          <w:p w14:paraId="082E5F32" w14:textId="77777777" w:rsidR="001D559C" w:rsidRPr="00E05465" w:rsidRDefault="001D559C" w:rsidP="000D02AC">
            <w:pPr>
              <w:pStyle w:val="PBACTabletext"/>
              <w:keepNext/>
              <w:keepLines/>
              <w:spacing w:after="0"/>
            </w:pPr>
            <w:r w:rsidRPr="00E05465">
              <w:t>651.0 (308.00, 3144.00)</w:t>
            </w:r>
          </w:p>
        </w:tc>
      </w:tr>
      <w:tr w:rsidR="00E05465" w:rsidRPr="00E05465" w14:paraId="03FAED0F" w14:textId="77777777" w:rsidTr="001D559C">
        <w:trPr>
          <w:cantSplit/>
          <w:trHeight w:val="129"/>
        </w:trPr>
        <w:tc>
          <w:tcPr>
            <w:tcW w:w="1638" w:type="pct"/>
            <w:vMerge w:val="restart"/>
            <w:shd w:val="clear" w:color="auto" w:fill="auto"/>
          </w:tcPr>
          <w:p w14:paraId="7A6F47B2" w14:textId="77777777" w:rsidR="001D559C" w:rsidRPr="00E05465" w:rsidRDefault="001D559C" w:rsidP="000D02AC">
            <w:pPr>
              <w:pStyle w:val="PBACTabletext"/>
              <w:keepNext/>
              <w:keepLines/>
              <w:spacing w:after="0"/>
            </w:pPr>
            <w:r w:rsidRPr="00E05465">
              <w:t xml:space="preserve">End of study </w:t>
            </w:r>
          </w:p>
          <w:p w14:paraId="1A1E6C7B" w14:textId="77777777" w:rsidR="001D559C" w:rsidRPr="00E05465" w:rsidRDefault="001D559C" w:rsidP="000D02AC">
            <w:pPr>
              <w:pStyle w:val="PBACTabletext"/>
              <w:keepNext/>
              <w:keepLines/>
              <w:spacing w:after="0"/>
            </w:pPr>
            <w:r w:rsidRPr="00E05465">
              <w:t>(Study 304: 26 weeks; M07-005: 12 weeks)</w:t>
            </w:r>
          </w:p>
        </w:tc>
        <w:tc>
          <w:tcPr>
            <w:tcW w:w="859" w:type="pct"/>
            <w:tcBorders>
              <w:bottom w:val="dotted" w:sz="4" w:space="0" w:color="auto"/>
            </w:tcBorders>
            <w:shd w:val="clear" w:color="auto" w:fill="auto"/>
          </w:tcPr>
          <w:p w14:paraId="1C34650E" w14:textId="77777777" w:rsidR="001D559C" w:rsidRPr="00E05465" w:rsidRDefault="001D559C" w:rsidP="000D02AC">
            <w:pPr>
              <w:pStyle w:val="PBACTabletext"/>
              <w:keepNext/>
              <w:keepLines/>
              <w:spacing w:after="0"/>
            </w:pPr>
            <w:r w:rsidRPr="00E05465">
              <w:t>Mean (SD)</w:t>
            </w:r>
          </w:p>
        </w:tc>
        <w:tc>
          <w:tcPr>
            <w:tcW w:w="1237" w:type="pct"/>
            <w:tcBorders>
              <w:bottom w:val="dotted" w:sz="4" w:space="0" w:color="auto"/>
            </w:tcBorders>
            <w:shd w:val="clear" w:color="auto" w:fill="auto"/>
          </w:tcPr>
          <w:p w14:paraId="211590AC" w14:textId="77777777" w:rsidR="001D559C" w:rsidRPr="00E05465" w:rsidRDefault="001D559C" w:rsidP="000D02AC">
            <w:pPr>
              <w:pStyle w:val="PBACTabletext"/>
              <w:keepNext/>
              <w:keepLines/>
              <w:spacing w:after="0"/>
            </w:pPr>
            <w:r w:rsidRPr="00E05465">
              <w:t>321.00 (212.68)</w:t>
            </w:r>
          </w:p>
        </w:tc>
        <w:tc>
          <w:tcPr>
            <w:tcW w:w="1265" w:type="pct"/>
            <w:tcBorders>
              <w:bottom w:val="dotted" w:sz="4" w:space="0" w:color="auto"/>
            </w:tcBorders>
            <w:shd w:val="clear" w:color="auto" w:fill="auto"/>
          </w:tcPr>
          <w:p w14:paraId="535BCE01" w14:textId="77777777" w:rsidR="001D559C" w:rsidRPr="00E05465" w:rsidRDefault="001D559C" w:rsidP="000D02AC">
            <w:pPr>
              <w:pStyle w:val="PBACTabletext"/>
              <w:keepNext/>
              <w:keepLines/>
              <w:spacing w:after="0"/>
            </w:pPr>
            <w:r w:rsidRPr="00E05465">
              <w:t>248.4 (72.36)</w:t>
            </w:r>
          </w:p>
        </w:tc>
      </w:tr>
      <w:tr w:rsidR="00E05465" w:rsidRPr="00E05465" w14:paraId="4F10299C" w14:textId="77777777" w:rsidTr="001D559C">
        <w:trPr>
          <w:cantSplit/>
        </w:trPr>
        <w:tc>
          <w:tcPr>
            <w:tcW w:w="1638" w:type="pct"/>
            <w:vMerge/>
            <w:shd w:val="clear" w:color="auto" w:fill="auto"/>
          </w:tcPr>
          <w:p w14:paraId="4C65131E" w14:textId="77777777" w:rsidR="001D559C" w:rsidRPr="00E05465" w:rsidRDefault="001D559C" w:rsidP="000D02AC">
            <w:pPr>
              <w:pStyle w:val="PBACTabletext"/>
              <w:keepNext/>
              <w:keepLines/>
              <w:spacing w:after="0"/>
            </w:pPr>
          </w:p>
        </w:tc>
        <w:tc>
          <w:tcPr>
            <w:tcW w:w="859" w:type="pct"/>
            <w:tcBorders>
              <w:top w:val="dotted" w:sz="4" w:space="0" w:color="auto"/>
            </w:tcBorders>
            <w:shd w:val="clear" w:color="auto" w:fill="auto"/>
          </w:tcPr>
          <w:p w14:paraId="5C9B485A" w14:textId="77777777" w:rsidR="001D559C" w:rsidRPr="00E05465" w:rsidRDefault="001D559C" w:rsidP="000D02AC">
            <w:pPr>
              <w:pStyle w:val="PBACTabletext"/>
              <w:keepNext/>
              <w:keepLines/>
              <w:spacing w:after="0"/>
            </w:pPr>
            <w:r w:rsidRPr="00E05465">
              <w:t>Median (range)</w:t>
            </w:r>
          </w:p>
        </w:tc>
        <w:tc>
          <w:tcPr>
            <w:tcW w:w="1237" w:type="pct"/>
            <w:tcBorders>
              <w:top w:val="dotted" w:sz="4" w:space="0" w:color="auto"/>
            </w:tcBorders>
            <w:shd w:val="clear" w:color="auto" w:fill="auto"/>
          </w:tcPr>
          <w:p w14:paraId="4C339876" w14:textId="77777777" w:rsidR="001D559C" w:rsidRPr="00E05465" w:rsidRDefault="001D559C" w:rsidP="000D02AC">
            <w:pPr>
              <w:pStyle w:val="PBACTabletext"/>
              <w:keepNext/>
              <w:keepLines/>
              <w:spacing w:after="0"/>
            </w:pPr>
            <w:r w:rsidRPr="00E05465">
              <w:t>226.00 (195, 64)</w:t>
            </w:r>
          </w:p>
        </w:tc>
        <w:tc>
          <w:tcPr>
            <w:tcW w:w="1265" w:type="pct"/>
            <w:tcBorders>
              <w:top w:val="dotted" w:sz="4" w:space="0" w:color="auto"/>
            </w:tcBorders>
            <w:shd w:val="clear" w:color="auto" w:fill="auto"/>
          </w:tcPr>
          <w:p w14:paraId="726CB2B1" w14:textId="77777777" w:rsidR="001D559C" w:rsidRPr="00E05465" w:rsidRDefault="001D559C" w:rsidP="000D02AC">
            <w:pPr>
              <w:pStyle w:val="PBACTabletext"/>
              <w:keepNext/>
              <w:keepLines/>
              <w:spacing w:after="0"/>
            </w:pPr>
            <w:r w:rsidRPr="00E05465">
              <w:t>217.0 (161, 38)</w:t>
            </w:r>
          </w:p>
        </w:tc>
      </w:tr>
      <w:tr w:rsidR="00E05465" w:rsidRPr="00E05465" w14:paraId="2D894447" w14:textId="77777777" w:rsidTr="001D559C">
        <w:trPr>
          <w:cantSplit/>
        </w:trPr>
        <w:tc>
          <w:tcPr>
            <w:tcW w:w="1638" w:type="pct"/>
            <w:vMerge w:val="restart"/>
            <w:shd w:val="clear" w:color="auto" w:fill="auto"/>
          </w:tcPr>
          <w:p w14:paraId="3A192282" w14:textId="77777777" w:rsidR="001D559C" w:rsidRPr="00E05465" w:rsidRDefault="001D559C" w:rsidP="000D02AC">
            <w:pPr>
              <w:pStyle w:val="PBACTabletext"/>
              <w:keepNext/>
              <w:keepLines/>
              <w:spacing w:after="0"/>
            </w:pPr>
            <w:r w:rsidRPr="00E05465">
              <w:t>Change from Baseline</w:t>
            </w:r>
          </w:p>
        </w:tc>
        <w:tc>
          <w:tcPr>
            <w:tcW w:w="859" w:type="pct"/>
            <w:tcBorders>
              <w:bottom w:val="dotted" w:sz="4" w:space="0" w:color="auto"/>
            </w:tcBorders>
            <w:shd w:val="clear" w:color="auto" w:fill="auto"/>
          </w:tcPr>
          <w:p w14:paraId="714DB116" w14:textId="77777777" w:rsidR="001D559C" w:rsidRPr="00E05465" w:rsidRDefault="001D559C" w:rsidP="000D02AC">
            <w:pPr>
              <w:pStyle w:val="PBACTabletext"/>
              <w:keepNext/>
              <w:keepLines/>
              <w:spacing w:after="0"/>
            </w:pPr>
            <w:r w:rsidRPr="00E05465">
              <w:t>Mean (SD)</w:t>
            </w:r>
          </w:p>
        </w:tc>
        <w:tc>
          <w:tcPr>
            <w:tcW w:w="1237" w:type="pct"/>
            <w:tcBorders>
              <w:bottom w:val="dotted" w:sz="4" w:space="0" w:color="auto"/>
            </w:tcBorders>
            <w:shd w:val="clear" w:color="auto" w:fill="auto"/>
          </w:tcPr>
          <w:p w14:paraId="4C8F8D5B" w14:textId="77777777" w:rsidR="001D559C" w:rsidRPr="00E05465" w:rsidRDefault="001D559C" w:rsidP="000D02AC">
            <w:pPr>
              <w:pStyle w:val="PBACTabletext"/>
              <w:keepNext/>
              <w:keepLines/>
              <w:spacing w:after="0"/>
            </w:pPr>
            <w:r w:rsidRPr="00E05465">
              <w:t>-640.38 (988.69)</w:t>
            </w:r>
          </w:p>
        </w:tc>
        <w:tc>
          <w:tcPr>
            <w:tcW w:w="1265" w:type="pct"/>
            <w:tcBorders>
              <w:bottom w:val="dotted" w:sz="4" w:space="0" w:color="auto"/>
            </w:tcBorders>
            <w:shd w:val="clear" w:color="auto" w:fill="auto"/>
          </w:tcPr>
          <w:p w14:paraId="3A2EB958" w14:textId="77777777" w:rsidR="001D559C" w:rsidRPr="00E05465" w:rsidRDefault="001D559C" w:rsidP="000D02AC">
            <w:pPr>
              <w:pStyle w:val="PBACTabletext"/>
              <w:keepNext/>
              <w:keepLines/>
              <w:spacing w:after="0"/>
            </w:pPr>
            <w:r w:rsidRPr="00E05465">
              <w:t>-771.1 (914.19)</w:t>
            </w:r>
          </w:p>
        </w:tc>
      </w:tr>
      <w:tr w:rsidR="00E05465" w:rsidRPr="00E05465" w14:paraId="346632D0" w14:textId="77777777" w:rsidTr="001D559C">
        <w:trPr>
          <w:cantSplit/>
        </w:trPr>
        <w:tc>
          <w:tcPr>
            <w:tcW w:w="1638" w:type="pct"/>
            <w:vMerge/>
            <w:shd w:val="clear" w:color="auto" w:fill="auto"/>
          </w:tcPr>
          <w:p w14:paraId="060D336F" w14:textId="77777777" w:rsidR="001D559C" w:rsidRPr="00E05465" w:rsidRDefault="001D559C" w:rsidP="000D02AC">
            <w:pPr>
              <w:pStyle w:val="PBACTabletext"/>
              <w:keepNext/>
              <w:keepLines/>
              <w:spacing w:after="0"/>
            </w:pPr>
          </w:p>
        </w:tc>
        <w:tc>
          <w:tcPr>
            <w:tcW w:w="859" w:type="pct"/>
            <w:tcBorders>
              <w:top w:val="dotted" w:sz="4" w:space="0" w:color="auto"/>
            </w:tcBorders>
            <w:shd w:val="clear" w:color="auto" w:fill="auto"/>
          </w:tcPr>
          <w:p w14:paraId="437AE26B" w14:textId="77777777" w:rsidR="001D559C" w:rsidRPr="00E05465" w:rsidRDefault="001D559C" w:rsidP="000D02AC">
            <w:pPr>
              <w:pStyle w:val="PBACTabletext"/>
              <w:keepNext/>
              <w:keepLines/>
              <w:spacing w:after="0"/>
            </w:pPr>
            <w:r w:rsidRPr="00E05465">
              <w:t>Median (range)</w:t>
            </w:r>
          </w:p>
        </w:tc>
        <w:tc>
          <w:tcPr>
            <w:tcW w:w="1237" w:type="pct"/>
            <w:tcBorders>
              <w:top w:val="dotted" w:sz="4" w:space="0" w:color="auto"/>
            </w:tcBorders>
            <w:shd w:val="clear" w:color="auto" w:fill="auto"/>
          </w:tcPr>
          <w:p w14:paraId="5C4D0C72" w14:textId="77777777" w:rsidR="001D559C" w:rsidRPr="00E05465" w:rsidRDefault="001D559C" w:rsidP="000D02AC">
            <w:pPr>
              <w:pStyle w:val="PBACTabletext"/>
              <w:keepNext/>
              <w:keepLines/>
              <w:spacing w:after="0"/>
            </w:pPr>
            <w:r w:rsidRPr="00E05465">
              <w:t>-339.90 (-2074.70, 193.00)</w:t>
            </w:r>
          </w:p>
        </w:tc>
        <w:tc>
          <w:tcPr>
            <w:tcW w:w="1265" w:type="pct"/>
            <w:tcBorders>
              <w:top w:val="dotted" w:sz="4" w:space="0" w:color="auto"/>
            </w:tcBorders>
            <w:shd w:val="clear" w:color="auto" w:fill="auto"/>
          </w:tcPr>
          <w:p w14:paraId="12E348A2" w14:textId="77777777" w:rsidR="001D559C" w:rsidRPr="00E05465" w:rsidRDefault="001D559C" w:rsidP="000D02AC">
            <w:pPr>
              <w:pStyle w:val="PBACTabletext"/>
              <w:keepNext/>
              <w:keepLines/>
              <w:spacing w:after="0"/>
            </w:pPr>
            <w:r w:rsidRPr="00E05465">
              <w:t>-467.00 (-2768.00, -103.00)</w:t>
            </w:r>
          </w:p>
        </w:tc>
      </w:tr>
      <w:tr w:rsidR="00E05465" w:rsidRPr="00E05465" w14:paraId="4218EC30" w14:textId="77777777" w:rsidTr="001D559C">
        <w:trPr>
          <w:cantSplit/>
        </w:trPr>
        <w:tc>
          <w:tcPr>
            <w:tcW w:w="1638" w:type="pct"/>
            <w:vMerge w:val="restart"/>
            <w:shd w:val="clear" w:color="auto" w:fill="auto"/>
          </w:tcPr>
          <w:p w14:paraId="4FB825BC" w14:textId="77777777" w:rsidR="001D559C" w:rsidRPr="00E05465" w:rsidRDefault="001D559C" w:rsidP="000D02AC">
            <w:pPr>
              <w:pStyle w:val="PBACTabletext"/>
              <w:keepNext/>
              <w:keepLines/>
              <w:spacing w:after="0"/>
            </w:pPr>
            <w:r w:rsidRPr="00E05465">
              <w:t>Percentage change from Baseline, %</w:t>
            </w:r>
          </w:p>
        </w:tc>
        <w:tc>
          <w:tcPr>
            <w:tcW w:w="859" w:type="pct"/>
            <w:tcBorders>
              <w:bottom w:val="dotted" w:sz="4" w:space="0" w:color="auto"/>
            </w:tcBorders>
            <w:shd w:val="clear" w:color="auto" w:fill="auto"/>
          </w:tcPr>
          <w:p w14:paraId="668C84C5" w14:textId="77777777" w:rsidR="001D559C" w:rsidRPr="00E05465" w:rsidRDefault="001D559C" w:rsidP="000D02AC">
            <w:pPr>
              <w:pStyle w:val="PBACTabletext"/>
              <w:keepNext/>
              <w:keepLines/>
              <w:spacing w:after="0"/>
            </w:pPr>
            <w:r w:rsidRPr="00E05465">
              <w:t>Mean (SD)</w:t>
            </w:r>
          </w:p>
        </w:tc>
        <w:tc>
          <w:tcPr>
            <w:tcW w:w="1237" w:type="pct"/>
            <w:tcBorders>
              <w:bottom w:val="dotted" w:sz="4" w:space="0" w:color="auto"/>
            </w:tcBorders>
            <w:shd w:val="clear" w:color="auto" w:fill="auto"/>
          </w:tcPr>
          <w:p w14:paraId="37CE73DA" w14:textId="77777777" w:rsidR="001D559C" w:rsidRPr="00E05465" w:rsidRDefault="001D559C" w:rsidP="000D02AC">
            <w:pPr>
              <w:pStyle w:val="PBACTabletext"/>
              <w:keepNext/>
              <w:keepLines/>
              <w:spacing w:after="0"/>
            </w:pPr>
            <w:r w:rsidRPr="00E05465">
              <w:t>-42.09 (58.99)</w:t>
            </w:r>
          </w:p>
        </w:tc>
        <w:tc>
          <w:tcPr>
            <w:tcW w:w="1265" w:type="pct"/>
            <w:tcBorders>
              <w:bottom w:val="dotted" w:sz="4" w:space="0" w:color="auto"/>
            </w:tcBorders>
            <w:shd w:val="clear" w:color="auto" w:fill="auto"/>
          </w:tcPr>
          <w:p w14:paraId="063F3675" w14:textId="77777777" w:rsidR="001D559C" w:rsidRPr="00E05465" w:rsidRDefault="001D559C" w:rsidP="000D02AC">
            <w:pPr>
              <w:pStyle w:val="PBACTabletext"/>
              <w:keepNext/>
              <w:keepLines/>
              <w:spacing w:after="0"/>
            </w:pPr>
            <w:r w:rsidRPr="00E05465">
              <w:t>-64.70 (19.29)</w:t>
            </w:r>
          </w:p>
        </w:tc>
      </w:tr>
      <w:tr w:rsidR="00E05465" w:rsidRPr="00E05465" w14:paraId="6B1D98A3" w14:textId="77777777" w:rsidTr="001D559C">
        <w:trPr>
          <w:cantSplit/>
        </w:trPr>
        <w:tc>
          <w:tcPr>
            <w:tcW w:w="1638" w:type="pct"/>
            <w:vMerge/>
            <w:shd w:val="clear" w:color="auto" w:fill="auto"/>
          </w:tcPr>
          <w:p w14:paraId="5129C46E" w14:textId="77777777" w:rsidR="001D559C" w:rsidRPr="00E05465" w:rsidRDefault="001D559C" w:rsidP="000D02AC">
            <w:pPr>
              <w:pStyle w:val="PBACTabletext"/>
              <w:keepNext/>
              <w:keepLines/>
              <w:spacing w:after="0"/>
            </w:pPr>
          </w:p>
        </w:tc>
        <w:tc>
          <w:tcPr>
            <w:tcW w:w="859" w:type="pct"/>
            <w:tcBorders>
              <w:top w:val="dotted" w:sz="4" w:space="0" w:color="auto"/>
            </w:tcBorders>
            <w:shd w:val="clear" w:color="auto" w:fill="auto"/>
          </w:tcPr>
          <w:p w14:paraId="4A618561" w14:textId="77777777" w:rsidR="001D559C" w:rsidRPr="00E05465" w:rsidRDefault="001D559C" w:rsidP="000D02AC">
            <w:pPr>
              <w:pStyle w:val="PBACTabletext"/>
              <w:keepNext/>
              <w:keepLines/>
              <w:spacing w:after="0"/>
            </w:pPr>
            <w:r w:rsidRPr="00E05465">
              <w:t>Median (range)</w:t>
            </w:r>
          </w:p>
        </w:tc>
        <w:tc>
          <w:tcPr>
            <w:tcW w:w="1237" w:type="pct"/>
            <w:tcBorders>
              <w:top w:val="dotted" w:sz="4" w:space="0" w:color="auto"/>
            </w:tcBorders>
            <w:shd w:val="clear" w:color="auto" w:fill="auto"/>
          </w:tcPr>
          <w:p w14:paraId="1A46B6C7" w14:textId="77777777" w:rsidR="001D559C" w:rsidRPr="00E05465" w:rsidRDefault="001D559C" w:rsidP="000D02AC">
            <w:pPr>
              <w:pStyle w:val="PBACTabletext"/>
              <w:keepNext/>
              <w:keepLines/>
              <w:spacing w:after="0"/>
            </w:pPr>
            <w:r w:rsidRPr="00E05465">
              <w:t>-60.22 (-91.40, 43.50)</w:t>
            </w:r>
          </w:p>
        </w:tc>
        <w:tc>
          <w:tcPr>
            <w:tcW w:w="1265" w:type="pct"/>
            <w:tcBorders>
              <w:top w:val="dotted" w:sz="4" w:space="0" w:color="auto"/>
            </w:tcBorders>
            <w:shd w:val="clear" w:color="auto" w:fill="auto"/>
          </w:tcPr>
          <w:p w14:paraId="25DEB049" w14:textId="77777777" w:rsidR="001D559C" w:rsidRPr="00E05465" w:rsidRDefault="001D559C" w:rsidP="000D02AC">
            <w:pPr>
              <w:pStyle w:val="PBACTabletext"/>
              <w:keepNext/>
              <w:keepLines/>
              <w:spacing w:after="0"/>
            </w:pPr>
            <w:r w:rsidRPr="00E05465">
              <w:t>-66.70 (-88.00, -33.40)</w:t>
            </w:r>
          </w:p>
        </w:tc>
      </w:tr>
      <w:tr w:rsidR="00E05465" w:rsidRPr="00E05465" w14:paraId="1F837048" w14:textId="77777777" w:rsidTr="001D559C">
        <w:trPr>
          <w:cantSplit/>
        </w:trPr>
        <w:tc>
          <w:tcPr>
            <w:tcW w:w="1638" w:type="pct"/>
            <w:tcBorders>
              <w:right w:val="nil"/>
            </w:tcBorders>
            <w:shd w:val="clear" w:color="auto" w:fill="auto"/>
          </w:tcPr>
          <w:p w14:paraId="6975A74A" w14:textId="77777777" w:rsidR="001D559C" w:rsidRPr="00E05465" w:rsidRDefault="001D559C" w:rsidP="000D02AC">
            <w:pPr>
              <w:pStyle w:val="PBACTabletext"/>
              <w:keepNext/>
              <w:keepLines/>
              <w:spacing w:after="0"/>
              <w:rPr>
                <w:b/>
              </w:rPr>
            </w:pPr>
            <w:r w:rsidRPr="00E05465">
              <w:rPr>
                <w:b/>
              </w:rPr>
              <w:t>Free haemoglobin (mg/dL)</w:t>
            </w:r>
          </w:p>
        </w:tc>
        <w:tc>
          <w:tcPr>
            <w:tcW w:w="859" w:type="pct"/>
            <w:tcBorders>
              <w:left w:val="nil"/>
              <w:right w:val="nil"/>
            </w:tcBorders>
            <w:shd w:val="clear" w:color="auto" w:fill="auto"/>
          </w:tcPr>
          <w:p w14:paraId="619FA84F" w14:textId="77777777" w:rsidR="001D559C" w:rsidRPr="00E05465" w:rsidRDefault="001D559C" w:rsidP="000D02AC">
            <w:pPr>
              <w:pStyle w:val="PBACTabletext"/>
              <w:keepNext/>
              <w:keepLines/>
              <w:spacing w:after="0"/>
            </w:pPr>
          </w:p>
        </w:tc>
        <w:tc>
          <w:tcPr>
            <w:tcW w:w="1237" w:type="pct"/>
            <w:tcBorders>
              <w:left w:val="nil"/>
              <w:right w:val="nil"/>
            </w:tcBorders>
            <w:shd w:val="clear" w:color="auto" w:fill="auto"/>
          </w:tcPr>
          <w:p w14:paraId="4508C427" w14:textId="77777777" w:rsidR="001D559C" w:rsidRPr="00E05465" w:rsidRDefault="001D559C" w:rsidP="000D02AC">
            <w:pPr>
              <w:pStyle w:val="PBACTabletext"/>
              <w:keepNext/>
              <w:keepLines/>
              <w:spacing w:after="0"/>
            </w:pPr>
          </w:p>
        </w:tc>
        <w:tc>
          <w:tcPr>
            <w:tcW w:w="1265" w:type="pct"/>
            <w:tcBorders>
              <w:left w:val="nil"/>
            </w:tcBorders>
            <w:shd w:val="clear" w:color="auto" w:fill="auto"/>
          </w:tcPr>
          <w:p w14:paraId="7C59E3C1" w14:textId="77777777" w:rsidR="001D559C" w:rsidRPr="00E05465" w:rsidRDefault="001D559C" w:rsidP="000D02AC">
            <w:pPr>
              <w:pStyle w:val="PBACTabletext"/>
              <w:keepNext/>
              <w:keepLines/>
              <w:spacing w:after="0"/>
            </w:pPr>
          </w:p>
        </w:tc>
      </w:tr>
      <w:tr w:rsidR="00E05465" w:rsidRPr="00E05465" w14:paraId="061799D0" w14:textId="77777777" w:rsidTr="001D559C">
        <w:trPr>
          <w:cantSplit/>
        </w:trPr>
        <w:tc>
          <w:tcPr>
            <w:tcW w:w="1638" w:type="pct"/>
            <w:vMerge w:val="restart"/>
            <w:shd w:val="clear" w:color="auto" w:fill="auto"/>
          </w:tcPr>
          <w:p w14:paraId="107735BA" w14:textId="77777777" w:rsidR="001D559C" w:rsidRPr="00E05465" w:rsidRDefault="001D559C" w:rsidP="000D02AC">
            <w:pPr>
              <w:pStyle w:val="PBACTabletext"/>
              <w:keepNext/>
              <w:keepLines/>
              <w:spacing w:after="0"/>
            </w:pPr>
            <w:r w:rsidRPr="00E05465">
              <w:t xml:space="preserve">Baseline </w:t>
            </w:r>
          </w:p>
        </w:tc>
        <w:tc>
          <w:tcPr>
            <w:tcW w:w="859" w:type="pct"/>
            <w:tcBorders>
              <w:bottom w:val="dotted" w:sz="4" w:space="0" w:color="auto"/>
            </w:tcBorders>
            <w:shd w:val="clear" w:color="auto" w:fill="auto"/>
          </w:tcPr>
          <w:p w14:paraId="4854E38E" w14:textId="77777777" w:rsidR="001D559C" w:rsidRPr="00E05465" w:rsidRDefault="001D559C" w:rsidP="000D02AC">
            <w:pPr>
              <w:pStyle w:val="PBACTabletext"/>
              <w:keepNext/>
              <w:keepLines/>
              <w:spacing w:after="0"/>
            </w:pPr>
            <w:r w:rsidRPr="00E05465">
              <w:t>Mean (SD)</w:t>
            </w:r>
          </w:p>
        </w:tc>
        <w:tc>
          <w:tcPr>
            <w:tcW w:w="1237" w:type="pct"/>
            <w:tcBorders>
              <w:bottom w:val="dotted" w:sz="4" w:space="0" w:color="auto"/>
            </w:tcBorders>
            <w:shd w:val="clear" w:color="auto" w:fill="auto"/>
          </w:tcPr>
          <w:p w14:paraId="7BAAA742" w14:textId="77777777" w:rsidR="001D559C" w:rsidRPr="00E05465" w:rsidRDefault="001D559C" w:rsidP="000D02AC">
            <w:pPr>
              <w:pStyle w:val="PBACTabletext"/>
              <w:keepNext/>
              <w:keepLines/>
              <w:spacing w:after="0"/>
            </w:pPr>
            <w:r w:rsidRPr="00E05465">
              <w:t>23.75 (15.92)</w:t>
            </w:r>
          </w:p>
        </w:tc>
        <w:tc>
          <w:tcPr>
            <w:tcW w:w="1265" w:type="pct"/>
            <w:tcBorders>
              <w:bottom w:val="dotted" w:sz="4" w:space="0" w:color="auto"/>
            </w:tcBorders>
            <w:shd w:val="clear" w:color="auto" w:fill="auto"/>
          </w:tcPr>
          <w:p w14:paraId="5CDF85A9" w14:textId="77777777" w:rsidR="001D559C" w:rsidRPr="00E05465" w:rsidRDefault="001D559C" w:rsidP="000D02AC">
            <w:pPr>
              <w:pStyle w:val="PBACTabletext"/>
              <w:keepNext/>
              <w:keepLines/>
              <w:spacing w:after="0"/>
            </w:pPr>
            <w:r w:rsidRPr="00E05465">
              <w:t>17.70 (19.09)</w:t>
            </w:r>
          </w:p>
        </w:tc>
      </w:tr>
      <w:tr w:rsidR="00E05465" w:rsidRPr="00E05465" w14:paraId="5D98101F" w14:textId="77777777" w:rsidTr="001D559C">
        <w:trPr>
          <w:cantSplit/>
        </w:trPr>
        <w:tc>
          <w:tcPr>
            <w:tcW w:w="1638" w:type="pct"/>
            <w:vMerge/>
            <w:shd w:val="clear" w:color="auto" w:fill="auto"/>
          </w:tcPr>
          <w:p w14:paraId="527465E0" w14:textId="77777777" w:rsidR="001D559C" w:rsidRPr="00E05465" w:rsidRDefault="001D559C" w:rsidP="000D02AC">
            <w:pPr>
              <w:pStyle w:val="PBACTabletext"/>
              <w:keepNext/>
              <w:keepLines/>
              <w:spacing w:after="0"/>
            </w:pPr>
          </w:p>
        </w:tc>
        <w:tc>
          <w:tcPr>
            <w:tcW w:w="859" w:type="pct"/>
            <w:tcBorders>
              <w:top w:val="dotted" w:sz="4" w:space="0" w:color="auto"/>
            </w:tcBorders>
            <w:shd w:val="clear" w:color="auto" w:fill="auto"/>
          </w:tcPr>
          <w:p w14:paraId="56752DBF" w14:textId="77777777" w:rsidR="001D559C" w:rsidRPr="00E05465" w:rsidRDefault="001D559C" w:rsidP="000D02AC">
            <w:pPr>
              <w:pStyle w:val="PBACTabletext"/>
              <w:keepNext/>
              <w:keepLines/>
              <w:spacing w:after="0"/>
            </w:pPr>
            <w:r w:rsidRPr="00E05465">
              <w:t>Median (range)</w:t>
            </w:r>
          </w:p>
        </w:tc>
        <w:tc>
          <w:tcPr>
            <w:tcW w:w="1237" w:type="pct"/>
            <w:tcBorders>
              <w:top w:val="dotted" w:sz="4" w:space="0" w:color="auto"/>
            </w:tcBorders>
            <w:shd w:val="clear" w:color="auto" w:fill="auto"/>
          </w:tcPr>
          <w:p w14:paraId="6868DD63" w14:textId="77777777" w:rsidR="001D559C" w:rsidRPr="00E05465" w:rsidRDefault="001D559C" w:rsidP="000D02AC">
            <w:pPr>
              <w:pStyle w:val="PBACTabletext"/>
              <w:keepNext/>
              <w:keepLines/>
              <w:spacing w:after="0"/>
            </w:pPr>
            <w:r w:rsidRPr="00E05465">
              <w:t>21.20 (7.60, 45.00)</w:t>
            </w:r>
          </w:p>
        </w:tc>
        <w:tc>
          <w:tcPr>
            <w:tcW w:w="1265" w:type="pct"/>
            <w:tcBorders>
              <w:top w:val="dotted" w:sz="4" w:space="0" w:color="auto"/>
            </w:tcBorders>
            <w:shd w:val="clear" w:color="auto" w:fill="auto"/>
          </w:tcPr>
          <w:p w14:paraId="1A02197A" w14:textId="77777777" w:rsidR="001D559C" w:rsidRPr="00E05465" w:rsidRDefault="001D559C" w:rsidP="000D02AC">
            <w:pPr>
              <w:pStyle w:val="PBACTabletext"/>
              <w:keepNext/>
              <w:keepLines/>
              <w:spacing w:after="0"/>
            </w:pPr>
            <w:r w:rsidRPr="00E05465">
              <w:t>12.70 (5.30, 60.00)</w:t>
            </w:r>
          </w:p>
        </w:tc>
      </w:tr>
      <w:tr w:rsidR="00E05465" w:rsidRPr="00E05465" w14:paraId="5393AAC7" w14:textId="77777777" w:rsidTr="001D559C">
        <w:trPr>
          <w:cantSplit/>
        </w:trPr>
        <w:tc>
          <w:tcPr>
            <w:tcW w:w="1638" w:type="pct"/>
            <w:vMerge w:val="restart"/>
            <w:shd w:val="clear" w:color="auto" w:fill="auto"/>
          </w:tcPr>
          <w:p w14:paraId="2DAF54F2" w14:textId="77777777" w:rsidR="001D559C" w:rsidRPr="00E05465" w:rsidRDefault="001D559C" w:rsidP="000D02AC">
            <w:pPr>
              <w:pStyle w:val="PBACTabletext"/>
              <w:keepNext/>
              <w:keepLines/>
              <w:spacing w:after="0"/>
            </w:pPr>
            <w:r w:rsidRPr="00E05465">
              <w:t xml:space="preserve">End of study </w:t>
            </w:r>
          </w:p>
          <w:p w14:paraId="3A5AA008" w14:textId="77777777" w:rsidR="001D559C" w:rsidRPr="00E05465" w:rsidRDefault="001D559C" w:rsidP="000D02AC">
            <w:pPr>
              <w:pStyle w:val="PBACTabletext"/>
              <w:keepNext/>
              <w:keepLines/>
              <w:spacing w:after="0"/>
            </w:pPr>
            <w:r w:rsidRPr="00E05465">
              <w:t>(Study 304: 26 weeks; M07-005: 12 weeks)</w:t>
            </w:r>
          </w:p>
        </w:tc>
        <w:tc>
          <w:tcPr>
            <w:tcW w:w="859" w:type="pct"/>
            <w:tcBorders>
              <w:bottom w:val="dotted" w:sz="4" w:space="0" w:color="auto"/>
            </w:tcBorders>
            <w:shd w:val="clear" w:color="auto" w:fill="auto"/>
          </w:tcPr>
          <w:p w14:paraId="41BA1DC3" w14:textId="77777777" w:rsidR="001D559C" w:rsidRPr="00E05465" w:rsidRDefault="001D559C" w:rsidP="000D02AC">
            <w:pPr>
              <w:pStyle w:val="PBACTabletext"/>
              <w:keepNext/>
              <w:keepLines/>
              <w:spacing w:after="0"/>
            </w:pPr>
            <w:r w:rsidRPr="00E05465">
              <w:t>Mean (SD)</w:t>
            </w:r>
          </w:p>
        </w:tc>
        <w:tc>
          <w:tcPr>
            <w:tcW w:w="1237" w:type="pct"/>
            <w:tcBorders>
              <w:bottom w:val="dotted" w:sz="4" w:space="0" w:color="auto"/>
            </w:tcBorders>
            <w:shd w:val="clear" w:color="auto" w:fill="auto"/>
          </w:tcPr>
          <w:p w14:paraId="1C1486ED" w14:textId="77777777" w:rsidR="001D559C" w:rsidRPr="00E05465" w:rsidRDefault="001D559C" w:rsidP="000D02AC">
            <w:pPr>
              <w:pStyle w:val="PBACTabletext"/>
              <w:keepNext/>
              <w:keepLines/>
              <w:spacing w:after="0"/>
            </w:pPr>
            <w:r w:rsidRPr="00E05465">
              <w:t>30.23 (17.46)</w:t>
            </w:r>
          </w:p>
        </w:tc>
        <w:tc>
          <w:tcPr>
            <w:tcW w:w="1265" w:type="pct"/>
            <w:tcBorders>
              <w:bottom w:val="dotted" w:sz="4" w:space="0" w:color="auto"/>
            </w:tcBorders>
            <w:shd w:val="clear" w:color="auto" w:fill="auto"/>
          </w:tcPr>
          <w:p w14:paraId="5A88F7B4" w14:textId="77777777" w:rsidR="001D559C" w:rsidRPr="00E05465" w:rsidRDefault="001D559C" w:rsidP="000D02AC">
            <w:pPr>
              <w:pStyle w:val="PBACTabletext"/>
              <w:keepNext/>
              <w:keepLines/>
              <w:spacing w:after="0"/>
            </w:pPr>
            <w:r w:rsidRPr="00E05465">
              <w:t>7.44 (3.15)</w:t>
            </w:r>
          </w:p>
        </w:tc>
      </w:tr>
      <w:tr w:rsidR="00E05465" w:rsidRPr="00E05465" w14:paraId="00B588FC" w14:textId="77777777" w:rsidTr="001D559C">
        <w:trPr>
          <w:cantSplit/>
        </w:trPr>
        <w:tc>
          <w:tcPr>
            <w:tcW w:w="1638" w:type="pct"/>
            <w:vMerge/>
            <w:shd w:val="clear" w:color="auto" w:fill="auto"/>
          </w:tcPr>
          <w:p w14:paraId="630B6DD5" w14:textId="77777777" w:rsidR="001D559C" w:rsidRPr="00E05465" w:rsidRDefault="001D559C" w:rsidP="000D02AC">
            <w:pPr>
              <w:pStyle w:val="PBACTabletext"/>
              <w:keepNext/>
              <w:keepLines/>
              <w:spacing w:after="0"/>
            </w:pPr>
          </w:p>
        </w:tc>
        <w:tc>
          <w:tcPr>
            <w:tcW w:w="859" w:type="pct"/>
            <w:tcBorders>
              <w:top w:val="dotted" w:sz="4" w:space="0" w:color="auto"/>
            </w:tcBorders>
            <w:shd w:val="clear" w:color="auto" w:fill="auto"/>
          </w:tcPr>
          <w:p w14:paraId="4881608A" w14:textId="77777777" w:rsidR="001D559C" w:rsidRPr="00E05465" w:rsidRDefault="001D559C" w:rsidP="000D02AC">
            <w:pPr>
              <w:pStyle w:val="PBACTabletext"/>
              <w:keepNext/>
              <w:keepLines/>
              <w:spacing w:after="0"/>
            </w:pPr>
            <w:r w:rsidRPr="00E05465">
              <w:t>Median (range)</w:t>
            </w:r>
          </w:p>
        </w:tc>
        <w:tc>
          <w:tcPr>
            <w:tcW w:w="1237" w:type="pct"/>
            <w:tcBorders>
              <w:top w:val="dotted" w:sz="4" w:space="0" w:color="auto"/>
            </w:tcBorders>
            <w:shd w:val="clear" w:color="auto" w:fill="auto"/>
          </w:tcPr>
          <w:p w14:paraId="26617802" w14:textId="77777777" w:rsidR="001D559C" w:rsidRPr="00E05465" w:rsidRDefault="001D559C" w:rsidP="000D02AC">
            <w:pPr>
              <w:pStyle w:val="PBACTabletext"/>
              <w:keepNext/>
              <w:keepLines/>
              <w:spacing w:after="0"/>
            </w:pPr>
            <w:r w:rsidRPr="00E05465">
              <w:t>32.50 (10.90, 45.00)</w:t>
            </w:r>
          </w:p>
        </w:tc>
        <w:tc>
          <w:tcPr>
            <w:tcW w:w="1265" w:type="pct"/>
            <w:tcBorders>
              <w:top w:val="dotted" w:sz="4" w:space="0" w:color="auto"/>
            </w:tcBorders>
            <w:shd w:val="clear" w:color="auto" w:fill="auto"/>
          </w:tcPr>
          <w:p w14:paraId="0445B175" w14:textId="77777777" w:rsidR="001D559C" w:rsidRPr="00E05465" w:rsidRDefault="001D559C" w:rsidP="000D02AC">
            <w:pPr>
              <w:pStyle w:val="PBACTabletext"/>
              <w:keepNext/>
              <w:keepLines/>
              <w:spacing w:after="0"/>
            </w:pPr>
            <w:r w:rsidRPr="00E05465">
              <w:t>8.40 (2.90, 10.90)</w:t>
            </w:r>
          </w:p>
        </w:tc>
      </w:tr>
      <w:tr w:rsidR="00E05465" w:rsidRPr="00E05465" w14:paraId="13B362A6" w14:textId="77777777" w:rsidTr="001D559C">
        <w:trPr>
          <w:cantSplit/>
        </w:trPr>
        <w:tc>
          <w:tcPr>
            <w:tcW w:w="1638" w:type="pct"/>
            <w:vMerge w:val="restart"/>
            <w:shd w:val="clear" w:color="auto" w:fill="auto"/>
          </w:tcPr>
          <w:p w14:paraId="4F54D6DB" w14:textId="77777777" w:rsidR="001D559C" w:rsidRPr="00E05465" w:rsidRDefault="001D559C" w:rsidP="000D02AC">
            <w:pPr>
              <w:pStyle w:val="PBACTabletext"/>
              <w:keepNext/>
              <w:keepLines/>
              <w:spacing w:after="0"/>
            </w:pPr>
            <w:r w:rsidRPr="00E05465">
              <w:t>Change from Baseline</w:t>
            </w:r>
          </w:p>
        </w:tc>
        <w:tc>
          <w:tcPr>
            <w:tcW w:w="859" w:type="pct"/>
            <w:tcBorders>
              <w:bottom w:val="dotted" w:sz="4" w:space="0" w:color="auto"/>
            </w:tcBorders>
            <w:shd w:val="clear" w:color="auto" w:fill="auto"/>
          </w:tcPr>
          <w:p w14:paraId="04C368F4" w14:textId="77777777" w:rsidR="001D559C" w:rsidRPr="00E05465" w:rsidRDefault="001D559C" w:rsidP="000D02AC">
            <w:pPr>
              <w:pStyle w:val="PBACTabletext"/>
              <w:keepNext/>
              <w:keepLines/>
              <w:spacing w:after="0"/>
            </w:pPr>
            <w:r w:rsidRPr="00E05465">
              <w:t>Mean (SD)</w:t>
            </w:r>
          </w:p>
        </w:tc>
        <w:tc>
          <w:tcPr>
            <w:tcW w:w="1237" w:type="pct"/>
            <w:tcBorders>
              <w:bottom w:val="dotted" w:sz="4" w:space="0" w:color="auto"/>
            </w:tcBorders>
            <w:shd w:val="clear" w:color="auto" w:fill="auto"/>
          </w:tcPr>
          <w:p w14:paraId="579E0BF7" w14:textId="77777777" w:rsidR="001D559C" w:rsidRPr="00E05465" w:rsidRDefault="001D559C" w:rsidP="000D02AC">
            <w:pPr>
              <w:pStyle w:val="PBACTabletext"/>
              <w:keepNext/>
              <w:keepLines/>
              <w:spacing w:after="0"/>
            </w:pPr>
            <w:r w:rsidRPr="00E05465">
              <w:t>6.48 (20.80)</w:t>
            </w:r>
          </w:p>
        </w:tc>
        <w:tc>
          <w:tcPr>
            <w:tcW w:w="1265" w:type="pct"/>
            <w:tcBorders>
              <w:bottom w:val="dotted" w:sz="4" w:space="0" w:color="auto"/>
            </w:tcBorders>
            <w:shd w:val="clear" w:color="auto" w:fill="auto"/>
          </w:tcPr>
          <w:p w14:paraId="653DECD4" w14:textId="77777777" w:rsidR="001D559C" w:rsidRPr="00E05465" w:rsidRDefault="001D559C" w:rsidP="000D02AC">
            <w:pPr>
              <w:pStyle w:val="PBACTabletext"/>
              <w:keepNext/>
              <w:keepLines/>
              <w:spacing w:after="0"/>
            </w:pPr>
            <w:r w:rsidRPr="00E05465">
              <w:t>-10.26 (21.13)</w:t>
            </w:r>
          </w:p>
        </w:tc>
      </w:tr>
      <w:tr w:rsidR="00E05465" w:rsidRPr="00E05465" w14:paraId="16851406" w14:textId="77777777" w:rsidTr="001D559C">
        <w:trPr>
          <w:cantSplit/>
        </w:trPr>
        <w:tc>
          <w:tcPr>
            <w:tcW w:w="1638" w:type="pct"/>
            <w:vMerge/>
            <w:shd w:val="clear" w:color="auto" w:fill="auto"/>
          </w:tcPr>
          <w:p w14:paraId="63DC47C7" w14:textId="77777777" w:rsidR="001D559C" w:rsidRPr="00E05465" w:rsidRDefault="001D559C" w:rsidP="000D02AC">
            <w:pPr>
              <w:pStyle w:val="PBACTabletext"/>
              <w:keepNext/>
              <w:keepLines/>
              <w:spacing w:after="0"/>
            </w:pPr>
          </w:p>
        </w:tc>
        <w:tc>
          <w:tcPr>
            <w:tcW w:w="859" w:type="pct"/>
            <w:tcBorders>
              <w:top w:val="dotted" w:sz="4" w:space="0" w:color="auto"/>
            </w:tcBorders>
            <w:shd w:val="clear" w:color="auto" w:fill="auto"/>
          </w:tcPr>
          <w:p w14:paraId="14BA9674" w14:textId="77777777" w:rsidR="001D559C" w:rsidRPr="00E05465" w:rsidRDefault="001D559C" w:rsidP="000D02AC">
            <w:pPr>
              <w:pStyle w:val="PBACTabletext"/>
              <w:keepNext/>
              <w:keepLines/>
              <w:spacing w:after="0"/>
            </w:pPr>
            <w:r w:rsidRPr="00E05465">
              <w:t>Median (range)</w:t>
            </w:r>
          </w:p>
        </w:tc>
        <w:tc>
          <w:tcPr>
            <w:tcW w:w="1237" w:type="pct"/>
            <w:tcBorders>
              <w:top w:val="dotted" w:sz="4" w:space="0" w:color="auto"/>
            </w:tcBorders>
            <w:shd w:val="clear" w:color="auto" w:fill="auto"/>
          </w:tcPr>
          <w:p w14:paraId="552AAEF7" w14:textId="77777777" w:rsidR="001D559C" w:rsidRPr="00E05465" w:rsidRDefault="001D559C" w:rsidP="000D02AC">
            <w:pPr>
              <w:pStyle w:val="PBACTabletext"/>
              <w:keepNext/>
              <w:keepLines/>
              <w:spacing w:after="0"/>
            </w:pPr>
            <w:r w:rsidRPr="00E05465">
              <w:t>-2.70 (-6.10, 37.40)</w:t>
            </w:r>
          </w:p>
        </w:tc>
        <w:tc>
          <w:tcPr>
            <w:tcW w:w="1265" w:type="pct"/>
            <w:tcBorders>
              <w:top w:val="dotted" w:sz="4" w:space="0" w:color="auto"/>
            </w:tcBorders>
            <w:shd w:val="clear" w:color="auto" w:fill="auto"/>
          </w:tcPr>
          <w:p w14:paraId="618716DD" w14:textId="77777777" w:rsidR="001D559C" w:rsidRPr="00E05465" w:rsidRDefault="001D559C" w:rsidP="000D02AC">
            <w:pPr>
              <w:pStyle w:val="PBACTabletext"/>
              <w:keepNext/>
              <w:keepLines/>
              <w:spacing w:after="0"/>
            </w:pPr>
            <w:r w:rsidRPr="00E05465">
              <w:t>-5.40 (-56.70, 3.90)</w:t>
            </w:r>
          </w:p>
        </w:tc>
      </w:tr>
      <w:tr w:rsidR="00E05465" w:rsidRPr="00E05465" w14:paraId="1C55984D" w14:textId="77777777" w:rsidTr="001D559C">
        <w:trPr>
          <w:cantSplit/>
        </w:trPr>
        <w:tc>
          <w:tcPr>
            <w:tcW w:w="1638" w:type="pct"/>
            <w:vMerge w:val="restart"/>
            <w:shd w:val="clear" w:color="auto" w:fill="auto"/>
          </w:tcPr>
          <w:p w14:paraId="0A5DE7B3" w14:textId="77777777" w:rsidR="001D559C" w:rsidRPr="00E05465" w:rsidRDefault="001D559C" w:rsidP="000D02AC">
            <w:pPr>
              <w:pStyle w:val="PBACTabletext"/>
              <w:keepNext/>
              <w:keepLines/>
              <w:spacing w:after="0"/>
            </w:pPr>
            <w:r w:rsidRPr="00E05465">
              <w:t>Percentage change from Baseline, %</w:t>
            </w:r>
          </w:p>
        </w:tc>
        <w:tc>
          <w:tcPr>
            <w:tcW w:w="859" w:type="pct"/>
            <w:tcBorders>
              <w:bottom w:val="dotted" w:sz="4" w:space="0" w:color="auto"/>
            </w:tcBorders>
            <w:shd w:val="clear" w:color="auto" w:fill="auto"/>
          </w:tcPr>
          <w:p w14:paraId="4F8E765F" w14:textId="77777777" w:rsidR="001D559C" w:rsidRPr="00E05465" w:rsidRDefault="001D559C" w:rsidP="000D02AC">
            <w:pPr>
              <w:pStyle w:val="PBACTabletext"/>
              <w:keepNext/>
              <w:keepLines/>
              <w:spacing w:after="0"/>
            </w:pPr>
            <w:r w:rsidRPr="00E05465">
              <w:t>Mean (SD)</w:t>
            </w:r>
          </w:p>
        </w:tc>
        <w:tc>
          <w:tcPr>
            <w:tcW w:w="1237" w:type="pct"/>
            <w:tcBorders>
              <w:bottom w:val="dotted" w:sz="4" w:space="0" w:color="auto"/>
            </w:tcBorders>
            <w:shd w:val="clear" w:color="auto" w:fill="auto"/>
          </w:tcPr>
          <w:p w14:paraId="27600B21" w14:textId="77777777" w:rsidR="001D559C" w:rsidRPr="00E05465" w:rsidRDefault="001D559C" w:rsidP="000D02AC">
            <w:pPr>
              <w:pStyle w:val="PBACTabletext"/>
              <w:keepNext/>
              <w:keepLines/>
              <w:spacing w:after="0"/>
            </w:pPr>
            <w:r w:rsidRPr="00E05465">
              <w:t>108.74 (256.00)</w:t>
            </w:r>
          </w:p>
        </w:tc>
        <w:tc>
          <w:tcPr>
            <w:tcW w:w="1265" w:type="pct"/>
            <w:tcBorders>
              <w:bottom w:val="dotted" w:sz="4" w:space="0" w:color="auto"/>
            </w:tcBorders>
            <w:shd w:val="clear" w:color="auto" w:fill="auto"/>
          </w:tcPr>
          <w:p w14:paraId="2A97CB0E" w14:textId="77777777" w:rsidR="001D559C" w:rsidRPr="00E05465" w:rsidRDefault="001D559C" w:rsidP="000D02AC">
            <w:pPr>
              <w:pStyle w:val="PBACTabletext"/>
              <w:keepNext/>
              <w:keepLines/>
              <w:spacing w:after="0"/>
            </w:pPr>
            <w:r w:rsidRPr="00E05465">
              <w:t>-19.94 (58.79)</w:t>
            </w:r>
          </w:p>
        </w:tc>
      </w:tr>
      <w:tr w:rsidR="00E05465" w:rsidRPr="00E05465" w14:paraId="6AD45769" w14:textId="77777777" w:rsidTr="001D559C">
        <w:trPr>
          <w:cantSplit/>
        </w:trPr>
        <w:tc>
          <w:tcPr>
            <w:tcW w:w="1638" w:type="pct"/>
            <w:vMerge/>
            <w:shd w:val="clear" w:color="auto" w:fill="auto"/>
          </w:tcPr>
          <w:p w14:paraId="1AC08F00" w14:textId="77777777" w:rsidR="001D559C" w:rsidRPr="00E05465" w:rsidRDefault="001D559C" w:rsidP="000D02AC">
            <w:pPr>
              <w:pStyle w:val="PBACTabletext"/>
              <w:keepNext/>
              <w:keepLines/>
              <w:spacing w:after="0"/>
            </w:pPr>
          </w:p>
        </w:tc>
        <w:tc>
          <w:tcPr>
            <w:tcW w:w="859" w:type="pct"/>
            <w:tcBorders>
              <w:top w:val="dotted" w:sz="4" w:space="0" w:color="auto"/>
            </w:tcBorders>
            <w:shd w:val="clear" w:color="auto" w:fill="auto"/>
          </w:tcPr>
          <w:p w14:paraId="683AC259" w14:textId="77777777" w:rsidR="001D559C" w:rsidRPr="00E05465" w:rsidRDefault="001D559C" w:rsidP="000D02AC">
            <w:pPr>
              <w:pStyle w:val="PBACTabletext"/>
              <w:keepNext/>
              <w:keepLines/>
              <w:spacing w:after="0"/>
            </w:pPr>
            <w:r w:rsidRPr="00E05465">
              <w:t>Median (range)</w:t>
            </w:r>
          </w:p>
        </w:tc>
        <w:tc>
          <w:tcPr>
            <w:tcW w:w="1237" w:type="pct"/>
            <w:tcBorders>
              <w:top w:val="dotted" w:sz="4" w:space="0" w:color="auto"/>
            </w:tcBorders>
            <w:shd w:val="clear" w:color="auto" w:fill="auto"/>
          </w:tcPr>
          <w:p w14:paraId="313EB7E2" w14:textId="77777777" w:rsidR="001D559C" w:rsidRPr="00E05465" w:rsidRDefault="001D559C" w:rsidP="000D02AC">
            <w:pPr>
              <w:pStyle w:val="PBACTabletext"/>
              <w:keepNext/>
              <w:keepLines/>
              <w:spacing w:after="0"/>
            </w:pPr>
            <w:r w:rsidRPr="00E05465">
              <w:t>-10.63 (-35.90, 492.10)</w:t>
            </w:r>
          </w:p>
        </w:tc>
        <w:tc>
          <w:tcPr>
            <w:tcW w:w="1265" w:type="pct"/>
            <w:tcBorders>
              <w:top w:val="dotted" w:sz="4" w:space="0" w:color="auto"/>
            </w:tcBorders>
            <w:shd w:val="clear" w:color="auto" w:fill="auto"/>
          </w:tcPr>
          <w:p w14:paraId="4E2133FD" w14:textId="77777777" w:rsidR="001D559C" w:rsidRPr="00E05465" w:rsidRDefault="001D559C" w:rsidP="000D02AC">
            <w:pPr>
              <w:pStyle w:val="PBACTabletext"/>
              <w:keepNext/>
              <w:keepLines/>
              <w:spacing w:after="0"/>
            </w:pPr>
            <w:r w:rsidRPr="00E05465">
              <w:t>-35.50 (-94.50, 55.70)</w:t>
            </w:r>
          </w:p>
        </w:tc>
      </w:tr>
    </w:tbl>
    <w:p w14:paraId="6F2A4390" w14:textId="77777777" w:rsidR="001D559C" w:rsidRPr="00E05465" w:rsidRDefault="001D559C" w:rsidP="000D02AC">
      <w:pPr>
        <w:pStyle w:val="TableFooter"/>
        <w:keepNext/>
        <w:keepLines/>
      </w:pPr>
      <w:r w:rsidRPr="00E05465">
        <w:t>Source: Table 2.4, p41 of the submission.</w:t>
      </w:r>
    </w:p>
    <w:p w14:paraId="436EE539" w14:textId="77777777" w:rsidR="001D559C" w:rsidRPr="00E05465" w:rsidRDefault="001D559C" w:rsidP="007E6F6D">
      <w:pPr>
        <w:pStyle w:val="TableFooter"/>
        <w:spacing w:after="120"/>
      </w:pPr>
      <w:r w:rsidRPr="00E05465">
        <w:t>LDH=lactate dehydrogenase; SD=standard deviation; U/L=upper limit of normal</w:t>
      </w:r>
    </w:p>
    <w:p w14:paraId="48300C92" w14:textId="7A37C091" w:rsidR="001D559C" w:rsidRPr="00E05465" w:rsidRDefault="001D559C" w:rsidP="002032B0">
      <w:pPr>
        <w:pStyle w:val="3-BodyText"/>
      </w:pPr>
      <w:r w:rsidRPr="00E05465">
        <w:rPr>
          <w:iCs/>
        </w:rPr>
        <w:t>There is very limited precision in the results given the small patient numbers.</w:t>
      </w:r>
      <w:r w:rsidRPr="00E05465">
        <w:t xml:space="preserve"> The median (range) percent reduction from baseline in LDH appeared similar between Study 304 (-60.2% [-91.4, 43.5]) and Study M07-005 (-66.7% [-88.0, -33.4]). However, the mean percent reduction was approximately 23% smaller in Study 304 compared to Study M07-005 (-42.1% </w:t>
      </w:r>
      <w:r w:rsidRPr="00E05465">
        <w:rPr>
          <w:i/>
        </w:rPr>
        <w:t>vs. -</w:t>
      </w:r>
      <w:r w:rsidRPr="00E05465">
        <w:t>64.7%). The submission noted that this may be due to one of the patients in Study 304 having an LDH value of 637 U/L on Day 183, which was likely attributable to a false event.</w:t>
      </w:r>
    </w:p>
    <w:p w14:paraId="765F0E09" w14:textId="77777777" w:rsidR="001D559C" w:rsidRPr="00E05465" w:rsidRDefault="001D559C" w:rsidP="002032B0">
      <w:pPr>
        <w:pStyle w:val="3-BodyText"/>
      </w:pPr>
      <w:r w:rsidRPr="00E05465">
        <w:t>The median (range) percent reduction from baseline in free haemoglobin was 25% greater in patients receiving eculizumab in Study M07-005 (-35.5% [-94.5, 55.7]) compared to patients receiving ravulizumab in Study 304 (-10.6% [-35.9, 492.1]). As stated previously, decreases from baseline in mean free haemoglobin levels were observed at Days 15, 43, 71, 99, 127, and 155 in Study 304. However, on Day 183, mean free haemoglobin increased to 30.23 mg/dL (108.74% change from baseline) due to values above 450 mg/dL for two patients. Patients receiving eculizumab in Study M07-005 experienced a mean percent reduction of 19.94%.</w:t>
      </w:r>
    </w:p>
    <w:p w14:paraId="37AA56AC" w14:textId="77777777" w:rsidR="001D559C" w:rsidRPr="00E05465" w:rsidRDefault="001D559C" w:rsidP="001D559C"/>
    <w:p w14:paraId="1CCBD170" w14:textId="77777777" w:rsidR="001D559C" w:rsidRPr="00E05465" w:rsidRDefault="001D559C" w:rsidP="001D559C">
      <w:pPr>
        <w:pStyle w:val="4-SubsectionHeading"/>
      </w:pPr>
      <w:bookmarkStart w:id="37" w:name="_Toc22897642"/>
      <w:bookmarkStart w:id="38" w:name="_Toc135034942"/>
      <w:r w:rsidRPr="00E05465">
        <w:lastRenderedPageBreak/>
        <w:t>Comparative harms</w:t>
      </w:r>
      <w:bookmarkEnd w:id="37"/>
      <w:bookmarkEnd w:id="38"/>
    </w:p>
    <w:p w14:paraId="522E7E11" w14:textId="349E0275" w:rsidR="001D559C" w:rsidRPr="00E05465" w:rsidRDefault="001D559C" w:rsidP="002032B0">
      <w:pPr>
        <w:pStyle w:val="3-BodyText"/>
      </w:pPr>
      <w:r w:rsidRPr="00E05465">
        <w:rPr>
          <w:lang w:val="en-US"/>
        </w:rPr>
        <w:t xml:space="preserve">A comparison of overall safety outcomes reported by patients receiving ravulizumab in Study 304 and patients receiving eculizumab in Study M07-005 is presented in </w:t>
      </w:r>
      <w:r w:rsidRPr="00E05465">
        <w:rPr>
          <w:lang w:val="en-US"/>
        </w:rPr>
        <w:fldChar w:fldCharType="begin" w:fldLock="1"/>
      </w:r>
      <w:r w:rsidRPr="00E05465">
        <w:rPr>
          <w:lang w:val="en-US"/>
        </w:rPr>
        <w:instrText xml:space="preserve"> REF _Ref132807324 \h </w:instrText>
      </w:r>
      <w:r w:rsidRPr="00E05465">
        <w:rPr>
          <w:lang w:val="en-US"/>
        </w:rPr>
      </w:r>
      <w:r w:rsidRPr="00E05465">
        <w:rPr>
          <w:lang w:val="en-US"/>
        </w:rPr>
        <w:fldChar w:fldCharType="separate"/>
      </w:r>
      <w:r w:rsidR="00231664" w:rsidRPr="00E05465">
        <w:t xml:space="preserve">Table </w:t>
      </w:r>
      <w:r w:rsidR="00231664" w:rsidRPr="00E05465">
        <w:rPr>
          <w:noProof/>
        </w:rPr>
        <w:t>7</w:t>
      </w:r>
      <w:r w:rsidRPr="00E05465">
        <w:rPr>
          <w:lang w:val="en-US"/>
        </w:rPr>
        <w:fldChar w:fldCharType="end"/>
      </w:r>
      <w:r w:rsidRPr="00E05465">
        <w:rPr>
          <w:lang w:val="en-US"/>
        </w:rPr>
        <w:t>.</w:t>
      </w:r>
    </w:p>
    <w:p w14:paraId="5CA73DD9" w14:textId="14A53BC1" w:rsidR="001D559C" w:rsidRPr="00E05465" w:rsidRDefault="001D559C" w:rsidP="001D559C">
      <w:pPr>
        <w:pStyle w:val="Caption"/>
      </w:pPr>
      <w:bookmarkStart w:id="39" w:name="_Ref132807324"/>
      <w:r w:rsidRPr="00E05465">
        <w:t xml:space="preserve">Table </w:t>
      </w:r>
      <w:r w:rsidR="00687C33">
        <w:fldChar w:fldCharType="begin" w:fldLock="1"/>
      </w:r>
      <w:r w:rsidR="00687C33">
        <w:instrText xml:space="preserve"> SEQ Table \* ARABIC </w:instrText>
      </w:r>
      <w:r w:rsidR="00687C33">
        <w:fldChar w:fldCharType="separate"/>
      </w:r>
      <w:r w:rsidR="00231664" w:rsidRPr="00E05465">
        <w:rPr>
          <w:noProof/>
        </w:rPr>
        <w:t>7</w:t>
      </w:r>
      <w:r w:rsidR="00687C33">
        <w:rPr>
          <w:noProof/>
        </w:rPr>
        <w:fldChar w:fldCharType="end"/>
      </w:r>
      <w:bookmarkEnd w:id="39"/>
      <w:r w:rsidRPr="00E05465">
        <w:t>: Summary of key adverse events in Studies 304 and M07-005</w:t>
      </w:r>
    </w:p>
    <w:tbl>
      <w:tblPr>
        <w:tblStyle w:val="TableGrid"/>
        <w:tblpPr w:leftFromText="180" w:rightFromText="180" w:vertAnchor="text" w:horzAnchor="margin" w:tblpY="25"/>
        <w:tblW w:w="5000" w:type="pct"/>
        <w:tblLook w:val="04A0" w:firstRow="1" w:lastRow="0" w:firstColumn="1" w:lastColumn="0" w:noHBand="0" w:noVBand="1"/>
      </w:tblPr>
      <w:tblGrid>
        <w:gridCol w:w="2968"/>
        <w:gridCol w:w="2188"/>
        <w:gridCol w:w="2068"/>
        <w:gridCol w:w="1793"/>
      </w:tblGrid>
      <w:tr w:rsidR="00E05465" w:rsidRPr="00E05465" w14:paraId="2642982F" w14:textId="77777777" w:rsidTr="005B6D71">
        <w:trPr>
          <w:cantSplit/>
          <w:trHeight w:val="110"/>
          <w:tblHeader/>
        </w:trPr>
        <w:tc>
          <w:tcPr>
            <w:tcW w:w="1646" w:type="pct"/>
            <w:vMerge w:val="restart"/>
            <w:shd w:val="clear" w:color="auto" w:fill="auto"/>
            <w:tcMar>
              <w:left w:w="40" w:type="dxa"/>
              <w:right w:w="40" w:type="dxa"/>
            </w:tcMar>
            <w:vAlign w:val="center"/>
          </w:tcPr>
          <w:p w14:paraId="16FC8859" w14:textId="77777777" w:rsidR="001D559C" w:rsidRPr="00E05465" w:rsidRDefault="001D559C" w:rsidP="001D559C">
            <w:pPr>
              <w:pStyle w:val="PBACTabletext"/>
              <w:keepNext/>
              <w:spacing w:after="0"/>
              <w:rPr>
                <w:lang w:val="en-US"/>
              </w:rPr>
            </w:pPr>
            <w:bookmarkStart w:id="40" w:name="_Hlk117608226"/>
          </w:p>
        </w:tc>
        <w:tc>
          <w:tcPr>
            <w:tcW w:w="2360" w:type="pct"/>
            <w:gridSpan w:val="2"/>
            <w:shd w:val="clear" w:color="auto" w:fill="auto"/>
            <w:tcMar>
              <w:left w:w="40" w:type="dxa"/>
              <w:right w:w="40" w:type="dxa"/>
            </w:tcMar>
          </w:tcPr>
          <w:p w14:paraId="710781FD" w14:textId="77777777" w:rsidR="001D559C" w:rsidRPr="00E05465" w:rsidRDefault="001D559C" w:rsidP="005B6D71">
            <w:pPr>
              <w:pStyle w:val="PBACTabletext"/>
              <w:keepNext/>
              <w:spacing w:after="0"/>
              <w:jc w:val="center"/>
              <w:rPr>
                <w:b/>
                <w:lang w:val="en-US"/>
              </w:rPr>
            </w:pPr>
            <w:r w:rsidRPr="00E05465">
              <w:rPr>
                <w:b/>
                <w:lang w:val="en-US"/>
              </w:rPr>
              <w:t>Ravulizumab</w:t>
            </w:r>
          </w:p>
          <w:p w14:paraId="4812C7F0" w14:textId="77777777" w:rsidR="001D559C" w:rsidRPr="00E05465" w:rsidRDefault="001D559C" w:rsidP="005B6D71">
            <w:pPr>
              <w:pStyle w:val="PBACTabletext"/>
              <w:keepNext/>
              <w:spacing w:after="0"/>
              <w:jc w:val="center"/>
              <w:rPr>
                <w:b/>
                <w:lang w:val="en-US"/>
              </w:rPr>
            </w:pPr>
            <w:r w:rsidRPr="00E05465">
              <w:rPr>
                <w:b/>
                <w:lang w:val="en-US"/>
              </w:rPr>
              <w:t>(Study 304)</w:t>
            </w:r>
          </w:p>
        </w:tc>
        <w:tc>
          <w:tcPr>
            <w:tcW w:w="994" w:type="pct"/>
            <w:shd w:val="clear" w:color="auto" w:fill="auto"/>
            <w:tcMar>
              <w:left w:w="40" w:type="dxa"/>
              <w:right w:w="40" w:type="dxa"/>
            </w:tcMar>
          </w:tcPr>
          <w:p w14:paraId="138D13F0" w14:textId="502123A3" w:rsidR="001D559C" w:rsidRPr="00E05465" w:rsidRDefault="001D559C" w:rsidP="005B6D71">
            <w:pPr>
              <w:pStyle w:val="PBACTabletext"/>
              <w:keepNext/>
              <w:spacing w:after="0"/>
              <w:jc w:val="center"/>
              <w:rPr>
                <w:b/>
                <w:lang w:val="en-US"/>
              </w:rPr>
            </w:pPr>
            <w:r w:rsidRPr="00E05465">
              <w:rPr>
                <w:b/>
                <w:lang w:val="en-US"/>
              </w:rPr>
              <w:t xml:space="preserve">Eculizumab </w:t>
            </w:r>
            <w:r w:rsidR="005B6D71" w:rsidRPr="00E05465">
              <w:rPr>
                <w:b/>
                <w:lang w:val="en-US"/>
              </w:rPr>
              <w:br/>
            </w:r>
            <w:r w:rsidRPr="00E05465">
              <w:rPr>
                <w:b/>
                <w:lang w:val="en-US"/>
              </w:rPr>
              <w:t>(Study M07-005)</w:t>
            </w:r>
          </w:p>
        </w:tc>
      </w:tr>
      <w:tr w:rsidR="00E05465" w:rsidRPr="00E05465" w14:paraId="6653192C" w14:textId="77777777" w:rsidTr="005B6D71">
        <w:trPr>
          <w:cantSplit/>
          <w:trHeight w:val="110"/>
          <w:tblHeader/>
        </w:trPr>
        <w:tc>
          <w:tcPr>
            <w:tcW w:w="1646" w:type="pct"/>
            <w:vMerge/>
            <w:shd w:val="clear" w:color="auto" w:fill="auto"/>
            <w:tcMar>
              <w:left w:w="40" w:type="dxa"/>
              <w:right w:w="40" w:type="dxa"/>
            </w:tcMar>
            <w:vAlign w:val="center"/>
          </w:tcPr>
          <w:p w14:paraId="63D50D2D" w14:textId="77777777" w:rsidR="001D559C" w:rsidRPr="00E05465" w:rsidRDefault="001D559C" w:rsidP="001D559C">
            <w:pPr>
              <w:pStyle w:val="PBACTabletext"/>
              <w:keepNext/>
              <w:spacing w:after="0"/>
              <w:rPr>
                <w:lang w:val="en-US"/>
              </w:rPr>
            </w:pPr>
          </w:p>
        </w:tc>
        <w:tc>
          <w:tcPr>
            <w:tcW w:w="1213" w:type="pct"/>
            <w:shd w:val="clear" w:color="auto" w:fill="auto"/>
            <w:tcMar>
              <w:left w:w="40" w:type="dxa"/>
              <w:right w:w="40" w:type="dxa"/>
            </w:tcMar>
          </w:tcPr>
          <w:p w14:paraId="3D542590" w14:textId="43B71114" w:rsidR="001D559C" w:rsidRPr="00E05465" w:rsidRDefault="001D559C" w:rsidP="005B6D71">
            <w:pPr>
              <w:pStyle w:val="PBACTabletext"/>
              <w:keepNext/>
              <w:spacing w:after="0"/>
              <w:jc w:val="center"/>
              <w:rPr>
                <w:b/>
                <w:lang w:val="en-US"/>
              </w:rPr>
            </w:pPr>
            <w:r w:rsidRPr="00E05465">
              <w:rPr>
                <w:b/>
                <w:lang w:val="en-US"/>
              </w:rPr>
              <w:t>Eculizumab treatment-naïve cohort</w:t>
            </w:r>
            <w:r w:rsidR="005B6D71" w:rsidRPr="00E05465">
              <w:rPr>
                <w:b/>
                <w:lang w:val="en-US"/>
              </w:rPr>
              <w:t xml:space="preserve"> </w:t>
            </w:r>
            <w:r w:rsidRPr="00E05465">
              <w:rPr>
                <w:b/>
                <w:lang w:val="en-US"/>
              </w:rPr>
              <w:t>(N=4)</w:t>
            </w:r>
          </w:p>
        </w:tc>
        <w:tc>
          <w:tcPr>
            <w:tcW w:w="1147" w:type="pct"/>
            <w:shd w:val="clear" w:color="auto" w:fill="auto"/>
            <w:tcMar>
              <w:left w:w="40" w:type="dxa"/>
              <w:right w:w="40" w:type="dxa"/>
            </w:tcMar>
          </w:tcPr>
          <w:p w14:paraId="6031D1AA" w14:textId="0F6C7DC2" w:rsidR="001D559C" w:rsidRPr="00E05465" w:rsidRDefault="001D559C" w:rsidP="005B6D71">
            <w:pPr>
              <w:pStyle w:val="PBACTabletext"/>
              <w:keepNext/>
              <w:spacing w:after="0"/>
              <w:jc w:val="center"/>
              <w:rPr>
                <w:b/>
                <w:lang w:val="en-US"/>
              </w:rPr>
            </w:pPr>
            <w:r w:rsidRPr="00E05465">
              <w:rPr>
                <w:b/>
                <w:lang w:val="en-US"/>
              </w:rPr>
              <w:t>Eculizumab treatment-experienced cohort (N=8)</w:t>
            </w:r>
          </w:p>
        </w:tc>
        <w:tc>
          <w:tcPr>
            <w:tcW w:w="994" w:type="pct"/>
            <w:shd w:val="clear" w:color="auto" w:fill="auto"/>
            <w:tcMar>
              <w:left w:w="40" w:type="dxa"/>
              <w:right w:w="40" w:type="dxa"/>
            </w:tcMar>
          </w:tcPr>
          <w:p w14:paraId="7245441E" w14:textId="77777777" w:rsidR="001D559C" w:rsidRPr="00E05465" w:rsidRDefault="001D559C" w:rsidP="005B6D71">
            <w:pPr>
              <w:pStyle w:val="PBACTabletext"/>
              <w:keepNext/>
              <w:spacing w:after="0"/>
              <w:jc w:val="center"/>
              <w:rPr>
                <w:b/>
                <w:lang w:val="en-US"/>
              </w:rPr>
            </w:pPr>
            <w:r w:rsidRPr="00E05465">
              <w:rPr>
                <w:b/>
                <w:lang w:val="en-US"/>
              </w:rPr>
              <w:t>Eculizumab treatment-naïve (N=7)</w:t>
            </w:r>
          </w:p>
        </w:tc>
      </w:tr>
      <w:tr w:rsidR="00E05465" w:rsidRPr="00E05465" w14:paraId="750A090B" w14:textId="77777777" w:rsidTr="005B6D71">
        <w:trPr>
          <w:cantSplit/>
          <w:trHeight w:val="110"/>
          <w:tblHeader/>
        </w:trPr>
        <w:tc>
          <w:tcPr>
            <w:tcW w:w="1646" w:type="pct"/>
            <w:shd w:val="clear" w:color="auto" w:fill="auto"/>
            <w:tcMar>
              <w:left w:w="40" w:type="dxa"/>
              <w:right w:w="40" w:type="dxa"/>
            </w:tcMar>
            <w:vAlign w:val="center"/>
          </w:tcPr>
          <w:p w14:paraId="1CF9AAF1" w14:textId="77777777" w:rsidR="001D559C" w:rsidRPr="00E05465" w:rsidRDefault="001D559C" w:rsidP="001D559C">
            <w:pPr>
              <w:pStyle w:val="PBACTabletext"/>
              <w:keepNext/>
              <w:spacing w:after="0"/>
              <w:rPr>
                <w:lang w:val="en-US"/>
              </w:rPr>
            </w:pPr>
            <w:r w:rsidRPr="00E05465">
              <w:rPr>
                <w:lang w:val="en-US"/>
              </w:rPr>
              <w:t>Duration of therapy (days)</w:t>
            </w:r>
          </w:p>
          <w:p w14:paraId="311F9FFE" w14:textId="77777777" w:rsidR="001D559C" w:rsidRPr="00E05465" w:rsidRDefault="001D559C" w:rsidP="001D559C">
            <w:pPr>
              <w:pStyle w:val="PBACTabletext"/>
              <w:keepNext/>
              <w:spacing w:after="0"/>
              <w:rPr>
                <w:lang w:val="en-US"/>
              </w:rPr>
            </w:pPr>
            <w:r w:rsidRPr="00E05465">
              <w:rPr>
                <w:lang w:val="en-US"/>
              </w:rPr>
              <w:t>Mean (SD)</w:t>
            </w:r>
          </w:p>
          <w:p w14:paraId="25498ED8" w14:textId="77777777" w:rsidR="001D559C" w:rsidRPr="00E05465" w:rsidRDefault="001D559C" w:rsidP="001D559C">
            <w:pPr>
              <w:pStyle w:val="PBACTabletext"/>
              <w:keepNext/>
              <w:spacing w:after="0"/>
              <w:rPr>
                <w:lang w:val="en-US"/>
              </w:rPr>
            </w:pPr>
            <w:r w:rsidRPr="00E05465">
              <w:rPr>
                <w:lang w:val="en-US"/>
              </w:rPr>
              <w:t>Median (range)</w:t>
            </w:r>
          </w:p>
        </w:tc>
        <w:tc>
          <w:tcPr>
            <w:tcW w:w="1213" w:type="pct"/>
            <w:shd w:val="clear" w:color="auto" w:fill="auto"/>
            <w:tcMar>
              <w:left w:w="40" w:type="dxa"/>
              <w:right w:w="40" w:type="dxa"/>
            </w:tcMar>
          </w:tcPr>
          <w:p w14:paraId="11F9B775" w14:textId="77777777" w:rsidR="001D559C" w:rsidRPr="00E05465" w:rsidRDefault="001D559C" w:rsidP="005B6D71">
            <w:pPr>
              <w:pStyle w:val="PBACTabletext"/>
              <w:keepNext/>
              <w:spacing w:after="0"/>
              <w:jc w:val="center"/>
              <w:rPr>
                <w:lang w:val="en-US"/>
              </w:rPr>
            </w:pPr>
          </w:p>
          <w:p w14:paraId="33FFC5D1" w14:textId="77777777" w:rsidR="001D559C" w:rsidRPr="00E05465" w:rsidRDefault="001D559C" w:rsidP="005B6D71">
            <w:pPr>
              <w:pStyle w:val="PBACTabletext"/>
              <w:keepNext/>
              <w:spacing w:after="0"/>
              <w:jc w:val="center"/>
              <w:rPr>
                <w:lang w:val="en-US"/>
              </w:rPr>
            </w:pPr>
            <w:r w:rsidRPr="00E05465">
              <w:rPr>
                <w:lang w:val="en-US"/>
              </w:rPr>
              <w:t>183.3 (0.50)</w:t>
            </w:r>
          </w:p>
          <w:p w14:paraId="7654B33F" w14:textId="77777777" w:rsidR="001D559C" w:rsidRPr="00E05465" w:rsidRDefault="001D559C" w:rsidP="005B6D71">
            <w:pPr>
              <w:pStyle w:val="PBACTabletext"/>
              <w:keepNext/>
              <w:spacing w:after="0"/>
              <w:jc w:val="center"/>
              <w:rPr>
                <w:lang w:val="en-US"/>
              </w:rPr>
            </w:pPr>
            <w:r w:rsidRPr="00E05465">
              <w:rPr>
                <w:lang w:val="en-US"/>
              </w:rPr>
              <w:t>184.0 (183, 184)</w:t>
            </w:r>
          </w:p>
        </w:tc>
        <w:tc>
          <w:tcPr>
            <w:tcW w:w="1147" w:type="pct"/>
            <w:shd w:val="clear" w:color="auto" w:fill="auto"/>
            <w:tcMar>
              <w:left w:w="40" w:type="dxa"/>
              <w:right w:w="40" w:type="dxa"/>
            </w:tcMar>
          </w:tcPr>
          <w:p w14:paraId="2A6D6D4D" w14:textId="77777777" w:rsidR="001D559C" w:rsidRPr="00E05465" w:rsidRDefault="001D559C" w:rsidP="005B6D71">
            <w:pPr>
              <w:pStyle w:val="PBACTabletext"/>
              <w:keepNext/>
              <w:spacing w:after="0"/>
              <w:jc w:val="center"/>
              <w:rPr>
                <w:lang w:val="en-US"/>
              </w:rPr>
            </w:pPr>
          </w:p>
          <w:p w14:paraId="4306EEBA" w14:textId="77777777" w:rsidR="001D559C" w:rsidRPr="00E05465" w:rsidRDefault="001D559C" w:rsidP="005B6D71">
            <w:pPr>
              <w:pStyle w:val="PBACTabletext"/>
              <w:keepNext/>
              <w:spacing w:after="0"/>
              <w:jc w:val="center"/>
              <w:rPr>
                <w:lang w:val="en-US"/>
              </w:rPr>
            </w:pPr>
            <w:r w:rsidRPr="00E05465">
              <w:rPr>
                <w:lang w:val="en-US"/>
              </w:rPr>
              <w:t>183.3 (0.89)</w:t>
            </w:r>
          </w:p>
          <w:p w14:paraId="7C01218B" w14:textId="77777777" w:rsidR="001D559C" w:rsidRPr="00E05465" w:rsidRDefault="001D559C" w:rsidP="005B6D71">
            <w:pPr>
              <w:pStyle w:val="PBACTabletext"/>
              <w:keepNext/>
              <w:spacing w:after="0"/>
              <w:jc w:val="center"/>
              <w:rPr>
                <w:lang w:val="en-US"/>
              </w:rPr>
            </w:pPr>
            <w:r w:rsidRPr="00E05465">
              <w:rPr>
                <w:lang w:val="en-US"/>
              </w:rPr>
              <w:t>183.0 (182, 185)</w:t>
            </w:r>
          </w:p>
        </w:tc>
        <w:tc>
          <w:tcPr>
            <w:tcW w:w="994" w:type="pct"/>
            <w:shd w:val="clear" w:color="auto" w:fill="auto"/>
            <w:tcMar>
              <w:left w:w="40" w:type="dxa"/>
              <w:right w:w="40" w:type="dxa"/>
            </w:tcMar>
          </w:tcPr>
          <w:p w14:paraId="5270D8BE" w14:textId="77777777" w:rsidR="001D559C" w:rsidRPr="00E05465" w:rsidRDefault="001D559C" w:rsidP="005B6D71">
            <w:pPr>
              <w:pStyle w:val="PBACTabletext"/>
              <w:keepNext/>
              <w:spacing w:after="0"/>
              <w:jc w:val="center"/>
              <w:rPr>
                <w:lang w:val="en-US"/>
              </w:rPr>
            </w:pPr>
          </w:p>
          <w:p w14:paraId="4E37C59E" w14:textId="77777777" w:rsidR="001D559C" w:rsidRPr="00E05465" w:rsidRDefault="001D559C" w:rsidP="005B6D71">
            <w:pPr>
              <w:pStyle w:val="PBACTabletext"/>
              <w:keepNext/>
              <w:spacing w:after="0"/>
              <w:jc w:val="center"/>
              <w:rPr>
                <w:lang w:val="en-US"/>
              </w:rPr>
            </w:pPr>
            <w:r w:rsidRPr="00E05465">
              <w:rPr>
                <w:lang w:val="en-US"/>
              </w:rPr>
              <w:t>85.3 (2.06)</w:t>
            </w:r>
          </w:p>
          <w:p w14:paraId="4CA51B02" w14:textId="77777777" w:rsidR="001D559C" w:rsidRPr="00E05465" w:rsidRDefault="001D559C" w:rsidP="005B6D71">
            <w:pPr>
              <w:pStyle w:val="PBACTabletext"/>
              <w:keepNext/>
              <w:spacing w:after="0"/>
              <w:jc w:val="center"/>
              <w:rPr>
                <w:lang w:val="en-US"/>
              </w:rPr>
            </w:pPr>
            <w:r w:rsidRPr="00E05465">
              <w:rPr>
                <w:lang w:val="en-US"/>
              </w:rPr>
              <w:t>85.0 (82.0, 89.0)</w:t>
            </w:r>
          </w:p>
        </w:tc>
      </w:tr>
      <w:tr w:rsidR="00E05465" w:rsidRPr="00E05465" w14:paraId="4FED5C66" w14:textId="77777777" w:rsidTr="005B6D71">
        <w:trPr>
          <w:cantSplit/>
          <w:trHeight w:val="110"/>
          <w:tblHeader/>
        </w:trPr>
        <w:tc>
          <w:tcPr>
            <w:tcW w:w="1646" w:type="pct"/>
            <w:shd w:val="clear" w:color="auto" w:fill="auto"/>
            <w:tcMar>
              <w:left w:w="40" w:type="dxa"/>
              <w:right w:w="40" w:type="dxa"/>
            </w:tcMar>
          </w:tcPr>
          <w:p w14:paraId="1D09EBBA" w14:textId="77777777" w:rsidR="001D559C" w:rsidRPr="00E05465" w:rsidRDefault="001D559C" w:rsidP="001D559C">
            <w:pPr>
              <w:pStyle w:val="PBACTabletext"/>
              <w:keepNext/>
              <w:spacing w:after="0"/>
              <w:rPr>
                <w:lang w:val="en-US"/>
              </w:rPr>
            </w:pPr>
            <w:r w:rsidRPr="00E05465">
              <w:t>Any AE, n/N (%)</w:t>
            </w:r>
          </w:p>
        </w:tc>
        <w:tc>
          <w:tcPr>
            <w:tcW w:w="1213" w:type="pct"/>
            <w:shd w:val="clear" w:color="auto" w:fill="auto"/>
            <w:tcMar>
              <w:left w:w="40" w:type="dxa"/>
              <w:right w:w="40" w:type="dxa"/>
            </w:tcMar>
          </w:tcPr>
          <w:p w14:paraId="20A4F472" w14:textId="77777777" w:rsidR="001D559C" w:rsidRPr="00E05465" w:rsidRDefault="001D559C" w:rsidP="005B6D71">
            <w:pPr>
              <w:pStyle w:val="PBACTabletext"/>
              <w:keepNext/>
              <w:spacing w:after="0"/>
              <w:jc w:val="center"/>
              <w:rPr>
                <w:lang w:val="en-US"/>
              </w:rPr>
            </w:pPr>
            <w:r w:rsidRPr="00E05465">
              <w:t>3/4 (75.0%)</w:t>
            </w:r>
          </w:p>
        </w:tc>
        <w:tc>
          <w:tcPr>
            <w:tcW w:w="1147" w:type="pct"/>
            <w:shd w:val="clear" w:color="auto" w:fill="auto"/>
            <w:tcMar>
              <w:left w:w="40" w:type="dxa"/>
              <w:right w:w="40" w:type="dxa"/>
            </w:tcMar>
          </w:tcPr>
          <w:p w14:paraId="734283E4" w14:textId="77777777" w:rsidR="001D559C" w:rsidRPr="00E05465" w:rsidRDefault="001D559C" w:rsidP="005B6D71">
            <w:pPr>
              <w:pStyle w:val="PBACTabletext"/>
              <w:keepNext/>
              <w:spacing w:after="0"/>
              <w:jc w:val="center"/>
            </w:pPr>
            <w:r w:rsidRPr="00E05465">
              <w:t>7/8 (87.5%)</w:t>
            </w:r>
          </w:p>
        </w:tc>
        <w:tc>
          <w:tcPr>
            <w:tcW w:w="994" w:type="pct"/>
            <w:shd w:val="clear" w:color="auto" w:fill="auto"/>
            <w:tcMar>
              <w:left w:w="40" w:type="dxa"/>
              <w:right w:w="40" w:type="dxa"/>
            </w:tcMar>
          </w:tcPr>
          <w:p w14:paraId="59CAB0CC" w14:textId="77777777" w:rsidR="001D559C" w:rsidRPr="00E05465" w:rsidRDefault="001D559C" w:rsidP="005B6D71">
            <w:pPr>
              <w:pStyle w:val="PBACTabletext"/>
              <w:keepNext/>
              <w:spacing w:after="0"/>
              <w:jc w:val="center"/>
              <w:rPr>
                <w:lang w:val="en-US"/>
              </w:rPr>
            </w:pPr>
            <w:r w:rsidRPr="00E05465">
              <w:t>7/7 (100.0%)</w:t>
            </w:r>
          </w:p>
        </w:tc>
      </w:tr>
      <w:tr w:rsidR="00E05465" w:rsidRPr="00E05465" w14:paraId="10301A69" w14:textId="77777777" w:rsidTr="005B6D71">
        <w:trPr>
          <w:cantSplit/>
          <w:trHeight w:val="110"/>
          <w:tblHeader/>
        </w:trPr>
        <w:tc>
          <w:tcPr>
            <w:tcW w:w="1646" w:type="pct"/>
            <w:shd w:val="clear" w:color="auto" w:fill="auto"/>
            <w:tcMar>
              <w:left w:w="40" w:type="dxa"/>
              <w:right w:w="40" w:type="dxa"/>
            </w:tcMar>
          </w:tcPr>
          <w:p w14:paraId="5FFE8A2C" w14:textId="77777777" w:rsidR="001D559C" w:rsidRPr="00E05465" w:rsidRDefault="001D559C" w:rsidP="001D559C">
            <w:pPr>
              <w:pStyle w:val="PBACTabletext"/>
              <w:keepNext/>
              <w:spacing w:after="0"/>
              <w:rPr>
                <w:lang w:val="en-US"/>
              </w:rPr>
            </w:pPr>
            <w:r w:rsidRPr="00E05465">
              <w:t>Any SAE, n/N (%)</w:t>
            </w:r>
          </w:p>
        </w:tc>
        <w:tc>
          <w:tcPr>
            <w:tcW w:w="1213" w:type="pct"/>
            <w:shd w:val="clear" w:color="auto" w:fill="auto"/>
            <w:tcMar>
              <w:left w:w="40" w:type="dxa"/>
              <w:right w:w="40" w:type="dxa"/>
            </w:tcMar>
          </w:tcPr>
          <w:p w14:paraId="4307A103" w14:textId="77777777" w:rsidR="001D559C" w:rsidRPr="00E05465" w:rsidRDefault="001D559C" w:rsidP="005B6D71">
            <w:pPr>
              <w:pStyle w:val="PBACTabletext"/>
              <w:keepNext/>
              <w:spacing w:after="0"/>
              <w:jc w:val="center"/>
              <w:rPr>
                <w:lang w:val="en-US"/>
              </w:rPr>
            </w:pPr>
            <w:r w:rsidRPr="00E05465">
              <w:t>1/4 (25.0%)</w:t>
            </w:r>
          </w:p>
        </w:tc>
        <w:tc>
          <w:tcPr>
            <w:tcW w:w="1147" w:type="pct"/>
            <w:shd w:val="clear" w:color="auto" w:fill="auto"/>
            <w:tcMar>
              <w:left w:w="40" w:type="dxa"/>
              <w:right w:w="40" w:type="dxa"/>
            </w:tcMar>
          </w:tcPr>
          <w:p w14:paraId="16B8C091" w14:textId="77777777" w:rsidR="001D559C" w:rsidRPr="00E05465" w:rsidRDefault="001D559C" w:rsidP="005B6D71">
            <w:pPr>
              <w:pStyle w:val="PBACTabletext"/>
              <w:keepNext/>
              <w:spacing w:after="0"/>
              <w:jc w:val="center"/>
            </w:pPr>
            <w:r w:rsidRPr="00E05465">
              <w:t>2/8 (25.0%)</w:t>
            </w:r>
          </w:p>
        </w:tc>
        <w:tc>
          <w:tcPr>
            <w:tcW w:w="994" w:type="pct"/>
            <w:shd w:val="clear" w:color="auto" w:fill="auto"/>
            <w:tcMar>
              <w:left w:w="40" w:type="dxa"/>
              <w:right w:w="40" w:type="dxa"/>
            </w:tcMar>
          </w:tcPr>
          <w:p w14:paraId="48C0314C" w14:textId="77777777" w:rsidR="001D559C" w:rsidRPr="00E05465" w:rsidRDefault="001D559C" w:rsidP="005B6D71">
            <w:pPr>
              <w:pStyle w:val="PBACTabletext"/>
              <w:keepNext/>
              <w:spacing w:after="0"/>
              <w:jc w:val="center"/>
              <w:rPr>
                <w:lang w:val="en-US"/>
              </w:rPr>
            </w:pPr>
            <w:r w:rsidRPr="00E05465">
              <w:t>2/7 (28.6%)</w:t>
            </w:r>
          </w:p>
        </w:tc>
      </w:tr>
      <w:tr w:rsidR="00E05465" w:rsidRPr="00E05465" w14:paraId="2BC1C08B" w14:textId="77777777" w:rsidTr="005B6D71">
        <w:trPr>
          <w:cantSplit/>
          <w:trHeight w:val="110"/>
          <w:tblHeader/>
        </w:trPr>
        <w:tc>
          <w:tcPr>
            <w:tcW w:w="1646" w:type="pct"/>
            <w:tcBorders>
              <w:bottom w:val="single" w:sz="4" w:space="0" w:color="auto"/>
            </w:tcBorders>
            <w:shd w:val="clear" w:color="auto" w:fill="auto"/>
            <w:tcMar>
              <w:left w:w="40" w:type="dxa"/>
              <w:right w:w="40" w:type="dxa"/>
            </w:tcMar>
          </w:tcPr>
          <w:p w14:paraId="2071F3E8" w14:textId="77777777" w:rsidR="001D559C" w:rsidRPr="00E05465" w:rsidRDefault="001D559C" w:rsidP="001D559C">
            <w:pPr>
              <w:pStyle w:val="PBACTabletext"/>
              <w:keepNext/>
              <w:spacing w:after="0"/>
              <w:rPr>
                <w:vertAlign w:val="superscript"/>
                <w:lang w:val="en-US"/>
              </w:rPr>
            </w:pPr>
            <w:r w:rsidRPr="00E05465">
              <w:t>AEs possibly or probably related to study drug, n/N (%)</w:t>
            </w:r>
            <w:r w:rsidRPr="00E05465">
              <w:rPr>
                <w:vertAlign w:val="superscript"/>
              </w:rPr>
              <w:t>a</w:t>
            </w:r>
          </w:p>
        </w:tc>
        <w:tc>
          <w:tcPr>
            <w:tcW w:w="1213" w:type="pct"/>
            <w:tcBorders>
              <w:bottom w:val="single" w:sz="4" w:space="0" w:color="auto"/>
            </w:tcBorders>
            <w:shd w:val="clear" w:color="auto" w:fill="auto"/>
            <w:tcMar>
              <w:left w:w="40" w:type="dxa"/>
              <w:right w:w="40" w:type="dxa"/>
            </w:tcMar>
            <w:vAlign w:val="center"/>
          </w:tcPr>
          <w:p w14:paraId="4EA6C2E1" w14:textId="77777777" w:rsidR="001D559C" w:rsidRPr="00E05465" w:rsidRDefault="001D559C" w:rsidP="005B6D71">
            <w:pPr>
              <w:pStyle w:val="PBACTabletext"/>
              <w:keepNext/>
              <w:spacing w:after="0"/>
              <w:jc w:val="center"/>
              <w:rPr>
                <w:lang w:val="en-US"/>
              </w:rPr>
            </w:pPr>
            <w:r w:rsidRPr="00E05465">
              <w:t>1/4 (25.0%)</w:t>
            </w:r>
          </w:p>
        </w:tc>
        <w:tc>
          <w:tcPr>
            <w:tcW w:w="1147" w:type="pct"/>
            <w:tcBorders>
              <w:bottom w:val="single" w:sz="4" w:space="0" w:color="auto"/>
            </w:tcBorders>
            <w:shd w:val="clear" w:color="auto" w:fill="auto"/>
            <w:tcMar>
              <w:left w:w="40" w:type="dxa"/>
              <w:right w:w="40" w:type="dxa"/>
            </w:tcMar>
            <w:vAlign w:val="center"/>
          </w:tcPr>
          <w:p w14:paraId="6E8F0308" w14:textId="77777777" w:rsidR="001D559C" w:rsidRPr="00E05465" w:rsidRDefault="001D559C" w:rsidP="005B6D71">
            <w:pPr>
              <w:pStyle w:val="PBACTabletext"/>
              <w:keepNext/>
              <w:spacing w:after="0"/>
              <w:jc w:val="center"/>
              <w:rPr>
                <w:lang w:val="en-US"/>
              </w:rPr>
            </w:pPr>
            <w:r w:rsidRPr="00E05465">
              <w:t>3/8 (37.5%)</w:t>
            </w:r>
          </w:p>
        </w:tc>
        <w:tc>
          <w:tcPr>
            <w:tcW w:w="994" w:type="pct"/>
            <w:tcBorders>
              <w:bottom w:val="single" w:sz="4" w:space="0" w:color="auto"/>
            </w:tcBorders>
            <w:shd w:val="clear" w:color="auto" w:fill="auto"/>
            <w:tcMar>
              <w:left w:w="40" w:type="dxa"/>
              <w:right w:w="40" w:type="dxa"/>
            </w:tcMar>
            <w:vAlign w:val="center"/>
          </w:tcPr>
          <w:p w14:paraId="7F744D2D" w14:textId="77777777" w:rsidR="001D559C" w:rsidRPr="00E05465" w:rsidRDefault="001D559C" w:rsidP="005B6D71">
            <w:pPr>
              <w:pStyle w:val="PBACTabletext"/>
              <w:keepNext/>
              <w:spacing w:after="0"/>
              <w:jc w:val="center"/>
              <w:rPr>
                <w:lang w:val="en-US"/>
              </w:rPr>
            </w:pPr>
            <w:r w:rsidRPr="00E05465">
              <w:rPr>
                <w:lang w:val="en-US"/>
              </w:rPr>
              <w:t>5/7 (71.4%)</w:t>
            </w:r>
          </w:p>
        </w:tc>
      </w:tr>
      <w:tr w:rsidR="00E05465" w:rsidRPr="00E05465" w14:paraId="27E4A2AF" w14:textId="77777777" w:rsidTr="005B6D71">
        <w:trPr>
          <w:cantSplit/>
          <w:trHeight w:val="110"/>
          <w:tblHeader/>
        </w:trPr>
        <w:tc>
          <w:tcPr>
            <w:tcW w:w="1646" w:type="pct"/>
            <w:tcBorders>
              <w:bottom w:val="single" w:sz="4" w:space="0" w:color="auto"/>
            </w:tcBorders>
            <w:shd w:val="clear" w:color="auto" w:fill="auto"/>
            <w:tcMar>
              <w:left w:w="40" w:type="dxa"/>
              <w:right w:w="40" w:type="dxa"/>
            </w:tcMar>
          </w:tcPr>
          <w:p w14:paraId="43045E73" w14:textId="77777777" w:rsidR="001D559C" w:rsidRPr="00E05465" w:rsidRDefault="001D559C" w:rsidP="001D559C">
            <w:pPr>
              <w:pStyle w:val="PBACTabletext"/>
              <w:keepNext/>
              <w:spacing w:after="0"/>
              <w:rPr>
                <w:vertAlign w:val="superscript"/>
                <w:lang w:val="en-US"/>
              </w:rPr>
            </w:pPr>
            <w:r w:rsidRPr="00E05465">
              <w:t>SAEs possibly or probably related to study drug, n/N (%)</w:t>
            </w:r>
            <w:r w:rsidRPr="00E05465">
              <w:rPr>
                <w:vertAlign w:val="superscript"/>
              </w:rPr>
              <w:t>a</w:t>
            </w:r>
          </w:p>
        </w:tc>
        <w:tc>
          <w:tcPr>
            <w:tcW w:w="1213" w:type="pct"/>
            <w:tcBorders>
              <w:top w:val="single" w:sz="4" w:space="0" w:color="auto"/>
              <w:bottom w:val="single" w:sz="4" w:space="0" w:color="auto"/>
            </w:tcBorders>
            <w:shd w:val="clear" w:color="auto" w:fill="auto"/>
            <w:tcMar>
              <w:left w:w="40" w:type="dxa"/>
              <w:right w:w="40" w:type="dxa"/>
            </w:tcMar>
            <w:vAlign w:val="center"/>
          </w:tcPr>
          <w:p w14:paraId="19A84655" w14:textId="77777777" w:rsidR="001D559C" w:rsidRPr="00E05465" w:rsidRDefault="001D559C" w:rsidP="005B6D71">
            <w:pPr>
              <w:pStyle w:val="PBACTabletext"/>
              <w:keepNext/>
              <w:spacing w:after="0"/>
              <w:jc w:val="center"/>
              <w:rPr>
                <w:lang w:val="en-US"/>
              </w:rPr>
            </w:pPr>
            <w:r w:rsidRPr="00E05465">
              <w:t>0/4 (0.0%)</w:t>
            </w:r>
          </w:p>
        </w:tc>
        <w:tc>
          <w:tcPr>
            <w:tcW w:w="1147" w:type="pct"/>
            <w:tcBorders>
              <w:top w:val="single" w:sz="4" w:space="0" w:color="auto"/>
              <w:bottom w:val="single" w:sz="4" w:space="0" w:color="auto"/>
            </w:tcBorders>
            <w:shd w:val="clear" w:color="auto" w:fill="auto"/>
            <w:tcMar>
              <w:left w:w="40" w:type="dxa"/>
              <w:right w:w="40" w:type="dxa"/>
            </w:tcMar>
            <w:vAlign w:val="center"/>
          </w:tcPr>
          <w:p w14:paraId="679EFB93" w14:textId="77777777" w:rsidR="001D559C" w:rsidRPr="00E05465" w:rsidRDefault="001D559C" w:rsidP="005B6D71">
            <w:pPr>
              <w:pStyle w:val="PBACTabletext"/>
              <w:keepNext/>
              <w:spacing w:after="0"/>
              <w:jc w:val="center"/>
              <w:rPr>
                <w:lang w:val="en-US"/>
              </w:rPr>
            </w:pPr>
            <w:r w:rsidRPr="00E05465">
              <w:t>0/8 (0.0%)</w:t>
            </w:r>
          </w:p>
        </w:tc>
        <w:tc>
          <w:tcPr>
            <w:tcW w:w="994" w:type="pct"/>
            <w:tcBorders>
              <w:top w:val="single" w:sz="4" w:space="0" w:color="auto"/>
              <w:bottom w:val="single" w:sz="4" w:space="0" w:color="auto"/>
            </w:tcBorders>
            <w:shd w:val="clear" w:color="auto" w:fill="auto"/>
            <w:tcMar>
              <w:left w:w="40" w:type="dxa"/>
              <w:right w:w="40" w:type="dxa"/>
            </w:tcMar>
            <w:vAlign w:val="center"/>
          </w:tcPr>
          <w:p w14:paraId="5926284B" w14:textId="77777777" w:rsidR="001D559C" w:rsidRPr="00E05465" w:rsidRDefault="001D559C" w:rsidP="005B6D71">
            <w:pPr>
              <w:pStyle w:val="PBACTabletext"/>
              <w:keepNext/>
              <w:spacing w:after="0"/>
              <w:jc w:val="center"/>
              <w:rPr>
                <w:lang w:val="en-US"/>
              </w:rPr>
            </w:pPr>
            <w:r w:rsidRPr="00E05465">
              <w:rPr>
                <w:lang w:val="en-US"/>
              </w:rPr>
              <w:t>1/7 (14.3%)</w:t>
            </w:r>
          </w:p>
        </w:tc>
      </w:tr>
    </w:tbl>
    <w:p w14:paraId="0941DA76" w14:textId="77777777" w:rsidR="001D559C" w:rsidRPr="00E05465" w:rsidRDefault="001D559C" w:rsidP="001D559C">
      <w:pPr>
        <w:pStyle w:val="TableFooter"/>
        <w:rPr>
          <w:rFonts w:eastAsiaTheme="minorHAnsi"/>
          <w:lang w:val="en-US" w:eastAsia="en-US"/>
        </w:rPr>
      </w:pPr>
      <w:bookmarkStart w:id="41" w:name="_Hlk132807096"/>
      <w:bookmarkEnd w:id="40"/>
      <w:r w:rsidRPr="00E05465">
        <w:rPr>
          <w:rFonts w:eastAsiaTheme="minorHAnsi"/>
          <w:lang w:val="en-US" w:eastAsia="en-US"/>
        </w:rPr>
        <w:t>Source: Modified from Table 2.6, p43 of the submission</w:t>
      </w:r>
      <w:bookmarkEnd w:id="41"/>
      <w:r w:rsidRPr="00E05465">
        <w:rPr>
          <w:rFonts w:eastAsiaTheme="minorHAnsi"/>
          <w:lang w:val="en-US" w:eastAsia="en-US"/>
        </w:rPr>
        <w:t>.</w:t>
      </w:r>
    </w:p>
    <w:p w14:paraId="3E668DE6" w14:textId="77777777" w:rsidR="001D559C" w:rsidRPr="00E05465" w:rsidRDefault="001D559C" w:rsidP="001D559C">
      <w:pPr>
        <w:pStyle w:val="TableFooter"/>
        <w:rPr>
          <w:rFonts w:eastAsiaTheme="minorHAnsi"/>
          <w:lang w:val="en-US" w:eastAsia="en-US"/>
        </w:rPr>
      </w:pPr>
      <w:r w:rsidRPr="00E05465">
        <w:rPr>
          <w:rFonts w:eastAsiaTheme="minorHAnsi"/>
          <w:lang w:val="en-US" w:eastAsia="en-US"/>
        </w:rPr>
        <w:t>AE=adverse event; SAE=serious adverse event; SD=standard deviation</w:t>
      </w:r>
    </w:p>
    <w:p w14:paraId="7F5E90C2" w14:textId="77777777" w:rsidR="001D559C" w:rsidRPr="00E05465" w:rsidRDefault="001D559C" w:rsidP="001D559C">
      <w:pPr>
        <w:pStyle w:val="TableFooter"/>
        <w:rPr>
          <w:rFonts w:eastAsiaTheme="minorHAnsi"/>
          <w:iCs/>
          <w:lang w:eastAsia="en-US"/>
        </w:rPr>
      </w:pPr>
      <w:r w:rsidRPr="00E05465">
        <w:rPr>
          <w:rFonts w:eastAsiaTheme="minorHAnsi"/>
          <w:iCs/>
          <w:vertAlign w:val="superscript"/>
          <w:lang w:eastAsia="en-US"/>
        </w:rPr>
        <w:t xml:space="preserve">a </w:t>
      </w:r>
      <w:r w:rsidRPr="00E05465">
        <w:rPr>
          <w:rFonts w:eastAsiaTheme="minorHAnsi"/>
          <w:iCs/>
          <w:lang w:eastAsia="en-US"/>
        </w:rPr>
        <w:t>Related AEs were defined as AEs that were possibly, probably, or definitely related to study treatment.</w:t>
      </w:r>
    </w:p>
    <w:p w14:paraId="69E46B5E" w14:textId="77777777" w:rsidR="001D559C" w:rsidRPr="00E05465" w:rsidRDefault="001D559C" w:rsidP="007E6F6D">
      <w:pPr>
        <w:pStyle w:val="TableFooter"/>
        <w:spacing w:after="120"/>
        <w:rPr>
          <w:rFonts w:eastAsiaTheme="minorHAnsi"/>
          <w:iCs/>
          <w:lang w:val="en-US" w:eastAsia="en-US"/>
        </w:rPr>
      </w:pPr>
      <w:r w:rsidRPr="00E05465">
        <w:rPr>
          <w:rFonts w:eastAsiaTheme="minorHAnsi"/>
          <w:iCs/>
          <w:lang w:val="en-US" w:eastAsia="en-US"/>
        </w:rPr>
        <w:t>Note: Data have not been included for AEs or SAEs leading to discontinuation of study drug, AEs of special interest (</w:t>
      </w:r>
      <w:r w:rsidRPr="00E05465">
        <w:rPr>
          <w:rFonts w:eastAsiaTheme="minorHAnsi"/>
          <w:iCs/>
          <w:lang w:eastAsia="en-US"/>
        </w:rPr>
        <w:t>meningococcal infection), and deaths, as</w:t>
      </w:r>
      <w:r w:rsidRPr="00E05465">
        <w:rPr>
          <w:rFonts w:eastAsiaTheme="minorHAnsi"/>
          <w:iCs/>
          <w:lang w:val="en-US" w:eastAsia="en-US"/>
        </w:rPr>
        <w:t xml:space="preserve"> these events were not observed in either of the studies.</w:t>
      </w:r>
    </w:p>
    <w:p w14:paraId="14BD58AE" w14:textId="77777777" w:rsidR="001D559C" w:rsidRPr="00E05465" w:rsidRDefault="001D559C" w:rsidP="002032B0">
      <w:pPr>
        <w:pStyle w:val="3-BodyText"/>
      </w:pPr>
      <w:r w:rsidRPr="00E05465">
        <w:rPr>
          <w:lang w:val="en-US"/>
        </w:rPr>
        <w:t>Among complement inhibitor treatment-naïve patients, three of four patients (75%) in Study 304 and all seven patients (100%) in Study M07-005 experienced at least one treatment emergent adverse event (TEAE) related to any cause. Similar proportions of patients experienced a SAE related to any cause (Study 304: 25% in Study 304 vs 29% in Study M07-005).</w:t>
      </w:r>
    </w:p>
    <w:p w14:paraId="3EFFDA8F" w14:textId="77777777" w:rsidR="001D559C" w:rsidRPr="00E05465" w:rsidRDefault="001D559C" w:rsidP="002032B0">
      <w:pPr>
        <w:pStyle w:val="3-BodyText"/>
      </w:pPr>
      <w:r w:rsidRPr="00E05465">
        <w:rPr>
          <w:lang w:val="en-US"/>
        </w:rPr>
        <w:t>TEAEs which were considered possibly or probably study drug-related occurred in 25% and 38% of patients in the treatment-naïve and eculizumab-experienced cohorts, respectively, in Study 304, and in 71% of patients (all treatment-naïve) in Study M07-005.</w:t>
      </w:r>
    </w:p>
    <w:p w14:paraId="7870877F" w14:textId="68B277EE" w:rsidR="001D559C" w:rsidRPr="00E05465" w:rsidRDefault="001D559C" w:rsidP="002032B0">
      <w:pPr>
        <w:pStyle w:val="3-BodyText"/>
        <w:rPr>
          <w:lang w:val="en-US"/>
        </w:rPr>
      </w:pPr>
      <w:r w:rsidRPr="00E05465">
        <w:rPr>
          <w:lang w:val="en-US"/>
        </w:rPr>
        <w:t>Among complement inhibitor treatment-naïve patients in Study 304, each of the following TEAEs (non-exhaustive) was reported in one patient (1/4; 25%): Cushing’s syndrome, device-related thrombosis, multiple organ dysfunction syndrome, pyrexia, nasopharyngitis, device-related sepsis, septic shock, staphylococcal infection, increased blood pressure and arthralgia.</w:t>
      </w:r>
    </w:p>
    <w:p w14:paraId="100B1464" w14:textId="77777777" w:rsidR="001D559C" w:rsidRPr="00E05465" w:rsidRDefault="001D559C" w:rsidP="002032B0">
      <w:pPr>
        <w:pStyle w:val="3-BodyText"/>
        <w:rPr>
          <w:lang w:val="en-US"/>
        </w:rPr>
      </w:pPr>
      <w:r w:rsidRPr="00E05465">
        <w:rPr>
          <w:lang w:val="en-US"/>
        </w:rPr>
        <w:t xml:space="preserve">The most frequently reported adverse events (AEs) in Study M07-005 were abdominal pain, pyrexia, upper respiratory tract infection, </w:t>
      </w:r>
      <w:proofErr w:type="gramStart"/>
      <w:r w:rsidRPr="00E05465">
        <w:rPr>
          <w:lang w:val="en-US"/>
        </w:rPr>
        <w:t>contusion</w:t>
      </w:r>
      <w:proofErr w:type="gramEnd"/>
      <w:r w:rsidRPr="00E05465">
        <w:rPr>
          <w:lang w:val="en-US"/>
        </w:rPr>
        <w:t xml:space="preserve"> and cough, each reported in two patients (28.6%).</w:t>
      </w:r>
    </w:p>
    <w:p w14:paraId="141A008B" w14:textId="62356D13" w:rsidR="001D559C" w:rsidRPr="00E05465" w:rsidRDefault="001D559C" w:rsidP="002032B0">
      <w:pPr>
        <w:pStyle w:val="3-BodyText"/>
        <w:rPr>
          <w:lang w:val="en-US"/>
        </w:rPr>
      </w:pPr>
      <w:r w:rsidRPr="00E05465">
        <w:t>The frequencies of TEAEs and SAEs in the paediatric PNH population treated with ravulizumab in Study 304 appeared consistent with those reported for the adult PNH population in the ravulizumab arms of Studies 301 and 302:</w:t>
      </w:r>
    </w:p>
    <w:p w14:paraId="4493A186" w14:textId="77777777" w:rsidR="001D559C" w:rsidRPr="00E05465" w:rsidRDefault="001D559C" w:rsidP="007E6F6D">
      <w:pPr>
        <w:pStyle w:val="ListParagraph"/>
        <w:rPr>
          <w:lang w:val="en-US"/>
        </w:rPr>
      </w:pPr>
      <w:r w:rsidRPr="00E05465">
        <w:lastRenderedPageBreak/>
        <w:t>The safety data from Studies 301 and 302 suggest that ravulizumab has a similar safety profile to eculizumab in adult patients with PNH.</w:t>
      </w:r>
    </w:p>
    <w:p w14:paraId="6EA86107" w14:textId="77777777" w:rsidR="001D559C" w:rsidRPr="00E05465" w:rsidRDefault="001D559C" w:rsidP="007E6F6D">
      <w:pPr>
        <w:pStyle w:val="ListParagraph"/>
        <w:rPr>
          <w:lang w:val="en-US"/>
        </w:rPr>
      </w:pPr>
      <w:r w:rsidRPr="00E05465">
        <w:t>The frequency of any AE was approximately 88% in Studies 301 and 302, compared with 75% and 88% in the treatment-naïve and eculizumab-experienced cohorts, respectively, in Study 304.</w:t>
      </w:r>
    </w:p>
    <w:p w14:paraId="4C9F3118" w14:textId="77777777" w:rsidR="001D559C" w:rsidRPr="00E05465" w:rsidRDefault="001D559C" w:rsidP="007E6F6D">
      <w:pPr>
        <w:pStyle w:val="ListParagraph"/>
        <w:rPr>
          <w:lang w:val="en-US"/>
        </w:rPr>
      </w:pPr>
      <w:r w:rsidRPr="00E05465">
        <w:t>The frequency of AEs related/possibly related to study drug was 25% and 41% in the ravulizumab arms of Studies 302 and 031, respectively, compared with 25% and 38% in the treatment-naïve and eculizumab-experienced cohorts, respectively, in Study 304.</w:t>
      </w:r>
    </w:p>
    <w:p w14:paraId="122B40C2" w14:textId="77777777" w:rsidR="001D559C" w:rsidRPr="00E05465" w:rsidRDefault="001D559C" w:rsidP="007E6F6D">
      <w:pPr>
        <w:pStyle w:val="ListParagraph"/>
        <w:rPr>
          <w:lang w:val="en-US"/>
        </w:rPr>
      </w:pPr>
      <w:r w:rsidRPr="00E05465">
        <w:t xml:space="preserve">All patients in the ravulizumab studies received a meningococcal vaccine before commencing treatment and no meningococcal infections were reported in any of the studies. </w:t>
      </w:r>
    </w:p>
    <w:p w14:paraId="2060208E" w14:textId="77777777" w:rsidR="001D559C" w:rsidRPr="00E05465" w:rsidRDefault="001D559C" w:rsidP="002032B0">
      <w:pPr>
        <w:pStyle w:val="3-BodyText"/>
      </w:pPr>
      <w:r w:rsidRPr="00E05465">
        <w:t xml:space="preserve">Due to the small number of patients and the single arm design of the included paediatric studies, the assessment of comparative safety is unreliable and difficult. The results need to be interpreted in the context of the rarity of the condition. </w:t>
      </w:r>
      <w:r w:rsidRPr="00E05465">
        <w:rPr>
          <w:lang w:val="en-US"/>
        </w:rPr>
        <w:t xml:space="preserve">Notwithstanding these limitations, the totality of the evidence for safety </w:t>
      </w:r>
      <w:r w:rsidRPr="00E05465">
        <w:t>suggests that ravulizumab likely has a similar safety profile to that of eculizumab in the paediatric population with PNH.</w:t>
      </w:r>
    </w:p>
    <w:p w14:paraId="22CDA567" w14:textId="77777777" w:rsidR="001D559C" w:rsidRPr="00E05465" w:rsidRDefault="001D559C" w:rsidP="002032B0">
      <w:pPr>
        <w:pStyle w:val="3-BodyText"/>
      </w:pPr>
      <w:r w:rsidRPr="00E05465">
        <w:t xml:space="preserve">The extended safety assessment of ravulizumab in the submission was based on the Australian Specific Annex (ASA) to the EU Risk Management Plan (RMP) Version 4.0 (dated 31 October 2022) and the latest Periodic Benefit-Risk Evaluation Report (PBRER) for the reporting interval from 1 July 2021 through 31 December 2021. </w:t>
      </w:r>
      <w:r w:rsidRPr="00E05465">
        <w:rPr>
          <w:lang w:val="en-US"/>
        </w:rPr>
        <w:t xml:space="preserve">The identified and potential risks associated with ravulizumab (such as infections caused by Neisseria meningitidis) are consistent with those associated with eculizumab. It is expected that </w:t>
      </w:r>
      <w:r w:rsidRPr="00E05465">
        <w:t>risk minimisation measures such as meningococcal vaccination would mitigate this risk.</w:t>
      </w:r>
    </w:p>
    <w:p w14:paraId="67A33159" w14:textId="77777777" w:rsidR="001D559C" w:rsidRPr="00E05465" w:rsidRDefault="001D559C" w:rsidP="001D559C">
      <w:pPr>
        <w:pStyle w:val="4-SubsectionHeading"/>
      </w:pPr>
      <w:bookmarkStart w:id="42" w:name="_Toc22897643"/>
      <w:bookmarkStart w:id="43" w:name="_Toc135034943"/>
      <w:r w:rsidRPr="00E05465">
        <w:t>Benefits/harms</w:t>
      </w:r>
      <w:bookmarkEnd w:id="42"/>
      <w:bookmarkEnd w:id="43"/>
    </w:p>
    <w:p w14:paraId="7AA8FEE4" w14:textId="77777777" w:rsidR="001D559C" w:rsidRPr="00E05465" w:rsidRDefault="001D559C" w:rsidP="002032B0">
      <w:pPr>
        <w:pStyle w:val="3-BodyText"/>
      </w:pPr>
      <w:r w:rsidRPr="00E05465">
        <w:rPr>
          <w:lang w:val="en-US"/>
        </w:rPr>
        <w:t>A benefits and harms table was not presented as the submission made a claim of non-inferiority.</w:t>
      </w:r>
    </w:p>
    <w:p w14:paraId="40476FAF" w14:textId="77777777" w:rsidR="001D559C" w:rsidRPr="00E05465" w:rsidRDefault="001D559C" w:rsidP="001D559C">
      <w:pPr>
        <w:pStyle w:val="4-SubsectionHeading"/>
      </w:pPr>
      <w:bookmarkStart w:id="44" w:name="_Toc22897644"/>
      <w:bookmarkStart w:id="45" w:name="_Toc135034944"/>
      <w:r w:rsidRPr="00E05465">
        <w:t>Clinical claim</w:t>
      </w:r>
      <w:bookmarkEnd w:id="44"/>
      <w:bookmarkEnd w:id="45"/>
    </w:p>
    <w:p w14:paraId="0F9453FC" w14:textId="77777777" w:rsidR="001D559C" w:rsidRPr="00E05465" w:rsidRDefault="001D559C" w:rsidP="002032B0">
      <w:pPr>
        <w:pStyle w:val="3-BodyText"/>
        <w:rPr>
          <w:rFonts w:eastAsia="Calibri"/>
        </w:rPr>
      </w:pPr>
      <w:r w:rsidRPr="00E05465">
        <w:rPr>
          <w:rFonts w:eastAsia="Calibri"/>
        </w:rPr>
        <w:t>The submission described ravulizumab as non-inferior in terms of effectiveness and safety compared to eculizumab in paediatric patients with PNH.</w:t>
      </w:r>
    </w:p>
    <w:p w14:paraId="4866A1FE" w14:textId="764ED094" w:rsidR="001D559C" w:rsidRPr="00E05465" w:rsidRDefault="001D559C" w:rsidP="002032B0">
      <w:pPr>
        <w:pStyle w:val="3-BodyText"/>
        <w:rPr>
          <w:rFonts w:eastAsia="Calibri"/>
        </w:rPr>
      </w:pPr>
      <w:r w:rsidRPr="00E05465">
        <w:rPr>
          <w:rFonts w:eastAsia="Calibri"/>
        </w:rPr>
        <w:t>The key limitations with the evidence were the very small number of patients in the studies (12 patients and 7 patients in the ravulizumab and eculizumab studies, respectively) and the single arm nature of the studies involved in the indirect comparison. A rigorous assessment of transitivity and statistical analyses for hypothesis testing were not feasible. However, the estimated worldwide incidence of PNH is rare (1.3 per million population) and paediatric cases account for only 5-10% of reported cases of PNH (</w:t>
      </w:r>
      <w:r w:rsidR="00FE21FD" w:rsidRPr="00E05465">
        <w:rPr>
          <w:rFonts w:eastAsia="Calibri"/>
        </w:rPr>
        <w:t xml:space="preserve">TGA </w:t>
      </w:r>
      <w:r w:rsidRPr="00E05465">
        <w:rPr>
          <w:rFonts w:eastAsia="Calibri"/>
        </w:rPr>
        <w:t>Delegate’s Overview for ravulizumab, PM-2021-01659-</w:t>
      </w:r>
      <w:r w:rsidRPr="00E05465">
        <w:rPr>
          <w:rFonts w:eastAsia="Calibri"/>
        </w:rPr>
        <w:lastRenderedPageBreak/>
        <w:t>1-6). Therefore, any forthcoming evidence is likely to have similar limitations. Ravulizumab is also a pharmacological analogue of eculizumab. Taken together, the data suggest that ravulizumab is likely to be non-inferior in terms of effectiveness and safety to eculizumab in paediatric patients with PNH</w:t>
      </w:r>
      <w:r w:rsidR="00E2170A" w:rsidRPr="00E05465">
        <w:rPr>
          <w:rFonts w:eastAsia="Calibri"/>
        </w:rPr>
        <w:t>.</w:t>
      </w:r>
    </w:p>
    <w:p w14:paraId="0C8DC205" w14:textId="67CA15EB" w:rsidR="002C1848" w:rsidRPr="00E05465" w:rsidRDefault="002C1848" w:rsidP="006146DF">
      <w:pPr>
        <w:widowControl w:val="0"/>
        <w:numPr>
          <w:ilvl w:val="1"/>
          <w:numId w:val="1"/>
        </w:numPr>
        <w:spacing w:after="120"/>
        <w:rPr>
          <w:rFonts w:asciiTheme="minorHAnsi" w:hAnsiTheme="minorHAnsi"/>
          <w:snapToGrid w:val="0"/>
          <w:szCs w:val="20"/>
        </w:rPr>
      </w:pPr>
      <w:bookmarkStart w:id="46" w:name="_Hlk76376200"/>
      <w:r w:rsidRPr="00E05465">
        <w:rPr>
          <w:rFonts w:asciiTheme="minorHAnsi" w:hAnsiTheme="minorHAnsi"/>
          <w:iCs/>
          <w:snapToGrid w:val="0"/>
        </w:rPr>
        <w:t>The</w:t>
      </w:r>
      <w:r w:rsidRPr="00E05465">
        <w:rPr>
          <w:rFonts w:asciiTheme="minorHAnsi" w:hAnsiTheme="minorHAnsi"/>
          <w:snapToGrid w:val="0"/>
          <w:szCs w:val="20"/>
        </w:rPr>
        <w:t xml:space="preserve"> PBAC considered that the claim of non-inferior comparative effectiveness</w:t>
      </w:r>
      <w:r w:rsidR="006146DF" w:rsidRPr="00E05465">
        <w:rPr>
          <w:rFonts w:asciiTheme="minorHAnsi" w:hAnsiTheme="minorHAnsi"/>
          <w:snapToGrid w:val="0"/>
          <w:szCs w:val="20"/>
        </w:rPr>
        <w:t xml:space="preserve"> and safety, while based on very limited data,</w:t>
      </w:r>
      <w:r w:rsidRPr="00E05465">
        <w:rPr>
          <w:rFonts w:asciiTheme="minorHAnsi" w:hAnsiTheme="minorHAnsi"/>
          <w:snapToGrid w:val="0"/>
          <w:szCs w:val="20"/>
        </w:rPr>
        <w:t xml:space="preserve"> was</w:t>
      </w:r>
      <w:r w:rsidR="006146DF" w:rsidRPr="00E05465">
        <w:rPr>
          <w:rFonts w:asciiTheme="minorHAnsi" w:hAnsiTheme="minorHAnsi"/>
          <w:snapToGrid w:val="0"/>
          <w:szCs w:val="20"/>
        </w:rPr>
        <w:t xml:space="preserve"> overall likely to be</w:t>
      </w:r>
      <w:r w:rsidRPr="00E05465">
        <w:rPr>
          <w:rFonts w:asciiTheme="minorHAnsi" w:hAnsiTheme="minorHAnsi"/>
          <w:snapToGrid w:val="0"/>
          <w:szCs w:val="20"/>
        </w:rPr>
        <w:t xml:space="preserve"> reasonable</w:t>
      </w:r>
      <w:bookmarkEnd w:id="46"/>
      <w:r w:rsidR="006146DF" w:rsidRPr="00E05465">
        <w:rPr>
          <w:rFonts w:asciiTheme="minorHAnsi" w:hAnsiTheme="minorHAnsi"/>
          <w:snapToGrid w:val="0"/>
          <w:szCs w:val="20"/>
        </w:rPr>
        <w:t>.</w:t>
      </w:r>
    </w:p>
    <w:p w14:paraId="39D5CEA8" w14:textId="77777777" w:rsidR="001212BA" w:rsidRPr="00E05465" w:rsidRDefault="001212BA" w:rsidP="001212BA">
      <w:pPr>
        <w:pStyle w:val="4-SubsectionHeading"/>
      </w:pPr>
      <w:bookmarkStart w:id="47" w:name="_Toc135034945"/>
      <w:bookmarkEnd w:id="2"/>
      <w:r w:rsidRPr="00E05465">
        <w:t>Economic analysis</w:t>
      </w:r>
      <w:bookmarkEnd w:id="47"/>
      <w:r w:rsidRPr="00E05465">
        <w:t xml:space="preserve"> </w:t>
      </w:r>
    </w:p>
    <w:p w14:paraId="5A65E82F" w14:textId="76C1C2DC" w:rsidR="001212BA" w:rsidRPr="00E05465" w:rsidRDefault="001212BA" w:rsidP="002032B0">
      <w:pPr>
        <w:pStyle w:val="3-BodyText"/>
      </w:pPr>
      <w:bookmarkStart w:id="48" w:name="_Ref132723916"/>
      <w:r w:rsidRPr="00E05465">
        <w:t xml:space="preserve">The submission presented a CMA of ravulizumab compared to eculizumab for the treatment of paediatric PNH patients. </w:t>
      </w:r>
      <w:r w:rsidR="000976E4" w:rsidRPr="00E05465">
        <w:t>Of note, t</w:t>
      </w:r>
      <w:r w:rsidRPr="00E05465">
        <w:t xml:space="preserve">he </w:t>
      </w:r>
      <w:r w:rsidR="000976E4" w:rsidRPr="00E05465">
        <w:t>proposed effective price in the submission was the same as the</w:t>
      </w:r>
      <w:r w:rsidRPr="00E05465">
        <w:t xml:space="preserve"> current effective price of ravulizumab (for adults</w:t>
      </w:r>
      <w:r w:rsidR="00ED56D5" w:rsidRPr="00E05465">
        <w:t>) and</w:t>
      </w:r>
      <w:r w:rsidR="000976E4" w:rsidRPr="00E05465">
        <w:t xml:space="preserve"> was lower than the cost-minimised price </w:t>
      </w:r>
      <w:r w:rsidR="00E31605" w:rsidRPr="00E05465">
        <w:t xml:space="preserve">for paediatric patients </w:t>
      </w:r>
      <w:r w:rsidR="000976E4" w:rsidRPr="00E05465">
        <w:t>from the CMA</w:t>
      </w:r>
      <w:r w:rsidRPr="00E05465">
        <w:t xml:space="preserve">. The key components and assumptions are shown in </w:t>
      </w:r>
      <w:r w:rsidRPr="00E05465">
        <w:fldChar w:fldCharType="begin" w:fldLock="1"/>
      </w:r>
      <w:r w:rsidRPr="00E05465">
        <w:instrText xml:space="preserve"> REF _Ref134177855 \h </w:instrText>
      </w:r>
      <w:r w:rsidR="00173FAD" w:rsidRPr="00E05465">
        <w:instrText xml:space="preserve"> \* MERGEFORMAT </w:instrText>
      </w:r>
      <w:r w:rsidRPr="00E05465">
        <w:fldChar w:fldCharType="separate"/>
      </w:r>
      <w:r w:rsidR="00231664" w:rsidRPr="00E05465">
        <w:t xml:space="preserve">Table </w:t>
      </w:r>
      <w:r w:rsidR="00231664" w:rsidRPr="00E05465">
        <w:rPr>
          <w:noProof/>
        </w:rPr>
        <w:t>8</w:t>
      </w:r>
      <w:r w:rsidRPr="00E05465">
        <w:fldChar w:fldCharType="end"/>
      </w:r>
      <w:r w:rsidRPr="00E05465">
        <w:t>.</w:t>
      </w:r>
      <w:bookmarkStart w:id="49" w:name="_Ref112586543"/>
    </w:p>
    <w:p w14:paraId="12893529" w14:textId="152002B5" w:rsidR="001212BA" w:rsidRPr="00E05465" w:rsidRDefault="001212BA" w:rsidP="007E6F6D">
      <w:pPr>
        <w:pStyle w:val="TableFigureHeading"/>
      </w:pPr>
      <w:bookmarkStart w:id="50" w:name="_Ref134177855"/>
      <w:bookmarkStart w:id="51" w:name="_Ref134177888"/>
      <w:bookmarkEnd w:id="48"/>
      <w:bookmarkEnd w:id="49"/>
      <w:r w:rsidRPr="00E05465">
        <w:t xml:space="preserve">Table </w:t>
      </w:r>
      <w:r w:rsidR="00687C33">
        <w:fldChar w:fldCharType="begin" w:fldLock="1"/>
      </w:r>
      <w:r w:rsidR="00687C33">
        <w:instrText xml:space="preserve"> SEQ Table \* ARABIC </w:instrText>
      </w:r>
      <w:r w:rsidR="00687C33">
        <w:fldChar w:fldCharType="separate"/>
      </w:r>
      <w:r w:rsidR="00231664" w:rsidRPr="00E05465">
        <w:rPr>
          <w:noProof/>
        </w:rPr>
        <w:t>8</w:t>
      </w:r>
      <w:r w:rsidR="00687C33">
        <w:rPr>
          <w:noProof/>
        </w:rPr>
        <w:fldChar w:fldCharType="end"/>
      </w:r>
      <w:bookmarkEnd w:id="50"/>
      <w:r w:rsidRPr="00E05465">
        <w:t>: Key components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179"/>
      </w:tblGrid>
      <w:tr w:rsidR="00E05465" w:rsidRPr="00E05465" w14:paraId="459A627A" w14:textId="77777777" w:rsidTr="00071F3B">
        <w:tc>
          <w:tcPr>
            <w:tcW w:w="1019" w:type="pct"/>
            <w:vAlign w:val="center"/>
          </w:tcPr>
          <w:p w14:paraId="34C91074" w14:textId="77777777" w:rsidR="001212BA" w:rsidRPr="00E05465" w:rsidRDefault="001212BA" w:rsidP="007E6F6D">
            <w:pPr>
              <w:pStyle w:val="Tabletext"/>
              <w:keepNext/>
              <w:rPr>
                <w:b/>
                <w:bCs/>
              </w:rPr>
            </w:pPr>
            <w:r w:rsidRPr="00E05465">
              <w:rPr>
                <w:b/>
                <w:bCs/>
              </w:rPr>
              <w:t>Component</w:t>
            </w:r>
          </w:p>
        </w:tc>
        <w:tc>
          <w:tcPr>
            <w:tcW w:w="3981" w:type="pct"/>
            <w:vAlign w:val="center"/>
          </w:tcPr>
          <w:p w14:paraId="20891293" w14:textId="77777777" w:rsidR="001212BA" w:rsidRPr="00E05465" w:rsidRDefault="001212BA" w:rsidP="007E6F6D">
            <w:pPr>
              <w:pStyle w:val="Tabletext"/>
              <w:keepNext/>
              <w:rPr>
                <w:b/>
                <w:bCs/>
              </w:rPr>
            </w:pPr>
            <w:r w:rsidRPr="00E05465">
              <w:rPr>
                <w:b/>
                <w:bCs/>
              </w:rPr>
              <w:t>Claim or assumption</w:t>
            </w:r>
          </w:p>
        </w:tc>
      </w:tr>
      <w:tr w:rsidR="00E05465" w:rsidRPr="00E05465" w14:paraId="20331C17" w14:textId="77777777" w:rsidTr="00071F3B">
        <w:tc>
          <w:tcPr>
            <w:tcW w:w="1019" w:type="pct"/>
            <w:vAlign w:val="center"/>
          </w:tcPr>
          <w:p w14:paraId="4EC0AA53" w14:textId="77777777" w:rsidR="001212BA" w:rsidRPr="00E05465" w:rsidRDefault="001212BA" w:rsidP="007E6F6D">
            <w:pPr>
              <w:pStyle w:val="Tabletext"/>
              <w:keepNext/>
            </w:pPr>
            <w:r w:rsidRPr="00E05465">
              <w:t>Therapeutic claim: effectiveness</w:t>
            </w:r>
          </w:p>
        </w:tc>
        <w:tc>
          <w:tcPr>
            <w:tcW w:w="3981" w:type="pct"/>
            <w:vAlign w:val="center"/>
          </w:tcPr>
          <w:p w14:paraId="50532158" w14:textId="4EECC11C" w:rsidR="001212BA" w:rsidRPr="00E05465" w:rsidRDefault="001212BA" w:rsidP="007E6F6D">
            <w:pPr>
              <w:pStyle w:val="Tabletext"/>
              <w:keepNext/>
            </w:pPr>
            <w:r w:rsidRPr="00E05465">
              <w:t>Based on evidence presented in Section 2</w:t>
            </w:r>
            <w:r w:rsidR="009F3F4B" w:rsidRPr="00E05465">
              <w:t xml:space="preserve"> of the submission</w:t>
            </w:r>
            <w:r w:rsidRPr="00E05465">
              <w:t>, effectiveness is assumed to be non-inferior. This was reasonable.</w:t>
            </w:r>
          </w:p>
        </w:tc>
      </w:tr>
      <w:tr w:rsidR="00E05465" w:rsidRPr="00E05465" w14:paraId="4DC40F3A" w14:textId="77777777" w:rsidTr="00071F3B">
        <w:tc>
          <w:tcPr>
            <w:tcW w:w="1019" w:type="pct"/>
            <w:vAlign w:val="center"/>
          </w:tcPr>
          <w:p w14:paraId="63C96024" w14:textId="77777777" w:rsidR="001212BA" w:rsidRPr="00E05465" w:rsidRDefault="001212BA" w:rsidP="007E6F6D">
            <w:pPr>
              <w:pStyle w:val="Tabletext"/>
              <w:keepNext/>
            </w:pPr>
            <w:r w:rsidRPr="00E05465">
              <w:t>Therapeutic claim: safety</w:t>
            </w:r>
          </w:p>
        </w:tc>
        <w:tc>
          <w:tcPr>
            <w:tcW w:w="3981" w:type="pct"/>
            <w:vAlign w:val="center"/>
          </w:tcPr>
          <w:p w14:paraId="3F7A315A" w14:textId="4B6D8501" w:rsidR="001212BA" w:rsidRPr="00E05465" w:rsidRDefault="001212BA" w:rsidP="007E6F6D">
            <w:pPr>
              <w:pStyle w:val="Tabletext"/>
              <w:keepNext/>
            </w:pPr>
            <w:r w:rsidRPr="00E05465">
              <w:t>Based on evidence presented in Section 2</w:t>
            </w:r>
            <w:r w:rsidR="009F3F4B" w:rsidRPr="00E05465">
              <w:t xml:space="preserve"> of the submission</w:t>
            </w:r>
            <w:r w:rsidRPr="00E05465">
              <w:t>, safety is assumed to be non-inferior. This was reasonable.</w:t>
            </w:r>
          </w:p>
        </w:tc>
      </w:tr>
      <w:tr w:rsidR="00E05465" w:rsidRPr="00E05465" w14:paraId="4EE70E7A" w14:textId="77777777" w:rsidTr="00071F3B">
        <w:tc>
          <w:tcPr>
            <w:tcW w:w="1019" w:type="pct"/>
            <w:vAlign w:val="center"/>
          </w:tcPr>
          <w:p w14:paraId="7589137C" w14:textId="77777777" w:rsidR="001212BA" w:rsidRPr="00E05465" w:rsidRDefault="001212BA" w:rsidP="007E6F6D">
            <w:pPr>
              <w:pStyle w:val="Tabletext"/>
              <w:keepNext/>
            </w:pPr>
            <w:r w:rsidRPr="00E05465">
              <w:t>Evidence base</w:t>
            </w:r>
          </w:p>
        </w:tc>
        <w:tc>
          <w:tcPr>
            <w:tcW w:w="3981" w:type="pct"/>
            <w:vAlign w:val="center"/>
          </w:tcPr>
          <w:p w14:paraId="26BD8013" w14:textId="77777777" w:rsidR="001212BA" w:rsidRPr="00E05465" w:rsidRDefault="001212BA" w:rsidP="007E6F6D">
            <w:pPr>
              <w:pStyle w:val="Tabletext"/>
              <w:keepNext/>
            </w:pPr>
            <w:r w:rsidRPr="00E05465">
              <w:t xml:space="preserve">Unanchored indirect comparison </w:t>
            </w:r>
            <w:r w:rsidRPr="00E05465">
              <w:rPr>
                <w:lang w:val="en-US"/>
              </w:rPr>
              <w:t>of the key single arm ravulizumab study (Study 304) and a single arm eculizumab study (Study M07-005).</w:t>
            </w:r>
          </w:p>
        </w:tc>
      </w:tr>
      <w:tr w:rsidR="00E05465" w:rsidRPr="00E05465" w14:paraId="7EA8072B" w14:textId="77777777" w:rsidTr="00071F3B">
        <w:tc>
          <w:tcPr>
            <w:tcW w:w="1019" w:type="pct"/>
            <w:vAlign w:val="center"/>
          </w:tcPr>
          <w:p w14:paraId="1123334B" w14:textId="77777777" w:rsidR="001212BA" w:rsidRPr="00E05465" w:rsidRDefault="001212BA" w:rsidP="007E6F6D">
            <w:pPr>
              <w:pStyle w:val="Tabletext"/>
              <w:keepNext/>
            </w:pPr>
            <w:r w:rsidRPr="00E05465">
              <w:t>Duration of treatment costed</w:t>
            </w:r>
          </w:p>
        </w:tc>
        <w:tc>
          <w:tcPr>
            <w:tcW w:w="3981" w:type="pct"/>
            <w:vAlign w:val="center"/>
          </w:tcPr>
          <w:p w14:paraId="0E7376FA" w14:textId="77777777" w:rsidR="001212BA" w:rsidRPr="00E05465" w:rsidRDefault="001212BA" w:rsidP="007E6F6D">
            <w:pPr>
              <w:pStyle w:val="Tabletext"/>
              <w:keepNext/>
            </w:pPr>
            <w:r w:rsidRPr="00E05465">
              <w:t xml:space="preserve">2 years. This was reasonable and consistent with previous PBAC advice (para 7.15, ravulizumab, PSD, July 2021 PBAC meeting). </w:t>
            </w:r>
          </w:p>
        </w:tc>
      </w:tr>
      <w:tr w:rsidR="00E05465" w:rsidRPr="00E05465" w14:paraId="4B1EF1EA" w14:textId="77777777" w:rsidTr="00071F3B">
        <w:tc>
          <w:tcPr>
            <w:tcW w:w="1019" w:type="pct"/>
            <w:vAlign w:val="center"/>
          </w:tcPr>
          <w:p w14:paraId="0F27FF39" w14:textId="77777777" w:rsidR="001212BA" w:rsidRPr="00E05465" w:rsidRDefault="001212BA" w:rsidP="007E6F6D">
            <w:pPr>
              <w:pStyle w:val="Tabletext"/>
              <w:keepNext/>
            </w:pPr>
            <w:r w:rsidRPr="00E05465">
              <w:t>Population</w:t>
            </w:r>
          </w:p>
        </w:tc>
        <w:tc>
          <w:tcPr>
            <w:tcW w:w="3981" w:type="pct"/>
            <w:vAlign w:val="center"/>
          </w:tcPr>
          <w:p w14:paraId="0C76F844" w14:textId="77777777" w:rsidR="001212BA" w:rsidRPr="00E05465" w:rsidRDefault="001212BA" w:rsidP="007E6F6D">
            <w:pPr>
              <w:pStyle w:val="Tabletext"/>
              <w:keepNext/>
            </w:pPr>
            <w:r w:rsidRPr="00E05465">
              <w:t>All complement inhibitor treatment naïve (i.e. loading doses are included for both ravulizumab and eculizumab). This was not consistent with the proposed PBS listing which allows eculizumab-experienced patients to switch to ravulizumab nor with the financial analysis (which estimated ravulizumab use only in patients who switch). However, this was consistent with the CMA approach accepted by the PBAC when it considered the listing of ravulizumab for the adult PNH population, which included a loading dose for eculizumab (para 7.15, ravulizumab PSD, July 2021 PBAC meeting)</w:t>
            </w:r>
            <w:r w:rsidRPr="00E05465">
              <w:rPr>
                <w:vertAlign w:val="superscript"/>
              </w:rPr>
              <w:t>a</w:t>
            </w:r>
            <w:r w:rsidRPr="00E05465">
              <w:t>.</w:t>
            </w:r>
          </w:p>
        </w:tc>
      </w:tr>
      <w:tr w:rsidR="00E05465" w:rsidRPr="00E05465" w14:paraId="40DF2CB8" w14:textId="77777777" w:rsidTr="00071F3B">
        <w:tc>
          <w:tcPr>
            <w:tcW w:w="1019" w:type="pct"/>
            <w:vAlign w:val="center"/>
          </w:tcPr>
          <w:p w14:paraId="7D337419" w14:textId="77777777" w:rsidR="001212BA" w:rsidRPr="00E05465" w:rsidRDefault="001212BA" w:rsidP="007E6F6D">
            <w:pPr>
              <w:pStyle w:val="Tabletext"/>
              <w:keepNext/>
            </w:pPr>
            <w:r w:rsidRPr="00E05465">
              <w:t>Equi-effective dose</w:t>
            </w:r>
          </w:p>
        </w:tc>
        <w:tc>
          <w:tcPr>
            <w:tcW w:w="3981" w:type="pct"/>
            <w:vAlign w:val="center"/>
          </w:tcPr>
          <w:p w14:paraId="39F9D7F9" w14:textId="61722295" w:rsidR="001212BA" w:rsidRPr="00E05465" w:rsidRDefault="001212BA" w:rsidP="007E6F6D">
            <w:pPr>
              <w:pStyle w:val="Tabletext"/>
              <w:keepNext/>
            </w:pPr>
            <w:r w:rsidRPr="00E05465">
              <w:t>Ravulizumab 41,875mg (13.75 administrations including a loading dose) is equal to eculizumab 47,350mg (53.84 administrations including loading doses).</w:t>
            </w:r>
            <w:r w:rsidRPr="00E05465">
              <w:rPr>
                <w:vertAlign w:val="superscript"/>
              </w:rPr>
              <w:t>b</w:t>
            </w:r>
            <w:r w:rsidRPr="00E05465">
              <w:t xml:space="preserve"> </w:t>
            </w:r>
            <w:r w:rsidR="00E31605" w:rsidRPr="00E05465">
              <w:t>(based on the distribution of body weight from Study 304 and dose regimens recommended in the PI documents)</w:t>
            </w:r>
          </w:p>
        </w:tc>
      </w:tr>
      <w:tr w:rsidR="00E05465" w:rsidRPr="00E05465" w14:paraId="05953EAB" w14:textId="77777777" w:rsidTr="00071F3B">
        <w:tc>
          <w:tcPr>
            <w:tcW w:w="1019" w:type="pct"/>
            <w:vAlign w:val="center"/>
          </w:tcPr>
          <w:p w14:paraId="4CC370B3" w14:textId="77777777" w:rsidR="001212BA" w:rsidRPr="00E05465" w:rsidRDefault="001212BA" w:rsidP="007E6F6D">
            <w:pPr>
              <w:pStyle w:val="Tabletext"/>
              <w:keepNext/>
            </w:pPr>
            <w:r w:rsidRPr="00E05465">
              <w:t>Direct medicine costs</w:t>
            </w:r>
          </w:p>
        </w:tc>
        <w:tc>
          <w:tcPr>
            <w:tcW w:w="3981" w:type="pct"/>
            <w:vAlign w:val="center"/>
          </w:tcPr>
          <w:p w14:paraId="00C7656A" w14:textId="77777777" w:rsidR="001212BA" w:rsidRPr="00E05465" w:rsidRDefault="001212BA" w:rsidP="007E6F6D">
            <w:pPr>
              <w:pStyle w:val="Tabletext"/>
              <w:keepNext/>
            </w:pPr>
            <w:r w:rsidRPr="00E05465">
              <w:t>At proposed effective prices, ravulizumab is estimated to have a lower cost than eculizumab over the first two years of treatment, as the proposed AEMP is lower than the price per vial derived from the CMA.</w:t>
            </w:r>
          </w:p>
          <w:p w14:paraId="7C8A3393" w14:textId="77777777" w:rsidR="001212BA" w:rsidRPr="00E05465" w:rsidRDefault="001212BA" w:rsidP="007E6F6D">
            <w:pPr>
              <w:pStyle w:val="Tabletext"/>
              <w:keepNext/>
            </w:pPr>
          </w:p>
          <w:p w14:paraId="5CE984B7" w14:textId="3D471617" w:rsidR="001212BA" w:rsidRPr="00E05465" w:rsidRDefault="001212BA" w:rsidP="007E6F6D">
            <w:pPr>
              <w:pStyle w:val="Tabletext"/>
              <w:keepNext/>
            </w:pPr>
            <w:r w:rsidRPr="00E05465">
              <w:t>The distribution of patient body weight which affected the dose received</w:t>
            </w:r>
            <w:r w:rsidR="00E31605" w:rsidRPr="00E05465">
              <w:t>,</w:t>
            </w:r>
            <w:r w:rsidRPr="00E05465">
              <w:t xml:space="preserve"> was based on the ravulizumab study (Study 304). While this source was reasonable, given the small sample size (n = 12), the weight distribution applied may not be reliable. </w:t>
            </w:r>
          </w:p>
        </w:tc>
      </w:tr>
      <w:tr w:rsidR="00E05465" w:rsidRPr="00E05465" w14:paraId="30879AF7" w14:textId="77777777" w:rsidTr="00071F3B">
        <w:tc>
          <w:tcPr>
            <w:tcW w:w="1019" w:type="pct"/>
            <w:vAlign w:val="center"/>
          </w:tcPr>
          <w:p w14:paraId="4991E5F6" w14:textId="77777777" w:rsidR="001212BA" w:rsidRPr="00E05465" w:rsidRDefault="001212BA" w:rsidP="007E6F6D">
            <w:pPr>
              <w:pStyle w:val="Tabletext"/>
              <w:keepNext/>
            </w:pPr>
            <w:r w:rsidRPr="00E05465">
              <w:t>Cost offsets</w:t>
            </w:r>
          </w:p>
        </w:tc>
        <w:tc>
          <w:tcPr>
            <w:tcW w:w="3981" w:type="pct"/>
            <w:vAlign w:val="center"/>
          </w:tcPr>
          <w:p w14:paraId="7D2FDEE9" w14:textId="77777777" w:rsidR="001212BA" w:rsidRPr="00E05465" w:rsidRDefault="001212BA" w:rsidP="007E6F6D">
            <w:pPr>
              <w:pStyle w:val="Tabletext"/>
              <w:keepNext/>
            </w:pPr>
            <w:r w:rsidRPr="00E05465">
              <w:t xml:space="preserve">IV administration per dose ($46.15, MBS Item 105). This was reasonable and consistent with previous PBAC advice (para 7.15, ravulizumab, PSD, July 2021 PBAC meeting).  </w:t>
            </w:r>
          </w:p>
        </w:tc>
      </w:tr>
    </w:tbl>
    <w:p w14:paraId="5D50B531" w14:textId="77777777" w:rsidR="001212BA" w:rsidRPr="00E05465" w:rsidRDefault="001212BA" w:rsidP="007E6F6D">
      <w:pPr>
        <w:pStyle w:val="FooterTableFigure"/>
        <w:keepNext/>
        <w:rPr>
          <w:iCs/>
        </w:rPr>
      </w:pPr>
      <w:r w:rsidRPr="00E05465">
        <w:rPr>
          <w:iCs/>
        </w:rPr>
        <w:t>Source: Constructed during the evaluation from the “Section 3 CMA workbook” attachment provided with the submission.</w:t>
      </w:r>
    </w:p>
    <w:p w14:paraId="7C44133B" w14:textId="06388B7F" w:rsidR="001212BA" w:rsidRPr="00E05465" w:rsidRDefault="001212BA" w:rsidP="007E6F6D">
      <w:pPr>
        <w:pStyle w:val="FooterTableFigure"/>
        <w:keepNext/>
      </w:pPr>
      <w:r w:rsidRPr="00E05465">
        <w:t xml:space="preserve">AEMP = approved ex-manufacturer price; CMA = cost-minimisation analysis; IV = intravenous; MBS = Medicare Benefits Schedule; PBAC = Pharmaceutical Benefits Advisory Committee; PBS = Pharmaceutical Benefits Scheme; </w:t>
      </w:r>
      <w:r w:rsidR="00E31605" w:rsidRPr="00E05465">
        <w:t xml:space="preserve">PI = Product Information; </w:t>
      </w:r>
      <w:r w:rsidRPr="00E05465">
        <w:t xml:space="preserve">PNH = paroxysmal nocturnal haemoglobinuria; PSD = public summary document. </w:t>
      </w:r>
    </w:p>
    <w:p w14:paraId="5AA2B6FE" w14:textId="36E3ED8E" w:rsidR="001212BA" w:rsidRPr="00E05465" w:rsidRDefault="001212BA" w:rsidP="007E6F6D">
      <w:pPr>
        <w:pStyle w:val="FooterTableFigure"/>
        <w:keepNext/>
      </w:pPr>
      <w:r w:rsidRPr="00E05465">
        <w:rPr>
          <w:vertAlign w:val="superscript"/>
        </w:rPr>
        <w:t>a</w:t>
      </w:r>
      <w:r w:rsidRPr="00E05465">
        <w:t xml:space="preserve"> Eculizumab loading dose of 4 × 600</w:t>
      </w:r>
      <w:r w:rsidR="00ED56D5" w:rsidRPr="00E05465">
        <w:t>mg and</w:t>
      </w:r>
      <w:r w:rsidRPr="00E05465">
        <w:t xml:space="preserve"> maintenance dose of 50 × 900</w:t>
      </w:r>
      <w:r w:rsidR="00ED56D5" w:rsidRPr="00E05465">
        <w:t>mg over</w:t>
      </w:r>
      <w:r w:rsidRPr="00E05465">
        <w:t xml:space="preserve"> two years (total dose = 47,400mg)</w:t>
      </w:r>
    </w:p>
    <w:p w14:paraId="2F531227" w14:textId="77777777" w:rsidR="001212BA" w:rsidRPr="00E05465" w:rsidRDefault="001212BA" w:rsidP="001212BA">
      <w:pPr>
        <w:pStyle w:val="FooterTableFigure"/>
        <w:rPr>
          <w:sz w:val="20"/>
        </w:rPr>
      </w:pPr>
      <w:r w:rsidRPr="00E05465">
        <w:rPr>
          <w:vertAlign w:val="superscript"/>
        </w:rPr>
        <w:t xml:space="preserve">b </w:t>
      </w:r>
      <w:r w:rsidRPr="00E05465">
        <w:t>Doses and number of administrations weighted for patients at different weight categories (17% ≥30−&lt;40 kg, 33% ≥40−&lt;60 kg, and 50% ≥60−&lt;100 kg).</w:t>
      </w:r>
    </w:p>
    <w:p w14:paraId="20EC40E1" w14:textId="77777777" w:rsidR="001212BA" w:rsidRPr="00E05465" w:rsidRDefault="001212BA" w:rsidP="002032B0">
      <w:pPr>
        <w:pStyle w:val="3-BodyText"/>
      </w:pPr>
      <w:bookmarkStart w:id="52" w:name="_Ref141444671"/>
      <w:bookmarkStart w:id="53" w:name="_Ref133225398"/>
      <w:r w:rsidRPr="00E05465">
        <w:t>The proposed equi-effective doses over the first two years of treatment were:</w:t>
      </w:r>
      <w:bookmarkEnd w:id="52"/>
    </w:p>
    <w:p w14:paraId="2281C1FF" w14:textId="11AE3D75" w:rsidR="001212BA" w:rsidRPr="00E05465" w:rsidRDefault="001212BA" w:rsidP="002032B0">
      <w:pPr>
        <w:pStyle w:val="ListParagraph"/>
      </w:pPr>
      <w:r w:rsidRPr="00E05465">
        <w:lastRenderedPageBreak/>
        <w:t>Ravulizumab 41,875</w:t>
      </w:r>
      <w:r w:rsidR="007E6F6D" w:rsidRPr="00E05465">
        <w:t> </w:t>
      </w:r>
      <w:r w:rsidRPr="00E05465">
        <w:t>mg (based on a weighted loading dose of 2,350</w:t>
      </w:r>
      <w:r w:rsidR="007E6F6D" w:rsidRPr="00E05465">
        <w:t> </w:t>
      </w:r>
      <w:r w:rsidRPr="00E05465">
        <w:t xml:space="preserve">mg and 12.75 </w:t>
      </w:r>
      <w:r w:rsidRPr="00E05465">
        <w:sym w:font="Symbol" w:char="F0B4"/>
      </w:r>
      <w:r w:rsidRPr="00E05465">
        <w:t xml:space="preserve"> 3,100</w:t>
      </w:r>
      <w:r w:rsidR="007E6F6D" w:rsidRPr="00E05465">
        <w:t> </w:t>
      </w:r>
      <w:r w:rsidRPr="00E05465">
        <w:t>mg maintenance doses) is equivalent to eculizumab 47,350</w:t>
      </w:r>
      <w:r w:rsidR="007E6F6D" w:rsidRPr="00E05465">
        <w:t> </w:t>
      </w:r>
      <w:r w:rsidRPr="00E05465">
        <w:t xml:space="preserve">mg (based on weighted 3.67 </w:t>
      </w:r>
      <w:r w:rsidRPr="00E05465">
        <w:sym w:font="Symbol" w:char="F0B4"/>
      </w:r>
      <w:r w:rsidRPr="00E05465">
        <w:t xml:space="preserve"> 600</w:t>
      </w:r>
      <w:r w:rsidR="007E6F6D" w:rsidRPr="00E05465">
        <w:t> </w:t>
      </w:r>
      <w:r w:rsidRPr="00E05465">
        <w:t xml:space="preserve">mg loading doses and 50.17 </w:t>
      </w:r>
      <w:r w:rsidRPr="00E05465">
        <w:sym w:font="Symbol" w:char="F0B4"/>
      </w:r>
      <w:r w:rsidRPr="00E05465">
        <w:t xml:space="preserve"> 900</w:t>
      </w:r>
      <w:r w:rsidR="007E6F6D" w:rsidRPr="00E05465">
        <w:t> </w:t>
      </w:r>
      <w:r w:rsidRPr="00E05465">
        <w:t xml:space="preserve">mg maintenance doses). </w:t>
      </w:r>
    </w:p>
    <w:p w14:paraId="66FC0756" w14:textId="79B3D788" w:rsidR="001212BA" w:rsidRPr="00E05465" w:rsidRDefault="001212BA" w:rsidP="002032B0">
      <w:pPr>
        <w:pStyle w:val="3-BodyText"/>
        <w:numPr>
          <w:ilvl w:val="0"/>
          <w:numId w:val="0"/>
        </w:numPr>
        <w:ind w:left="720"/>
      </w:pPr>
      <w:r w:rsidRPr="00E05465">
        <w:t xml:space="preserve">This was based on the dosing schedule detailed in </w:t>
      </w:r>
      <w:r w:rsidRPr="00E05465">
        <w:fldChar w:fldCharType="begin" w:fldLock="1"/>
      </w:r>
      <w:r w:rsidRPr="00E05465">
        <w:instrText xml:space="preserve"> REF _Ref132097378 \h </w:instrText>
      </w:r>
      <w:r w:rsidR="00173FAD" w:rsidRPr="00E05465">
        <w:instrText xml:space="preserve"> \* MERGEFORMAT </w:instrText>
      </w:r>
      <w:r w:rsidRPr="00E05465">
        <w:fldChar w:fldCharType="separate"/>
      </w:r>
      <w:r w:rsidR="00231664" w:rsidRPr="00E05465">
        <w:t xml:space="preserve">Table </w:t>
      </w:r>
      <w:r w:rsidR="00231664" w:rsidRPr="00E05465">
        <w:rPr>
          <w:noProof/>
        </w:rPr>
        <w:t>1</w:t>
      </w:r>
      <w:r w:rsidRPr="00E05465">
        <w:fldChar w:fldCharType="end"/>
      </w:r>
      <w:r w:rsidRPr="00E05465">
        <w:t xml:space="preserve"> </w:t>
      </w:r>
    </w:p>
    <w:p w14:paraId="6DB254D1" w14:textId="77777777" w:rsidR="001212BA" w:rsidRPr="00E05465" w:rsidRDefault="001212BA" w:rsidP="002032B0">
      <w:pPr>
        <w:pStyle w:val="3-BodyText"/>
      </w:pPr>
      <w:r w:rsidRPr="00E05465">
        <w:t xml:space="preserve">The derivation of costs over the first two years of treatment was reasonable and consistent with previous PBAC advice when ravulizumab was considered for the adult PNH population (para 7.15, ravulizumab, PSD, July 2021 PBAC meeting). </w:t>
      </w:r>
    </w:p>
    <w:p w14:paraId="6D6CC950" w14:textId="33EA64B4" w:rsidR="001212BA" w:rsidRPr="00E05465" w:rsidRDefault="001212BA" w:rsidP="002032B0">
      <w:pPr>
        <w:pStyle w:val="3-BodyText"/>
      </w:pPr>
      <w:bookmarkStart w:id="54" w:name="_Ref134793222"/>
      <w:r w:rsidRPr="00E05465">
        <w:t xml:space="preserve">This approach, however, assumed all patients were complement inhibitor treatment-naïve (i.e. loading doses of both ravulizumab and eculizumab were included). This may not be reasonable, as the proposed PBS listing allowed treatment switching from eculizumab to ravulizumab and patients already on eculizumab therapy did not require eculizumab loading doses. In addition, the assumption of 100% treatment-naïve patients in CMA was not consistent with the approach assumed in the financial analysis, which assumed all patients would switch. However, the calculated cost-minimised price per vial for ravulizumab by assuming only maintenance dosing of eculizumab </w:t>
      </w:r>
      <w:r w:rsidR="003F3A38" w:rsidRPr="00E05465">
        <w:t>was</w:t>
      </w:r>
      <w:r w:rsidRPr="00E05465">
        <w:t xml:space="preserve"> higher than effective prices proposed in the submission (see </w:t>
      </w:r>
      <w:r w:rsidR="007E6F6D" w:rsidRPr="00E05465">
        <w:fldChar w:fldCharType="begin" w:fldLock="1"/>
      </w:r>
      <w:r w:rsidR="007E6F6D" w:rsidRPr="00E05465">
        <w:instrText xml:space="preserve"> REF _Ref134465123 \h  \* MERGEFORMAT </w:instrText>
      </w:r>
      <w:r w:rsidR="007E6F6D" w:rsidRPr="00E05465">
        <w:fldChar w:fldCharType="separate"/>
      </w:r>
      <w:r w:rsidR="00981D6D" w:rsidRPr="00E05465">
        <w:t xml:space="preserve">Table </w:t>
      </w:r>
      <w:r w:rsidR="00981D6D" w:rsidRPr="00E05465">
        <w:rPr>
          <w:noProof/>
        </w:rPr>
        <w:t>10</w:t>
      </w:r>
      <w:r w:rsidR="007E6F6D" w:rsidRPr="00E05465">
        <w:fldChar w:fldCharType="end"/>
      </w:r>
      <w:r w:rsidRPr="00E05465">
        <w:t>).</w:t>
      </w:r>
      <w:bookmarkEnd w:id="54"/>
      <w:r w:rsidRPr="00E05465">
        <w:t xml:space="preserve"> </w:t>
      </w:r>
    </w:p>
    <w:p w14:paraId="0173F7C7" w14:textId="34862551" w:rsidR="001212BA" w:rsidRPr="00E05465" w:rsidRDefault="001212BA" w:rsidP="002032B0">
      <w:pPr>
        <w:pStyle w:val="3-BodyText"/>
      </w:pPr>
      <w:bookmarkStart w:id="55" w:name="_Ref134798375"/>
      <w:r w:rsidRPr="00E05465">
        <w:t>Doses applied were consistent with the approved PIs of ravulizumab and eculizumab for the paediatric population. As dosing is weight-based, the distribution of weights applied was based on the key ravulizumab trial (Study 304). While this source was reasonable, the submission erroneously swapped the proportions of patients in the ≥</w:t>
      </w:r>
      <w:r w:rsidR="00B22BF0" w:rsidRPr="00E05465">
        <w:t> </w:t>
      </w:r>
      <w:r w:rsidRPr="00E05465">
        <w:t>40−&lt;</w:t>
      </w:r>
      <w:r w:rsidR="00B22BF0" w:rsidRPr="00E05465">
        <w:t> </w:t>
      </w:r>
      <w:r w:rsidRPr="00E05465">
        <w:t>60</w:t>
      </w:r>
      <w:r w:rsidR="00B22BF0" w:rsidRPr="00E05465">
        <w:t> </w:t>
      </w:r>
      <w:r w:rsidRPr="00E05465">
        <w:t>kg and ≥</w:t>
      </w:r>
      <w:r w:rsidR="00B22BF0" w:rsidRPr="00E05465">
        <w:t> </w:t>
      </w:r>
      <w:r w:rsidRPr="00E05465">
        <w:t>60−&lt;</w:t>
      </w:r>
      <w:r w:rsidR="00B22BF0" w:rsidRPr="00E05465">
        <w:t> </w:t>
      </w:r>
      <w:r w:rsidRPr="00E05465">
        <w:t>100</w:t>
      </w:r>
      <w:r w:rsidR="00B22BF0" w:rsidRPr="00E05465">
        <w:t> </w:t>
      </w:r>
      <w:r w:rsidRPr="00E05465">
        <w:t xml:space="preserve">kg categories (50.0% and 33.3%, respectively, as reported in Table 9 of the Study 304 Clinical Study Report (CSR), compared to 33.3% and 50.0%, respectively, used in the CMA). </w:t>
      </w:r>
      <w:r w:rsidR="00E31605" w:rsidRPr="00E05465">
        <w:t>T</w:t>
      </w:r>
      <w:r w:rsidRPr="00E05465">
        <w:t>he resulting cost-minimisation price increased when the correct weight distribution was applied in sensitivity analyses (</w:t>
      </w:r>
      <w:r w:rsidRPr="00E05465">
        <w:fldChar w:fldCharType="begin" w:fldLock="1"/>
      </w:r>
      <w:r w:rsidRPr="00E05465">
        <w:instrText xml:space="preserve"> REF _Ref134465123 \h  \* MERGEFORMAT </w:instrText>
      </w:r>
      <w:r w:rsidRPr="00E05465">
        <w:fldChar w:fldCharType="separate"/>
      </w:r>
      <w:r w:rsidR="00231664" w:rsidRPr="00E05465">
        <w:t xml:space="preserve">Table </w:t>
      </w:r>
      <w:r w:rsidR="00231664" w:rsidRPr="00E05465">
        <w:rPr>
          <w:noProof/>
        </w:rPr>
        <w:t>10</w:t>
      </w:r>
      <w:r w:rsidRPr="00E05465">
        <w:fldChar w:fldCharType="end"/>
      </w:r>
      <w:r w:rsidRPr="00E05465">
        <w:t>). Nonetheless, given the small number of patients enrolled in Study 305 (</w:t>
      </w:r>
      <w:r w:rsidR="00B22BF0" w:rsidRPr="00E05465">
        <w:t>n </w:t>
      </w:r>
      <w:r w:rsidRPr="00E05465">
        <w:t>=</w:t>
      </w:r>
      <w:r w:rsidR="00B22BF0" w:rsidRPr="00E05465">
        <w:t> </w:t>
      </w:r>
      <w:r w:rsidRPr="00E05465">
        <w:t xml:space="preserve">12), the weight distribution applied is associated with considerable uncertainty. However, as the proposed price was based on the effective price (and therefore distribution of weight) that was accepted </w:t>
      </w:r>
      <w:r w:rsidR="003F3A38" w:rsidRPr="00E05465">
        <w:t xml:space="preserve">in the </w:t>
      </w:r>
      <w:r w:rsidRPr="00E05465">
        <w:t>adult</w:t>
      </w:r>
      <w:r w:rsidR="003F3A38" w:rsidRPr="00E05465">
        <w:t xml:space="preserve"> submission (para 6.66, ravulizumab, PSD, July 2021 PBAC meeting).</w:t>
      </w:r>
      <w:r w:rsidRPr="00E05465">
        <w:t>, ravulizumab is not likely to be associated with additional costs over eculizumab.</w:t>
      </w:r>
      <w:bookmarkEnd w:id="55"/>
      <w:r w:rsidRPr="00E05465">
        <w:rPr>
          <w:rStyle w:val="CommentReference"/>
          <w:rFonts w:cs="Times New Roman"/>
          <w:snapToGrid/>
        </w:rPr>
        <w:t xml:space="preserve"> </w:t>
      </w:r>
    </w:p>
    <w:p w14:paraId="58F54E8E" w14:textId="77777777" w:rsidR="001212BA" w:rsidRPr="00E05465" w:rsidRDefault="001212BA" w:rsidP="002032B0">
      <w:pPr>
        <w:pStyle w:val="3-BodyText"/>
      </w:pPr>
      <w:r w:rsidRPr="00E05465">
        <w:t xml:space="preserve">The submission included a cost-offset based on a reduction in IV administration costs due to the lower dose frequency of ravulizumab. Administrations were costed as a subsequent specialist attendance appointment ($46.15, MBS item 105). This was reasonable and consistent with previous PBAC advice (para 7.15, ravulizumab, PSD, March 2021 PBAC meeting). Costs attributed to AEs were not included in the CMA. This may be reasonable as the submission claimed non-inferior safety to eculizumab. </w:t>
      </w:r>
    </w:p>
    <w:p w14:paraId="55D37F71" w14:textId="40DFA7F3" w:rsidR="001212BA" w:rsidRPr="00E05465" w:rsidRDefault="001212BA" w:rsidP="002032B0">
      <w:pPr>
        <w:pStyle w:val="3-BodyText"/>
      </w:pPr>
      <w:r w:rsidRPr="00E05465">
        <w:t xml:space="preserve">The results of the CMA, based on current effective price of eculizumab, is summarised in </w:t>
      </w:r>
      <w:r w:rsidRPr="00E05465">
        <w:fldChar w:fldCharType="begin" w:fldLock="1"/>
      </w:r>
      <w:r w:rsidRPr="00E05465">
        <w:instrText xml:space="preserve"> REF _Ref134465114 \h </w:instrText>
      </w:r>
      <w:r w:rsidR="00173FAD" w:rsidRPr="00E05465">
        <w:instrText xml:space="preserve"> \* MERGEFORMAT </w:instrText>
      </w:r>
      <w:r w:rsidRPr="00E05465">
        <w:fldChar w:fldCharType="separate"/>
      </w:r>
      <w:r w:rsidR="00231664" w:rsidRPr="00E05465">
        <w:t xml:space="preserve">Table </w:t>
      </w:r>
      <w:r w:rsidR="00231664" w:rsidRPr="00E05465">
        <w:rPr>
          <w:noProof/>
        </w:rPr>
        <w:t>9</w:t>
      </w:r>
      <w:r w:rsidRPr="00E05465">
        <w:fldChar w:fldCharType="end"/>
      </w:r>
      <w:r w:rsidRPr="00E05465">
        <w:t xml:space="preserve">. The resulting cost-minimisation price </w:t>
      </w:r>
      <w:r w:rsidR="000A42EC" w:rsidRPr="00E05465">
        <w:t>was</w:t>
      </w:r>
      <w:r w:rsidRPr="00E05465">
        <w:t xml:space="preserve"> higher than the effective price </w:t>
      </w:r>
      <w:r w:rsidR="000A42EC" w:rsidRPr="00E05465">
        <w:t>for</w:t>
      </w:r>
      <w:r w:rsidRPr="00E05465">
        <w:t xml:space="preserve"> ravulizumab</w:t>
      </w:r>
      <w:r w:rsidR="000A42EC" w:rsidRPr="00E05465">
        <w:t xml:space="preserve"> proposed in the submission</w:t>
      </w:r>
      <w:r w:rsidRPr="00E05465">
        <w:t xml:space="preserve">.  </w:t>
      </w:r>
    </w:p>
    <w:p w14:paraId="2DCCFFE6" w14:textId="390102B6" w:rsidR="001212BA" w:rsidRPr="00E05465" w:rsidRDefault="001212BA" w:rsidP="001212BA">
      <w:pPr>
        <w:pStyle w:val="TableFigureHeading"/>
      </w:pPr>
      <w:bookmarkStart w:id="56" w:name="_Ref134465114"/>
      <w:bookmarkEnd w:id="53"/>
      <w:r w:rsidRPr="00E05465">
        <w:lastRenderedPageBreak/>
        <w:t xml:space="preserve">Table </w:t>
      </w:r>
      <w:r w:rsidR="00687C33">
        <w:fldChar w:fldCharType="begin" w:fldLock="1"/>
      </w:r>
      <w:r w:rsidR="00687C33">
        <w:instrText xml:space="preserve"> SEQ Table \* ARABIC </w:instrText>
      </w:r>
      <w:r w:rsidR="00687C33">
        <w:fldChar w:fldCharType="separate"/>
      </w:r>
      <w:r w:rsidR="00231664" w:rsidRPr="00E05465">
        <w:rPr>
          <w:noProof/>
        </w:rPr>
        <w:t>9</w:t>
      </w:r>
      <w:r w:rsidR="00687C33">
        <w:rPr>
          <w:noProof/>
        </w:rPr>
        <w:fldChar w:fldCharType="end"/>
      </w:r>
      <w:bookmarkEnd w:id="51"/>
      <w:bookmarkEnd w:id="56"/>
      <w:r w:rsidRPr="00E05465">
        <w:t>: Results of the cost-minimisation approach for ravulizumab</w:t>
      </w:r>
    </w:p>
    <w:tbl>
      <w:tblPr>
        <w:tblStyle w:val="TableGrid"/>
        <w:tblW w:w="0" w:type="auto"/>
        <w:tblLook w:val="04A0" w:firstRow="1" w:lastRow="0" w:firstColumn="1" w:lastColumn="0" w:noHBand="0" w:noVBand="1"/>
      </w:tblPr>
      <w:tblGrid>
        <w:gridCol w:w="4820"/>
        <w:gridCol w:w="4147"/>
      </w:tblGrid>
      <w:tr w:rsidR="00E05465" w:rsidRPr="00E05465" w14:paraId="60FB9D31" w14:textId="77777777" w:rsidTr="00071F3B">
        <w:trPr>
          <w:trHeight w:val="227"/>
        </w:trPr>
        <w:tc>
          <w:tcPr>
            <w:tcW w:w="4820" w:type="dxa"/>
            <w:vAlign w:val="center"/>
          </w:tcPr>
          <w:p w14:paraId="2C81D8F9" w14:textId="77777777" w:rsidR="001212BA" w:rsidRPr="00E05465" w:rsidRDefault="001212BA" w:rsidP="00071F3B">
            <w:pPr>
              <w:pStyle w:val="TableText0"/>
              <w:jc w:val="center"/>
              <w:rPr>
                <w:b/>
              </w:rPr>
            </w:pPr>
            <w:r w:rsidRPr="00E05465">
              <w:rPr>
                <w:b/>
              </w:rPr>
              <w:t>Description</w:t>
            </w:r>
          </w:p>
        </w:tc>
        <w:tc>
          <w:tcPr>
            <w:tcW w:w="4147" w:type="dxa"/>
            <w:vAlign w:val="center"/>
          </w:tcPr>
          <w:p w14:paraId="0C6D87B3" w14:textId="77777777" w:rsidR="001212BA" w:rsidRPr="00E05465" w:rsidRDefault="001212BA" w:rsidP="00071F3B">
            <w:pPr>
              <w:pStyle w:val="TableText0"/>
              <w:jc w:val="center"/>
              <w:rPr>
                <w:b/>
              </w:rPr>
            </w:pPr>
            <w:r w:rsidRPr="00E05465">
              <w:rPr>
                <w:b/>
              </w:rPr>
              <w:t>Cost</w:t>
            </w:r>
          </w:p>
        </w:tc>
      </w:tr>
      <w:tr w:rsidR="00E05465" w:rsidRPr="00E05465" w14:paraId="4097BAC0" w14:textId="77777777" w:rsidTr="00071F3B">
        <w:trPr>
          <w:trHeight w:val="237"/>
        </w:trPr>
        <w:tc>
          <w:tcPr>
            <w:tcW w:w="4820" w:type="dxa"/>
            <w:vAlign w:val="center"/>
          </w:tcPr>
          <w:p w14:paraId="2FCA3F5D" w14:textId="77777777" w:rsidR="001212BA" w:rsidRPr="00E05465" w:rsidRDefault="001212BA" w:rsidP="00071F3B">
            <w:pPr>
              <w:pStyle w:val="TableText0"/>
            </w:pPr>
            <w:r w:rsidRPr="00E05465">
              <w:t>Total dose of eculizumab over two years</w:t>
            </w:r>
          </w:p>
        </w:tc>
        <w:tc>
          <w:tcPr>
            <w:tcW w:w="4147" w:type="dxa"/>
            <w:vAlign w:val="center"/>
          </w:tcPr>
          <w:p w14:paraId="7CED8F19" w14:textId="1874686B" w:rsidR="001212BA" w:rsidRPr="00E05465" w:rsidRDefault="001212BA" w:rsidP="00071F3B">
            <w:pPr>
              <w:pStyle w:val="TableText0"/>
              <w:jc w:val="center"/>
            </w:pPr>
            <w:r w:rsidRPr="00E05465">
              <w:t>47,350</w:t>
            </w:r>
            <w:r w:rsidR="00B22BF0" w:rsidRPr="00E05465">
              <w:t> </w:t>
            </w:r>
            <w:r w:rsidRPr="00E05465">
              <w:t>mg</w:t>
            </w:r>
            <w:r w:rsidRPr="00E05465">
              <w:rPr>
                <w:vertAlign w:val="superscript"/>
              </w:rPr>
              <w:t>a</w:t>
            </w:r>
          </w:p>
        </w:tc>
      </w:tr>
      <w:tr w:rsidR="00E05465" w:rsidRPr="00E05465" w14:paraId="6F4725F0" w14:textId="77777777" w:rsidTr="00071F3B">
        <w:trPr>
          <w:trHeight w:val="227"/>
        </w:trPr>
        <w:tc>
          <w:tcPr>
            <w:tcW w:w="4820" w:type="dxa"/>
            <w:vAlign w:val="center"/>
          </w:tcPr>
          <w:p w14:paraId="17E43D95" w14:textId="099FA3F9" w:rsidR="001212BA" w:rsidRPr="00E05465" w:rsidRDefault="001212BA" w:rsidP="00071F3B">
            <w:pPr>
              <w:pStyle w:val="TableText0"/>
            </w:pPr>
            <w:r w:rsidRPr="00E05465">
              <w:t>Number of 300</w:t>
            </w:r>
            <w:r w:rsidR="00B22BF0" w:rsidRPr="00E05465">
              <w:t> </w:t>
            </w:r>
            <w:r w:rsidRPr="00E05465">
              <w:t>mg eculizumab vials</w:t>
            </w:r>
          </w:p>
        </w:tc>
        <w:tc>
          <w:tcPr>
            <w:tcW w:w="4147" w:type="dxa"/>
            <w:vAlign w:val="center"/>
          </w:tcPr>
          <w:p w14:paraId="2A1B2AD6" w14:textId="77777777" w:rsidR="001212BA" w:rsidRPr="00E05465" w:rsidRDefault="001212BA" w:rsidP="00071F3B">
            <w:pPr>
              <w:pStyle w:val="TableText0"/>
              <w:jc w:val="center"/>
            </w:pPr>
            <w:r w:rsidRPr="00E05465">
              <w:t>157.83</w:t>
            </w:r>
          </w:p>
        </w:tc>
      </w:tr>
      <w:tr w:rsidR="00E05465" w:rsidRPr="00E05465" w14:paraId="5B9492D4" w14:textId="77777777" w:rsidTr="00071F3B">
        <w:trPr>
          <w:trHeight w:val="227"/>
        </w:trPr>
        <w:tc>
          <w:tcPr>
            <w:tcW w:w="4820" w:type="dxa"/>
            <w:vAlign w:val="center"/>
          </w:tcPr>
          <w:p w14:paraId="17874BFF" w14:textId="6D479802" w:rsidR="001212BA" w:rsidRPr="00E05465" w:rsidRDefault="001212BA" w:rsidP="00071F3B">
            <w:pPr>
              <w:pStyle w:val="TableText0"/>
            </w:pPr>
            <w:r w:rsidRPr="00E05465">
              <w:t>Effective AEMP per 300</w:t>
            </w:r>
            <w:r w:rsidR="00B22BF0" w:rsidRPr="00E05465">
              <w:t> </w:t>
            </w:r>
            <w:r w:rsidRPr="00E05465">
              <w:t>mg vial of eculizumab</w:t>
            </w:r>
          </w:p>
        </w:tc>
        <w:tc>
          <w:tcPr>
            <w:tcW w:w="4147" w:type="dxa"/>
            <w:vAlign w:val="center"/>
          </w:tcPr>
          <w:p w14:paraId="3C7B2704" w14:textId="0FBAC354" w:rsidR="001212BA" w:rsidRPr="00E05465" w:rsidRDefault="001212BA" w:rsidP="00071F3B">
            <w:pPr>
              <w:pStyle w:val="TableText0"/>
              <w:jc w:val="center"/>
            </w:pPr>
            <w:r w:rsidRPr="00E05465">
              <w:t>$</w:t>
            </w:r>
            <w:r w:rsidR="00533927" w:rsidRPr="00533927">
              <w:rPr>
                <w:color w:val="000000"/>
                <w:shd w:val="solid" w:color="000000" w:fill="000000"/>
                <w14:textFill>
                  <w14:solidFill>
                    <w14:srgbClr w14:val="000000">
                      <w14:alpha w14:val="100000"/>
                    </w14:srgbClr>
                  </w14:solidFill>
                </w14:textFill>
              </w:rPr>
              <w:t>|</w:t>
            </w:r>
          </w:p>
        </w:tc>
      </w:tr>
      <w:tr w:rsidR="00E05465" w:rsidRPr="00E05465" w14:paraId="3EF3FC0B" w14:textId="77777777" w:rsidTr="00071F3B">
        <w:trPr>
          <w:trHeight w:val="227"/>
        </w:trPr>
        <w:tc>
          <w:tcPr>
            <w:tcW w:w="4820" w:type="dxa"/>
            <w:vAlign w:val="center"/>
          </w:tcPr>
          <w:p w14:paraId="6DD1A8B4" w14:textId="77777777" w:rsidR="001212BA" w:rsidRPr="00E05465" w:rsidRDefault="001212BA" w:rsidP="00071F3B">
            <w:pPr>
              <w:pStyle w:val="TableText0"/>
              <w:rPr>
                <w:vertAlign w:val="superscript"/>
              </w:rPr>
            </w:pPr>
            <w:r w:rsidRPr="00E05465">
              <w:t>Cost of eculizumab acquisition</w:t>
            </w:r>
          </w:p>
        </w:tc>
        <w:tc>
          <w:tcPr>
            <w:tcW w:w="4147" w:type="dxa"/>
            <w:vAlign w:val="center"/>
          </w:tcPr>
          <w:p w14:paraId="1F41EB7E" w14:textId="03CF9267" w:rsidR="001212BA" w:rsidRPr="00E05465" w:rsidRDefault="001212BA" w:rsidP="00071F3B">
            <w:pPr>
              <w:pStyle w:val="TableText0"/>
              <w:jc w:val="center"/>
            </w:pPr>
            <w:r w:rsidRPr="00E05465">
              <w:t>$</w:t>
            </w:r>
            <w:r w:rsidR="00533927" w:rsidRPr="00533927">
              <w:rPr>
                <w:color w:val="000000"/>
                <w:shd w:val="solid" w:color="000000" w:fill="000000"/>
                <w14:textFill>
                  <w14:solidFill>
                    <w14:srgbClr w14:val="000000">
                      <w14:alpha w14:val="100000"/>
                    </w14:srgbClr>
                  </w14:solidFill>
                </w14:textFill>
              </w:rPr>
              <w:t>|</w:t>
            </w:r>
          </w:p>
        </w:tc>
      </w:tr>
      <w:tr w:rsidR="00E05465" w:rsidRPr="00E05465" w14:paraId="4F8395F0" w14:textId="77777777" w:rsidTr="00071F3B">
        <w:trPr>
          <w:trHeight w:val="237"/>
        </w:trPr>
        <w:tc>
          <w:tcPr>
            <w:tcW w:w="4820" w:type="dxa"/>
            <w:vAlign w:val="center"/>
          </w:tcPr>
          <w:p w14:paraId="3118FF79" w14:textId="77777777" w:rsidR="001212BA" w:rsidRPr="00E05465" w:rsidRDefault="001212BA" w:rsidP="00071F3B">
            <w:pPr>
              <w:pStyle w:val="TableText0"/>
            </w:pPr>
            <w:r w:rsidRPr="00E05465">
              <w:t>Number of eculizumab administrations</w:t>
            </w:r>
          </w:p>
        </w:tc>
        <w:tc>
          <w:tcPr>
            <w:tcW w:w="4147" w:type="dxa"/>
            <w:vAlign w:val="center"/>
          </w:tcPr>
          <w:p w14:paraId="270D97C1" w14:textId="77777777" w:rsidR="001212BA" w:rsidRPr="00E05465" w:rsidRDefault="001212BA" w:rsidP="00071F3B">
            <w:pPr>
              <w:pStyle w:val="TableText0"/>
              <w:jc w:val="center"/>
            </w:pPr>
            <w:r w:rsidRPr="00E05465">
              <w:t>53.83</w:t>
            </w:r>
          </w:p>
        </w:tc>
      </w:tr>
      <w:tr w:rsidR="00E05465" w:rsidRPr="00E05465" w14:paraId="6DC7F28E" w14:textId="77777777" w:rsidTr="00071F3B">
        <w:trPr>
          <w:trHeight w:val="227"/>
        </w:trPr>
        <w:tc>
          <w:tcPr>
            <w:tcW w:w="4820" w:type="dxa"/>
            <w:vAlign w:val="center"/>
          </w:tcPr>
          <w:p w14:paraId="061BF554" w14:textId="77777777" w:rsidR="001212BA" w:rsidRPr="00E05465" w:rsidRDefault="001212BA" w:rsidP="00071F3B">
            <w:pPr>
              <w:pStyle w:val="TableText0"/>
            </w:pPr>
            <w:r w:rsidRPr="00E05465">
              <w:t>Cost of eculizumab administrations ($46.15, MBS item 105)</w:t>
            </w:r>
          </w:p>
        </w:tc>
        <w:tc>
          <w:tcPr>
            <w:tcW w:w="4147" w:type="dxa"/>
            <w:vAlign w:val="center"/>
          </w:tcPr>
          <w:p w14:paraId="799F4285" w14:textId="77777777" w:rsidR="001212BA" w:rsidRPr="00E05465" w:rsidRDefault="001212BA" w:rsidP="00071F3B">
            <w:pPr>
              <w:pStyle w:val="TableText0"/>
              <w:jc w:val="center"/>
            </w:pPr>
            <w:r w:rsidRPr="00E05465">
              <w:t>$2,484.41</w:t>
            </w:r>
          </w:p>
        </w:tc>
      </w:tr>
      <w:tr w:rsidR="00E05465" w:rsidRPr="00E05465" w14:paraId="3296F322" w14:textId="77777777" w:rsidTr="00071F3B">
        <w:trPr>
          <w:trHeight w:val="227"/>
        </w:trPr>
        <w:tc>
          <w:tcPr>
            <w:tcW w:w="4820" w:type="dxa"/>
            <w:vAlign w:val="center"/>
          </w:tcPr>
          <w:p w14:paraId="2AB136BC" w14:textId="77777777" w:rsidR="001212BA" w:rsidRPr="00E05465" w:rsidRDefault="001212BA" w:rsidP="00071F3B">
            <w:pPr>
              <w:pStyle w:val="TableText0"/>
            </w:pPr>
            <w:r w:rsidRPr="00E05465">
              <w:t>Total eculizumab cost per patient</w:t>
            </w:r>
          </w:p>
        </w:tc>
        <w:tc>
          <w:tcPr>
            <w:tcW w:w="4147" w:type="dxa"/>
            <w:vAlign w:val="center"/>
          </w:tcPr>
          <w:p w14:paraId="6B8D9B97" w14:textId="38267F6D" w:rsidR="001212BA" w:rsidRPr="00E05465" w:rsidRDefault="001212BA" w:rsidP="00071F3B">
            <w:pPr>
              <w:pStyle w:val="TableText0"/>
              <w:jc w:val="center"/>
            </w:pPr>
            <w:r w:rsidRPr="00E05465">
              <w:t>$</w:t>
            </w:r>
            <w:r w:rsidR="00533927" w:rsidRPr="00533927">
              <w:rPr>
                <w:color w:val="000000"/>
                <w:shd w:val="solid" w:color="000000" w:fill="000000"/>
                <w14:textFill>
                  <w14:solidFill>
                    <w14:srgbClr w14:val="000000">
                      <w14:alpha w14:val="100000"/>
                    </w14:srgbClr>
                  </w14:solidFill>
                </w14:textFill>
              </w:rPr>
              <w:t>|</w:t>
            </w:r>
          </w:p>
        </w:tc>
      </w:tr>
      <w:tr w:rsidR="00E05465" w:rsidRPr="00E05465" w14:paraId="56417C35" w14:textId="77777777" w:rsidTr="00071F3B">
        <w:trPr>
          <w:trHeight w:val="237"/>
        </w:trPr>
        <w:tc>
          <w:tcPr>
            <w:tcW w:w="4820" w:type="dxa"/>
            <w:vAlign w:val="center"/>
          </w:tcPr>
          <w:p w14:paraId="63FA1BD1" w14:textId="77777777" w:rsidR="001212BA" w:rsidRPr="00E05465" w:rsidRDefault="001212BA" w:rsidP="00071F3B">
            <w:pPr>
              <w:pStyle w:val="TableText0"/>
            </w:pPr>
            <w:r w:rsidRPr="00E05465">
              <w:t>Number of ravulizumab administrations</w:t>
            </w:r>
          </w:p>
        </w:tc>
        <w:tc>
          <w:tcPr>
            <w:tcW w:w="4147" w:type="dxa"/>
            <w:vAlign w:val="center"/>
          </w:tcPr>
          <w:p w14:paraId="0D0A112C" w14:textId="77777777" w:rsidR="001212BA" w:rsidRPr="00E05465" w:rsidRDefault="001212BA" w:rsidP="00071F3B">
            <w:pPr>
              <w:pStyle w:val="TableText0"/>
              <w:jc w:val="center"/>
            </w:pPr>
            <w:r w:rsidRPr="00E05465">
              <w:t>13.75</w:t>
            </w:r>
          </w:p>
        </w:tc>
      </w:tr>
      <w:tr w:rsidR="00E05465" w:rsidRPr="00E05465" w14:paraId="21BA700C" w14:textId="77777777" w:rsidTr="00071F3B">
        <w:trPr>
          <w:trHeight w:val="227"/>
        </w:trPr>
        <w:tc>
          <w:tcPr>
            <w:tcW w:w="4820" w:type="dxa"/>
            <w:vAlign w:val="center"/>
          </w:tcPr>
          <w:p w14:paraId="2946D213" w14:textId="77777777" w:rsidR="001212BA" w:rsidRPr="00E05465" w:rsidRDefault="001212BA" w:rsidP="00071F3B">
            <w:pPr>
              <w:pStyle w:val="TableText0"/>
            </w:pPr>
            <w:r w:rsidRPr="00E05465">
              <w:t>Cost of ravulizumab administrations ($46.15, MBS item 105)</w:t>
            </w:r>
          </w:p>
        </w:tc>
        <w:tc>
          <w:tcPr>
            <w:tcW w:w="4147" w:type="dxa"/>
            <w:vAlign w:val="center"/>
          </w:tcPr>
          <w:p w14:paraId="1CF5EE0F" w14:textId="77777777" w:rsidR="001212BA" w:rsidRPr="00E05465" w:rsidRDefault="001212BA" w:rsidP="00071F3B">
            <w:pPr>
              <w:pStyle w:val="TableText0"/>
              <w:jc w:val="center"/>
            </w:pPr>
            <w:r w:rsidRPr="00E05465">
              <w:t>$634.56</w:t>
            </w:r>
          </w:p>
        </w:tc>
      </w:tr>
      <w:tr w:rsidR="00E05465" w:rsidRPr="00E05465" w14:paraId="7173337D" w14:textId="77777777" w:rsidTr="00071F3B">
        <w:trPr>
          <w:trHeight w:val="227"/>
        </w:trPr>
        <w:tc>
          <w:tcPr>
            <w:tcW w:w="4820" w:type="dxa"/>
            <w:vAlign w:val="center"/>
          </w:tcPr>
          <w:p w14:paraId="0869317D" w14:textId="77777777" w:rsidR="001212BA" w:rsidRPr="00E05465" w:rsidRDefault="001212BA" w:rsidP="00071F3B">
            <w:pPr>
              <w:pStyle w:val="TableText0"/>
            </w:pPr>
            <w:r w:rsidRPr="00E05465">
              <w:t xml:space="preserve">Price of ravulizumab acquisition to match </w:t>
            </w:r>
          </w:p>
        </w:tc>
        <w:tc>
          <w:tcPr>
            <w:tcW w:w="4147" w:type="dxa"/>
            <w:vAlign w:val="center"/>
          </w:tcPr>
          <w:p w14:paraId="469C3392" w14:textId="739AD024" w:rsidR="001212BA" w:rsidRPr="00E05465" w:rsidRDefault="001212BA" w:rsidP="00071F3B">
            <w:pPr>
              <w:pStyle w:val="TableText0"/>
              <w:jc w:val="center"/>
            </w:pPr>
            <w:r w:rsidRPr="00E05465">
              <w:t>$</w:t>
            </w:r>
            <w:r w:rsidR="00533927" w:rsidRPr="00533927">
              <w:rPr>
                <w:color w:val="000000"/>
                <w:shd w:val="solid" w:color="000000" w:fill="000000"/>
                <w14:textFill>
                  <w14:solidFill>
                    <w14:srgbClr w14:val="000000">
                      <w14:alpha w14:val="100000"/>
                    </w14:srgbClr>
                  </w14:solidFill>
                </w14:textFill>
              </w:rPr>
              <w:t>|</w:t>
            </w:r>
          </w:p>
        </w:tc>
      </w:tr>
      <w:tr w:rsidR="00E05465" w:rsidRPr="00E05465" w14:paraId="7821E5E0" w14:textId="77777777" w:rsidTr="00071F3B">
        <w:trPr>
          <w:trHeight w:val="227"/>
        </w:trPr>
        <w:tc>
          <w:tcPr>
            <w:tcW w:w="4820" w:type="dxa"/>
            <w:vAlign w:val="center"/>
          </w:tcPr>
          <w:p w14:paraId="6B8B3F3D" w14:textId="77777777" w:rsidR="001212BA" w:rsidRPr="00E05465" w:rsidRDefault="001212BA" w:rsidP="00071F3B">
            <w:pPr>
              <w:pStyle w:val="TableText0"/>
              <w:rPr>
                <w:vertAlign w:val="superscript"/>
              </w:rPr>
            </w:pPr>
            <w:r w:rsidRPr="00E05465">
              <w:t>Total dose of ravulizumab over two years</w:t>
            </w:r>
          </w:p>
        </w:tc>
        <w:tc>
          <w:tcPr>
            <w:tcW w:w="4147" w:type="dxa"/>
            <w:vAlign w:val="center"/>
          </w:tcPr>
          <w:p w14:paraId="5805F8AD" w14:textId="689BB29E" w:rsidR="001212BA" w:rsidRPr="00E05465" w:rsidRDefault="001212BA" w:rsidP="00071F3B">
            <w:pPr>
              <w:pStyle w:val="TableText0"/>
              <w:jc w:val="center"/>
            </w:pPr>
            <w:r w:rsidRPr="00E05465">
              <w:t>41,875</w:t>
            </w:r>
            <w:r w:rsidR="00B22BF0" w:rsidRPr="00E05465">
              <w:t> </w:t>
            </w:r>
            <w:r w:rsidRPr="00E05465">
              <w:t>mg</w:t>
            </w:r>
            <w:r w:rsidRPr="00E05465">
              <w:rPr>
                <w:vertAlign w:val="superscript"/>
              </w:rPr>
              <w:t>b</w:t>
            </w:r>
          </w:p>
        </w:tc>
      </w:tr>
      <w:tr w:rsidR="00E05465" w:rsidRPr="00E05465" w14:paraId="2C83E83F" w14:textId="77777777" w:rsidTr="00071F3B">
        <w:trPr>
          <w:trHeight w:val="237"/>
        </w:trPr>
        <w:tc>
          <w:tcPr>
            <w:tcW w:w="4820" w:type="dxa"/>
            <w:vAlign w:val="center"/>
          </w:tcPr>
          <w:p w14:paraId="477CCB32" w14:textId="77777777" w:rsidR="001212BA" w:rsidRPr="00E05465" w:rsidRDefault="001212BA" w:rsidP="00071F3B">
            <w:pPr>
              <w:pStyle w:val="TableText0"/>
            </w:pPr>
            <w:r w:rsidRPr="00E05465">
              <w:t xml:space="preserve">Price per mg of ravulizumab  </w:t>
            </w:r>
          </w:p>
        </w:tc>
        <w:tc>
          <w:tcPr>
            <w:tcW w:w="4147" w:type="dxa"/>
            <w:vAlign w:val="center"/>
          </w:tcPr>
          <w:p w14:paraId="198C0AB8" w14:textId="09A4E286" w:rsidR="001212BA" w:rsidRPr="00E05465" w:rsidRDefault="001212BA" w:rsidP="00071F3B">
            <w:pPr>
              <w:pStyle w:val="TableText0"/>
              <w:jc w:val="center"/>
              <w:rPr>
                <w:vertAlign w:val="superscript"/>
              </w:rPr>
            </w:pPr>
            <w:r w:rsidRPr="00E05465">
              <w:t>$</w:t>
            </w:r>
            <w:r w:rsidR="00533927" w:rsidRPr="00533927">
              <w:rPr>
                <w:color w:val="000000"/>
                <w:shd w:val="solid" w:color="000000" w:fill="000000"/>
                <w14:textFill>
                  <w14:solidFill>
                    <w14:srgbClr w14:val="000000">
                      <w14:alpha w14:val="100000"/>
                    </w14:srgbClr>
                  </w14:solidFill>
                </w14:textFill>
              </w:rPr>
              <w:t>|</w:t>
            </w:r>
            <w:r w:rsidRPr="00E05465">
              <w:t xml:space="preserve"> per mg</w:t>
            </w:r>
            <w:r w:rsidRPr="00E05465">
              <w:rPr>
                <w:vertAlign w:val="superscript"/>
              </w:rPr>
              <w:t>c</w:t>
            </w:r>
          </w:p>
        </w:tc>
      </w:tr>
      <w:tr w:rsidR="00E05465" w:rsidRPr="00E05465" w14:paraId="671D2046" w14:textId="77777777" w:rsidTr="00071F3B">
        <w:trPr>
          <w:trHeight w:val="454"/>
        </w:trPr>
        <w:tc>
          <w:tcPr>
            <w:tcW w:w="4820" w:type="dxa"/>
            <w:vAlign w:val="center"/>
          </w:tcPr>
          <w:p w14:paraId="5B718397" w14:textId="77777777" w:rsidR="001212BA" w:rsidRPr="00E05465" w:rsidRDefault="001212BA" w:rsidP="00071F3B">
            <w:pPr>
              <w:pStyle w:val="TableText0"/>
            </w:pPr>
            <w:r w:rsidRPr="00E05465">
              <w:t xml:space="preserve">Cost-minimisation price per vial of ravulizumab </w:t>
            </w:r>
          </w:p>
        </w:tc>
        <w:tc>
          <w:tcPr>
            <w:tcW w:w="4147" w:type="dxa"/>
            <w:vAlign w:val="center"/>
          </w:tcPr>
          <w:p w14:paraId="2CD2155E" w14:textId="48D94B4E" w:rsidR="001212BA" w:rsidRPr="00E05465" w:rsidRDefault="001212BA" w:rsidP="00071F3B">
            <w:pPr>
              <w:pStyle w:val="TableText0"/>
              <w:jc w:val="center"/>
              <w:rPr>
                <w:vertAlign w:val="superscript"/>
              </w:rPr>
            </w:pPr>
            <w:r w:rsidRPr="00E05465">
              <w:t>300</w:t>
            </w:r>
            <w:r w:rsidR="00B22BF0" w:rsidRPr="00E05465">
              <w:rPr>
                <w:rStyle w:val="FooterTableFigureChar"/>
              </w:rPr>
              <w:t> </w:t>
            </w:r>
            <w:r w:rsidRPr="00E05465">
              <w:t>mg vial: $</w:t>
            </w:r>
            <w:r w:rsidR="00533927" w:rsidRPr="00533927">
              <w:rPr>
                <w:color w:val="000000"/>
                <w:shd w:val="solid" w:color="000000" w:fill="000000"/>
                <w14:textFill>
                  <w14:solidFill>
                    <w14:srgbClr w14:val="000000">
                      <w14:alpha w14:val="100000"/>
                    </w14:srgbClr>
                  </w14:solidFill>
                </w14:textFill>
              </w:rPr>
              <w:t>|</w:t>
            </w:r>
            <w:r w:rsidRPr="00E05465">
              <w:rPr>
                <w:vertAlign w:val="superscript"/>
              </w:rPr>
              <w:t>c</w:t>
            </w:r>
          </w:p>
          <w:p w14:paraId="128A8501" w14:textId="448DFA25" w:rsidR="001212BA" w:rsidRPr="00E05465" w:rsidRDefault="001212BA" w:rsidP="00071F3B">
            <w:pPr>
              <w:pStyle w:val="TableText0"/>
              <w:jc w:val="center"/>
              <w:rPr>
                <w:vertAlign w:val="superscript"/>
              </w:rPr>
            </w:pPr>
            <w:r w:rsidRPr="00E05465">
              <w:t>1,100</w:t>
            </w:r>
            <w:r w:rsidR="00B22BF0" w:rsidRPr="00E05465">
              <w:rPr>
                <w:rStyle w:val="FooterTableFigureChar"/>
              </w:rPr>
              <w:t> </w:t>
            </w:r>
            <w:r w:rsidRPr="00E05465">
              <w:t>mg vial: $</w:t>
            </w:r>
            <w:r w:rsidR="00533927" w:rsidRPr="00533927">
              <w:rPr>
                <w:color w:val="000000"/>
                <w:shd w:val="solid" w:color="000000" w:fill="000000"/>
                <w14:textFill>
                  <w14:solidFill>
                    <w14:srgbClr w14:val="000000">
                      <w14:alpha w14:val="100000"/>
                    </w14:srgbClr>
                  </w14:solidFill>
                </w14:textFill>
              </w:rPr>
              <w:t>|</w:t>
            </w:r>
            <w:r w:rsidRPr="00E05465">
              <w:rPr>
                <w:vertAlign w:val="superscript"/>
              </w:rPr>
              <w:t>c</w:t>
            </w:r>
          </w:p>
        </w:tc>
      </w:tr>
      <w:tr w:rsidR="00E05465" w:rsidRPr="00E05465" w14:paraId="532A2A32" w14:textId="77777777" w:rsidTr="00071F3B">
        <w:trPr>
          <w:trHeight w:val="264"/>
        </w:trPr>
        <w:tc>
          <w:tcPr>
            <w:tcW w:w="4820" w:type="dxa"/>
            <w:vAlign w:val="center"/>
          </w:tcPr>
          <w:p w14:paraId="636BFE03" w14:textId="725EF5F9" w:rsidR="001212BA" w:rsidRPr="00E05465" w:rsidRDefault="001212BA" w:rsidP="00071F3B">
            <w:pPr>
              <w:pStyle w:val="TableText0"/>
            </w:pPr>
            <w:r w:rsidRPr="00E05465">
              <w:t xml:space="preserve">Proposed AEMP of ravulizumab per vial (the same as </w:t>
            </w:r>
            <w:r w:rsidR="000A42EC" w:rsidRPr="00E05465">
              <w:t xml:space="preserve">the </w:t>
            </w:r>
            <w:r w:rsidRPr="00E05465">
              <w:t>effective AEMP for adult population)</w:t>
            </w:r>
          </w:p>
        </w:tc>
        <w:tc>
          <w:tcPr>
            <w:tcW w:w="4147" w:type="dxa"/>
            <w:vAlign w:val="center"/>
          </w:tcPr>
          <w:p w14:paraId="40FC9819" w14:textId="335FDA52" w:rsidR="001212BA" w:rsidRPr="00E05465" w:rsidRDefault="001212BA" w:rsidP="00071F3B">
            <w:pPr>
              <w:pStyle w:val="TableText0"/>
              <w:jc w:val="center"/>
            </w:pPr>
            <w:r w:rsidRPr="00E05465">
              <w:t>300</w:t>
            </w:r>
            <w:r w:rsidR="00B22BF0" w:rsidRPr="00E05465">
              <w:rPr>
                <w:rStyle w:val="FooterTableFigureChar"/>
              </w:rPr>
              <w:t> </w:t>
            </w:r>
            <w:r w:rsidRPr="00E05465">
              <w:t>mg vial: $</w:t>
            </w:r>
            <w:r w:rsidR="00533927" w:rsidRPr="00533927">
              <w:rPr>
                <w:color w:val="000000"/>
                <w:shd w:val="solid" w:color="000000" w:fill="000000"/>
                <w14:textFill>
                  <w14:solidFill>
                    <w14:srgbClr w14:val="000000">
                      <w14:alpha w14:val="100000"/>
                    </w14:srgbClr>
                  </w14:solidFill>
                </w14:textFill>
              </w:rPr>
              <w:t>|</w:t>
            </w:r>
          </w:p>
          <w:p w14:paraId="3563DD36" w14:textId="09C4D2BC" w:rsidR="001212BA" w:rsidRPr="00E05465" w:rsidRDefault="001212BA" w:rsidP="00071F3B">
            <w:pPr>
              <w:pStyle w:val="TableText0"/>
              <w:jc w:val="center"/>
            </w:pPr>
            <w:r w:rsidRPr="00E05465">
              <w:t>1,100</w:t>
            </w:r>
            <w:r w:rsidR="00B22BF0" w:rsidRPr="00E05465">
              <w:rPr>
                <w:rStyle w:val="FooterTableFigureChar"/>
              </w:rPr>
              <w:t> </w:t>
            </w:r>
            <w:r w:rsidRPr="00E05465">
              <w:t>mg vial: $</w:t>
            </w:r>
            <w:r w:rsidR="00533927" w:rsidRPr="00533927">
              <w:rPr>
                <w:color w:val="000000"/>
                <w:shd w:val="solid" w:color="000000" w:fill="000000"/>
                <w14:textFill>
                  <w14:solidFill>
                    <w14:srgbClr w14:val="000000">
                      <w14:alpha w14:val="100000"/>
                    </w14:srgbClr>
                  </w14:solidFill>
                </w14:textFill>
              </w:rPr>
              <w:t>|</w:t>
            </w:r>
          </w:p>
        </w:tc>
      </w:tr>
    </w:tbl>
    <w:p w14:paraId="13A1A83E" w14:textId="77777777" w:rsidR="001212BA" w:rsidRPr="00E05465" w:rsidRDefault="001212BA" w:rsidP="001212BA">
      <w:pPr>
        <w:pStyle w:val="FooterTableFigure"/>
        <w:keepNext/>
      </w:pPr>
      <w:r w:rsidRPr="00E05465">
        <w:t xml:space="preserve">Source: Constructed during the evaluation from the “Section 3 CMA workbook” provided with the submission. </w:t>
      </w:r>
    </w:p>
    <w:p w14:paraId="3BC01177" w14:textId="77777777" w:rsidR="001212BA" w:rsidRPr="00E05465" w:rsidRDefault="001212BA" w:rsidP="001212BA">
      <w:pPr>
        <w:pStyle w:val="FooterTableFigure"/>
        <w:keepNext/>
      </w:pPr>
      <w:r w:rsidRPr="00E05465">
        <w:t>AEMP = approved ex-manufacturer price; MBS = Medicare Benefits Schedule</w:t>
      </w:r>
    </w:p>
    <w:p w14:paraId="526ACBE2" w14:textId="41BB78D6" w:rsidR="001212BA" w:rsidRPr="00E05465" w:rsidRDefault="001212BA" w:rsidP="001212BA">
      <w:pPr>
        <w:pStyle w:val="FooterTableFigure"/>
        <w:keepNext/>
        <w:rPr>
          <w:sz w:val="20"/>
        </w:rPr>
      </w:pPr>
      <w:proofErr w:type="spellStart"/>
      <w:r w:rsidRPr="00E05465">
        <w:rPr>
          <w:rStyle w:val="FooterTableFigureChar"/>
          <w:vertAlign w:val="superscript"/>
        </w:rPr>
        <w:t>a</w:t>
      </w:r>
      <w:proofErr w:type="spellEnd"/>
      <w:r w:rsidRPr="00E05465">
        <w:rPr>
          <w:rStyle w:val="FooterTableFigureChar"/>
        </w:rPr>
        <w:t xml:space="preserve"> Over two years, 3.67 × 600</w:t>
      </w:r>
      <w:r w:rsidR="00B22BF0" w:rsidRPr="00E05465">
        <w:rPr>
          <w:rStyle w:val="FooterTableFigureChar"/>
        </w:rPr>
        <w:t> </w:t>
      </w:r>
      <w:r w:rsidRPr="00E05465">
        <w:rPr>
          <w:rStyle w:val="FooterTableFigureChar"/>
        </w:rPr>
        <w:t>mg loading doses (17% × 2 600</w:t>
      </w:r>
      <w:r w:rsidR="00B22BF0" w:rsidRPr="00E05465">
        <w:rPr>
          <w:rStyle w:val="FooterTableFigureChar"/>
        </w:rPr>
        <w:t> </w:t>
      </w:r>
      <w:r w:rsidRPr="00E05465">
        <w:rPr>
          <w:rStyle w:val="FooterTableFigureChar"/>
        </w:rPr>
        <w:t>mg doses, 83% × 4 600</w:t>
      </w:r>
      <w:r w:rsidR="00B22BF0" w:rsidRPr="00E05465">
        <w:rPr>
          <w:rStyle w:val="FooterTableFigureChar"/>
        </w:rPr>
        <w:t> </w:t>
      </w:r>
      <w:r w:rsidRPr="00E05465">
        <w:rPr>
          <w:rStyle w:val="FooterTableFigureChar"/>
        </w:rPr>
        <w:t>mg doses) and 50.17 × 900</w:t>
      </w:r>
      <w:r w:rsidR="00B22BF0" w:rsidRPr="00E05465">
        <w:rPr>
          <w:rStyle w:val="FooterTableFigureChar"/>
        </w:rPr>
        <w:t> </w:t>
      </w:r>
      <w:r w:rsidRPr="00E05465">
        <w:rPr>
          <w:rStyle w:val="FooterTableFigureChar"/>
        </w:rPr>
        <w:t>mg maintenance doses (17% × 51 900</w:t>
      </w:r>
      <w:r w:rsidR="00B22BF0" w:rsidRPr="00E05465">
        <w:rPr>
          <w:rStyle w:val="FooterTableFigureChar"/>
        </w:rPr>
        <w:t> </w:t>
      </w:r>
      <w:r w:rsidRPr="00E05465">
        <w:rPr>
          <w:rStyle w:val="FooterTableFigureChar"/>
        </w:rPr>
        <w:t>mg doses, 83% × 50 900</w:t>
      </w:r>
      <w:r w:rsidR="00B22BF0" w:rsidRPr="00E05465">
        <w:rPr>
          <w:rStyle w:val="FooterTableFigureChar"/>
        </w:rPr>
        <w:t> </w:t>
      </w:r>
      <w:r w:rsidRPr="00E05465">
        <w:rPr>
          <w:rStyle w:val="FooterTableFigureChar"/>
        </w:rPr>
        <w:t>mg doses) (total dose 47,350</w:t>
      </w:r>
      <w:r w:rsidR="00B22BF0" w:rsidRPr="00E05465">
        <w:rPr>
          <w:rStyle w:val="FooterTableFigureChar"/>
        </w:rPr>
        <w:t> </w:t>
      </w:r>
      <w:r w:rsidRPr="00E05465">
        <w:rPr>
          <w:rStyle w:val="FooterTableFigureChar"/>
        </w:rPr>
        <w:t>mg, over 53.83 doses), where 17% of patients were assumed to weigh ≥</w:t>
      </w:r>
      <w:r w:rsidR="00B22BF0" w:rsidRPr="00E05465">
        <w:rPr>
          <w:rStyle w:val="FooterTableFigureChar"/>
        </w:rPr>
        <w:t> </w:t>
      </w:r>
      <w:r w:rsidRPr="00E05465">
        <w:rPr>
          <w:rStyle w:val="FooterTableFigureChar"/>
        </w:rPr>
        <w:t>30−&lt;</w:t>
      </w:r>
      <w:r w:rsidR="00B22BF0" w:rsidRPr="00E05465">
        <w:rPr>
          <w:rStyle w:val="FooterTableFigureChar"/>
        </w:rPr>
        <w:t> </w:t>
      </w:r>
      <w:r w:rsidRPr="00E05465">
        <w:rPr>
          <w:rStyle w:val="FooterTableFigureChar"/>
        </w:rPr>
        <w:t>40 kg and 83% ≥</w:t>
      </w:r>
      <w:r w:rsidR="00B22BF0" w:rsidRPr="00E05465">
        <w:rPr>
          <w:rStyle w:val="FooterTableFigureChar"/>
        </w:rPr>
        <w:t> </w:t>
      </w:r>
      <w:r w:rsidRPr="00E05465">
        <w:rPr>
          <w:rStyle w:val="FooterTableFigureChar"/>
        </w:rPr>
        <w:t>40 kg.</w:t>
      </w:r>
    </w:p>
    <w:p w14:paraId="661C8C25" w14:textId="73198ECC" w:rsidR="001212BA" w:rsidRPr="00E05465" w:rsidRDefault="001212BA" w:rsidP="001212BA">
      <w:pPr>
        <w:pStyle w:val="FooterTableFigure"/>
        <w:keepNext/>
      </w:pPr>
      <w:r w:rsidRPr="00E05465">
        <w:rPr>
          <w:vertAlign w:val="superscript"/>
        </w:rPr>
        <w:t xml:space="preserve">b </w:t>
      </w:r>
      <w:r w:rsidRPr="00E05465">
        <w:t>Over two years, patients were assumed to receive an average loading dose of 2,350</w:t>
      </w:r>
      <w:r w:rsidR="00B22BF0" w:rsidRPr="00E05465">
        <w:rPr>
          <w:rStyle w:val="FooterTableFigureChar"/>
        </w:rPr>
        <w:t> </w:t>
      </w:r>
      <w:r w:rsidRPr="00E05465">
        <w:t>mg (17% × 1,200</w:t>
      </w:r>
      <w:r w:rsidR="00B22BF0" w:rsidRPr="00E05465">
        <w:rPr>
          <w:rStyle w:val="FooterTableFigureChar"/>
        </w:rPr>
        <w:t> </w:t>
      </w:r>
      <w:r w:rsidRPr="00E05465">
        <w:t>mg, 33% × 2,400</w:t>
      </w:r>
      <w:r w:rsidR="00B22BF0" w:rsidRPr="00E05465">
        <w:rPr>
          <w:rStyle w:val="FooterTableFigureChar"/>
        </w:rPr>
        <w:t> </w:t>
      </w:r>
      <w:r w:rsidRPr="00E05465">
        <w:t>mg, 50% × 2,700</w:t>
      </w:r>
      <w:r w:rsidR="00B22BF0" w:rsidRPr="00E05465">
        <w:rPr>
          <w:rStyle w:val="FooterTableFigureChar"/>
        </w:rPr>
        <w:t> </w:t>
      </w:r>
      <w:r w:rsidRPr="00E05465">
        <w:t>mg) and 12.75 × 3,100</w:t>
      </w:r>
      <w:r w:rsidR="00B22BF0" w:rsidRPr="00E05465">
        <w:rPr>
          <w:rStyle w:val="FooterTableFigureChar"/>
        </w:rPr>
        <w:t> </w:t>
      </w:r>
      <w:r w:rsidRPr="00E05465">
        <w:t>mg maintenance doses (17% × 2,700</w:t>
      </w:r>
      <w:r w:rsidR="00B22BF0" w:rsidRPr="00E05465">
        <w:rPr>
          <w:rStyle w:val="FooterTableFigureChar"/>
        </w:rPr>
        <w:t> </w:t>
      </w:r>
      <w:r w:rsidRPr="00E05465">
        <w:t>mg, 33% × 3,000</w:t>
      </w:r>
      <w:r w:rsidR="00B22BF0" w:rsidRPr="00E05465">
        <w:rPr>
          <w:rStyle w:val="FooterTableFigureChar"/>
        </w:rPr>
        <w:t> </w:t>
      </w:r>
      <w:r w:rsidRPr="00E05465">
        <w:t>mg, 50% × 3,300</w:t>
      </w:r>
      <w:r w:rsidR="00B22BF0" w:rsidRPr="00E05465">
        <w:rPr>
          <w:rStyle w:val="FooterTableFigureChar"/>
        </w:rPr>
        <w:t> </w:t>
      </w:r>
      <w:r w:rsidRPr="00E05465">
        <w:t>mg) (total dose 41,875</w:t>
      </w:r>
      <w:r w:rsidR="00B22BF0" w:rsidRPr="00E05465">
        <w:rPr>
          <w:rStyle w:val="FooterTableFigureChar"/>
        </w:rPr>
        <w:t> </w:t>
      </w:r>
      <w:r w:rsidRPr="00E05465">
        <w:t>mg, over 13.75 doses), where 17% of patients were assumed to weigh ≥</w:t>
      </w:r>
      <w:r w:rsidR="00B22BF0" w:rsidRPr="00E05465">
        <w:rPr>
          <w:rStyle w:val="FooterTableFigureChar"/>
        </w:rPr>
        <w:t> </w:t>
      </w:r>
      <w:r w:rsidRPr="00E05465">
        <w:t>30−&lt;</w:t>
      </w:r>
      <w:r w:rsidR="00B22BF0" w:rsidRPr="00E05465">
        <w:rPr>
          <w:rStyle w:val="FooterTableFigureChar"/>
        </w:rPr>
        <w:t> </w:t>
      </w:r>
      <w:r w:rsidRPr="00E05465">
        <w:t>40 kg; 33% ≥</w:t>
      </w:r>
      <w:r w:rsidR="00B22BF0" w:rsidRPr="00E05465">
        <w:rPr>
          <w:rStyle w:val="FooterTableFigureChar"/>
        </w:rPr>
        <w:t> </w:t>
      </w:r>
      <w:r w:rsidRPr="00E05465">
        <w:t>40−&lt;</w:t>
      </w:r>
      <w:r w:rsidR="00B22BF0" w:rsidRPr="00E05465">
        <w:rPr>
          <w:rStyle w:val="FooterTableFigureChar"/>
        </w:rPr>
        <w:t> </w:t>
      </w:r>
      <w:r w:rsidRPr="00E05465">
        <w:t>60 kg and 50% ≥</w:t>
      </w:r>
      <w:r w:rsidR="00B22BF0" w:rsidRPr="00E05465">
        <w:rPr>
          <w:rStyle w:val="FooterTableFigureChar"/>
        </w:rPr>
        <w:t> </w:t>
      </w:r>
      <w:r w:rsidRPr="00E05465">
        <w:t>60 kg.</w:t>
      </w:r>
    </w:p>
    <w:p w14:paraId="7039489F" w14:textId="3B73BD3C" w:rsidR="001212BA" w:rsidRPr="00E05465" w:rsidRDefault="001212BA" w:rsidP="001212BA">
      <w:pPr>
        <w:pStyle w:val="FooterTableFigure"/>
        <w:keepNext/>
        <w:rPr>
          <w:i/>
        </w:rPr>
      </w:pPr>
      <w:r w:rsidRPr="00E05465">
        <w:rPr>
          <w:i/>
          <w:vertAlign w:val="superscript"/>
        </w:rPr>
        <w:t>c</w:t>
      </w:r>
      <w:r w:rsidRPr="00E05465">
        <w:rPr>
          <w:i/>
        </w:rPr>
        <w:t xml:space="preserve"> </w:t>
      </w:r>
      <w:r w:rsidRPr="00E05465">
        <w:rPr>
          <w:iCs/>
        </w:rPr>
        <w:t>Reported in the submission as $</w:t>
      </w:r>
      <w:r w:rsidR="00533927" w:rsidRPr="00533927">
        <w:rPr>
          <w:iCs/>
          <w:color w:val="000000"/>
          <w:spacing w:val="40"/>
          <w:shd w:val="solid" w:color="000000" w:fill="000000"/>
          <w:fitText w:val="280" w:id="-1168291581"/>
          <w14:textFill>
            <w14:solidFill>
              <w14:srgbClr w14:val="000000">
                <w14:alpha w14:val="100000"/>
              </w14:srgbClr>
            </w14:solidFill>
          </w14:textFill>
        </w:rPr>
        <w:t xml:space="preserve">|  </w:t>
      </w:r>
      <w:r w:rsidR="00533927" w:rsidRPr="00533927">
        <w:rPr>
          <w:iCs/>
          <w:color w:val="000000"/>
          <w:spacing w:val="2"/>
          <w:shd w:val="solid" w:color="000000" w:fill="000000"/>
          <w:fitText w:val="280" w:id="-1168291581"/>
          <w14:textFill>
            <w14:solidFill>
              <w14:srgbClr w14:val="000000">
                <w14:alpha w14:val="100000"/>
              </w14:srgbClr>
            </w14:solidFill>
          </w14:textFill>
        </w:rPr>
        <w:t>|</w:t>
      </w:r>
      <w:r w:rsidR="000A42EC" w:rsidRPr="00E05465">
        <w:rPr>
          <w:iCs/>
        </w:rPr>
        <w:t>.</w:t>
      </w:r>
      <w:r w:rsidRPr="00E05465">
        <w:rPr>
          <w:iCs/>
        </w:rPr>
        <w:t xml:space="preserve"> </w:t>
      </w:r>
      <w:r w:rsidR="000A42EC" w:rsidRPr="00E05465">
        <w:rPr>
          <w:iCs/>
        </w:rPr>
        <w:t>H</w:t>
      </w:r>
      <w:r w:rsidRPr="00E05465">
        <w:rPr>
          <w:iCs/>
        </w:rPr>
        <w:t>owever</w:t>
      </w:r>
      <w:r w:rsidR="000A42EC" w:rsidRPr="00E05465">
        <w:rPr>
          <w:iCs/>
        </w:rPr>
        <w:t>,</w:t>
      </w:r>
      <w:r w:rsidRPr="00E05465">
        <w:rPr>
          <w:iCs/>
        </w:rPr>
        <w:t xml:space="preserve"> costs were revised during the evaluation as the submission had divided the total cost of eculizumab treatment by the total dose of ravulizumab without first subtracting ravulizumab administration costs.</w:t>
      </w:r>
      <w:r w:rsidRPr="00E05465">
        <w:rPr>
          <w:i/>
        </w:rPr>
        <w:t xml:space="preserve">  </w:t>
      </w:r>
    </w:p>
    <w:p w14:paraId="60A3EC27" w14:textId="37CBA588" w:rsidR="001212BA" w:rsidRPr="00E05465" w:rsidRDefault="001212BA" w:rsidP="002032B0">
      <w:pPr>
        <w:pStyle w:val="3-BodyText"/>
      </w:pPr>
      <w:bookmarkStart w:id="57" w:name="_Ref133228331"/>
      <w:r w:rsidRPr="00E05465">
        <w:t xml:space="preserve">The submission did not present any sensitivity analyses to test alternate estimates or assumptions. Sensitivity analyses were performed during the evaluation </w:t>
      </w:r>
      <w:proofErr w:type="gramStart"/>
      <w:r w:rsidRPr="00E05465">
        <w:t>by:</w:t>
      </w:r>
      <w:proofErr w:type="gramEnd"/>
      <w:r w:rsidRPr="00E05465">
        <w:t xml:space="preserve"> i) assuming no loading doses for eculizumab patients and ii) altering the weight distribution of patients. These are presented in </w:t>
      </w:r>
      <w:r w:rsidRPr="00E05465">
        <w:fldChar w:fldCharType="begin" w:fldLock="1"/>
      </w:r>
      <w:r w:rsidRPr="00E05465">
        <w:instrText xml:space="preserve"> REF _Ref134465123 \h  \* MERGEFORMAT </w:instrText>
      </w:r>
      <w:r w:rsidRPr="00E05465">
        <w:fldChar w:fldCharType="separate"/>
      </w:r>
      <w:r w:rsidR="00231664" w:rsidRPr="00E05465">
        <w:t xml:space="preserve">Table </w:t>
      </w:r>
      <w:r w:rsidR="00231664" w:rsidRPr="00E05465">
        <w:rPr>
          <w:noProof/>
        </w:rPr>
        <w:t>10</w:t>
      </w:r>
      <w:r w:rsidRPr="00E05465">
        <w:fldChar w:fldCharType="end"/>
      </w:r>
      <w:r w:rsidRPr="00E05465">
        <w:t>.</w:t>
      </w:r>
    </w:p>
    <w:p w14:paraId="0BA77FB2" w14:textId="410D8349" w:rsidR="001212BA" w:rsidRPr="00E05465" w:rsidRDefault="001212BA" w:rsidP="001212BA">
      <w:pPr>
        <w:pStyle w:val="Caption"/>
      </w:pPr>
      <w:bookmarkStart w:id="58" w:name="_Ref134465123"/>
      <w:r w:rsidRPr="00E05465">
        <w:lastRenderedPageBreak/>
        <w:t xml:space="preserve">Table </w:t>
      </w:r>
      <w:r w:rsidR="00687C33">
        <w:fldChar w:fldCharType="begin" w:fldLock="1"/>
      </w:r>
      <w:r w:rsidR="00687C33">
        <w:instrText xml:space="preserve"> SEQ Table \* ARABIC </w:instrText>
      </w:r>
      <w:r w:rsidR="00687C33">
        <w:fldChar w:fldCharType="separate"/>
      </w:r>
      <w:r w:rsidR="00231664" w:rsidRPr="00E05465">
        <w:rPr>
          <w:noProof/>
        </w:rPr>
        <w:t>10</w:t>
      </w:r>
      <w:r w:rsidR="00687C33">
        <w:rPr>
          <w:noProof/>
        </w:rPr>
        <w:fldChar w:fldCharType="end"/>
      </w:r>
      <w:bookmarkEnd w:id="57"/>
      <w:bookmarkEnd w:id="58"/>
      <w:r w:rsidRPr="00E05465">
        <w:t>: Key sensitivity analyses on the cost-minimisation</w:t>
      </w:r>
    </w:p>
    <w:tbl>
      <w:tblPr>
        <w:tblStyle w:val="TableGrid"/>
        <w:tblW w:w="5000" w:type="pct"/>
        <w:tblLook w:val="04A0" w:firstRow="1" w:lastRow="0" w:firstColumn="1" w:lastColumn="0" w:noHBand="0" w:noVBand="1"/>
      </w:tblPr>
      <w:tblGrid>
        <w:gridCol w:w="3681"/>
        <w:gridCol w:w="2269"/>
        <w:gridCol w:w="1134"/>
        <w:gridCol w:w="1933"/>
      </w:tblGrid>
      <w:tr w:rsidR="00E05465" w:rsidRPr="00E05465" w14:paraId="0EB98AE5" w14:textId="77777777" w:rsidTr="00C95D5A">
        <w:trPr>
          <w:trHeight w:val="451"/>
        </w:trPr>
        <w:tc>
          <w:tcPr>
            <w:tcW w:w="2041" w:type="pct"/>
            <w:vAlign w:val="center"/>
          </w:tcPr>
          <w:p w14:paraId="33DA75E1" w14:textId="77777777" w:rsidR="001212BA" w:rsidRPr="00E05465" w:rsidRDefault="001212BA" w:rsidP="00071F3B">
            <w:pPr>
              <w:pStyle w:val="TableText0"/>
              <w:jc w:val="center"/>
              <w:rPr>
                <w:b/>
                <w:bCs w:val="0"/>
                <w:iCs/>
              </w:rPr>
            </w:pPr>
            <w:r w:rsidRPr="00E05465">
              <w:rPr>
                <w:b/>
                <w:bCs w:val="0"/>
                <w:iCs/>
              </w:rPr>
              <w:t>Analyses</w:t>
            </w:r>
          </w:p>
        </w:tc>
        <w:tc>
          <w:tcPr>
            <w:tcW w:w="1258" w:type="pct"/>
            <w:vAlign w:val="center"/>
          </w:tcPr>
          <w:p w14:paraId="5EE904A4" w14:textId="77777777" w:rsidR="001212BA" w:rsidRPr="00E05465" w:rsidRDefault="001212BA" w:rsidP="00071F3B">
            <w:pPr>
              <w:pStyle w:val="TableText0"/>
              <w:jc w:val="center"/>
              <w:rPr>
                <w:b/>
                <w:bCs w:val="0"/>
                <w:iCs/>
              </w:rPr>
            </w:pPr>
            <w:r w:rsidRPr="00E05465">
              <w:rPr>
                <w:b/>
                <w:bCs w:val="0"/>
                <w:iCs/>
              </w:rPr>
              <w:t>Results</w:t>
            </w:r>
          </w:p>
        </w:tc>
        <w:tc>
          <w:tcPr>
            <w:tcW w:w="629" w:type="pct"/>
            <w:vAlign w:val="center"/>
          </w:tcPr>
          <w:p w14:paraId="2C63E17E" w14:textId="77777777" w:rsidR="001212BA" w:rsidRPr="00E05465" w:rsidRDefault="001212BA" w:rsidP="00071F3B">
            <w:pPr>
              <w:pStyle w:val="TableText0"/>
              <w:jc w:val="center"/>
              <w:rPr>
                <w:b/>
                <w:iCs/>
              </w:rPr>
            </w:pPr>
            <w:r w:rsidRPr="00E05465">
              <w:rPr>
                <w:b/>
                <w:iCs/>
              </w:rPr>
              <w:t>% change from revised base case</w:t>
            </w:r>
          </w:p>
        </w:tc>
        <w:tc>
          <w:tcPr>
            <w:tcW w:w="1072" w:type="pct"/>
          </w:tcPr>
          <w:p w14:paraId="0ECE776B" w14:textId="77777777" w:rsidR="001212BA" w:rsidRPr="00E05465" w:rsidRDefault="001212BA" w:rsidP="00071F3B">
            <w:pPr>
              <w:pStyle w:val="TableText0"/>
              <w:jc w:val="center"/>
              <w:rPr>
                <w:b/>
                <w:iCs/>
              </w:rPr>
            </w:pPr>
            <w:r w:rsidRPr="00E05465">
              <w:rPr>
                <w:b/>
                <w:iCs/>
              </w:rPr>
              <w:t xml:space="preserve">Absolute price difference compared with </w:t>
            </w:r>
            <w:proofErr w:type="gramStart"/>
            <w:r w:rsidRPr="00E05465">
              <w:rPr>
                <w:b/>
                <w:iCs/>
              </w:rPr>
              <w:t>AEMP</w:t>
            </w:r>
            <w:proofErr w:type="gramEnd"/>
            <w:r w:rsidRPr="00E05465">
              <w:rPr>
                <w:b/>
                <w:iCs/>
              </w:rPr>
              <w:t xml:space="preserve"> </w:t>
            </w:r>
          </w:p>
          <w:p w14:paraId="21C7F2C7" w14:textId="77777777" w:rsidR="001212BA" w:rsidRPr="00E05465" w:rsidRDefault="001212BA" w:rsidP="00071F3B">
            <w:pPr>
              <w:pStyle w:val="TableText0"/>
              <w:jc w:val="center"/>
              <w:rPr>
                <w:iCs/>
              </w:rPr>
            </w:pPr>
            <w:r w:rsidRPr="00E05465">
              <w:rPr>
                <w:iCs/>
              </w:rPr>
              <w:t xml:space="preserve">(proposed AEMP - resulting cost minimisation price)  </w:t>
            </w:r>
          </w:p>
        </w:tc>
      </w:tr>
      <w:tr w:rsidR="00E05465" w:rsidRPr="00E05465" w14:paraId="6641911E" w14:textId="77777777" w:rsidTr="00C95D5A">
        <w:trPr>
          <w:trHeight w:val="437"/>
        </w:trPr>
        <w:tc>
          <w:tcPr>
            <w:tcW w:w="2041" w:type="pct"/>
            <w:vAlign w:val="center"/>
          </w:tcPr>
          <w:p w14:paraId="7F123B6B" w14:textId="77777777" w:rsidR="001212BA" w:rsidRPr="00E05465" w:rsidRDefault="001212BA" w:rsidP="00071F3B">
            <w:pPr>
              <w:pStyle w:val="TableText0"/>
              <w:rPr>
                <w:b/>
                <w:bCs w:val="0"/>
                <w:iCs/>
              </w:rPr>
            </w:pPr>
            <w:r w:rsidRPr="00E05465">
              <w:rPr>
                <w:b/>
                <w:bCs w:val="0"/>
                <w:iCs/>
              </w:rPr>
              <w:t>Revised base case</w:t>
            </w:r>
            <w:r w:rsidRPr="00E05465">
              <w:rPr>
                <w:b/>
                <w:bCs w:val="0"/>
                <w:iCs/>
                <w:vertAlign w:val="superscript"/>
              </w:rPr>
              <w:t>a</w:t>
            </w:r>
          </w:p>
        </w:tc>
        <w:tc>
          <w:tcPr>
            <w:tcW w:w="1258" w:type="pct"/>
            <w:vAlign w:val="center"/>
          </w:tcPr>
          <w:p w14:paraId="797E7BF7" w14:textId="40D566A7" w:rsidR="001212BA" w:rsidRPr="00E05465" w:rsidRDefault="001212BA" w:rsidP="00071F3B">
            <w:pPr>
              <w:pStyle w:val="TableText0"/>
              <w:jc w:val="center"/>
              <w:rPr>
                <w:b/>
                <w:iCs/>
                <w:vertAlign w:val="superscript"/>
              </w:rPr>
            </w:pPr>
            <w:r w:rsidRPr="00E05465">
              <w:rPr>
                <w:b/>
                <w:iCs/>
              </w:rPr>
              <w:t>300</w:t>
            </w:r>
            <w:r w:rsidR="00C95D5A" w:rsidRPr="00E05465">
              <w:rPr>
                <w:iCs/>
              </w:rPr>
              <w:t> </w:t>
            </w:r>
            <w:r w:rsidRPr="00E05465">
              <w:rPr>
                <w:b/>
                <w:iCs/>
              </w:rPr>
              <w:t>mg vial: $</w:t>
            </w:r>
            <w:r w:rsidR="00533927" w:rsidRPr="00533927">
              <w:rPr>
                <w:rFonts w:hint="eastAsia"/>
                <w:b/>
                <w:iCs/>
                <w:color w:val="000000"/>
                <w:w w:val="23"/>
                <w:shd w:val="solid" w:color="000000" w:fill="000000"/>
                <w:fitText w:val="105" w:id="-1168291580"/>
                <w14:textFill>
                  <w14:solidFill>
                    <w14:srgbClr w14:val="000000">
                      <w14:alpha w14:val="100000"/>
                    </w14:srgbClr>
                  </w14:solidFill>
                </w14:textFill>
              </w:rPr>
              <w:t xml:space="preserve">　</w:t>
            </w:r>
            <w:r w:rsidR="00533927" w:rsidRPr="00533927">
              <w:rPr>
                <w:b/>
                <w:iCs/>
                <w:color w:val="000000"/>
                <w:w w:val="23"/>
                <w:shd w:val="solid" w:color="000000" w:fill="000000"/>
                <w:fitText w:val="105" w:id="-1168291580"/>
                <w14:textFill>
                  <w14:solidFill>
                    <w14:srgbClr w14:val="000000">
                      <w14:alpha w14:val="100000"/>
                    </w14:srgbClr>
                  </w14:solidFill>
                </w14:textFill>
              </w:rPr>
              <w:t>|</w:t>
            </w:r>
            <w:r w:rsidR="00533927" w:rsidRPr="00533927">
              <w:rPr>
                <w:rFonts w:hint="eastAsia"/>
                <w:b/>
                <w:iCs/>
                <w:color w:val="000000"/>
                <w:spacing w:val="3"/>
                <w:w w:val="23"/>
                <w:shd w:val="solid" w:color="000000" w:fill="000000"/>
                <w:fitText w:val="105" w:id="-1168291580"/>
                <w14:textFill>
                  <w14:solidFill>
                    <w14:srgbClr w14:val="000000">
                      <w14:alpha w14:val="100000"/>
                    </w14:srgbClr>
                  </w14:solidFill>
                </w14:textFill>
              </w:rPr>
              <w:t xml:space="preserve">　</w:t>
            </w:r>
          </w:p>
          <w:p w14:paraId="0466BBEE" w14:textId="3DF41E2D" w:rsidR="001212BA" w:rsidRPr="00E05465" w:rsidRDefault="001212BA" w:rsidP="00071F3B">
            <w:pPr>
              <w:pStyle w:val="TableText0"/>
              <w:jc w:val="center"/>
              <w:rPr>
                <w:b/>
                <w:bCs w:val="0"/>
                <w:iCs/>
                <w:highlight w:val="darkGray"/>
              </w:rPr>
            </w:pPr>
            <w:r w:rsidRPr="00E05465">
              <w:rPr>
                <w:b/>
                <w:iCs/>
              </w:rPr>
              <w:t>1,100</w:t>
            </w:r>
            <w:r w:rsidR="00C95D5A" w:rsidRPr="00E05465">
              <w:rPr>
                <w:iCs/>
              </w:rPr>
              <w:t> </w:t>
            </w:r>
            <w:r w:rsidRPr="00E05465">
              <w:rPr>
                <w:b/>
                <w:iCs/>
              </w:rPr>
              <w:t>mg vial: $</w:t>
            </w:r>
            <w:r w:rsidR="00533927" w:rsidRPr="00533927">
              <w:rPr>
                <w:b/>
                <w:iCs/>
                <w:color w:val="000000"/>
                <w:spacing w:val="88"/>
                <w:shd w:val="solid" w:color="000000" w:fill="000000"/>
                <w:fitText w:val="180" w:id="-1168291579"/>
                <w14:textFill>
                  <w14:solidFill>
                    <w14:srgbClr w14:val="000000">
                      <w14:alpha w14:val="100000"/>
                    </w14:srgbClr>
                  </w14:solidFill>
                </w14:textFill>
              </w:rPr>
              <w:t>|</w:t>
            </w:r>
            <w:r w:rsidR="00533927" w:rsidRPr="00533927">
              <w:rPr>
                <w:b/>
                <w:iCs/>
                <w:color w:val="000000"/>
                <w:spacing w:val="1"/>
                <w:shd w:val="solid" w:color="000000" w:fill="000000"/>
                <w:fitText w:val="180" w:id="-1168291579"/>
                <w14:textFill>
                  <w14:solidFill>
                    <w14:srgbClr w14:val="000000">
                      <w14:alpha w14:val="100000"/>
                    </w14:srgbClr>
                  </w14:solidFill>
                </w14:textFill>
              </w:rPr>
              <w:t>|</w:t>
            </w:r>
          </w:p>
        </w:tc>
        <w:tc>
          <w:tcPr>
            <w:tcW w:w="629" w:type="pct"/>
            <w:vAlign w:val="center"/>
          </w:tcPr>
          <w:p w14:paraId="74443D0D" w14:textId="77777777" w:rsidR="001212BA" w:rsidRPr="00E05465" w:rsidRDefault="001212BA" w:rsidP="00071F3B">
            <w:pPr>
              <w:pStyle w:val="TableText0"/>
              <w:jc w:val="center"/>
              <w:rPr>
                <w:b/>
                <w:iCs/>
              </w:rPr>
            </w:pPr>
            <w:r w:rsidRPr="00E05465">
              <w:rPr>
                <w:b/>
                <w:iCs/>
              </w:rPr>
              <w:t>0%</w:t>
            </w:r>
          </w:p>
        </w:tc>
        <w:tc>
          <w:tcPr>
            <w:tcW w:w="1072" w:type="pct"/>
          </w:tcPr>
          <w:p w14:paraId="78E70046" w14:textId="4E251EED" w:rsidR="001212BA" w:rsidRPr="00E05465" w:rsidRDefault="001212BA" w:rsidP="00071F3B">
            <w:pPr>
              <w:pStyle w:val="TableText0"/>
              <w:jc w:val="center"/>
              <w:rPr>
                <w:b/>
                <w:iCs/>
              </w:rPr>
            </w:pPr>
            <w:r w:rsidRPr="00E05465">
              <w:rPr>
                <w:b/>
                <w:iCs/>
              </w:rPr>
              <w:t>-$</w:t>
            </w:r>
            <w:r w:rsidR="00533927" w:rsidRPr="00533927">
              <w:rPr>
                <w:b/>
                <w:iCs/>
                <w:color w:val="000000"/>
                <w:shd w:val="solid" w:color="000000" w:fill="000000"/>
                <w14:textFill>
                  <w14:solidFill>
                    <w14:srgbClr w14:val="000000">
                      <w14:alpha w14:val="100000"/>
                    </w14:srgbClr>
                  </w14:solidFill>
                </w14:textFill>
              </w:rPr>
              <w:t>|</w:t>
            </w:r>
          </w:p>
          <w:p w14:paraId="510274A4" w14:textId="480D802E" w:rsidR="001212BA" w:rsidRPr="00E05465" w:rsidRDefault="001212BA" w:rsidP="00071F3B">
            <w:pPr>
              <w:pStyle w:val="TableText0"/>
              <w:jc w:val="center"/>
              <w:rPr>
                <w:b/>
                <w:iCs/>
              </w:rPr>
            </w:pPr>
            <w:r w:rsidRPr="00E05465">
              <w:rPr>
                <w:b/>
                <w:iCs/>
              </w:rPr>
              <w:t>-$</w:t>
            </w:r>
            <w:r w:rsidR="00533927" w:rsidRPr="00533927">
              <w:rPr>
                <w:b/>
                <w:iCs/>
                <w:color w:val="000000"/>
                <w:shd w:val="solid" w:color="000000" w:fill="000000"/>
                <w14:textFill>
                  <w14:solidFill>
                    <w14:srgbClr w14:val="000000">
                      <w14:alpha w14:val="100000"/>
                    </w14:srgbClr>
                  </w14:solidFill>
                </w14:textFill>
              </w:rPr>
              <w:t>|</w:t>
            </w:r>
          </w:p>
        </w:tc>
      </w:tr>
      <w:tr w:rsidR="00E05465" w:rsidRPr="00E05465" w14:paraId="2C134403" w14:textId="77777777" w:rsidTr="00C95D5A">
        <w:trPr>
          <w:trHeight w:val="451"/>
        </w:trPr>
        <w:tc>
          <w:tcPr>
            <w:tcW w:w="2041" w:type="pct"/>
            <w:vAlign w:val="center"/>
          </w:tcPr>
          <w:p w14:paraId="7C69080F" w14:textId="77777777" w:rsidR="001212BA" w:rsidRPr="00E05465" w:rsidRDefault="001212BA" w:rsidP="00071F3B">
            <w:pPr>
              <w:pStyle w:val="TableText0"/>
              <w:rPr>
                <w:iCs/>
              </w:rPr>
            </w:pPr>
            <w:r w:rsidRPr="00E05465">
              <w:rPr>
                <w:iCs/>
              </w:rPr>
              <w:t>Proposed AEMP</w:t>
            </w:r>
          </w:p>
        </w:tc>
        <w:tc>
          <w:tcPr>
            <w:tcW w:w="1258" w:type="pct"/>
            <w:vAlign w:val="center"/>
          </w:tcPr>
          <w:p w14:paraId="64671152" w14:textId="612D4638" w:rsidR="001212BA" w:rsidRPr="00E05465" w:rsidRDefault="001212BA" w:rsidP="00071F3B">
            <w:pPr>
              <w:pStyle w:val="TableText0"/>
              <w:jc w:val="center"/>
              <w:rPr>
                <w:iCs/>
              </w:rPr>
            </w:pPr>
            <w:r w:rsidRPr="00E05465">
              <w:rPr>
                <w:iCs/>
              </w:rPr>
              <w:t>300</w:t>
            </w:r>
            <w:r w:rsidR="00C95D5A" w:rsidRPr="00E05465">
              <w:rPr>
                <w:iCs/>
              </w:rPr>
              <w:t> </w:t>
            </w:r>
            <w:r w:rsidRPr="00E05465">
              <w:rPr>
                <w:iCs/>
              </w:rPr>
              <w:t>mg vial: $</w:t>
            </w:r>
            <w:r w:rsidR="00533927" w:rsidRPr="00533927">
              <w:rPr>
                <w:rFonts w:hint="eastAsia"/>
                <w:iCs/>
                <w:color w:val="000000"/>
                <w:w w:val="15"/>
                <w:shd w:val="solid" w:color="000000" w:fill="000000"/>
                <w:fitText w:val="30" w:id="-1168291578"/>
                <w14:textFill>
                  <w14:solidFill>
                    <w14:srgbClr w14:val="000000">
                      <w14:alpha w14:val="100000"/>
                    </w14:srgbClr>
                  </w14:solidFill>
                </w14:textFill>
              </w:rPr>
              <w:t xml:space="preserve">　</w:t>
            </w:r>
            <w:r w:rsidR="00533927" w:rsidRPr="00533927">
              <w:rPr>
                <w:iCs/>
                <w:color w:val="000000"/>
                <w:w w:val="15"/>
                <w:shd w:val="solid" w:color="000000" w:fill="000000"/>
                <w:fitText w:val="30" w:id="-1168291578"/>
                <w14:textFill>
                  <w14:solidFill>
                    <w14:srgbClr w14:val="000000">
                      <w14:alpha w14:val="100000"/>
                    </w14:srgbClr>
                  </w14:solidFill>
                </w14:textFill>
              </w:rPr>
              <w:t>|</w:t>
            </w:r>
            <w:r w:rsidR="00533927" w:rsidRPr="00533927">
              <w:rPr>
                <w:rFonts w:hint="eastAsia"/>
                <w:iCs/>
                <w:color w:val="000000"/>
                <w:spacing w:val="-45"/>
                <w:w w:val="15"/>
                <w:shd w:val="solid" w:color="000000" w:fill="000000"/>
                <w:fitText w:val="30" w:id="-1168291578"/>
                <w14:textFill>
                  <w14:solidFill>
                    <w14:srgbClr w14:val="000000">
                      <w14:alpha w14:val="100000"/>
                    </w14:srgbClr>
                  </w14:solidFill>
                </w14:textFill>
              </w:rPr>
              <w:t xml:space="preserve">　</w:t>
            </w:r>
          </w:p>
          <w:p w14:paraId="611069F4" w14:textId="3F1A19D4" w:rsidR="001212BA" w:rsidRPr="00E05465" w:rsidRDefault="001212BA" w:rsidP="00071F3B">
            <w:pPr>
              <w:pStyle w:val="TableText0"/>
              <w:jc w:val="center"/>
              <w:rPr>
                <w:iCs/>
              </w:rPr>
            </w:pPr>
            <w:r w:rsidRPr="00E05465">
              <w:rPr>
                <w:iCs/>
              </w:rPr>
              <w:t>1,100</w:t>
            </w:r>
            <w:r w:rsidR="00C95D5A" w:rsidRPr="00E05465">
              <w:rPr>
                <w:iCs/>
              </w:rPr>
              <w:t> </w:t>
            </w:r>
            <w:r w:rsidRPr="00E05465">
              <w:rPr>
                <w:iCs/>
              </w:rPr>
              <w:t>mg vial: $</w:t>
            </w:r>
            <w:r w:rsidR="00533927" w:rsidRPr="00533927">
              <w:rPr>
                <w:rFonts w:hint="eastAsia"/>
                <w:iCs/>
                <w:color w:val="000000"/>
                <w:w w:val="23"/>
                <w:shd w:val="solid" w:color="000000" w:fill="000000"/>
                <w:fitText w:val="105" w:id="-1168291577"/>
                <w14:textFill>
                  <w14:solidFill>
                    <w14:srgbClr w14:val="000000">
                      <w14:alpha w14:val="100000"/>
                    </w14:srgbClr>
                  </w14:solidFill>
                </w14:textFill>
              </w:rPr>
              <w:t xml:space="preserve">　</w:t>
            </w:r>
            <w:r w:rsidR="00533927" w:rsidRPr="00533927">
              <w:rPr>
                <w:iCs/>
                <w:color w:val="000000"/>
                <w:w w:val="23"/>
                <w:shd w:val="solid" w:color="000000" w:fill="000000"/>
                <w:fitText w:val="105" w:id="-1168291577"/>
                <w14:textFill>
                  <w14:solidFill>
                    <w14:srgbClr w14:val="000000">
                      <w14:alpha w14:val="100000"/>
                    </w14:srgbClr>
                  </w14:solidFill>
                </w14:textFill>
              </w:rPr>
              <w:t>|</w:t>
            </w:r>
            <w:r w:rsidR="00533927" w:rsidRPr="00533927">
              <w:rPr>
                <w:rFonts w:hint="eastAsia"/>
                <w:iCs/>
                <w:color w:val="000000"/>
                <w:spacing w:val="4"/>
                <w:w w:val="23"/>
                <w:shd w:val="solid" w:color="000000" w:fill="000000"/>
                <w:fitText w:val="105" w:id="-1168291577"/>
                <w14:textFill>
                  <w14:solidFill>
                    <w14:srgbClr w14:val="000000">
                      <w14:alpha w14:val="100000"/>
                    </w14:srgbClr>
                  </w14:solidFill>
                </w14:textFill>
              </w:rPr>
              <w:t xml:space="preserve">　</w:t>
            </w:r>
          </w:p>
        </w:tc>
        <w:tc>
          <w:tcPr>
            <w:tcW w:w="629" w:type="pct"/>
            <w:vAlign w:val="center"/>
          </w:tcPr>
          <w:p w14:paraId="4DBD9673" w14:textId="77777777" w:rsidR="001212BA" w:rsidRPr="00E05465" w:rsidRDefault="001212BA" w:rsidP="00071F3B">
            <w:pPr>
              <w:pStyle w:val="TableText0"/>
              <w:jc w:val="center"/>
              <w:rPr>
                <w:iCs/>
              </w:rPr>
            </w:pPr>
            <w:r w:rsidRPr="00E05465">
              <w:rPr>
                <w:iCs/>
              </w:rPr>
              <w:t>-6.05%</w:t>
            </w:r>
          </w:p>
        </w:tc>
        <w:tc>
          <w:tcPr>
            <w:tcW w:w="1072" w:type="pct"/>
          </w:tcPr>
          <w:p w14:paraId="7D418753" w14:textId="428A619C" w:rsidR="001212BA" w:rsidRPr="00E05465" w:rsidRDefault="001212BA" w:rsidP="00071F3B">
            <w:pPr>
              <w:pStyle w:val="TableText0"/>
              <w:jc w:val="center"/>
              <w:rPr>
                <w:iCs/>
              </w:rPr>
            </w:pPr>
            <w:r w:rsidRPr="00E05465">
              <w:rPr>
                <w:iCs/>
              </w:rPr>
              <w:t>$</w:t>
            </w:r>
            <w:r w:rsidR="00533927" w:rsidRPr="00533927">
              <w:rPr>
                <w:iCs/>
                <w:color w:val="000000"/>
                <w:shd w:val="solid" w:color="000000" w:fill="000000"/>
                <w14:textFill>
                  <w14:solidFill>
                    <w14:srgbClr w14:val="000000">
                      <w14:alpha w14:val="100000"/>
                    </w14:srgbClr>
                  </w14:solidFill>
                </w14:textFill>
              </w:rPr>
              <w:t>|</w:t>
            </w:r>
          </w:p>
          <w:p w14:paraId="55F17B47" w14:textId="5C22E6E7" w:rsidR="001212BA" w:rsidRPr="00E05465" w:rsidRDefault="001212BA" w:rsidP="00071F3B">
            <w:pPr>
              <w:pStyle w:val="TableText0"/>
              <w:jc w:val="center"/>
              <w:rPr>
                <w:iCs/>
              </w:rPr>
            </w:pPr>
            <w:r w:rsidRPr="00E05465">
              <w:rPr>
                <w:iCs/>
              </w:rPr>
              <w:t>$</w:t>
            </w:r>
            <w:r w:rsidR="00533927" w:rsidRPr="00533927">
              <w:rPr>
                <w:iCs/>
                <w:color w:val="000000"/>
                <w:shd w:val="solid" w:color="000000" w:fill="000000"/>
                <w14:textFill>
                  <w14:solidFill>
                    <w14:srgbClr w14:val="000000">
                      <w14:alpha w14:val="100000"/>
                    </w14:srgbClr>
                  </w14:solidFill>
                </w14:textFill>
              </w:rPr>
              <w:t>|</w:t>
            </w:r>
          </w:p>
        </w:tc>
      </w:tr>
      <w:tr w:rsidR="00E05465" w:rsidRPr="00E05465" w14:paraId="7653B181" w14:textId="77777777" w:rsidTr="00C95D5A">
        <w:trPr>
          <w:trHeight w:val="437"/>
        </w:trPr>
        <w:tc>
          <w:tcPr>
            <w:tcW w:w="2041" w:type="pct"/>
            <w:tcBorders>
              <w:bottom w:val="single" w:sz="4" w:space="0" w:color="auto"/>
            </w:tcBorders>
            <w:vAlign w:val="center"/>
          </w:tcPr>
          <w:p w14:paraId="7A24EC2C" w14:textId="77777777" w:rsidR="001212BA" w:rsidRPr="00E05465" w:rsidRDefault="001212BA" w:rsidP="00071F3B">
            <w:pPr>
              <w:pStyle w:val="TableText0"/>
              <w:rPr>
                <w:iCs/>
              </w:rPr>
            </w:pPr>
            <w:r w:rsidRPr="00E05465">
              <w:rPr>
                <w:iCs/>
              </w:rPr>
              <w:t>Eculizumab loading dose (base case: included)</w:t>
            </w:r>
          </w:p>
          <w:p w14:paraId="75853FF4" w14:textId="77777777" w:rsidR="001212BA" w:rsidRPr="00E05465" w:rsidRDefault="001212BA" w:rsidP="00071F3B">
            <w:pPr>
              <w:pStyle w:val="TableText0"/>
              <w:rPr>
                <w:iCs/>
              </w:rPr>
            </w:pPr>
            <w:r w:rsidRPr="00E05465">
              <w:rPr>
                <w:iCs/>
              </w:rPr>
              <w:t xml:space="preserve">  Exclude</w:t>
            </w:r>
            <w:r w:rsidRPr="00E05465">
              <w:rPr>
                <w:iCs/>
                <w:vertAlign w:val="superscript"/>
              </w:rPr>
              <w:t>b</w:t>
            </w:r>
          </w:p>
        </w:tc>
        <w:tc>
          <w:tcPr>
            <w:tcW w:w="1258" w:type="pct"/>
            <w:tcBorders>
              <w:bottom w:val="single" w:sz="4" w:space="0" w:color="auto"/>
            </w:tcBorders>
            <w:vAlign w:val="center"/>
          </w:tcPr>
          <w:p w14:paraId="13F36A1B" w14:textId="5F4A6042" w:rsidR="001212BA" w:rsidRPr="00E05465" w:rsidRDefault="001212BA" w:rsidP="00071F3B">
            <w:pPr>
              <w:pStyle w:val="TableText0"/>
              <w:jc w:val="center"/>
              <w:rPr>
                <w:iCs/>
              </w:rPr>
            </w:pPr>
            <w:r w:rsidRPr="00E05465">
              <w:rPr>
                <w:iCs/>
              </w:rPr>
              <w:t>300</w:t>
            </w:r>
            <w:r w:rsidR="00C95D5A" w:rsidRPr="00E05465">
              <w:rPr>
                <w:iCs/>
              </w:rPr>
              <w:t> </w:t>
            </w:r>
            <w:r w:rsidRPr="00E05465">
              <w:rPr>
                <w:iCs/>
              </w:rPr>
              <w:t>mg vial: $</w:t>
            </w:r>
            <w:r w:rsidR="00533927" w:rsidRPr="00533927">
              <w:rPr>
                <w:rFonts w:hint="eastAsia"/>
                <w:iCs/>
                <w:color w:val="000000"/>
                <w:w w:val="15"/>
                <w:shd w:val="solid" w:color="000000" w:fill="000000"/>
                <w:fitText w:val="30" w:id="-1168291576"/>
                <w14:textFill>
                  <w14:solidFill>
                    <w14:srgbClr w14:val="000000">
                      <w14:alpha w14:val="100000"/>
                    </w14:srgbClr>
                  </w14:solidFill>
                </w14:textFill>
              </w:rPr>
              <w:t xml:space="preserve">　</w:t>
            </w:r>
            <w:r w:rsidR="00533927" w:rsidRPr="00533927">
              <w:rPr>
                <w:iCs/>
                <w:color w:val="000000"/>
                <w:w w:val="15"/>
                <w:shd w:val="solid" w:color="000000" w:fill="000000"/>
                <w:fitText w:val="30" w:id="-1168291576"/>
                <w14:textFill>
                  <w14:solidFill>
                    <w14:srgbClr w14:val="000000">
                      <w14:alpha w14:val="100000"/>
                    </w14:srgbClr>
                  </w14:solidFill>
                </w14:textFill>
              </w:rPr>
              <w:t>|</w:t>
            </w:r>
            <w:r w:rsidR="00533927" w:rsidRPr="00533927">
              <w:rPr>
                <w:rFonts w:hint="eastAsia"/>
                <w:iCs/>
                <w:color w:val="000000"/>
                <w:spacing w:val="-45"/>
                <w:w w:val="15"/>
                <w:shd w:val="solid" w:color="000000" w:fill="000000"/>
                <w:fitText w:val="30" w:id="-1168291576"/>
                <w14:textFill>
                  <w14:solidFill>
                    <w14:srgbClr w14:val="000000">
                      <w14:alpha w14:val="100000"/>
                    </w14:srgbClr>
                  </w14:solidFill>
                </w14:textFill>
              </w:rPr>
              <w:t xml:space="preserve">　</w:t>
            </w:r>
          </w:p>
          <w:p w14:paraId="7C3A4806" w14:textId="672052DD" w:rsidR="001212BA" w:rsidRPr="00E05465" w:rsidRDefault="001212BA" w:rsidP="00071F3B">
            <w:pPr>
              <w:pStyle w:val="TableText0"/>
              <w:jc w:val="center"/>
              <w:rPr>
                <w:b/>
                <w:bCs w:val="0"/>
                <w:iCs/>
              </w:rPr>
            </w:pPr>
            <w:r w:rsidRPr="00E05465">
              <w:rPr>
                <w:iCs/>
              </w:rPr>
              <w:t>1,100</w:t>
            </w:r>
            <w:r w:rsidR="00C95D5A" w:rsidRPr="00E05465">
              <w:rPr>
                <w:iCs/>
              </w:rPr>
              <w:t> </w:t>
            </w:r>
            <w:r w:rsidRPr="00E05465">
              <w:rPr>
                <w:iCs/>
              </w:rPr>
              <w:t>mg vial: $</w:t>
            </w:r>
            <w:r w:rsidR="00533927" w:rsidRPr="00533927">
              <w:rPr>
                <w:rFonts w:hint="eastAsia"/>
                <w:iCs/>
                <w:color w:val="000000"/>
                <w:w w:val="23"/>
                <w:shd w:val="solid" w:color="000000" w:fill="000000"/>
                <w:fitText w:val="105" w:id="-1168291575"/>
                <w14:textFill>
                  <w14:solidFill>
                    <w14:srgbClr w14:val="000000">
                      <w14:alpha w14:val="100000"/>
                    </w14:srgbClr>
                  </w14:solidFill>
                </w14:textFill>
              </w:rPr>
              <w:t xml:space="preserve">　</w:t>
            </w:r>
            <w:r w:rsidR="00533927" w:rsidRPr="00533927">
              <w:rPr>
                <w:iCs/>
                <w:color w:val="000000"/>
                <w:w w:val="23"/>
                <w:shd w:val="solid" w:color="000000" w:fill="000000"/>
                <w:fitText w:val="105" w:id="-1168291575"/>
                <w14:textFill>
                  <w14:solidFill>
                    <w14:srgbClr w14:val="000000">
                      <w14:alpha w14:val="100000"/>
                    </w14:srgbClr>
                  </w14:solidFill>
                </w14:textFill>
              </w:rPr>
              <w:t>|</w:t>
            </w:r>
            <w:r w:rsidR="00533927" w:rsidRPr="00533927">
              <w:rPr>
                <w:rFonts w:hint="eastAsia"/>
                <w:iCs/>
                <w:color w:val="000000"/>
                <w:spacing w:val="4"/>
                <w:w w:val="23"/>
                <w:shd w:val="solid" w:color="000000" w:fill="000000"/>
                <w:fitText w:val="105" w:id="-1168291575"/>
                <w14:textFill>
                  <w14:solidFill>
                    <w14:srgbClr w14:val="000000">
                      <w14:alpha w14:val="100000"/>
                    </w14:srgbClr>
                  </w14:solidFill>
                </w14:textFill>
              </w:rPr>
              <w:t xml:space="preserve">　</w:t>
            </w:r>
          </w:p>
        </w:tc>
        <w:tc>
          <w:tcPr>
            <w:tcW w:w="629" w:type="pct"/>
            <w:tcBorders>
              <w:bottom w:val="single" w:sz="4" w:space="0" w:color="auto"/>
            </w:tcBorders>
            <w:vAlign w:val="center"/>
          </w:tcPr>
          <w:p w14:paraId="62EA138D" w14:textId="77777777" w:rsidR="001212BA" w:rsidRPr="00E05465" w:rsidRDefault="001212BA" w:rsidP="00071F3B">
            <w:pPr>
              <w:pStyle w:val="TableText0"/>
              <w:jc w:val="center"/>
              <w:rPr>
                <w:iCs/>
              </w:rPr>
            </w:pPr>
            <w:r w:rsidRPr="00E05465">
              <w:rPr>
                <w:iCs/>
              </w:rPr>
              <w:t>-1.17%</w:t>
            </w:r>
          </w:p>
        </w:tc>
        <w:tc>
          <w:tcPr>
            <w:tcW w:w="1072" w:type="pct"/>
            <w:tcBorders>
              <w:bottom w:val="single" w:sz="4" w:space="0" w:color="auto"/>
            </w:tcBorders>
          </w:tcPr>
          <w:p w14:paraId="48FCEE5A" w14:textId="478834B5" w:rsidR="001212BA" w:rsidRPr="00E05465" w:rsidRDefault="001212BA" w:rsidP="00071F3B">
            <w:pPr>
              <w:pStyle w:val="TableText0"/>
              <w:jc w:val="center"/>
              <w:rPr>
                <w:iCs/>
              </w:rPr>
            </w:pPr>
            <w:r w:rsidRPr="00E05465">
              <w:rPr>
                <w:iCs/>
              </w:rPr>
              <w:t>-$</w:t>
            </w:r>
            <w:r w:rsidR="00533927" w:rsidRPr="00533927">
              <w:rPr>
                <w:iCs/>
                <w:color w:val="000000"/>
                <w:shd w:val="solid" w:color="000000" w:fill="000000"/>
                <w14:textFill>
                  <w14:solidFill>
                    <w14:srgbClr w14:val="000000">
                      <w14:alpha w14:val="100000"/>
                    </w14:srgbClr>
                  </w14:solidFill>
                </w14:textFill>
              </w:rPr>
              <w:t>|</w:t>
            </w:r>
          </w:p>
          <w:p w14:paraId="2A50BC47" w14:textId="7A7C54B4" w:rsidR="001212BA" w:rsidRPr="00E05465" w:rsidRDefault="001212BA" w:rsidP="00071F3B">
            <w:pPr>
              <w:pStyle w:val="TableText0"/>
              <w:jc w:val="center"/>
              <w:rPr>
                <w:iCs/>
              </w:rPr>
            </w:pPr>
            <w:r w:rsidRPr="00E05465">
              <w:rPr>
                <w:iCs/>
              </w:rPr>
              <w:t>-$</w:t>
            </w:r>
            <w:r w:rsidR="00533927" w:rsidRPr="00533927">
              <w:rPr>
                <w:iCs/>
                <w:color w:val="000000"/>
                <w:shd w:val="solid" w:color="000000" w:fill="000000"/>
                <w14:textFill>
                  <w14:solidFill>
                    <w14:srgbClr w14:val="000000">
                      <w14:alpha w14:val="100000"/>
                    </w14:srgbClr>
                  </w14:solidFill>
                </w14:textFill>
              </w:rPr>
              <w:t>|</w:t>
            </w:r>
          </w:p>
        </w:tc>
      </w:tr>
      <w:tr w:rsidR="00E05465" w:rsidRPr="00E05465" w14:paraId="08D65D29" w14:textId="77777777" w:rsidTr="00071F3B">
        <w:trPr>
          <w:trHeight w:val="225"/>
        </w:trPr>
        <w:tc>
          <w:tcPr>
            <w:tcW w:w="5000" w:type="pct"/>
            <w:gridSpan w:val="4"/>
            <w:tcBorders>
              <w:top w:val="single" w:sz="4" w:space="0" w:color="auto"/>
              <w:left w:val="single" w:sz="4" w:space="0" w:color="auto"/>
              <w:bottom w:val="single" w:sz="4" w:space="0" w:color="auto"/>
              <w:right w:val="single" w:sz="4" w:space="0" w:color="auto"/>
            </w:tcBorders>
          </w:tcPr>
          <w:p w14:paraId="6ECEA680" w14:textId="33667C4D" w:rsidR="001212BA" w:rsidRPr="00E05465" w:rsidRDefault="001212BA" w:rsidP="00071F3B">
            <w:pPr>
              <w:pStyle w:val="TableText0"/>
              <w:rPr>
                <w:iCs/>
              </w:rPr>
            </w:pPr>
            <w:r w:rsidRPr="00E05465">
              <w:rPr>
                <w:iCs/>
              </w:rPr>
              <w:t xml:space="preserve">Weight distribution of patients (base case with erroneous proportions (see para </w:t>
            </w:r>
            <w:r w:rsidR="00B83D74" w:rsidRPr="00E05465">
              <w:rPr>
                <w:iCs/>
              </w:rPr>
              <w:fldChar w:fldCharType="begin" w:fldLock="1"/>
            </w:r>
            <w:r w:rsidR="00B83D74" w:rsidRPr="00E05465">
              <w:rPr>
                <w:iCs/>
              </w:rPr>
              <w:instrText xml:space="preserve"> REF _Ref134798375 \r \h </w:instrText>
            </w:r>
            <w:r w:rsidR="00173FAD" w:rsidRPr="00E05465">
              <w:rPr>
                <w:iCs/>
              </w:rPr>
              <w:instrText xml:space="preserve"> \* MERGEFORMAT </w:instrText>
            </w:r>
            <w:r w:rsidR="00B83D74" w:rsidRPr="00E05465">
              <w:rPr>
                <w:iCs/>
              </w:rPr>
            </w:r>
            <w:r w:rsidR="00B83D74" w:rsidRPr="00E05465">
              <w:rPr>
                <w:iCs/>
              </w:rPr>
              <w:fldChar w:fldCharType="separate"/>
            </w:r>
            <w:r w:rsidR="00231664" w:rsidRPr="00E05465">
              <w:rPr>
                <w:iCs/>
              </w:rPr>
              <w:t>6.42</w:t>
            </w:r>
            <w:r w:rsidR="00B83D74" w:rsidRPr="00E05465">
              <w:rPr>
                <w:iCs/>
              </w:rPr>
              <w:fldChar w:fldCharType="end"/>
            </w:r>
            <w:r w:rsidRPr="00E05465">
              <w:rPr>
                <w:iCs/>
              </w:rPr>
              <w:t>): 17% ≥</w:t>
            </w:r>
            <w:r w:rsidR="00B22BF0" w:rsidRPr="00E05465">
              <w:rPr>
                <w:rStyle w:val="FooterTableFigureChar"/>
              </w:rPr>
              <w:t> </w:t>
            </w:r>
            <w:r w:rsidRPr="00E05465">
              <w:rPr>
                <w:iCs/>
              </w:rPr>
              <w:t>30−&lt;</w:t>
            </w:r>
            <w:r w:rsidR="00B22BF0" w:rsidRPr="00E05465">
              <w:rPr>
                <w:rStyle w:val="FooterTableFigureChar"/>
              </w:rPr>
              <w:t> </w:t>
            </w:r>
            <w:r w:rsidRPr="00E05465">
              <w:rPr>
                <w:iCs/>
              </w:rPr>
              <w:t>40 kg; 33% ≥</w:t>
            </w:r>
            <w:r w:rsidR="00B22BF0" w:rsidRPr="00E05465">
              <w:rPr>
                <w:rStyle w:val="FooterTableFigureChar"/>
              </w:rPr>
              <w:t> </w:t>
            </w:r>
            <w:r w:rsidRPr="00E05465">
              <w:rPr>
                <w:iCs/>
              </w:rPr>
              <w:t>40−&lt;</w:t>
            </w:r>
            <w:r w:rsidR="00B22BF0" w:rsidRPr="00E05465">
              <w:rPr>
                <w:rStyle w:val="FooterTableFigureChar"/>
              </w:rPr>
              <w:t> </w:t>
            </w:r>
            <w:r w:rsidRPr="00E05465">
              <w:rPr>
                <w:iCs/>
              </w:rPr>
              <w:t>60 kg and 50% ≥</w:t>
            </w:r>
            <w:r w:rsidR="00B22BF0" w:rsidRPr="00E05465">
              <w:rPr>
                <w:rStyle w:val="FooterTableFigureChar"/>
              </w:rPr>
              <w:t> </w:t>
            </w:r>
            <w:r w:rsidRPr="00E05465">
              <w:rPr>
                <w:iCs/>
              </w:rPr>
              <w:t>60−&lt;100 kg)</w:t>
            </w:r>
          </w:p>
        </w:tc>
      </w:tr>
      <w:tr w:rsidR="00E05465" w:rsidRPr="00E05465" w14:paraId="776613DA" w14:textId="77777777" w:rsidTr="00C95D5A">
        <w:trPr>
          <w:trHeight w:val="451"/>
        </w:trPr>
        <w:tc>
          <w:tcPr>
            <w:tcW w:w="2041" w:type="pct"/>
            <w:tcBorders>
              <w:top w:val="single" w:sz="4" w:space="0" w:color="auto"/>
              <w:left w:val="single" w:sz="4" w:space="0" w:color="auto"/>
              <w:bottom w:val="nil"/>
              <w:right w:val="single" w:sz="4" w:space="0" w:color="auto"/>
            </w:tcBorders>
            <w:vAlign w:val="center"/>
          </w:tcPr>
          <w:p w14:paraId="22C0ADA9" w14:textId="289C16B8" w:rsidR="001212BA" w:rsidRPr="00E05465" w:rsidRDefault="001212BA" w:rsidP="00071F3B">
            <w:pPr>
              <w:pStyle w:val="TableText0"/>
              <w:rPr>
                <w:iCs/>
                <w:vertAlign w:val="superscript"/>
              </w:rPr>
            </w:pPr>
            <w:r w:rsidRPr="00E05465">
              <w:rPr>
                <w:iCs/>
              </w:rPr>
              <w:t xml:space="preserve">  Corrected distribution, as per Study 304</w:t>
            </w:r>
            <w:r w:rsidRPr="00E05465">
              <w:rPr>
                <w:iCs/>
                <w:vertAlign w:val="superscript"/>
              </w:rPr>
              <w:t>c</w:t>
            </w:r>
          </w:p>
        </w:tc>
        <w:tc>
          <w:tcPr>
            <w:tcW w:w="1258" w:type="pct"/>
            <w:tcBorders>
              <w:top w:val="single" w:sz="4" w:space="0" w:color="auto"/>
              <w:left w:val="single" w:sz="4" w:space="0" w:color="auto"/>
              <w:bottom w:val="nil"/>
              <w:right w:val="single" w:sz="4" w:space="0" w:color="auto"/>
            </w:tcBorders>
          </w:tcPr>
          <w:p w14:paraId="54D2F5F9" w14:textId="077805F4" w:rsidR="001212BA" w:rsidRPr="00E05465" w:rsidRDefault="001212BA" w:rsidP="00071F3B">
            <w:pPr>
              <w:pStyle w:val="TableText0"/>
              <w:jc w:val="center"/>
              <w:rPr>
                <w:iCs/>
              </w:rPr>
            </w:pPr>
            <w:r w:rsidRPr="00E05465">
              <w:rPr>
                <w:iCs/>
              </w:rPr>
              <w:t>300</w:t>
            </w:r>
            <w:r w:rsidR="00C95D5A" w:rsidRPr="00E05465">
              <w:rPr>
                <w:iCs/>
              </w:rPr>
              <w:t> </w:t>
            </w:r>
            <w:r w:rsidRPr="00E05465">
              <w:rPr>
                <w:iCs/>
              </w:rPr>
              <w:t>mg vial: $</w:t>
            </w:r>
            <w:r w:rsidR="00533927" w:rsidRPr="00533927">
              <w:rPr>
                <w:rFonts w:hint="eastAsia"/>
                <w:iCs/>
                <w:color w:val="000000"/>
                <w:w w:val="15"/>
                <w:shd w:val="solid" w:color="000000" w:fill="000000"/>
                <w:fitText w:val="30" w:id="-1168291574"/>
                <w14:textFill>
                  <w14:solidFill>
                    <w14:srgbClr w14:val="000000">
                      <w14:alpha w14:val="100000"/>
                    </w14:srgbClr>
                  </w14:solidFill>
                </w14:textFill>
              </w:rPr>
              <w:t xml:space="preserve">　</w:t>
            </w:r>
            <w:r w:rsidR="00533927" w:rsidRPr="00533927">
              <w:rPr>
                <w:iCs/>
                <w:color w:val="000000"/>
                <w:w w:val="15"/>
                <w:shd w:val="solid" w:color="000000" w:fill="000000"/>
                <w:fitText w:val="30" w:id="-1168291574"/>
                <w14:textFill>
                  <w14:solidFill>
                    <w14:srgbClr w14:val="000000">
                      <w14:alpha w14:val="100000"/>
                    </w14:srgbClr>
                  </w14:solidFill>
                </w14:textFill>
              </w:rPr>
              <w:t>|</w:t>
            </w:r>
            <w:r w:rsidR="00533927" w:rsidRPr="00533927">
              <w:rPr>
                <w:rFonts w:hint="eastAsia"/>
                <w:iCs/>
                <w:color w:val="000000"/>
                <w:spacing w:val="-45"/>
                <w:w w:val="15"/>
                <w:shd w:val="solid" w:color="000000" w:fill="000000"/>
                <w:fitText w:val="30" w:id="-1168291574"/>
                <w14:textFill>
                  <w14:solidFill>
                    <w14:srgbClr w14:val="000000">
                      <w14:alpha w14:val="100000"/>
                    </w14:srgbClr>
                  </w14:solidFill>
                </w14:textFill>
              </w:rPr>
              <w:t xml:space="preserve">　</w:t>
            </w:r>
          </w:p>
          <w:p w14:paraId="3C333988" w14:textId="277734E1" w:rsidR="001212BA" w:rsidRPr="00E05465" w:rsidRDefault="001212BA" w:rsidP="00071F3B">
            <w:pPr>
              <w:pStyle w:val="TableText0"/>
              <w:jc w:val="center"/>
              <w:rPr>
                <w:iCs/>
              </w:rPr>
            </w:pPr>
            <w:r w:rsidRPr="00E05465">
              <w:rPr>
                <w:iCs/>
              </w:rPr>
              <w:t>1,100</w:t>
            </w:r>
            <w:r w:rsidR="00C95D5A" w:rsidRPr="00E05465">
              <w:rPr>
                <w:iCs/>
              </w:rPr>
              <w:t> </w:t>
            </w:r>
            <w:r w:rsidRPr="00E05465">
              <w:rPr>
                <w:iCs/>
              </w:rPr>
              <w:t>mg vial: $</w:t>
            </w:r>
            <w:r w:rsidR="00533927" w:rsidRPr="00533927">
              <w:rPr>
                <w:rFonts w:hint="eastAsia"/>
                <w:iCs/>
                <w:color w:val="000000"/>
                <w:w w:val="23"/>
                <w:shd w:val="solid" w:color="000000" w:fill="000000"/>
                <w:fitText w:val="105" w:id="-1168291573"/>
                <w14:textFill>
                  <w14:solidFill>
                    <w14:srgbClr w14:val="000000">
                      <w14:alpha w14:val="100000"/>
                    </w14:srgbClr>
                  </w14:solidFill>
                </w14:textFill>
              </w:rPr>
              <w:t xml:space="preserve">　</w:t>
            </w:r>
            <w:r w:rsidR="00533927" w:rsidRPr="00533927">
              <w:rPr>
                <w:iCs/>
                <w:color w:val="000000"/>
                <w:w w:val="23"/>
                <w:shd w:val="solid" w:color="000000" w:fill="000000"/>
                <w:fitText w:val="105" w:id="-1168291573"/>
                <w14:textFill>
                  <w14:solidFill>
                    <w14:srgbClr w14:val="000000">
                      <w14:alpha w14:val="100000"/>
                    </w14:srgbClr>
                  </w14:solidFill>
                </w14:textFill>
              </w:rPr>
              <w:t>|</w:t>
            </w:r>
            <w:r w:rsidR="00533927" w:rsidRPr="00533927">
              <w:rPr>
                <w:rFonts w:hint="eastAsia"/>
                <w:iCs/>
                <w:color w:val="000000"/>
                <w:spacing w:val="4"/>
                <w:w w:val="23"/>
                <w:shd w:val="solid" w:color="000000" w:fill="000000"/>
                <w:fitText w:val="105" w:id="-1168291573"/>
                <w14:textFill>
                  <w14:solidFill>
                    <w14:srgbClr w14:val="000000">
                      <w14:alpha w14:val="100000"/>
                    </w14:srgbClr>
                  </w14:solidFill>
                </w14:textFill>
              </w:rPr>
              <w:t xml:space="preserve">　</w:t>
            </w:r>
          </w:p>
        </w:tc>
        <w:tc>
          <w:tcPr>
            <w:tcW w:w="629" w:type="pct"/>
            <w:tcBorders>
              <w:top w:val="single" w:sz="4" w:space="0" w:color="auto"/>
              <w:left w:val="single" w:sz="4" w:space="0" w:color="auto"/>
              <w:bottom w:val="nil"/>
              <w:right w:val="single" w:sz="4" w:space="0" w:color="auto"/>
            </w:tcBorders>
            <w:vAlign w:val="center"/>
          </w:tcPr>
          <w:p w14:paraId="1432FBB6" w14:textId="77777777" w:rsidR="001212BA" w:rsidRPr="00E05465" w:rsidRDefault="001212BA" w:rsidP="00071F3B">
            <w:pPr>
              <w:pStyle w:val="TableText0"/>
              <w:jc w:val="center"/>
              <w:rPr>
                <w:iCs/>
              </w:rPr>
            </w:pPr>
            <w:r w:rsidRPr="00E05465">
              <w:rPr>
                <w:iCs/>
              </w:rPr>
              <w:t>1.67%</w:t>
            </w:r>
          </w:p>
        </w:tc>
        <w:tc>
          <w:tcPr>
            <w:tcW w:w="1072" w:type="pct"/>
            <w:tcBorders>
              <w:top w:val="single" w:sz="4" w:space="0" w:color="auto"/>
              <w:left w:val="single" w:sz="4" w:space="0" w:color="auto"/>
              <w:bottom w:val="nil"/>
              <w:right w:val="single" w:sz="4" w:space="0" w:color="auto"/>
            </w:tcBorders>
          </w:tcPr>
          <w:p w14:paraId="5B052477" w14:textId="0F4EABD8" w:rsidR="00533927" w:rsidRPr="00533927" w:rsidRDefault="001212BA" w:rsidP="00071F3B">
            <w:pPr>
              <w:pStyle w:val="TableText0"/>
              <w:jc w:val="center"/>
              <w:rPr>
                <w:iCs/>
              </w:rPr>
            </w:pPr>
            <w:r w:rsidRPr="00E05465">
              <w:rPr>
                <w:iCs/>
              </w:rPr>
              <w:t>-$</w:t>
            </w:r>
            <w:r w:rsidR="00533927" w:rsidRPr="00533927">
              <w:rPr>
                <w:iCs/>
                <w:color w:val="000000"/>
                <w:shd w:val="solid" w:color="000000" w:fill="000000"/>
                <w14:textFill>
                  <w14:solidFill>
                    <w14:srgbClr w14:val="000000">
                      <w14:alpha w14:val="100000"/>
                    </w14:srgbClr>
                  </w14:solidFill>
                </w14:textFill>
              </w:rPr>
              <w:t>|</w:t>
            </w:r>
          </w:p>
          <w:p w14:paraId="2F47FA9D" w14:textId="4577D0EC" w:rsidR="001212BA" w:rsidRPr="00E05465" w:rsidRDefault="001212BA" w:rsidP="00071F3B">
            <w:pPr>
              <w:pStyle w:val="TableText0"/>
              <w:jc w:val="center"/>
              <w:rPr>
                <w:iCs/>
              </w:rPr>
            </w:pPr>
            <w:r w:rsidRPr="00E05465">
              <w:rPr>
                <w:iCs/>
              </w:rPr>
              <w:t>-$</w:t>
            </w:r>
            <w:r w:rsidR="00533927" w:rsidRPr="00533927">
              <w:rPr>
                <w:iCs/>
                <w:color w:val="000000"/>
                <w:shd w:val="solid" w:color="000000" w:fill="000000"/>
                <w14:textFill>
                  <w14:solidFill>
                    <w14:srgbClr w14:val="000000">
                      <w14:alpha w14:val="100000"/>
                    </w14:srgbClr>
                  </w14:solidFill>
                </w14:textFill>
              </w:rPr>
              <w:t>|</w:t>
            </w:r>
          </w:p>
        </w:tc>
      </w:tr>
      <w:tr w:rsidR="00E05465" w:rsidRPr="00E05465" w14:paraId="60C4D3C9" w14:textId="77777777" w:rsidTr="00C95D5A">
        <w:trPr>
          <w:trHeight w:val="663"/>
        </w:trPr>
        <w:tc>
          <w:tcPr>
            <w:tcW w:w="2041" w:type="pct"/>
            <w:tcBorders>
              <w:top w:val="nil"/>
              <w:left w:val="single" w:sz="4" w:space="0" w:color="auto"/>
              <w:bottom w:val="nil"/>
              <w:right w:val="single" w:sz="4" w:space="0" w:color="auto"/>
            </w:tcBorders>
            <w:vAlign w:val="center"/>
          </w:tcPr>
          <w:p w14:paraId="22149998" w14:textId="36CAA808" w:rsidR="001212BA" w:rsidRPr="00E05465" w:rsidRDefault="001212BA" w:rsidP="00071F3B">
            <w:pPr>
              <w:pStyle w:val="TableText0"/>
              <w:rPr>
                <w:iCs/>
              </w:rPr>
            </w:pPr>
            <w:r w:rsidRPr="00E05465">
              <w:rPr>
                <w:iCs/>
              </w:rPr>
              <w:t xml:space="preserve">  All patients weigh ≥</w:t>
            </w:r>
            <w:r w:rsidR="00C95D5A" w:rsidRPr="00E05465">
              <w:rPr>
                <w:iCs/>
              </w:rPr>
              <w:t> </w:t>
            </w:r>
            <w:r w:rsidRPr="00E05465">
              <w:rPr>
                <w:iCs/>
              </w:rPr>
              <w:t>30 to &lt;</w:t>
            </w:r>
            <w:r w:rsidR="00C95D5A" w:rsidRPr="00E05465">
              <w:rPr>
                <w:iCs/>
              </w:rPr>
              <w:t> </w:t>
            </w:r>
            <w:r w:rsidRPr="00E05465">
              <w:rPr>
                <w:iCs/>
              </w:rPr>
              <w:t>40 kg</w:t>
            </w:r>
          </w:p>
        </w:tc>
        <w:tc>
          <w:tcPr>
            <w:tcW w:w="1258" w:type="pct"/>
            <w:tcBorders>
              <w:top w:val="nil"/>
              <w:left w:val="single" w:sz="4" w:space="0" w:color="auto"/>
              <w:bottom w:val="nil"/>
              <w:right w:val="single" w:sz="4" w:space="0" w:color="auto"/>
            </w:tcBorders>
          </w:tcPr>
          <w:p w14:paraId="0B551864" w14:textId="77777777" w:rsidR="001212BA" w:rsidRPr="00E05465" w:rsidRDefault="001212BA" w:rsidP="00071F3B">
            <w:pPr>
              <w:pStyle w:val="TableText0"/>
              <w:jc w:val="center"/>
              <w:rPr>
                <w:iCs/>
              </w:rPr>
            </w:pPr>
          </w:p>
          <w:p w14:paraId="5A956255" w14:textId="4523FDB8" w:rsidR="001212BA" w:rsidRPr="00E05465" w:rsidRDefault="001212BA" w:rsidP="00071F3B">
            <w:pPr>
              <w:pStyle w:val="TableText0"/>
              <w:jc w:val="center"/>
              <w:rPr>
                <w:iCs/>
              </w:rPr>
            </w:pPr>
            <w:r w:rsidRPr="00E05465">
              <w:rPr>
                <w:iCs/>
              </w:rPr>
              <w:t>300</w:t>
            </w:r>
            <w:r w:rsidR="00C95D5A" w:rsidRPr="00E05465">
              <w:rPr>
                <w:iCs/>
              </w:rPr>
              <w:t> </w:t>
            </w:r>
            <w:r w:rsidRPr="00E05465">
              <w:rPr>
                <w:iCs/>
              </w:rPr>
              <w:t>mg vial: $</w:t>
            </w:r>
            <w:r w:rsidR="00533927" w:rsidRPr="00533927">
              <w:rPr>
                <w:rFonts w:hint="eastAsia"/>
                <w:iCs/>
                <w:color w:val="000000"/>
                <w:w w:val="15"/>
                <w:shd w:val="solid" w:color="000000" w:fill="000000"/>
                <w:fitText w:val="30" w:id="-1168291572"/>
                <w14:textFill>
                  <w14:solidFill>
                    <w14:srgbClr w14:val="000000">
                      <w14:alpha w14:val="100000"/>
                    </w14:srgbClr>
                  </w14:solidFill>
                </w14:textFill>
              </w:rPr>
              <w:t xml:space="preserve">　</w:t>
            </w:r>
            <w:r w:rsidR="00533927" w:rsidRPr="00533927">
              <w:rPr>
                <w:iCs/>
                <w:color w:val="000000"/>
                <w:w w:val="15"/>
                <w:shd w:val="solid" w:color="000000" w:fill="000000"/>
                <w:fitText w:val="30" w:id="-1168291572"/>
                <w14:textFill>
                  <w14:solidFill>
                    <w14:srgbClr w14:val="000000">
                      <w14:alpha w14:val="100000"/>
                    </w14:srgbClr>
                  </w14:solidFill>
                </w14:textFill>
              </w:rPr>
              <w:t>|</w:t>
            </w:r>
            <w:r w:rsidR="00533927" w:rsidRPr="00533927">
              <w:rPr>
                <w:rFonts w:hint="eastAsia"/>
                <w:iCs/>
                <w:color w:val="000000"/>
                <w:spacing w:val="-45"/>
                <w:w w:val="15"/>
                <w:shd w:val="solid" w:color="000000" w:fill="000000"/>
                <w:fitText w:val="30" w:id="-1168291572"/>
                <w14:textFill>
                  <w14:solidFill>
                    <w14:srgbClr w14:val="000000">
                      <w14:alpha w14:val="100000"/>
                    </w14:srgbClr>
                  </w14:solidFill>
                </w14:textFill>
              </w:rPr>
              <w:t xml:space="preserve">　</w:t>
            </w:r>
          </w:p>
          <w:p w14:paraId="2FEA44F3" w14:textId="37FCDEFF" w:rsidR="001212BA" w:rsidRPr="00E05465" w:rsidRDefault="001212BA" w:rsidP="00071F3B">
            <w:pPr>
              <w:pStyle w:val="TableText0"/>
              <w:jc w:val="center"/>
              <w:rPr>
                <w:iCs/>
              </w:rPr>
            </w:pPr>
            <w:r w:rsidRPr="00E05465">
              <w:rPr>
                <w:iCs/>
              </w:rPr>
              <w:t>1,100</w:t>
            </w:r>
            <w:r w:rsidR="00C95D5A" w:rsidRPr="00E05465">
              <w:rPr>
                <w:iCs/>
              </w:rPr>
              <w:t> </w:t>
            </w:r>
            <w:r w:rsidRPr="00E05465">
              <w:rPr>
                <w:iCs/>
              </w:rPr>
              <w:t>mg vial: $</w:t>
            </w:r>
            <w:r w:rsidR="00533927" w:rsidRPr="00533927">
              <w:rPr>
                <w:rFonts w:hint="eastAsia"/>
                <w:iCs/>
                <w:color w:val="000000"/>
                <w:w w:val="23"/>
                <w:shd w:val="solid" w:color="000000" w:fill="000000"/>
                <w:fitText w:val="105" w:id="-1168291571"/>
                <w14:textFill>
                  <w14:solidFill>
                    <w14:srgbClr w14:val="000000">
                      <w14:alpha w14:val="100000"/>
                    </w14:srgbClr>
                  </w14:solidFill>
                </w14:textFill>
              </w:rPr>
              <w:t xml:space="preserve">　</w:t>
            </w:r>
            <w:r w:rsidR="00533927" w:rsidRPr="00533927">
              <w:rPr>
                <w:iCs/>
                <w:color w:val="000000"/>
                <w:w w:val="23"/>
                <w:shd w:val="solid" w:color="000000" w:fill="000000"/>
                <w:fitText w:val="105" w:id="-1168291571"/>
                <w14:textFill>
                  <w14:solidFill>
                    <w14:srgbClr w14:val="000000">
                      <w14:alpha w14:val="100000"/>
                    </w14:srgbClr>
                  </w14:solidFill>
                </w14:textFill>
              </w:rPr>
              <w:t>|</w:t>
            </w:r>
            <w:r w:rsidR="00533927" w:rsidRPr="00533927">
              <w:rPr>
                <w:rFonts w:hint="eastAsia"/>
                <w:iCs/>
                <w:color w:val="000000"/>
                <w:spacing w:val="4"/>
                <w:w w:val="23"/>
                <w:shd w:val="solid" w:color="000000" w:fill="000000"/>
                <w:fitText w:val="105" w:id="-1168291571"/>
                <w14:textFill>
                  <w14:solidFill>
                    <w14:srgbClr w14:val="000000">
                      <w14:alpha w14:val="100000"/>
                    </w14:srgbClr>
                  </w14:solidFill>
                </w14:textFill>
              </w:rPr>
              <w:t xml:space="preserve">　</w:t>
            </w:r>
          </w:p>
        </w:tc>
        <w:tc>
          <w:tcPr>
            <w:tcW w:w="629" w:type="pct"/>
            <w:tcBorders>
              <w:top w:val="nil"/>
              <w:left w:val="single" w:sz="4" w:space="0" w:color="auto"/>
              <w:bottom w:val="nil"/>
              <w:right w:val="single" w:sz="4" w:space="0" w:color="auto"/>
            </w:tcBorders>
            <w:vAlign w:val="center"/>
          </w:tcPr>
          <w:p w14:paraId="4963F199" w14:textId="77777777" w:rsidR="001212BA" w:rsidRPr="00E05465" w:rsidRDefault="001212BA" w:rsidP="00071F3B">
            <w:pPr>
              <w:pStyle w:val="TableText0"/>
              <w:jc w:val="center"/>
              <w:rPr>
                <w:iCs/>
              </w:rPr>
            </w:pPr>
          </w:p>
          <w:p w14:paraId="1A3853D3" w14:textId="77777777" w:rsidR="001212BA" w:rsidRPr="00E05465" w:rsidRDefault="001212BA" w:rsidP="00071F3B">
            <w:pPr>
              <w:pStyle w:val="TableText0"/>
              <w:jc w:val="center"/>
              <w:rPr>
                <w:iCs/>
              </w:rPr>
            </w:pPr>
            <w:r w:rsidRPr="00E05465">
              <w:rPr>
                <w:iCs/>
              </w:rPr>
              <w:t>16.92%</w:t>
            </w:r>
          </w:p>
        </w:tc>
        <w:tc>
          <w:tcPr>
            <w:tcW w:w="1072" w:type="pct"/>
            <w:tcBorders>
              <w:top w:val="nil"/>
              <w:left w:val="single" w:sz="4" w:space="0" w:color="auto"/>
              <w:bottom w:val="nil"/>
              <w:right w:val="single" w:sz="4" w:space="0" w:color="auto"/>
            </w:tcBorders>
          </w:tcPr>
          <w:p w14:paraId="7DF485F0" w14:textId="77777777" w:rsidR="001212BA" w:rsidRPr="00E05465" w:rsidRDefault="001212BA" w:rsidP="00071F3B">
            <w:pPr>
              <w:pStyle w:val="TableText0"/>
              <w:jc w:val="center"/>
              <w:rPr>
                <w:iCs/>
              </w:rPr>
            </w:pPr>
          </w:p>
          <w:p w14:paraId="28C3428C" w14:textId="3644116E" w:rsidR="001212BA" w:rsidRPr="00E05465" w:rsidRDefault="001212BA" w:rsidP="00071F3B">
            <w:pPr>
              <w:pStyle w:val="TableText0"/>
              <w:jc w:val="center"/>
              <w:rPr>
                <w:iCs/>
              </w:rPr>
            </w:pPr>
            <w:r w:rsidRPr="00E05465">
              <w:rPr>
                <w:iCs/>
              </w:rPr>
              <w:t>-$</w:t>
            </w:r>
            <w:r w:rsidR="00533927" w:rsidRPr="00533927">
              <w:rPr>
                <w:iCs/>
                <w:color w:val="000000"/>
                <w:shd w:val="solid" w:color="000000" w:fill="000000"/>
                <w14:textFill>
                  <w14:solidFill>
                    <w14:srgbClr w14:val="000000">
                      <w14:alpha w14:val="100000"/>
                    </w14:srgbClr>
                  </w14:solidFill>
                </w14:textFill>
              </w:rPr>
              <w:t>|</w:t>
            </w:r>
          </w:p>
          <w:p w14:paraId="65DCC029" w14:textId="6557B94F" w:rsidR="001212BA" w:rsidRPr="00E05465" w:rsidRDefault="001212BA" w:rsidP="00071F3B">
            <w:pPr>
              <w:pStyle w:val="TableText0"/>
              <w:jc w:val="center"/>
              <w:rPr>
                <w:iCs/>
              </w:rPr>
            </w:pPr>
            <w:r w:rsidRPr="00E05465">
              <w:rPr>
                <w:iCs/>
              </w:rPr>
              <w:t>-$</w:t>
            </w:r>
            <w:r w:rsidR="00533927" w:rsidRPr="00533927">
              <w:rPr>
                <w:iCs/>
                <w:color w:val="000000"/>
                <w:shd w:val="solid" w:color="000000" w:fill="000000"/>
                <w14:textFill>
                  <w14:solidFill>
                    <w14:srgbClr w14:val="000000">
                      <w14:alpha w14:val="100000"/>
                    </w14:srgbClr>
                  </w14:solidFill>
                </w14:textFill>
              </w:rPr>
              <w:t>|</w:t>
            </w:r>
          </w:p>
        </w:tc>
      </w:tr>
      <w:tr w:rsidR="00E05465" w:rsidRPr="00E05465" w14:paraId="12F35EB0" w14:textId="77777777" w:rsidTr="00C95D5A">
        <w:trPr>
          <w:trHeight w:val="663"/>
        </w:trPr>
        <w:tc>
          <w:tcPr>
            <w:tcW w:w="2041" w:type="pct"/>
            <w:tcBorders>
              <w:top w:val="nil"/>
              <w:left w:val="single" w:sz="4" w:space="0" w:color="auto"/>
              <w:bottom w:val="nil"/>
              <w:right w:val="single" w:sz="4" w:space="0" w:color="auto"/>
            </w:tcBorders>
            <w:vAlign w:val="center"/>
          </w:tcPr>
          <w:p w14:paraId="79FDBFA0" w14:textId="086E8E9F" w:rsidR="001212BA" w:rsidRPr="00E05465" w:rsidRDefault="001212BA" w:rsidP="00071F3B">
            <w:pPr>
              <w:pStyle w:val="TableText0"/>
              <w:rPr>
                <w:iCs/>
              </w:rPr>
            </w:pPr>
            <w:r w:rsidRPr="00E05465">
              <w:rPr>
                <w:iCs/>
              </w:rPr>
              <w:t xml:space="preserve">  All patients weigh ≥</w:t>
            </w:r>
            <w:r w:rsidR="00C95D5A" w:rsidRPr="00E05465">
              <w:rPr>
                <w:iCs/>
              </w:rPr>
              <w:t> </w:t>
            </w:r>
            <w:r w:rsidRPr="00E05465">
              <w:rPr>
                <w:iCs/>
              </w:rPr>
              <w:t>40 to &lt;</w:t>
            </w:r>
            <w:r w:rsidR="00C95D5A" w:rsidRPr="00E05465">
              <w:rPr>
                <w:iCs/>
              </w:rPr>
              <w:t> </w:t>
            </w:r>
            <w:r w:rsidRPr="00E05465">
              <w:rPr>
                <w:iCs/>
              </w:rPr>
              <w:t>60</w:t>
            </w:r>
            <w:r w:rsidR="00C95D5A" w:rsidRPr="00E05465">
              <w:rPr>
                <w:iCs/>
              </w:rPr>
              <w:t> </w:t>
            </w:r>
            <w:r w:rsidRPr="00E05465">
              <w:rPr>
                <w:iCs/>
              </w:rPr>
              <w:t>kg</w:t>
            </w:r>
          </w:p>
        </w:tc>
        <w:tc>
          <w:tcPr>
            <w:tcW w:w="1258" w:type="pct"/>
            <w:tcBorders>
              <w:top w:val="nil"/>
              <w:left w:val="single" w:sz="4" w:space="0" w:color="auto"/>
              <w:bottom w:val="nil"/>
              <w:right w:val="single" w:sz="4" w:space="0" w:color="auto"/>
            </w:tcBorders>
          </w:tcPr>
          <w:p w14:paraId="16AD55C3" w14:textId="77777777" w:rsidR="001212BA" w:rsidRPr="00E05465" w:rsidRDefault="001212BA" w:rsidP="00071F3B">
            <w:pPr>
              <w:pStyle w:val="TableText0"/>
              <w:jc w:val="center"/>
              <w:rPr>
                <w:iCs/>
              </w:rPr>
            </w:pPr>
          </w:p>
          <w:p w14:paraId="12BFDE67" w14:textId="0FD47762" w:rsidR="001212BA" w:rsidRPr="00E05465" w:rsidRDefault="001212BA" w:rsidP="00071F3B">
            <w:pPr>
              <w:pStyle w:val="TableText0"/>
              <w:jc w:val="center"/>
              <w:rPr>
                <w:iCs/>
              </w:rPr>
            </w:pPr>
            <w:r w:rsidRPr="00E05465">
              <w:rPr>
                <w:iCs/>
              </w:rPr>
              <w:t>300</w:t>
            </w:r>
            <w:r w:rsidR="00C95D5A" w:rsidRPr="00E05465">
              <w:rPr>
                <w:iCs/>
              </w:rPr>
              <w:t> </w:t>
            </w:r>
            <w:r w:rsidRPr="00E05465">
              <w:rPr>
                <w:iCs/>
              </w:rPr>
              <w:t>mg vial: $</w:t>
            </w:r>
            <w:r w:rsidR="00533927" w:rsidRPr="00533927">
              <w:rPr>
                <w:rFonts w:hint="eastAsia"/>
                <w:iCs/>
                <w:color w:val="000000"/>
                <w:w w:val="15"/>
                <w:shd w:val="solid" w:color="000000" w:fill="000000"/>
                <w:fitText w:val="30" w:id="-1168291570"/>
                <w14:textFill>
                  <w14:solidFill>
                    <w14:srgbClr w14:val="000000">
                      <w14:alpha w14:val="100000"/>
                    </w14:srgbClr>
                  </w14:solidFill>
                </w14:textFill>
              </w:rPr>
              <w:t xml:space="preserve">　</w:t>
            </w:r>
            <w:r w:rsidR="00533927" w:rsidRPr="00533927">
              <w:rPr>
                <w:iCs/>
                <w:color w:val="000000"/>
                <w:w w:val="15"/>
                <w:shd w:val="solid" w:color="000000" w:fill="000000"/>
                <w:fitText w:val="30" w:id="-1168291570"/>
                <w14:textFill>
                  <w14:solidFill>
                    <w14:srgbClr w14:val="000000">
                      <w14:alpha w14:val="100000"/>
                    </w14:srgbClr>
                  </w14:solidFill>
                </w14:textFill>
              </w:rPr>
              <w:t>|</w:t>
            </w:r>
            <w:r w:rsidR="00533927" w:rsidRPr="00533927">
              <w:rPr>
                <w:rFonts w:hint="eastAsia"/>
                <w:iCs/>
                <w:color w:val="000000"/>
                <w:spacing w:val="-45"/>
                <w:w w:val="15"/>
                <w:shd w:val="solid" w:color="000000" w:fill="000000"/>
                <w:fitText w:val="30" w:id="-1168291570"/>
                <w14:textFill>
                  <w14:solidFill>
                    <w14:srgbClr w14:val="000000">
                      <w14:alpha w14:val="100000"/>
                    </w14:srgbClr>
                  </w14:solidFill>
                </w14:textFill>
              </w:rPr>
              <w:t xml:space="preserve">　</w:t>
            </w:r>
          </w:p>
          <w:p w14:paraId="65C3D09C" w14:textId="5A6F8A3A" w:rsidR="001212BA" w:rsidRPr="00E05465" w:rsidRDefault="001212BA" w:rsidP="00071F3B">
            <w:pPr>
              <w:pStyle w:val="TableText0"/>
              <w:jc w:val="center"/>
              <w:rPr>
                <w:iCs/>
              </w:rPr>
            </w:pPr>
            <w:r w:rsidRPr="00E05465">
              <w:rPr>
                <w:iCs/>
              </w:rPr>
              <w:t>1,100</w:t>
            </w:r>
            <w:r w:rsidR="00C95D5A" w:rsidRPr="00E05465">
              <w:rPr>
                <w:iCs/>
              </w:rPr>
              <w:t> </w:t>
            </w:r>
            <w:r w:rsidRPr="00E05465">
              <w:rPr>
                <w:iCs/>
              </w:rPr>
              <w:t>mg vial: $</w:t>
            </w:r>
            <w:r w:rsidR="00533927" w:rsidRPr="00533927">
              <w:rPr>
                <w:rFonts w:hint="eastAsia"/>
                <w:iCs/>
                <w:color w:val="000000"/>
                <w:w w:val="23"/>
                <w:shd w:val="solid" w:color="000000" w:fill="000000"/>
                <w:fitText w:val="105" w:id="-1168291569"/>
                <w14:textFill>
                  <w14:solidFill>
                    <w14:srgbClr w14:val="000000">
                      <w14:alpha w14:val="100000"/>
                    </w14:srgbClr>
                  </w14:solidFill>
                </w14:textFill>
              </w:rPr>
              <w:t xml:space="preserve">　</w:t>
            </w:r>
            <w:r w:rsidR="00533927" w:rsidRPr="00533927">
              <w:rPr>
                <w:iCs/>
                <w:color w:val="000000"/>
                <w:w w:val="23"/>
                <w:shd w:val="solid" w:color="000000" w:fill="000000"/>
                <w:fitText w:val="105" w:id="-1168291569"/>
                <w14:textFill>
                  <w14:solidFill>
                    <w14:srgbClr w14:val="000000">
                      <w14:alpha w14:val="100000"/>
                    </w14:srgbClr>
                  </w14:solidFill>
                </w14:textFill>
              </w:rPr>
              <w:t>|</w:t>
            </w:r>
            <w:r w:rsidR="00533927" w:rsidRPr="00533927">
              <w:rPr>
                <w:rFonts w:hint="eastAsia"/>
                <w:iCs/>
                <w:color w:val="000000"/>
                <w:spacing w:val="4"/>
                <w:w w:val="23"/>
                <w:shd w:val="solid" w:color="000000" w:fill="000000"/>
                <w:fitText w:val="105" w:id="-1168291569"/>
                <w14:textFill>
                  <w14:solidFill>
                    <w14:srgbClr w14:val="000000">
                      <w14:alpha w14:val="100000"/>
                    </w14:srgbClr>
                  </w14:solidFill>
                </w14:textFill>
              </w:rPr>
              <w:t xml:space="preserve">　</w:t>
            </w:r>
          </w:p>
        </w:tc>
        <w:tc>
          <w:tcPr>
            <w:tcW w:w="629" w:type="pct"/>
            <w:tcBorders>
              <w:top w:val="nil"/>
              <w:left w:val="single" w:sz="4" w:space="0" w:color="auto"/>
              <w:bottom w:val="nil"/>
              <w:right w:val="single" w:sz="4" w:space="0" w:color="auto"/>
            </w:tcBorders>
            <w:vAlign w:val="center"/>
          </w:tcPr>
          <w:p w14:paraId="2426DD8B" w14:textId="77777777" w:rsidR="001212BA" w:rsidRPr="00E05465" w:rsidRDefault="001212BA" w:rsidP="00071F3B">
            <w:pPr>
              <w:pStyle w:val="TableText0"/>
              <w:jc w:val="center"/>
              <w:rPr>
                <w:iCs/>
              </w:rPr>
            </w:pPr>
          </w:p>
          <w:p w14:paraId="020DF46B" w14:textId="77777777" w:rsidR="001212BA" w:rsidRPr="00E05465" w:rsidRDefault="001212BA" w:rsidP="00071F3B">
            <w:pPr>
              <w:pStyle w:val="TableText0"/>
              <w:jc w:val="center"/>
              <w:rPr>
                <w:iCs/>
              </w:rPr>
            </w:pPr>
            <w:r w:rsidRPr="00E05465">
              <w:rPr>
                <w:iCs/>
              </w:rPr>
              <w:t>3.12%</w:t>
            </w:r>
          </w:p>
        </w:tc>
        <w:tc>
          <w:tcPr>
            <w:tcW w:w="1072" w:type="pct"/>
            <w:tcBorders>
              <w:top w:val="nil"/>
              <w:left w:val="single" w:sz="4" w:space="0" w:color="auto"/>
              <w:bottom w:val="nil"/>
              <w:right w:val="single" w:sz="4" w:space="0" w:color="auto"/>
            </w:tcBorders>
          </w:tcPr>
          <w:p w14:paraId="6C6654F5" w14:textId="77777777" w:rsidR="001212BA" w:rsidRPr="00E05465" w:rsidRDefault="001212BA" w:rsidP="00071F3B">
            <w:pPr>
              <w:pStyle w:val="TableText0"/>
              <w:jc w:val="center"/>
              <w:rPr>
                <w:iCs/>
              </w:rPr>
            </w:pPr>
          </w:p>
          <w:p w14:paraId="2CD61BAA" w14:textId="106D44F8" w:rsidR="001212BA" w:rsidRPr="00E05465" w:rsidRDefault="001212BA" w:rsidP="00071F3B">
            <w:pPr>
              <w:pStyle w:val="TableText0"/>
              <w:jc w:val="center"/>
              <w:rPr>
                <w:iCs/>
              </w:rPr>
            </w:pPr>
            <w:r w:rsidRPr="00E05465">
              <w:rPr>
                <w:iCs/>
              </w:rPr>
              <w:t>-$</w:t>
            </w:r>
            <w:r w:rsidR="00533927" w:rsidRPr="00533927">
              <w:rPr>
                <w:iCs/>
                <w:color w:val="000000"/>
                <w:shd w:val="solid" w:color="000000" w:fill="000000"/>
                <w14:textFill>
                  <w14:solidFill>
                    <w14:srgbClr w14:val="000000">
                      <w14:alpha w14:val="100000"/>
                    </w14:srgbClr>
                  </w14:solidFill>
                </w14:textFill>
              </w:rPr>
              <w:t>|</w:t>
            </w:r>
          </w:p>
          <w:p w14:paraId="2CF01F74" w14:textId="74AC0205" w:rsidR="001212BA" w:rsidRPr="00E05465" w:rsidRDefault="001212BA" w:rsidP="00071F3B">
            <w:pPr>
              <w:pStyle w:val="TableText0"/>
              <w:jc w:val="center"/>
              <w:rPr>
                <w:iCs/>
              </w:rPr>
            </w:pPr>
            <w:r w:rsidRPr="00E05465">
              <w:rPr>
                <w:iCs/>
              </w:rPr>
              <w:t>-$</w:t>
            </w:r>
            <w:r w:rsidR="00533927" w:rsidRPr="00533927">
              <w:rPr>
                <w:iCs/>
                <w:color w:val="000000"/>
                <w:shd w:val="solid" w:color="000000" w:fill="000000"/>
                <w14:textFill>
                  <w14:solidFill>
                    <w14:srgbClr w14:val="000000">
                      <w14:alpha w14:val="100000"/>
                    </w14:srgbClr>
                  </w14:solidFill>
                </w14:textFill>
              </w:rPr>
              <w:t>|</w:t>
            </w:r>
          </w:p>
        </w:tc>
      </w:tr>
      <w:tr w:rsidR="00E05465" w:rsidRPr="00E05465" w14:paraId="11B4874C" w14:textId="77777777" w:rsidTr="00C95D5A">
        <w:trPr>
          <w:trHeight w:val="677"/>
        </w:trPr>
        <w:tc>
          <w:tcPr>
            <w:tcW w:w="2041" w:type="pct"/>
            <w:tcBorders>
              <w:top w:val="nil"/>
              <w:left w:val="single" w:sz="4" w:space="0" w:color="auto"/>
              <w:bottom w:val="single" w:sz="4" w:space="0" w:color="auto"/>
              <w:right w:val="single" w:sz="4" w:space="0" w:color="auto"/>
            </w:tcBorders>
            <w:vAlign w:val="center"/>
          </w:tcPr>
          <w:p w14:paraId="1D844C99" w14:textId="15B4A00E" w:rsidR="001212BA" w:rsidRPr="00E05465" w:rsidRDefault="001212BA" w:rsidP="00071F3B">
            <w:pPr>
              <w:pStyle w:val="TableText0"/>
              <w:rPr>
                <w:b/>
                <w:iCs/>
              </w:rPr>
            </w:pPr>
            <w:r w:rsidRPr="00E05465">
              <w:rPr>
                <w:iCs/>
              </w:rPr>
              <w:t xml:space="preserve">  All patients weigh ≥</w:t>
            </w:r>
            <w:r w:rsidR="00C95D5A" w:rsidRPr="00E05465">
              <w:rPr>
                <w:iCs/>
              </w:rPr>
              <w:t> </w:t>
            </w:r>
            <w:r w:rsidRPr="00E05465">
              <w:rPr>
                <w:iCs/>
              </w:rPr>
              <w:t>60 to &lt;</w:t>
            </w:r>
            <w:r w:rsidR="00C95D5A" w:rsidRPr="00E05465">
              <w:rPr>
                <w:iCs/>
              </w:rPr>
              <w:t> </w:t>
            </w:r>
            <w:r w:rsidRPr="00E05465">
              <w:rPr>
                <w:iCs/>
              </w:rPr>
              <w:t>100</w:t>
            </w:r>
            <w:r w:rsidR="00C95D5A" w:rsidRPr="00E05465">
              <w:rPr>
                <w:iCs/>
              </w:rPr>
              <w:t> </w:t>
            </w:r>
            <w:r w:rsidRPr="00E05465">
              <w:rPr>
                <w:iCs/>
              </w:rPr>
              <w:t>kg</w:t>
            </w:r>
          </w:p>
        </w:tc>
        <w:tc>
          <w:tcPr>
            <w:tcW w:w="1258" w:type="pct"/>
            <w:tcBorders>
              <w:top w:val="nil"/>
              <w:left w:val="single" w:sz="4" w:space="0" w:color="auto"/>
              <w:bottom w:val="single" w:sz="4" w:space="0" w:color="auto"/>
              <w:right w:val="single" w:sz="4" w:space="0" w:color="auto"/>
            </w:tcBorders>
          </w:tcPr>
          <w:p w14:paraId="777B4812" w14:textId="77777777" w:rsidR="001212BA" w:rsidRPr="00E05465" w:rsidRDefault="001212BA" w:rsidP="00071F3B">
            <w:pPr>
              <w:pStyle w:val="TableText0"/>
              <w:jc w:val="center"/>
              <w:rPr>
                <w:iCs/>
              </w:rPr>
            </w:pPr>
          </w:p>
          <w:p w14:paraId="4F88C71C" w14:textId="25A0225C" w:rsidR="001212BA" w:rsidRPr="00E05465" w:rsidRDefault="001212BA" w:rsidP="00071F3B">
            <w:pPr>
              <w:pStyle w:val="TableText0"/>
              <w:jc w:val="center"/>
              <w:rPr>
                <w:iCs/>
              </w:rPr>
            </w:pPr>
            <w:r w:rsidRPr="00E05465">
              <w:rPr>
                <w:iCs/>
              </w:rPr>
              <w:t>300</w:t>
            </w:r>
            <w:r w:rsidR="00C95D5A" w:rsidRPr="00E05465">
              <w:rPr>
                <w:iCs/>
              </w:rPr>
              <w:t> </w:t>
            </w:r>
            <w:r w:rsidRPr="00E05465">
              <w:rPr>
                <w:iCs/>
              </w:rPr>
              <w:t>mg vial: $</w:t>
            </w:r>
            <w:r w:rsidR="00533927" w:rsidRPr="00533927">
              <w:rPr>
                <w:rFonts w:hint="eastAsia"/>
                <w:iCs/>
                <w:color w:val="000000"/>
                <w:w w:val="15"/>
                <w:shd w:val="solid" w:color="000000" w:fill="000000"/>
                <w:fitText w:val="30" w:id="-1168291568"/>
                <w14:textFill>
                  <w14:solidFill>
                    <w14:srgbClr w14:val="000000">
                      <w14:alpha w14:val="100000"/>
                    </w14:srgbClr>
                  </w14:solidFill>
                </w14:textFill>
              </w:rPr>
              <w:t xml:space="preserve">　</w:t>
            </w:r>
            <w:r w:rsidR="00533927" w:rsidRPr="00533927">
              <w:rPr>
                <w:iCs/>
                <w:color w:val="000000"/>
                <w:w w:val="15"/>
                <w:shd w:val="solid" w:color="000000" w:fill="000000"/>
                <w:fitText w:val="30" w:id="-1168291568"/>
                <w14:textFill>
                  <w14:solidFill>
                    <w14:srgbClr w14:val="000000">
                      <w14:alpha w14:val="100000"/>
                    </w14:srgbClr>
                  </w14:solidFill>
                </w14:textFill>
              </w:rPr>
              <w:t>|</w:t>
            </w:r>
            <w:r w:rsidR="00533927" w:rsidRPr="00533927">
              <w:rPr>
                <w:rFonts w:hint="eastAsia"/>
                <w:iCs/>
                <w:color w:val="000000"/>
                <w:spacing w:val="-45"/>
                <w:w w:val="15"/>
                <w:shd w:val="solid" w:color="000000" w:fill="000000"/>
                <w:fitText w:val="30" w:id="-1168291568"/>
                <w14:textFill>
                  <w14:solidFill>
                    <w14:srgbClr w14:val="000000">
                      <w14:alpha w14:val="100000"/>
                    </w14:srgbClr>
                  </w14:solidFill>
                </w14:textFill>
              </w:rPr>
              <w:t xml:space="preserve">　</w:t>
            </w:r>
          </w:p>
          <w:p w14:paraId="4D4B5EA7" w14:textId="5E532715" w:rsidR="001212BA" w:rsidRPr="00E05465" w:rsidRDefault="001212BA" w:rsidP="00071F3B">
            <w:pPr>
              <w:pStyle w:val="TableText0"/>
              <w:jc w:val="center"/>
              <w:rPr>
                <w:iCs/>
              </w:rPr>
            </w:pPr>
            <w:r w:rsidRPr="00E05465">
              <w:rPr>
                <w:iCs/>
              </w:rPr>
              <w:t>1,100</w:t>
            </w:r>
            <w:r w:rsidR="00C95D5A" w:rsidRPr="00E05465">
              <w:rPr>
                <w:iCs/>
              </w:rPr>
              <w:t> </w:t>
            </w:r>
            <w:r w:rsidRPr="00E05465">
              <w:rPr>
                <w:iCs/>
              </w:rPr>
              <w:t>mg vial: $</w:t>
            </w:r>
            <w:r w:rsidR="00533927" w:rsidRPr="00533927">
              <w:rPr>
                <w:rFonts w:hint="eastAsia"/>
                <w:iCs/>
                <w:color w:val="000000"/>
                <w:w w:val="23"/>
                <w:shd w:val="solid" w:color="000000" w:fill="000000"/>
                <w:fitText w:val="105" w:id="-1168291584"/>
                <w14:textFill>
                  <w14:solidFill>
                    <w14:srgbClr w14:val="000000">
                      <w14:alpha w14:val="100000"/>
                    </w14:srgbClr>
                  </w14:solidFill>
                </w14:textFill>
              </w:rPr>
              <w:t xml:space="preserve">　</w:t>
            </w:r>
            <w:r w:rsidR="00533927" w:rsidRPr="00533927">
              <w:rPr>
                <w:iCs/>
                <w:color w:val="000000"/>
                <w:w w:val="23"/>
                <w:shd w:val="solid" w:color="000000" w:fill="000000"/>
                <w:fitText w:val="105" w:id="-1168291584"/>
                <w14:textFill>
                  <w14:solidFill>
                    <w14:srgbClr w14:val="000000">
                      <w14:alpha w14:val="100000"/>
                    </w14:srgbClr>
                  </w14:solidFill>
                </w14:textFill>
              </w:rPr>
              <w:t>|</w:t>
            </w:r>
            <w:r w:rsidR="00533927" w:rsidRPr="00533927">
              <w:rPr>
                <w:rFonts w:hint="eastAsia"/>
                <w:iCs/>
                <w:color w:val="000000"/>
                <w:spacing w:val="4"/>
                <w:w w:val="23"/>
                <w:shd w:val="solid" w:color="000000" w:fill="000000"/>
                <w:fitText w:val="105" w:id="-1168291584"/>
                <w14:textFill>
                  <w14:solidFill>
                    <w14:srgbClr w14:val="000000">
                      <w14:alpha w14:val="100000"/>
                    </w14:srgbClr>
                  </w14:solidFill>
                </w14:textFill>
              </w:rPr>
              <w:t xml:space="preserve">　</w:t>
            </w:r>
          </w:p>
        </w:tc>
        <w:tc>
          <w:tcPr>
            <w:tcW w:w="629" w:type="pct"/>
            <w:tcBorders>
              <w:top w:val="nil"/>
              <w:left w:val="single" w:sz="4" w:space="0" w:color="auto"/>
              <w:bottom w:val="single" w:sz="4" w:space="0" w:color="auto"/>
              <w:right w:val="single" w:sz="4" w:space="0" w:color="auto"/>
            </w:tcBorders>
            <w:vAlign w:val="center"/>
          </w:tcPr>
          <w:p w14:paraId="5F7B1292" w14:textId="77777777" w:rsidR="001212BA" w:rsidRPr="00E05465" w:rsidRDefault="001212BA" w:rsidP="00071F3B">
            <w:pPr>
              <w:pStyle w:val="TableText0"/>
              <w:jc w:val="center"/>
              <w:rPr>
                <w:iCs/>
              </w:rPr>
            </w:pPr>
          </w:p>
          <w:p w14:paraId="0F844615" w14:textId="77777777" w:rsidR="001212BA" w:rsidRPr="00E05465" w:rsidRDefault="001212BA" w:rsidP="00071F3B">
            <w:pPr>
              <w:pStyle w:val="TableText0"/>
              <w:jc w:val="center"/>
              <w:rPr>
                <w:iCs/>
              </w:rPr>
            </w:pPr>
            <w:r w:rsidRPr="00E05465">
              <w:rPr>
                <w:iCs/>
              </w:rPr>
              <w:t>-6.38%</w:t>
            </w:r>
          </w:p>
        </w:tc>
        <w:tc>
          <w:tcPr>
            <w:tcW w:w="1072" w:type="pct"/>
            <w:tcBorders>
              <w:top w:val="nil"/>
              <w:left w:val="single" w:sz="4" w:space="0" w:color="auto"/>
              <w:bottom w:val="single" w:sz="4" w:space="0" w:color="auto"/>
              <w:right w:val="single" w:sz="4" w:space="0" w:color="auto"/>
            </w:tcBorders>
          </w:tcPr>
          <w:p w14:paraId="60813B57" w14:textId="77777777" w:rsidR="001212BA" w:rsidRPr="00E05465" w:rsidRDefault="001212BA" w:rsidP="00071F3B">
            <w:pPr>
              <w:pStyle w:val="TableText0"/>
              <w:jc w:val="center"/>
              <w:rPr>
                <w:iCs/>
              </w:rPr>
            </w:pPr>
          </w:p>
          <w:p w14:paraId="58CE5CC9" w14:textId="7D5B70DD" w:rsidR="001212BA" w:rsidRPr="00E05465" w:rsidRDefault="001212BA" w:rsidP="00071F3B">
            <w:pPr>
              <w:pStyle w:val="TableText0"/>
              <w:jc w:val="center"/>
              <w:rPr>
                <w:iCs/>
              </w:rPr>
            </w:pPr>
            <w:r w:rsidRPr="00E05465">
              <w:rPr>
                <w:iCs/>
              </w:rPr>
              <w:t>+$</w:t>
            </w:r>
            <w:r w:rsidR="00533927" w:rsidRPr="00533927">
              <w:rPr>
                <w:iCs/>
                <w:color w:val="000000"/>
                <w:shd w:val="solid" w:color="000000" w:fill="000000"/>
                <w14:textFill>
                  <w14:solidFill>
                    <w14:srgbClr w14:val="000000">
                      <w14:alpha w14:val="100000"/>
                    </w14:srgbClr>
                  </w14:solidFill>
                </w14:textFill>
              </w:rPr>
              <w:t>|</w:t>
            </w:r>
          </w:p>
          <w:p w14:paraId="7FCA5F3C" w14:textId="260FE289" w:rsidR="001212BA" w:rsidRPr="00E05465" w:rsidRDefault="001212BA" w:rsidP="00071F3B">
            <w:pPr>
              <w:pStyle w:val="TableText0"/>
              <w:jc w:val="center"/>
              <w:rPr>
                <w:iCs/>
              </w:rPr>
            </w:pPr>
            <w:r w:rsidRPr="00E05465">
              <w:rPr>
                <w:iCs/>
              </w:rPr>
              <w:t>+$</w:t>
            </w:r>
            <w:r w:rsidR="00533927" w:rsidRPr="00533927">
              <w:rPr>
                <w:iCs/>
                <w:color w:val="000000"/>
                <w:shd w:val="solid" w:color="000000" w:fill="000000"/>
                <w14:textFill>
                  <w14:solidFill>
                    <w14:srgbClr w14:val="000000">
                      <w14:alpha w14:val="100000"/>
                    </w14:srgbClr>
                  </w14:solidFill>
                </w14:textFill>
              </w:rPr>
              <w:t>|</w:t>
            </w:r>
          </w:p>
        </w:tc>
      </w:tr>
    </w:tbl>
    <w:p w14:paraId="55B723E2" w14:textId="1A003C5D" w:rsidR="001212BA" w:rsidRPr="00E05465" w:rsidRDefault="001212BA" w:rsidP="001212BA">
      <w:pPr>
        <w:pStyle w:val="FooterTableFigure"/>
        <w:rPr>
          <w:iCs/>
        </w:rPr>
      </w:pPr>
      <w:r w:rsidRPr="00E05465">
        <w:rPr>
          <w:iCs/>
        </w:rPr>
        <w:t xml:space="preserve">Source: Constructed during the evaluation from the “Section 3 CMA workbook” attachment and Table 9 </w:t>
      </w:r>
      <w:r w:rsidR="005B6D71" w:rsidRPr="00E05465">
        <w:rPr>
          <w:iCs/>
        </w:rPr>
        <w:t>pg.</w:t>
      </w:r>
      <w:r w:rsidRPr="00E05465">
        <w:rPr>
          <w:iCs/>
        </w:rPr>
        <w:t xml:space="preserve"> 49 of the “Attach 4 304-report body” attachment provided with the submission.</w:t>
      </w:r>
    </w:p>
    <w:p w14:paraId="6DE8748F" w14:textId="77777777" w:rsidR="001212BA" w:rsidRPr="00E05465" w:rsidRDefault="001212BA" w:rsidP="001212BA">
      <w:pPr>
        <w:pStyle w:val="FooterTableFigure"/>
        <w:rPr>
          <w:iCs/>
        </w:rPr>
      </w:pPr>
      <w:r w:rsidRPr="00E05465">
        <w:rPr>
          <w:iCs/>
        </w:rPr>
        <w:t xml:space="preserve">AEMP = approved ex-manufacturer price; CSR = clinical study report. </w:t>
      </w:r>
    </w:p>
    <w:p w14:paraId="09CC7B87" w14:textId="77777777" w:rsidR="001212BA" w:rsidRPr="00E05465" w:rsidRDefault="001212BA" w:rsidP="001212BA">
      <w:pPr>
        <w:pStyle w:val="FooterTableFigure"/>
        <w:rPr>
          <w:iCs/>
        </w:rPr>
      </w:pPr>
      <w:r w:rsidRPr="00E05465">
        <w:rPr>
          <w:iCs/>
          <w:vertAlign w:val="superscript"/>
        </w:rPr>
        <w:t>a</w:t>
      </w:r>
      <w:r w:rsidRPr="00E05465">
        <w:rPr>
          <w:iCs/>
        </w:rPr>
        <w:t xml:space="preserve"> The base case was revised during the evaluation as the submission had divided the total cost of eculizumab treatment by the total dose of ravulizumab without first subtracting ravulizumab administration costs.  </w:t>
      </w:r>
    </w:p>
    <w:p w14:paraId="04AB9AFA" w14:textId="3FA4E613" w:rsidR="001212BA" w:rsidRPr="00E05465" w:rsidRDefault="001212BA" w:rsidP="001212BA">
      <w:pPr>
        <w:pStyle w:val="FooterTableFigure"/>
        <w:rPr>
          <w:iCs/>
        </w:rPr>
      </w:pPr>
      <w:r w:rsidRPr="00E05465">
        <w:rPr>
          <w:iCs/>
          <w:vertAlign w:val="superscript"/>
        </w:rPr>
        <w:t xml:space="preserve">b </w:t>
      </w:r>
      <w:r w:rsidRPr="00E05465">
        <w:rPr>
          <w:iCs/>
        </w:rPr>
        <w:t xml:space="preserve">This would be observed in a setting where all patients are receiving </w:t>
      </w:r>
      <w:r w:rsidR="006C3165" w:rsidRPr="00E05465">
        <w:rPr>
          <w:iCs/>
        </w:rPr>
        <w:t xml:space="preserve">eculizumab </w:t>
      </w:r>
      <w:r w:rsidRPr="00E05465">
        <w:rPr>
          <w:iCs/>
        </w:rPr>
        <w:t xml:space="preserve">maintenance doses and 100% of </w:t>
      </w:r>
      <w:r w:rsidR="006C3165" w:rsidRPr="00E05465">
        <w:rPr>
          <w:iCs/>
        </w:rPr>
        <w:t xml:space="preserve">these </w:t>
      </w:r>
      <w:r w:rsidRPr="00E05465">
        <w:rPr>
          <w:iCs/>
        </w:rPr>
        <w:t xml:space="preserve">patients </w:t>
      </w:r>
      <w:r w:rsidR="006C3165" w:rsidRPr="00E05465">
        <w:rPr>
          <w:iCs/>
        </w:rPr>
        <w:t>will</w:t>
      </w:r>
      <w:r w:rsidRPr="00E05465">
        <w:rPr>
          <w:iCs/>
        </w:rPr>
        <w:t xml:space="preserve"> switch from eculizumab (no loading doses needed) to ravulizumab (loading dose </w:t>
      </w:r>
      <w:r w:rsidR="006C3165" w:rsidRPr="00E05465">
        <w:rPr>
          <w:iCs/>
        </w:rPr>
        <w:t>need</w:t>
      </w:r>
      <w:r w:rsidRPr="00E05465">
        <w:rPr>
          <w:iCs/>
        </w:rPr>
        <w:t xml:space="preserve">ed). </w:t>
      </w:r>
    </w:p>
    <w:p w14:paraId="46650D63" w14:textId="77777777" w:rsidR="001212BA" w:rsidRPr="00E05465" w:rsidRDefault="001212BA" w:rsidP="001212BA">
      <w:pPr>
        <w:pStyle w:val="FooterTableFigure"/>
        <w:rPr>
          <w:iCs/>
        </w:rPr>
      </w:pPr>
      <w:r w:rsidRPr="00E05465">
        <w:rPr>
          <w:iCs/>
          <w:vertAlign w:val="superscript"/>
        </w:rPr>
        <w:t>b</w:t>
      </w:r>
      <w:r w:rsidRPr="00E05465">
        <w:rPr>
          <w:iCs/>
        </w:rPr>
        <w:t xml:space="preserve"> 17% ≥30−&lt;40 kg; 50% ≥40−&lt;60 kg and 33% ≥60−&lt;100 kg.</w:t>
      </w:r>
    </w:p>
    <w:p w14:paraId="1E6E591D" w14:textId="0D679A81" w:rsidR="00307F10" w:rsidRPr="00E05465" w:rsidRDefault="001212BA" w:rsidP="002032B0">
      <w:pPr>
        <w:pStyle w:val="3-BodyText"/>
      </w:pPr>
      <w:bookmarkStart w:id="59" w:name="_Toc133219586"/>
      <w:r w:rsidRPr="00E05465">
        <w:rPr>
          <w:rStyle w:val="ui-provider"/>
          <w:iCs/>
        </w:rPr>
        <w:t xml:space="preserve">The proposed approved ex-manufacturer price (AEMP) for ravulizumab is </w:t>
      </w:r>
      <w:r w:rsidR="00533927" w:rsidRPr="00533927">
        <w:rPr>
          <w:rStyle w:val="ui-provider"/>
          <w:color w:val="000000"/>
          <w:w w:val="59"/>
          <w:shd w:val="solid" w:color="000000" w:fill="000000"/>
          <w:fitText w:val="460" w:id="-1168291583"/>
          <w14:textFill>
            <w14:solidFill>
              <w14:srgbClr w14:val="000000">
                <w14:alpha w14:val="100000"/>
              </w14:srgbClr>
            </w14:solidFill>
          </w14:textFill>
        </w:rPr>
        <w:t>|||  ||</w:t>
      </w:r>
      <w:r w:rsidR="00533927" w:rsidRPr="00533927">
        <w:rPr>
          <w:rStyle w:val="ui-provider"/>
          <w:color w:val="000000"/>
          <w:spacing w:val="5"/>
          <w:w w:val="59"/>
          <w:shd w:val="solid" w:color="000000" w:fill="000000"/>
          <w:fitText w:val="460" w:id="-1168291583"/>
          <w14:textFill>
            <w14:solidFill>
              <w14:srgbClr w14:val="000000">
                <w14:alpha w14:val="100000"/>
              </w14:srgbClr>
            </w14:solidFill>
          </w14:textFill>
        </w:rPr>
        <w:t>|</w:t>
      </w:r>
      <w:r w:rsidR="009C3592" w:rsidRPr="00E05465">
        <w:rPr>
          <w:rStyle w:val="ui-provider"/>
        </w:rPr>
        <w:t xml:space="preserve">% </w:t>
      </w:r>
      <w:r w:rsidRPr="00E05465">
        <w:rPr>
          <w:rStyle w:val="ui-provider"/>
          <w:iCs/>
        </w:rPr>
        <w:t xml:space="preserve">lower than the resulting price from the base case CMA. </w:t>
      </w:r>
      <w:r w:rsidR="006C3165" w:rsidRPr="00E05465">
        <w:rPr>
          <w:rStyle w:val="ui-provider"/>
          <w:iCs/>
        </w:rPr>
        <w:t xml:space="preserve">The cost-minimised prices from </w:t>
      </w:r>
      <w:r w:rsidRPr="00E05465">
        <w:rPr>
          <w:rStyle w:val="ui-provider"/>
          <w:iCs/>
        </w:rPr>
        <w:t xml:space="preserve">the majority of sensitivity analyses </w:t>
      </w:r>
      <w:r w:rsidR="006C3165" w:rsidRPr="00E05465">
        <w:rPr>
          <w:rStyle w:val="ui-provider"/>
          <w:iCs/>
        </w:rPr>
        <w:t>performed during the evaluation</w:t>
      </w:r>
      <w:r w:rsidRPr="00E05465">
        <w:rPr>
          <w:rStyle w:val="ui-provider"/>
          <w:iCs/>
        </w:rPr>
        <w:t xml:space="preserve"> remained higher than the proposed AEMP. The exception to this was an analysis exploring the assumption that all patients would weigh </w:t>
      </w:r>
      <w:r w:rsidRPr="00E05465">
        <w:t>≥</w:t>
      </w:r>
      <w:r w:rsidR="00C95D5A" w:rsidRPr="00E05465">
        <w:t> </w:t>
      </w:r>
      <w:r w:rsidRPr="00E05465">
        <w:t>60 to &lt;</w:t>
      </w:r>
      <w:r w:rsidR="00C95D5A" w:rsidRPr="00E05465">
        <w:t> </w:t>
      </w:r>
      <w:r w:rsidRPr="00E05465">
        <w:t>100 kg. However, as the proposed price was derived from a CMA based on the distribution of body weight that was accepted in adults (which included patients weighing &lt;</w:t>
      </w:r>
      <w:r w:rsidR="00C95D5A" w:rsidRPr="00E05465">
        <w:t> </w:t>
      </w:r>
      <w:r w:rsidRPr="00E05465">
        <w:t>60 kg)</w:t>
      </w:r>
      <w:r w:rsidRPr="00E05465">
        <w:rPr>
          <w:rStyle w:val="FootnoteReference"/>
          <w:iCs/>
        </w:rPr>
        <w:footnoteReference w:id="5"/>
      </w:r>
      <w:r w:rsidRPr="00E05465">
        <w:t>, ravulizumab is not likely to be associated with additional costs over eculizumab.</w:t>
      </w:r>
      <w:r w:rsidR="00B01B0F" w:rsidRPr="00E05465">
        <w:t xml:space="preserve"> The Pre-PBAC Response argued that given the request is for the paediatric population, it would be inappropriate to</w:t>
      </w:r>
      <w:r w:rsidR="00704DE5" w:rsidRPr="00E05465">
        <w:t xml:space="preserve"> rely on an analysis which</w:t>
      </w:r>
      <w:r w:rsidR="00B01B0F" w:rsidRPr="00E05465">
        <w:t xml:space="preserve"> exclude</w:t>
      </w:r>
      <w:r w:rsidR="00704DE5" w:rsidRPr="00E05465">
        <w:t>s patients weighing less than 60</w:t>
      </w:r>
      <w:r w:rsidR="00C95D5A" w:rsidRPr="00E05465">
        <w:t> </w:t>
      </w:r>
      <w:r w:rsidR="00704DE5" w:rsidRPr="00E05465">
        <w:t>kg.</w:t>
      </w:r>
    </w:p>
    <w:p w14:paraId="2DBF5B05" w14:textId="3396BEC4" w:rsidR="001212BA" w:rsidRPr="00E05465" w:rsidRDefault="00307F10" w:rsidP="002032B0">
      <w:pPr>
        <w:pStyle w:val="3-BodyText"/>
      </w:pPr>
      <w:r w:rsidRPr="00E05465">
        <w:rPr>
          <w:rStyle w:val="CommentReference"/>
          <w:rFonts w:asciiTheme="minorHAnsi" w:hAnsiTheme="minorHAnsi"/>
          <w:b w:val="0"/>
          <w:iCs/>
          <w:sz w:val="24"/>
          <w:szCs w:val="24"/>
        </w:rPr>
        <w:t>As mentioned previously (</w:t>
      </w:r>
      <w:r w:rsidR="00ED56D5" w:rsidRPr="00E05465">
        <w:rPr>
          <w:rStyle w:val="CommentReference"/>
          <w:rFonts w:asciiTheme="minorHAnsi" w:hAnsiTheme="minorHAnsi"/>
          <w:b w:val="0"/>
          <w:iCs/>
          <w:sz w:val="24"/>
          <w:szCs w:val="24"/>
        </w:rPr>
        <w:t>p</w:t>
      </w:r>
      <w:r w:rsidRPr="00E05465">
        <w:rPr>
          <w:rStyle w:val="CommentReference"/>
          <w:rFonts w:asciiTheme="minorHAnsi" w:hAnsiTheme="minorHAnsi"/>
          <w:b w:val="0"/>
          <w:iCs/>
          <w:sz w:val="24"/>
          <w:szCs w:val="24"/>
        </w:rPr>
        <w:t>aragraph</w:t>
      </w:r>
      <w:r w:rsidR="00ED56D5" w:rsidRPr="00E05465">
        <w:rPr>
          <w:rStyle w:val="CommentReference"/>
          <w:rFonts w:asciiTheme="minorHAnsi" w:hAnsiTheme="minorHAnsi"/>
          <w:b w:val="0"/>
          <w:iCs/>
          <w:sz w:val="24"/>
          <w:szCs w:val="24"/>
        </w:rPr>
        <w:t xml:space="preserve"> </w:t>
      </w:r>
      <w:r w:rsidR="00ED56D5" w:rsidRPr="00E05465">
        <w:rPr>
          <w:rStyle w:val="CommentReference"/>
          <w:rFonts w:asciiTheme="minorHAnsi" w:hAnsiTheme="minorHAnsi"/>
          <w:b w:val="0"/>
          <w:iCs/>
          <w:sz w:val="24"/>
          <w:szCs w:val="24"/>
        </w:rPr>
        <w:fldChar w:fldCharType="begin" w:fldLock="1"/>
      </w:r>
      <w:r w:rsidR="00ED56D5" w:rsidRPr="00E05465">
        <w:rPr>
          <w:rStyle w:val="CommentReference"/>
          <w:rFonts w:asciiTheme="minorHAnsi" w:hAnsiTheme="minorHAnsi"/>
          <w:b w:val="0"/>
          <w:iCs/>
          <w:sz w:val="24"/>
          <w:szCs w:val="24"/>
        </w:rPr>
        <w:instrText xml:space="preserve"> REF _Ref141444671 \r \h </w:instrText>
      </w:r>
      <w:r w:rsidR="00ED56D5" w:rsidRPr="00E05465">
        <w:rPr>
          <w:rStyle w:val="CommentReference"/>
          <w:rFonts w:asciiTheme="minorHAnsi" w:hAnsiTheme="minorHAnsi"/>
          <w:b w:val="0"/>
          <w:iCs/>
          <w:sz w:val="24"/>
          <w:szCs w:val="24"/>
        </w:rPr>
      </w:r>
      <w:r w:rsidR="00ED56D5" w:rsidRPr="00E05465">
        <w:rPr>
          <w:rStyle w:val="CommentReference"/>
          <w:rFonts w:asciiTheme="minorHAnsi" w:hAnsiTheme="minorHAnsi"/>
          <w:b w:val="0"/>
          <w:iCs/>
          <w:sz w:val="24"/>
          <w:szCs w:val="24"/>
        </w:rPr>
        <w:fldChar w:fldCharType="separate"/>
      </w:r>
      <w:r w:rsidR="00ED56D5" w:rsidRPr="00E05465">
        <w:rPr>
          <w:rStyle w:val="CommentReference"/>
          <w:rFonts w:asciiTheme="minorHAnsi" w:hAnsiTheme="minorHAnsi"/>
          <w:b w:val="0"/>
          <w:iCs/>
          <w:sz w:val="24"/>
          <w:szCs w:val="24"/>
        </w:rPr>
        <w:t>6.42</w:t>
      </w:r>
      <w:r w:rsidR="00ED56D5" w:rsidRPr="00E05465">
        <w:rPr>
          <w:rStyle w:val="CommentReference"/>
          <w:rFonts w:asciiTheme="minorHAnsi" w:hAnsiTheme="minorHAnsi"/>
          <w:b w:val="0"/>
          <w:iCs/>
          <w:sz w:val="24"/>
          <w:szCs w:val="24"/>
        </w:rPr>
        <w:fldChar w:fldCharType="end"/>
      </w:r>
      <w:r w:rsidRPr="00E05465">
        <w:rPr>
          <w:rStyle w:val="CommentReference"/>
          <w:rFonts w:asciiTheme="minorHAnsi" w:hAnsiTheme="minorHAnsi"/>
          <w:b w:val="0"/>
          <w:iCs/>
          <w:sz w:val="24"/>
          <w:szCs w:val="24"/>
        </w:rPr>
        <w:t>)</w:t>
      </w:r>
      <w:r w:rsidR="00ED56D5" w:rsidRPr="00E05465">
        <w:rPr>
          <w:rStyle w:val="CommentReference"/>
          <w:rFonts w:asciiTheme="minorHAnsi" w:hAnsiTheme="minorHAnsi"/>
          <w:b w:val="0"/>
          <w:iCs/>
          <w:sz w:val="24"/>
          <w:szCs w:val="24"/>
        </w:rPr>
        <w:t>,</w:t>
      </w:r>
      <w:r w:rsidRPr="00E05465">
        <w:rPr>
          <w:rStyle w:val="CommentReference"/>
          <w:rFonts w:asciiTheme="minorHAnsi" w:hAnsiTheme="minorHAnsi"/>
          <w:b w:val="0"/>
          <w:iCs/>
          <w:sz w:val="24"/>
          <w:szCs w:val="24"/>
        </w:rPr>
        <w:t xml:space="preserve"> the submission had </w:t>
      </w:r>
      <w:r w:rsidR="00395DF5" w:rsidRPr="00E05465">
        <w:t xml:space="preserve">included </w:t>
      </w:r>
      <w:r w:rsidR="00911783" w:rsidRPr="00E05465">
        <w:t>eculizumab</w:t>
      </w:r>
      <w:r w:rsidR="00395DF5" w:rsidRPr="00E05465">
        <w:t xml:space="preserve"> </w:t>
      </w:r>
      <w:r w:rsidR="007532E9" w:rsidRPr="00E05465">
        <w:t xml:space="preserve">loading </w:t>
      </w:r>
      <w:r w:rsidR="00395DF5" w:rsidRPr="00E05465">
        <w:t xml:space="preserve">doses </w:t>
      </w:r>
      <w:r w:rsidR="00911783" w:rsidRPr="00E05465">
        <w:t xml:space="preserve">in the CMA </w:t>
      </w:r>
      <w:r w:rsidRPr="00E05465">
        <w:t xml:space="preserve">which was not consistent with the financial analysis. </w:t>
      </w:r>
      <w:r w:rsidRPr="00E05465">
        <w:lastRenderedPageBreak/>
        <w:t xml:space="preserve">However, excluding these doses from the CMA did not reduce the resulting cost-minimised price to below the proposed AEMP. </w:t>
      </w:r>
    </w:p>
    <w:p w14:paraId="2113904E" w14:textId="77777777" w:rsidR="001212BA" w:rsidRPr="00E05465" w:rsidRDefault="001212BA" w:rsidP="001212BA">
      <w:pPr>
        <w:pStyle w:val="4-SubsectionHeading"/>
      </w:pPr>
      <w:bookmarkStart w:id="60" w:name="_Toc135034946"/>
      <w:r w:rsidRPr="00E05465">
        <w:t>Drug cost/patient/year</w:t>
      </w:r>
      <w:bookmarkEnd w:id="59"/>
      <w:bookmarkEnd w:id="60"/>
    </w:p>
    <w:p w14:paraId="0693D0BD" w14:textId="604B026B" w:rsidR="001212BA" w:rsidRPr="00E05465" w:rsidRDefault="001212BA" w:rsidP="002032B0">
      <w:pPr>
        <w:pStyle w:val="3-BodyText"/>
        <w:rPr>
          <w:i/>
        </w:rPr>
      </w:pPr>
      <w:r w:rsidRPr="00E05465">
        <w:t xml:space="preserve">Drug costs per patient per year are presented in </w:t>
      </w:r>
      <w:r w:rsidRPr="00E05465">
        <w:fldChar w:fldCharType="begin" w:fldLock="1"/>
      </w:r>
      <w:r w:rsidRPr="00E05465">
        <w:instrText xml:space="preserve"> REF _Ref134465143 \h </w:instrText>
      </w:r>
      <w:r w:rsidRPr="00E05465">
        <w:fldChar w:fldCharType="separate"/>
      </w:r>
      <w:r w:rsidR="00231664" w:rsidRPr="00E05465">
        <w:t xml:space="preserve">Table </w:t>
      </w:r>
      <w:r w:rsidR="00231664" w:rsidRPr="00E05465">
        <w:rPr>
          <w:noProof/>
        </w:rPr>
        <w:t>11</w:t>
      </w:r>
      <w:r w:rsidRPr="00E05465">
        <w:fldChar w:fldCharType="end"/>
      </w:r>
      <w:r w:rsidRPr="00E05465">
        <w:t>. At the proposed effective AEMP of $</w:t>
      </w:r>
      <w:r w:rsidR="00533927" w:rsidRPr="00687C33">
        <w:rPr>
          <w:color w:val="000000"/>
          <w:w w:val="15"/>
          <w:shd w:val="solid" w:color="000000" w:fill="000000"/>
          <w:fitText w:val="-20" w:id="-1168291582"/>
          <w14:textFill>
            <w14:solidFill>
              <w14:srgbClr w14:val="000000">
                <w14:alpha w14:val="100000"/>
              </w14:srgbClr>
            </w14:solidFill>
          </w14:textFill>
        </w:rPr>
        <w:t xml:space="preserve">|  </w:t>
      </w:r>
      <w:r w:rsidR="00533927" w:rsidRPr="00687C33">
        <w:rPr>
          <w:color w:val="000000"/>
          <w:spacing w:val="-69"/>
          <w:w w:val="15"/>
          <w:shd w:val="solid" w:color="000000" w:fill="000000"/>
          <w:fitText w:val="-20" w:id="-1168291582"/>
          <w14:textFill>
            <w14:solidFill>
              <w14:srgbClr w14:val="000000">
                <w14:alpha w14:val="100000"/>
              </w14:srgbClr>
            </w14:solidFill>
          </w14:textFill>
        </w:rPr>
        <w:t>|</w:t>
      </w:r>
      <w:r w:rsidRPr="00E05465">
        <w:t xml:space="preserve"> per 300</w:t>
      </w:r>
      <w:r w:rsidR="0020619D" w:rsidRPr="00E05465">
        <w:t> </w:t>
      </w:r>
      <w:r w:rsidRPr="00E05465">
        <w:t>mg vial, the estimated drug cost for ravulizumab per patient was $</w:t>
      </w:r>
      <w:r w:rsidR="00533927" w:rsidRPr="00687C33">
        <w:rPr>
          <w:color w:val="000000"/>
          <w:w w:val="15"/>
          <w:shd w:val="solid" w:color="000000" w:fill="000000"/>
          <w:fitText w:val="-20" w:id="-1168291581"/>
          <w14:textFill>
            <w14:solidFill>
              <w14:srgbClr w14:val="000000">
                <w14:alpha w14:val="100000"/>
              </w14:srgbClr>
            </w14:solidFill>
          </w14:textFill>
        </w:rPr>
        <w:t xml:space="preserve">|  </w:t>
      </w:r>
      <w:r w:rsidR="00533927" w:rsidRPr="00687C33">
        <w:rPr>
          <w:color w:val="000000"/>
          <w:spacing w:val="-69"/>
          <w:w w:val="15"/>
          <w:shd w:val="solid" w:color="000000" w:fill="000000"/>
          <w:fitText w:val="-20" w:id="-1168291581"/>
          <w14:textFill>
            <w14:solidFill>
              <w14:srgbClr w14:val="000000">
                <w14:alpha w14:val="100000"/>
              </w14:srgbClr>
            </w14:solidFill>
          </w14:textFill>
        </w:rPr>
        <w:t>|</w:t>
      </w:r>
      <w:r w:rsidRPr="00E05465">
        <w:t xml:space="preserve"> (72.42 vials for loading and maintenance doses) in the initial year and $</w:t>
      </w:r>
      <w:r w:rsidR="00533927" w:rsidRPr="00687C33">
        <w:rPr>
          <w:color w:val="000000"/>
          <w:w w:val="15"/>
          <w:shd w:val="solid" w:color="000000" w:fill="000000"/>
          <w:fitText w:val="-20" w:id="-1168291580"/>
          <w14:textFill>
            <w14:solidFill>
              <w14:srgbClr w14:val="000000">
                <w14:alpha w14:val="100000"/>
              </w14:srgbClr>
            </w14:solidFill>
          </w14:textFill>
        </w:rPr>
        <w:t xml:space="preserve">|  </w:t>
      </w:r>
      <w:r w:rsidR="00533927" w:rsidRPr="00687C33">
        <w:rPr>
          <w:color w:val="000000"/>
          <w:spacing w:val="-69"/>
          <w:w w:val="15"/>
          <w:shd w:val="solid" w:color="000000" w:fill="000000"/>
          <w:fitText w:val="-20" w:id="-1168291580"/>
          <w14:textFill>
            <w14:solidFill>
              <w14:srgbClr w14:val="000000">
                <w14:alpha w14:val="100000"/>
              </w14:srgbClr>
            </w14:solidFill>
          </w14:textFill>
        </w:rPr>
        <w:t>|</w:t>
      </w:r>
      <w:r w:rsidRPr="00E05465">
        <w:t xml:space="preserve"> per subsequent year (67.17 vials for maintenance doses only).</w:t>
      </w:r>
      <w:r w:rsidRPr="00E05465">
        <w:rPr>
          <w:rStyle w:val="FootnoteReference"/>
        </w:rPr>
        <w:footnoteReference w:id="6"/>
      </w:r>
      <w:r w:rsidRPr="00E05465">
        <w:rPr>
          <w:i/>
        </w:rPr>
        <w:t xml:space="preserve"> </w:t>
      </w:r>
    </w:p>
    <w:p w14:paraId="6FBB9250" w14:textId="5AF52FCB" w:rsidR="001212BA" w:rsidRPr="00E05465" w:rsidRDefault="001212BA" w:rsidP="001212BA">
      <w:pPr>
        <w:pStyle w:val="Caption"/>
      </w:pPr>
      <w:bookmarkStart w:id="61" w:name="_Ref134465143"/>
      <w:r w:rsidRPr="00E05465">
        <w:t xml:space="preserve">Table </w:t>
      </w:r>
      <w:r w:rsidR="00687C33">
        <w:fldChar w:fldCharType="begin" w:fldLock="1"/>
      </w:r>
      <w:r w:rsidR="00687C33">
        <w:instrText xml:space="preserve"> SEQ Table \* ARABIC </w:instrText>
      </w:r>
      <w:r w:rsidR="00687C33">
        <w:fldChar w:fldCharType="separate"/>
      </w:r>
      <w:r w:rsidR="00231664" w:rsidRPr="00E05465">
        <w:rPr>
          <w:noProof/>
        </w:rPr>
        <w:t>11</w:t>
      </w:r>
      <w:r w:rsidR="00687C33">
        <w:rPr>
          <w:noProof/>
        </w:rPr>
        <w:fldChar w:fldCharType="end"/>
      </w:r>
      <w:bookmarkEnd w:id="61"/>
      <w:r w:rsidRPr="00E05465">
        <w:t>: Drug cost per average patient per year</w:t>
      </w:r>
    </w:p>
    <w:tbl>
      <w:tblPr>
        <w:tblStyle w:val="TableGrid"/>
        <w:tblW w:w="5000" w:type="pct"/>
        <w:tblLayout w:type="fixed"/>
        <w:tblLook w:val="04A0" w:firstRow="1" w:lastRow="0" w:firstColumn="1" w:lastColumn="0" w:noHBand="0" w:noVBand="1"/>
      </w:tblPr>
      <w:tblGrid>
        <w:gridCol w:w="1555"/>
        <w:gridCol w:w="1201"/>
        <w:gridCol w:w="1322"/>
        <w:gridCol w:w="1322"/>
        <w:gridCol w:w="1322"/>
        <w:gridCol w:w="1318"/>
        <w:gridCol w:w="977"/>
      </w:tblGrid>
      <w:tr w:rsidR="00E05465" w:rsidRPr="00E05465" w14:paraId="0BFD7859" w14:textId="77777777" w:rsidTr="005B6D71">
        <w:tc>
          <w:tcPr>
            <w:tcW w:w="862" w:type="pct"/>
            <w:vMerge w:val="restart"/>
            <w:tcMar>
              <w:left w:w="40" w:type="dxa"/>
              <w:right w:w="40" w:type="dxa"/>
            </w:tcMar>
          </w:tcPr>
          <w:p w14:paraId="09E8F4FC" w14:textId="77777777" w:rsidR="005B6D71" w:rsidRPr="00E05465" w:rsidRDefault="005B6D71" w:rsidP="00071F3B">
            <w:pPr>
              <w:keepNext/>
            </w:pPr>
          </w:p>
        </w:tc>
        <w:tc>
          <w:tcPr>
            <w:tcW w:w="2132" w:type="pct"/>
            <w:gridSpan w:val="3"/>
            <w:tcMar>
              <w:left w:w="40" w:type="dxa"/>
              <w:right w:w="40" w:type="dxa"/>
            </w:tcMar>
          </w:tcPr>
          <w:p w14:paraId="490B2D01" w14:textId="77777777" w:rsidR="005B6D71" w:rsidRPr="00E05465" w:rsidRDefault="005B6D71" w:rsidP="00071F3B">
            <w:pPr>
              <w:pStyle w:val="TableText0"/>
              <w:jc w:val="center"/>
              <w:rPr>
                <w:b/>
              </w:rPr>
            </w:pPr>
            <w:r w:rsidRPr="00E05465">
              <w:rPr>
                <w:b/>
              </w:rPr>
              <w:t>Ravulizumab</w:t>
            </w:r>
          </w:p>
        </w:tc>
        <w:tc>
          <w:tcPr>
            <w:tcW w:w="2006" w:type="pct"/>
            <w:gridSpan w:val="3"/>
            <w:tcMar>
              <w:left w:w="40" w:type="dxa"/>
              <w:right w:w="40" w:type="dxa"/>
            </w:tcMar>
          </w:tcPr>
          <w:p w14:paraId="4CCA67D0" w14:textId="77777777" w:rsidR="005B6D71" w:rsidRPr="00E05465" w:rsidRDefault="005B6D71" w:rsidP="00071F3B">
            <w:pPr>
              <w:pStyle w:val="TableText0"/>
              <w:jc w:val="center"/>
              <w:rPr>
                <w:b/>
              </w:rPr>
            </w:pPr>
            <w:r w:rsidRPr="00E05465">
              <w:rPr>
                <w:b/>
              </w:rPr>
              <w:t>Eculizumab</w:t>
            </w:r>
          </w:p>
        </w:tc>
      </w:tr>
      <w:tr w:rsidR="00E05465" w:rsidRPr="00E05465" w14:paraId="72B304BB" w14:textId="77777777" w:rsidTr="005B6D71">
        <w:tc>
          <w:tcPr>
            <w:tcW w:w="862" w:type="pct"/>
            <w:vMerge/>
            <w:tcMar>
              <w:left w:w="40" w:type="dxa"/>
              <w:right w:w="40" w:type="dxa"/>
            </w:tcMar>
          </w:tcPr>
          <w:p w14:paraId="15FEA362" w14:textId="77777777" w:rsidR="005B6D71" w:rsidRPr="00E05465" w:rsidRDefault="005B6D71" w:rsidP="00071F3B">
            <w:pPr>
              <w:pStyle w:val="TableText0"/>
            </w:pPr>
          </w:p>
        </w:tc>
        <w:tc>
          <w:tcPr>
            <w:tcW w:w="666" w:type="pct"/>
            <w:tcMar>
              <w:left w:w="40" w:type="dxa"/>
              <w:right w:w="40" w:type="dxa"/>
            </w:tcMar>
            <w:vAlign w:val="center"/>
          </w:tcPr>
          <w:p w14:paraId="64CEB127" w14:textId="77777777" w:rsidR="005B6D71" w:rsidRPr="00E05465" w:rsidRDefault="005B6D71" w:rsidP="00071F3B">
            <w:pPr>
              <w:pStyle w:val="TableText0"/>
              <w:jc w:val="center"/>
              <w:rPr>
                <w:b/>
                <w:vertAlign w:val="superscript"/>
              </w:rPr>
            </w:pPr>
            <w:r w:rsidRPr="00E05465">
              <w:rPr>
                <w:b/>
              </w:rPr>
              <w:t>Study 304</w:t>
            </w:r>
          </w:p>
          <w:p w14:paraId="686F1B1A" w14:textId="77777777" w:rsidR="005B6D71" w:rsidRPr="00E05465" w:rsidRDefault="005B6D71" w:rsidP="00071F3B">
            <w:pPr>
              <w:pStyle w:val="TableText0"/>
              <w:jc w:val="center"/>
            </w:pPr>
            <w:r w:rsidRPr="00E05465">
              <w:t>(183 days)</w:t>
            </w:r>
          </w:p>
        </w:tc>
        <w:tc>
          <w:tcPr>
            <w:tcW w:w="733" w:type="pct"/>
            <w:tcMar>
              <w:left w:w="40" w:type="dxa"/>
              <w:right w:w="40" w:type="dxa"/>
            </w:tcMar>
            <w:vAlign w:val="center"/>
          </w:tcPr>
          <w:p w14:paraId="096FB0E8" w14:textId="77777777" w:rsidR="005B6D71" w:rsidRPr="00E05465" w:rsidRDefault="005B6D71" w:rsidP="00071F3B">
            <w:pPr>
              <w:pStyle w:val="TableText0"/>
              <w:jc w:val="center"/>
            </w:pPr>
            <w:r w:rsidRPr="00E05465">
              <w:rPr>
                <w:b/>
              </w:rPr>
              <w:t>Cost Minimisation</w:t>
            </w:r>
          </w:p>
        </w:tc>
        <w:tc>
          <w:tcPr>
            <w:tcW w:w="733" w:type="pct"/>
            <w:tcMar>
              <w:left w:w="40" w:type="dxa"/>
              <w:right w:w="40" w:type="dxa"/>
            </w:tcMar>
            <w:vAlign w:val="center"/>
          </w:tcPr>
          <w:p w14:paraId="1CE25C72" w14:textId="77777777" w:rsidR="005B6D71" w:rsidRPr="00E05465" w:rsidRDefault="005B6D71" w:rsidP="00071F3B">
            <w:pPr>
              <w:pStyle w:val="TableText0"/>
              <w:jc w:val="center"/>
            </w:pPr>
            <w:r w:rsidRPr="00E05465">
              <w:rPr>
                <w:b/>
              </w:rPr>
              <w:t>Financials</w:t>
            </w:r>
          </w:p>
        </w:tc>
        <w:tc>
          <w:tcPr>
            <w:tcW w:w="733" w:type="pct"/>
            <w:tcMar>
              <w:left w:w="40" w:type="dxa"/>
              <w:right w:w="40" w:type="dxa"/>
            </w:tcMar>
            <w:vAlign w:val="center"/>
          </w:tcPr>
          <w:p w14:paraId="330142AD" w14:textId="77777777" w:rsidR="005B6D71" w:rsidRPr="00E05465" w:rsidRDefault="005B6D71" w:rsidP="00071F3B">
            <w:pPr>
              <w:pStyle w:val="TableText0"/>
              <w:jc w:val="center"/>
              <w:rPr>
                <w:b/>
                <w:vertAlign w:val="superscript"/>
                <w:lang w:val="en-US"/>
              </w:rPr>
            </w:pPr>
            <w:r w:rsidRPr="00E05465">
              <w:rPr>
                <w:b/>
                <w:lang w:val="en-US"/>
              </w:rPr>
              <w:t>Study M07-005</w:t>
            </w:r>
          </w:p>
          <w:p w14:paraId="5267C8B4" w14:textId="77777777" w:rsidR="005B6D71" w:rsidRPr="00E05465" w:rsidRDefault="005B6D71" w:rsidP="00071F3B">
            <w:pPr>
              <w:pStyle w:val="TableText0"/>
              <w:jc w:val="center"/>
            </w:pPr>
            <w:r w:rsidRPr="00E05465">
              <w:t>(86 days)</w:t>
            </w:r>
          </w:p>
        </w:tc>
        <w:tc>
          <w:tcPr>
            <w:tcW w:w="731" w:type="pct"/>
            <w:tcMar>
              <w:left w:w="40" w:type="dxa"/>
              <w:right w:w="40" w:type="dxa"/>
            </w:tcMar>
            <w:vAlign w:val="center"/>
          </w:tcPr>
          <w:p w14:paraId="728B83C5" w14:textId="77777777" w:rsidR="005B6D71" w:rsidRPr="00E05465" w:rsidRDefault="005B6D71" w:rsidP="00071F3B">
            <w:pPr>
              <w:pStyle w:val="TableText0"/>
              <w:jc w:val="center"/>
            </w:pPr>
            <w:r w:rsidRPr="00E05465">
              <w:rPr>
                <w:b/>
              </w:rPr>
              <w:t>Cost Minimisation</w:t>
            </w:r>
          </w:p>
        </w:tc>
        <w:tc>
          <w:tcPr>
            <w:tcW w:w="542" w:type="pct"/>
            <w:tcMar>
              <w:left w:w="40" w:type="dxa"/>
              <w:right w:w="40" w:type="dxa"/>
            </w:tcMar>
            <w:vAlign w:val="center"/>
          </w:tcPr>
          <w:p w14:paraId="6D4B095C" w14:textId="77777777" w:rsidR="005B6D71" w:rsidRPr="00E05465" w:rsidRDefault="005B6D71" w:rsidP="00071F3B">
            <w:pPr>
              <w:pStyle w:val="TableText0"/>
              <w:jc w:val="center"/>
            </w:pPr>
            <w:r w:rsidRPr="00E05465">
              <w:rPr>
                <w:b/>
              </w:rPr>
              <w:t>Financials</w:t>
            </w:r>
          </w:p>
        </w:tc>
      </w:tr>
      <w:tr w:rsidR="00E05465" w:rsidRPr="00E05465" w14:paraId="70EB99E8" w14:textId="77777777" w:rsidTr="005B6D71">
        <w:tc>
          <w:tcPr>
            <w:tcW w:w="862" w:type="pct"/>
            <w:tcMar>
              <w:left w:w="40" w:type="dxa"/>
              <w:right w:w="40" w:type="dxa"/>
            </w:tcMar>
            <w:vAlign w:val="center"/>
          </w:tcPr>
          <w:p w14:paraId="58C972F1" w14:textId="77777777" w:rsidR="001212BA" w:rsidRPr="00E05465" w:rsidRDefault="001212BA" w:rsidP="00071F3B">
            <w:pPr>
              <w:pStyle w:val="TableText0"/>
            </w:pPr>
            <w:r w:rsidRPr="00E05465">
              <w:t>Total dose per year</w:t>
            </w:r>
          </w:p>
          <w:p w14:paraId="434B6EE1" w14:textId="77777777" w:rsidR="001212BA" w:rsidRPr="00E05465" w:rsidRDefault="001212BA" w:rsidP="00071F3B">
            <w:pPr>
              <w:pStyle w:val="TableText0"/>
            </w:pPr>
            <w:r w:rsidRPr="00E05465">
              <w:t>(revised)</w:t>
            </w:r>
          </w:p>
        </w:tc>
        <w:tc>
          <w:tcPr>
            <w:tcW w:w="666" w:type="pct"/>
            <w:tcMar>
              <w:left w:w="40" w:type="dxa"/>
              <w:right w:w="40" w:type="dxa"/>
            </w:tcMar>
            <w:vAlign w:val="center"/>
          </w:tcPr>
          <w:p w14:paraId="3FE973B9" w14:textId="77777777" w:rsidR="001212BA" w:rsidRPr="00E05465" w:rsidRDefault="001212BA" w:rsidP="00071F3B">
            <w:pPr>
              <w:pStyle w:val="TableText0"/>
              <w:jc w:val="center"/>
              <w:rPr>
                <w:vertAlign w:val="superscript"/>
              </w:rPr>
            </w:pPr>
            <w:r w:rsidRPr="00E05465">
              <w:t>11,500mg</w:t>
            </w:r>
            <w:r w:rsidRPr="00E05465">
              <w:rPr>
                <w:vertAlign w:val="superscript"/>
              </w:rPr>
              <w:t>a</w:t>
            </w:r>
          </w:p>
        </w:tc>
        <w:tc>
          <w:tcPr>
            <w:tcW w:w="733" w:type="pct"/>
            <w:tcMar>
              <w:left w:w="40" w:type="dxa"/>
              <w:right w:w="40" w:type="dxa"/>
            </w:tcMar>
            <w:vAlign w:val="center"/>
          </w:tcPr>
          <w:p w14:paraId="7A094CB5" w14:textId="77777777" w:rsidR="001212BA" w:rsidRPr="00E05465" w:rsidRDefault="001212BA" w:rsidP="00071F3B">
            <w:pPr>
              <w:pStyle w:val="TableText0"/>
              <w:jc w:val="center"/>
              <w:rPr>
                <w:vertAlign w:val="superscript"/>
              </w:rPr>
            </w:pPr>
            <w:r w:rsidRPr="00E05465">
              <w:t>Yr 1: 21,725mg</w:t>
            </w:r>
            <w:r w:rsidRPr="00E05465">
              <w:rPr>
                <w:vertAlign w:val="superscript"/>
              </w:rPr>
              <w:t>b</w:t>
            </w:r>
          </w:p>
          <w:p w14:paraId="51D0A70D" w14:textId="77777777" w:rsidR="001212BA" w:rsidRPr="00E05465" w:rsidRDefault="001212BA" w:rsidP="00071F3B">
            <w:pPr>
              <w:pStyle w:val="TableText0"/>
              <w:jc w:val="center"/>
              <w:rPr>
                <w:vertAlign w:val="superscript"/>
              </w:rPr>
            </w:pPr>
            <w:r w:rsidRPr="00E05465">
              <w:t>Yr 2: 20,150mg</w:t>
            </w:r>
            <w:r w:rsidRPr="00E05465">
              <w:rPr>
                <w:vertAlign w:val="superscript"/>
              </w:rPr>
              <w:t>c</w:t>
            </w:r>
          </w:p>
        </w:tc>
        <w:tc>
          <w:tcPr>
            <w:tcW w:w="733" w:type="pct"/>
            <w:tcMar>
              <w:left w:w="40" w:type="dxa"/>
              <w:right w:w="40" w:type="dxa"/>
            </w:tcMar>
            <w:vAlign w:val="center"/>
          </w:tcPr>
          <w:p w14:paraId="4CA57BC2" w14:textId="77777777" w:rsidR="001212BA" w:rsidRPr="00E05465" w:rsidRDefault="001212BA" w:rsidP="00071F3B">
            <w:pPr>
              <w:pStyle w:val="TableText0"/>
              <w:jc w:val="center"/>
              <w:rPr>
                <w:vertAlign w:val="superscript"/>
              </w:rPr>
            </w:pPr>
            <w:r w:rsidRPr="00E05465">
              <w:t>Yr 1: 21,100mg</w:t>
            </w:r>
            <w:r w:rsidRPr="00E05465">
              <w:rPr>
                <w:vertAlign w:val="superscript"/>
              </w:rPr>
              <w:t>d</w:t>
            </w:r>
          </w:p>
          <w:p w14:paraId="038999BF" w14:textId="77777777" w:rsidR="001212BA" w:rsidRPr="00E05465" w:rsidRDefault="001212BA" w:rsidP="00071F3B">
            <w:pPr>
              <w:pStyle w:val="TableText0"/>
              <w:jc w:val="center"/>
              <w:rPr>
                <w:vertAlign w:val="superscript"/>
              </w:rPr>
            </w:pPr>
            <w:r w:rsidRPr="00E05465">
              <w:t>(21,725mg)</w:t>
            </w:r>
            <w:r w:rsidRPr="00E05465">
              <w:rPr>
                <w:vertAlign w:val="superscript"/>
              </w:rPr>
              <w:t>b</w:t>
            </w:r>
          </w:p>
          <w:p w14:paraId="50DBE6D0" w14:textId="77777777" w:rsidR="001212BA" w:rsidRPr="00E05465" w:rsidRDefault="001212BA" w:rsidP="00071F3B">
            <w:pPr>
              <w:pStyle w:val="TableText0"/>
              <w:jc w:val="center"/>
              <w:rPr>
                <w:vertAlign w:val="superscript"/>
              </w:rPr>
            </w:pPr>
            <w:r w:rsidRPr="00E05465">
              <w:t>Yr 2: 20,150mg</w:t>
            </w:r>
            <w:r w:rsidRPr="00E05465">
              <w:rPr>
                <w:vertAlign w:val="superscript"/>
              </w:rPr>
              <w:t>c</w:t>
            </w:r>
          </w:p>
        </w:tc>
        <w:tc>
          <w:tcPr>
            <w:tcW w:w="733" w:type="pct"/>
            <w:tcMar>
              <w:left w:w="40" w:type="dxa"/>
              <w:right w:w="40" w:type="dxa"/>
            </w:tcMar>
            <w:vAlign w:val="center"/>
          </w:tcPr>
          <w:p w14:paraId="1F329CC5" w14:textId="77777777" w:rsidR="001212BA" w:rsidRPr="00E05465" w:rsidRDefault="001212BA" w:rsidP="00071F3B">
            <w:pPr>
              <w:pStyle w:val="TableText0"/>
              <w:jc w:val="center"/>
            </w:pPr>
            <w:r w:rsidRPr="00E05465">
              <w:t>6,875mg</w:t>
            </w:r>
            <w:r w:rsidRPr="00E05465">
              <w:rPr>
                <w:vertAlign w:val="superscript"/>
              </w:rPr>
              <w:t>e</w:t>
            </w:r>
          </w:p>
        </w:tc>
        <w:tc>
          <w:tcPr>
            <w:tcW w:w="731" w:type="pct"/>
            <w:tcMar>
              <w:left w:w="40" w:type="dxa"/>
              <w:right w:w="40" w:type="dxa"/>
            </w:tcMar>
            <w:vAlign w:val="center"/>
          </w:tcPr>
          <w:p w14:paraId="73B4F7EC" w14:textId="77777777" w:rsidR="001212BA" w:rsidRPr="00E05465" w:rsidRDefault="001212BA" w:rsidP="00071F3B">
            <w:pPr>
              <w:pStyle w:val="TableText0"/>
              <w:jc w:val="center"/>
            </w:pPr>
            <w:r w:rsidRPr="00E05465">
              <w:t>Yr 1: 23,953mg</w:t>
            </w:r>
            <w:r w:rsidRPr="00E05465">
              <w:rPr>
                <w:vertAlign w:val="superscript"/>
              </w:rPr>
              <w:t>f</w:t>
            </w:r>
          </w:p>
          <w:p w14:paraId="00980815" w14:textId="77777777" w:rsidR="001212BA" w:rsidRPr="00E05465" w:rsidRDefault="001212BA" w:rsidP="00071F3B">
            <w:pPr>
              <w:pStyle w:val="TableText0"/>
              <w:jc w:val="center"/>
            </w:pPr>
            <w:r w:rsidRPr="00E05465">
              <w:t>Yr 2: 23,400mg</w:t>
            </w:r>
            <w:r w:rsidRPr="00E05465">
              <w:rPr>
                <w:vertAlign w:val="superscript"/>
              </w:rPr>
              <w:t>g</w:t>
            </w:r>
          </w:p>
        </w:tc>
        <w:tc>
          <w:tcPr>
            <w:tcW w:w="542" w:type="pct"/>
            <w:tcMar>
              <w:left w:w="40" w:type="dxa"/>
              <w:right w:w="40" w:type="dxa"/>
            </w:tcMar>
            <w:vAlign w:val="center"/>
          </w:tcPr>
          <w:p w14:paraId="76DBFFA7" w14:textId="5CBA575F" w:rsidR="001212BA" w:rsidRPr="00E05465" w:rsidRDefault="001212BA" w:rsidP="00911783">
            <w:pPr>
              <w:pStyle w:val="TableText0"/>
              <w:jc w:val="center"/>
            </w:pPr>
            <w:r w:rsidRPr="00E05465">
              <w:t>23,400mg</w:t>
            </w:r>
            <w:r w:rsidRPr="00E05465">
              <w:rPr>
                <w:vertAlign w:val="superscript"/>
              </w:rPr>
              <w:t>h</w:t>
            </w:r>
          </w:p>
        </w:tc>
      </w:tr>
      <w:tr w:rsidR="00E05465" w:rsidRPr="00E05465" w14:paraId="7B9708C1" w14:textId="77777777" w:rsidTr="005B6D71">
        <w:tc>
          <w:tcPr>
            <w:tcW w:w="862" w:type="pct"/>
            <w:tcMar>
              <w:left w:w="40" w:type="dxa"/>
              <w:right w:w="40" w:type="dxa"/>
            </w:tcMar>
            <w:vAlign w:val="center"/>
          </w:tcPr>
          <w:p w14:paraId="197C5D62" w14:textId="77777777" w:rsidR="001212BA" w:rsidRPr="00E05465" w:rsidRDefault="001212BA" w:rsidP="00071F3B">
            <w:pPr>
              <w:pStyle w:val="TableText0"/>
              <w:rPr>
                <w:vertAlign w:val="superscript"/>
              </w:rPr>
            </w:pPr>
            <w:r w:rsidRPr="00E05465">
              <w:t>Total cost per year</w:t>
            </w:r>
          </w:p>
          <w:p w14:paraId="53173511" w14:textId="77777777" w:rsidR="001212BA" w:rsidRPr="00E05465" w:rsidRDefault="001212BA" w:rsidP="00071F3B">
            <w:pPr>
              <w:pStyle w:val="TableText0"/>
            </w:pPr>
            <w:r w:rsidRPr="00E05465">
              <w:t>(revised)</w:t>
            </w:r>
          </w:p>
        </w:tc>
        <w:tc>
          <w:tcPr>
            <w:tcW w:w="666" w:type="pct"/>
            <w:tcMar>
              <w:left w:w="40" w:type="dxa"/>
              <w:right w:w="40" w:type="dxa"/>
            </w:tcMar>
            <w:vAlign w:val="center"/>
          </w:tcPr>
          <w:p w14:paraId="3C5BBD6B" w14:textId="158A9EA9" w:rsidR="001212BA" w:rsidRPr="00E05465" w:rsidRDefault="001212BA" w:rsidP="00071F3B">
            <w:pPr>
              <w:pStyle w:val="TableText0"/>
              <w:jc w:val="center"/>
              <w:rPr>
                <w:vertAlign w:val="superscript"/>
              </w:rPr>
            </w:pPr>
            <w:r w:rsidRPr="00E05465">
              <w:t>$</w:t>
            </w:r>
            <w:r w:rsidR="00533927" w:rsidRPr="00533927">
              <w:rPr>
                <w:rFonts w:hint="eastAsia"/>
                <w:color w:val="000000"/>
                <w:w w:val="15"/>
                <w:shd w:val="solid" w:color="000000" w:fill="000000"/>
                <w:fitText w:val="45" w:id="-1168291579"/>
                <w14:textFill>
                  <w14:solidFill>
                    <w14:srgbClr w14:val="000000">
                      <w14:alpha w14:val="100000"/>
                    </w14:srgbClr>
                  </w14:solidFill>
                </w14:textFill>
              </w:rPr>
              <w:t xml:space="preserve">　</w:t>
            </w:r>
            <w:r w:rsidR="00533927" w:rsidRPr="00533927">
              <w:rPr>
                <w:color w:val="000000"/>
                <w:w w:val="15"/>
                <w:shd w:val="solid" w:color="000000" w:fill="000000"/>
                <w:fitText w:val="45" w:id="-1168291579"/>
                <w14:textFill>
                  <w14:solidFill>
                    <w14:srgbClr w14:val="000000">
                      <w14:alpha w14:val="100000"/>
                    </w14:srgbClr>
                  </w14:solidFill>
                </w14:textFill>
              </w:rPr>
              <w:t>|</w:t>
            </w:r>
            <w:r w:rsidR="00533927" w:rsidRPr="00533927">
              <w:rPr>
                <w:rFonts w:hint="eastAsia"/>
                <w:color w:val="000000"/>
                <w:spacing w:val="-30"/>
                <w:w w:val="15"/>
                <w:shd w:val="solid" w:color="000000" w:fill="000000"/>
                <w:fitText w:val="45" w:id="-1168291579"/>
                <w14:textFill>
                  <w14:solidFill>
                    <w14:srgbClr w14:val="000000">
                      <w14:alpha w14:val="100000"/>
                    </w14:srgbClr>
                  </w14:solidFill>
                </w14:textFill>
              </w:rPr>
              <w:t xml:space="preserve">　</w:t>
            </w:r>
            <w:r w:rsidRPr="00E05465">
              <w:rPr>
                <w:vertAlign w:val="superscript"/>
              </w:rPr>
              <w:t>i</w:t>
            </w:r>
          </w:p>
        </w:tc>
        <w:tc>
          <w:tcPr>
            <w:tcW w:w="733" w:type="pct"/>
            <w:tcMar>
              <w:left w:w="40" w:type="dxa"/>
              <w:right w:w="40" w:type="dxa"/>
            </w:tcMar>
            <w:vAlign w:val="center"/>
          </w:tcPr>
          <w:p w14:paraId="267E8F75" w14:textId="5CFD51C4" w:rsidR="001212BA" w:rsidRPr="00E05465" w:rsidRDefault="001212BA" w:rsidP="00071F3B">
            <w:pPr>
              <w:pStyle w:val="TableText0"/>
              <w:jc w:val="center"/>
              <w:rPr>
                <w:vertAlign w:val="superscript"/>
              </w:rPr>
            </w:pPr>
            <w:r w:rsidRPr="00E05465">
              <w:t>Yr 1: $</w:t>
            </w:r>
            <w:r w:rsidR="00533927" w:rsidRPr="00533927">
              <w:rPr>
                <w:color w:val="000000"/>
                <w:spacing w:val="94"/>
                <w:shd w:val="solid" w:color="000000" w:fill="000000"/>
                <w:fitText w:val="180" w:id="-1168291578"/>
                <w14:textFill>
                  <w14:solidFill>
                    <w14:srgbClr w14:val="000000">
                      <w14:alpha w14:val="100000"/>
                    </w14:srgbClr>
                  </w14:solidFill>
                </w14:textFill>
              </w:rPr>
              <w:t>|</w:t>
            </w:r>
            <w:r w:rsidR="00533927" w:rsidRPr="00533927">
              <w:rPr>
                <w:color w:val="000000"/>
                <w:spacing w:val="1"/>
                <w:shd w:val="solid" w:color="000000" w:fill="000000"/>
                <w:fitText w:val="180" w:id="-1168291578"/>
                <w14:textFill>
                  <w14:solidFill>
                    <w14:srgbClr w14:val="000000">
                      <w14:alpha w14:val="100000"/>
                    </w14:srgbClr>
                  </w14:solidFill>
                </w14:textFill>
              </w:rPr>
              <w:t>|</w:t>
            </w:r>
            <w:r w:rsidRPr="00E05465">
              <w:rPr>
                <w:vertAlign w:val="superscript"/>
              </w:rPr>
              <w:t>j</w:t>
            </w:r>
          </w:p>
          <w:p w14:paraId="60525052" w14:textId="2C22881B" w:rsidR="001212BA" w:rsidRPr="00E05465" w:rsidRDefault="001212BA" w:rsidP="00071F3B">
            <w:pPr>
              <w:pStyle w:val="TableText0"/>
              <w:jc w:val="center"/>
              <w:rPr>
                <w:vertAlign w:val="superscript"/>
              </w:rPr>
            </w:pPr>
            <w:r w:rsidRPr="00E05465">
              <w:t>Yr 2: $</w:t>
            </w:r>
            <w:r w:rsidR="00533927" w:rsidRPr="00533927">
              <w:rPr>
                <w:color w:val="000000"/>
                <w:spacing w:val="94"/>
                <w:shd w:val="solid" w:color="000000" w:fill="000000"/>
                <w:fitText w:val="180" w:id="-1168291577"/>
                <w14:textFill>
                  <w14:solidFill>
                    <w14:srgbClr w14:val="000000">
                      <w14:alpha w14:val="100000"/>
                    </w14:srgbClr>
                  </w14:solidFill>
                </w14:textFill>
              </w:rPr>
              <w:t>|</w:t>
            </w:r>
            <w:r w:rsidR="00533927" w:rsidRPr="00533927">
              <w:rPr>
                <w:color w:val="000000"/>
                <w:spacing w:val="1"/>
                <w:shd w:val="solid" w:color="000000" w:fill="000000"/>
                <w:fitText w:val="180" w:id="-1168291577"/>
                <w14:textFill>
                  <w14:solidFill>
                    <w14:srgbClr w14:val="000000">
                      <w14:alpha w14:val="100000"/>
                    </w14:srgbClr>
                  </w14:solidFill>
                </w14:textFill>
              </w:rPr>
              <w:t>|</w:t>
            </w:r>
            <w:r w:rsidRPr="00E05465">
              <w:rPr>
                <w:vertAlign w:val="superscript"/>
              </w:rPr>
              <w:t>j</w:t>
            </w:r>
          </w:p>
        </w:tc>
        <w:tc>
          <w:tcPr>
            <w:tcW w:w="733" w:type="pct"/>
            <w:tcMar>
              <w:left w:w="40" w:type="dxa"/>
              <w:right w:w="40" w:type="dxa"/>
            </w:tcMar>
            <w:vAlign w:val="center"/>
          </w:tcPr>
          <w:p w14:paraId="50E04B4E" w14:textId="63C42B65" w:rsidR="001212BA" w:rsidRPr="00E05465" w:rsidRDefault="001212BA" w:rsidP="00071F3B">
            <w:pPr>
              <w:pStyle w:val="TableText0"/>
              <w:jc w:val="center"/>
              <w:rPr>
                <w:vertAlign w:val="superscript"/>
              </w:rPr>
            </w:pPr>
            <w:r w:rsidRPr="00E05465">
              <w:t>Yr 1: $</w:t>
            </w:r>
            <w:r w:rsidR="00533927" w:rsidRPr="00533927">
              <w:rPr>
                <w:color w:val="000000"/>
                <w:spacing w:val="109"/>
                <w:shd w:val="solid" w:color="000000" w:fill="000000"/>
                <w:fitText w:val="195" w:id="-1168291576"/>
                <w14:textFill>
                  <w14:solidFill>
                    <w14:srgbClr w14:val="000000">
                      <w14:alpha w14:val="100000"/>
                    </w14:srgbClr>
                  </w14:solidFill>
                </w14:textFill>
              </w:rPr>
              <w:t>|</w:t>
            </w:r>
            <w:r w:rsidR="00533927" w:rsidRPr="00533927">
              <w:rPr>
                <w:color w:val="000000"/>
                <w:spacing w:val="1"/>
                <w:shd w:val="solid" w:color="000000" w:fill="000000"/>
                <w:fitText w:val="195" w:id="-1168291576"/>
                <w14:textFill>
                  <w14:solidFill>
                    <w14:srgbClr w14:val="000000">
                      <w14:alpha w14:val="100000"/>
                    </w14:srgbClr>
                  </w14:solidFill>
                </w14:textFill>
              </w:rPr>
              <w:t>|</w:t>
            </w:r>
            <w:r w:rsidRPr="00E05465">
              <w:rPr>
                <w:vertAlign w:val="superscript"/>
              </w:rPr>
              <w:t>k</w:t>
            </w:r>
          </w:p>
          <w:p w14:paraId="47B5D04B" w14:textId="7B47A13F" w:rsidR="001212BA" w:rsidRPr="00E05465" w:rsidRDefault="001212BA" w:rsidP="00071F3B">
            <w:pPr>
              <w:pStyle w:val="TableText0"/>
              <w:jc w:val="center"/>
              <w:rPr>
                <w:vertAlign w:val="superscript"/>
              </w:rPr>
            </w:pPr>
            <w:r w:rsidRPr="00E05465">
              <w:t>($</w:t>
            </w:r>
            <w:r w:rsidR="00533927" w:rsidRPr="00533927">
              <w:rPr>
                <w:rFonts w:hint="eastAsia"/>
                <w:color w:val="000000"/>
                <w:w w:val="15"/>
                <w:shd w:val="solid" w:color="000000" w:fill="000000"/>
                <w:fitText w:val="60" w:id="-1168291575"/>
                <w14:textFill>
                  <w14:solidFill>
                    <w14:srgbClr w14:val="000000">
                      <w14:alpha w14:val="100000"/>
                    </w14:srgbClr>
                  </w14:solidFill>
                </w14:textFill>
              </w:rPr>
              <w:t xml:space="preserve">　</w:t>
            </w:r>
            <w:r w:rsidR="00533927" w:rsidRPr="00533927">
              <w:rPr>
                <w:color w:val="000000"/>
                <w:w w:val="15"/>
                <w:shd w:val="solid" w:color="000000" w:fill="000000"/>
                <w:fitText w:val="60" w:id="-1168291575"/>
                <w14:textFill>
                  <w14:solidFill>
                    <w14:srgbClr w14:val="000000">
                      <w14:alpha w14:val="100000"/>
                    </w14:srgbClr>
                  </w14:solidFill>
                </w14:textFill>
              </w:rPr>
              <w:t>|</w:t>
            </w:r>
            <w:r w:rsidR="00533927" w:rsidRPr="00533927">
              <w:rPr>
                <w:rFonts w:hint="eastAsia"/>
                <w:color w:val="000000"/>
                <w:spacing w:val="-15"/>
                <w:w w:val="15"/>
                <w:shd w:val="solid" w:color="000000" w:fill="000000"/>
                <w:fitText w:val="60" w:id="-1168291575"/>
                <w14:textFill>
                  <w14:solidFill>
                    <w14:srgbClr w14:val="000000">
                      <w14:alpha w14:val="100000"/>
                    </w14:srgbClr>
                  </w14:solidFill>
                </w14:textFill>
              </w:rPr>
              <w:t xml:space="preserve">　</w:t>
            </w:r>
            <w:r w:rsidRPr="00E05465">
              <w:t>)</w:t>
            </w:r>
            <w:r w:rsidRPr="00E05465">
              <w:rPr>
                <w:vertAlign w:val="superscript"/>
              </w:rPr>
              <w:t>k</w:t>
            </w:r>
          </w:p>
          <w:p w14:paraId="2504A8BC" w14:textId="76FCD0AE" w:rsidR="001212BA" w:rsidRPr="00E05465" w:rsidRDefault="001212BA" w:rsidP="00071F3B">
            <w:pPr>
              <w:pStyle w:val="TableText0"/>
              <w:jc w:val="center"/>
              <w:rPr>
                <w:vertAlign w:val="superscript"/>
              </w:rPr>
            </w:pPr>
            <w:r w:rsidRPr="00E05465">
              <w:t>Yr 2+: $</w:t>
            </w:r>
            <w:r w:rsidR="00533927" w:rsidRPr="00533927">
              <w:rPr>
                <w:color w:val="000000"/>
                <w:spacing w:val="154"/>
                <w:shd w:val="solid" w:color="000000" w:fill="000000"/>
                <w:fitText w:val="240" w:id="-1168291328"/>
                <w14:textFill>
                  <w14:solidFill>
                    <w14:srgbClr w14:val="000000">
                      <w14:alpha w14:val="100000"/>
                    </w14:srgbClr>
                  </w14:solidFill>
                </w14:textFill>
              </w:rPr>
              <w:t>|</w:t>
            </w:r>
            <w:r w:rsidR="00533927" w:rsidRPr="00533927">
              <w:rPr>
                <w:color w:val="000000"/>
                <w:spacing w:val="1"/>
                <w:shd w:val="solid" w:color="000000" w:fill="000000"/>
                <w:fitText w:val="240" w:id="-1168291328"/>
                <w14:textFill>
                  <w14:solidFill>
                    <w14:srgbClr w14:val="000000">
                      <w14:alpha w14:val="100000"/>
                    </w14:srgbClr>
                  </w14:solidFill>
                </w14:textFill>
              </w:rPr>
              <w:t>|</w:t>
            </w:r>
            <w:r w:rsidRPr="00E05465">
              <w:rPr>
                <w:vertAlign w:val="superscript"/>
              </w:rPr>
              <w:t>k</w:t>
            </w:r>
          </w:p>
        </w:tc>
        <w:tc>
          <w:tcPr>
            <w:tcW w:w="733" w:type="pct"/>
            <w:tcMar>
              <w:left w:w="40" w:type="dxa"/>
              <w:right w:w="40" w:type="dxa"/>
            </w:tcMar>
            <w:vAlign w:val="center"/>
          </w:tcPr>
          <w:p w14:paraId="3ECA05D2" w14:textId="03D436A3" w:rsidR="001212BA" w:rsidRPr="00E05465" w:rsidRDefault="001212BA" w:rsidP="00071F3B">
            <w:pPr>
              <w:pStyle w:val="TableText0"/>
              <w:jc w:val="center"/>
            </w:pPr>
            <w:r w:rsidRPr="00E05465">
              <w:t>$</w:t>
            </w:r>
            <w:r w:rsidR="00533927" w:rsidRPr="00533927">
              <w:rPr>
                <w:color w:val="000000"/>
                <w:shd w:val="solid" w:color="000000" w:fill="000000"/>
                <w14:textFill>
                  <w14:solidFill>
                    <w14:srgbClr w14:val="000000">
                      <w14:alpha w14:val="100000"/>
                    </w14:srgbClr>
                  </w14:solidFill>
                </w14:textFill>
              </w:rPr>
              <w:t>|</w:t>
            </w:r>
            <w:r w:rsidRPr="00E05465">
              <w:rPr>
                <w:vertAlign w:val="superscript"/>
              </w:rPr>
              <w:t>l</w:t>
            </w:r>
          </w:p>
        </w:tc>
        <w:tc>
          <w:tcPr>
            <w:tcW w:w="731" w:type="pct"/>
            <w:tcMar>
              <w:left w:w="40" w:type="dxa"/>
              <w:right w:w="40" w:type="dxa"/>
            </w:tcMar>
            <w:vAlign w:val="center"/>
          </w:tcPr>
          <w:p w14:paraId="674E14BD" w14:textId="25B2D68C" w:rsidR="001212BA" w:rsidRPr="00E05465" w:rsidRDefault="001212BA" w:rsidP="00071F3B">
            <w:pPr>
              <w:pStyle w:val="TableText0"/>
              <w:jc w:val="center"/>
              <w:rPr>
                <w:vertAlign w:val="superscript"/>
              </w:rPr>
            </w:pPr>
            <w:r w:rsidRPr="00E05465">
              <w:t>Yr 1: $</w:t>
            </w:r>
            <w:r w:rsidR="00533927" w:rsidRPr="00533927">
              <w:rPr>
                <w:color w:val="000000"/>
                <w:spacing w:val="30"/>
                <w:shd w:val="solid" w:color="000000" w:fill="000000"/>
                <w:fitText w:val="210" w:id="-1168291327"/>
                <w14:textFill>
                  <w14:solidFill>
                    <w14:srgbClr w14:val="000000">
                      <w14:alpha w14:val="100000"/>
                    </w14:srgbClr>
                  </w14:solidFill>
                </w14:textFill>
              </w:rPr>
              <w:t>||</w:t>
            </w:r>
            <w:r w:rsidR="00533927" w:rsidRPr="00533927">
              <w:rPr>
                <w:color w:val="000000"/>
                <w:spacing w:val="15"/>
                <w:shd w:val="solid" w:color="000000" w:fill="000000"/>
                <w:fitText w:val="210" w:id="-1168291327"/>
                <w14:textFill>
                  <w14:solidFill>
                    <w14:srgbClr w14:val="000000">
                      <w14:alpha w14:val="100000"/>
                    </w14:srgbClr>
                  </w14:solidFill>
                </w14:textFill>
              </w:rPr>
              <w:t>|</w:t>
            </w:r>
            <w:r w:rsidRPr="00E05465">
              <w:rPr>
                <w:vertAlign w:val="superscript"/>
              </w:rPr>
              <w:t>m</w:t>
            </w:r>
          </w:p>
          <w:p w14:paraId="397E937E" w14:textId="13DB1C79" w:rsidR="001212BA" w:rsidRPr="00E05465" w:rsidRDefault="001212BA" w:rsidP="00071F3B">
            <w:pPr>
              <w:pStyle w:val="TableText0"/>
              <w:jc w:val="center"/>
              <w:rPr>
                <w:vertAlign w:val="superscript"/>
              </w:rPr>
            </w:pPr>
            <w:r w:rsidRPr="00E05465">
              <w:t>Yr 2: $</w:t>
            </w:r>
            <w:r w:rsidR="00533927" w:rsidRPr="00533927">
              <w:rPr>
                <w:color w:val="000000"/>
                <w:spacing w:val="30"/>
                <w:shd w:val="solid" w:color="000000" w:fill="000000"/>
                <w:fitText w:val="210" w:id="-1168291326"/>
                <w14:textFill>
                  <w14:solidFill>
                    <w14:srgbClr w14:val="000000">
                      <w14:alpha w14:val="100000"/>
                    </w14:srgbClr>
                  </w14:solidFill>
                </w14:textFill>
              </w:rPr>
              <w:t>||</w:t>
            </w:r>
            <w:r w:rsidR="00533927" w:rsidRPr="00533927">
              <w:rPr>
                <w:color w:val="000000"/>
                <w:spacing w:val="15"/>
                <w:shd w:val="solid" w:color="000000" w:fill="000000"/>
                <w:fitText w:val="210" w:id="-1168291326"/>
                <w14:textFill>
                  <w14:solidFill>
                    <w14:srgbClr w14:val="000000">
                      <w14:alpha w14:val="100000"/>
                    </w14:srgbClr>
                  </w14:solidFill>
                </w14:textFill>
              </w:rPr>
              <w:t>|</w:t>
            </w:r>
            <w:r w:rsidRPr="00E05465">
              <w:rPr>
                <w:vertAlign w:val="superscript"/>
              </w:rPr>
              <w:t>m</w:t>
            </w:r>
          </w:p>
        </w:tc>
        <w:tc>
          <w:tcPr>
            <w:tcW w:w="542" w:type="pct"/>
            <w:tcMar>
              <w:left w:w="40" w:type="dxa"/>
              <w:right w:w="40" w:type="dxa"/>
            </w:tcMar>
            <w:vAlign w:val="center"/>
          </w:tcPr>
          <w:p w14:paraId="573A8898" w14:textId="67749D54" w:rsidR="00911783" w:rsidRPr="00E05465" w:rsidRDefault="00911783" w:rsidP="00911783">
            <w:pPr>
              <w:pStyle w:val="TableText0"/>
              <w:jc w:val="center"/>
              <w:rPr>
                <w:vertAlign w:val="superscript"/>
              </w:rPr>
            </w:pPr>
            <w:r w:rsidRPr="00E05465">
              <w:t>$</w:t>
            </w:r>
            <w:r w:rsidR="00533927" w:rsidRPr="00533927">
              <w:rPr>
                <w:color w:val="000000"/>
                <w:spacing w:val="94"/>
                <w:shd w:val="solid" w:color="000000" w:fill="000000"/>
                <w:fitText w:val="180" w:id="-1168291325"/>
                <w14:textFill>
                  <w14:solidFill>
                    <w14:srgbClr w14:val="000000">
                      <w14:alpha w14:val="100000"/>
                    </w14:srgbClr>
                  </w14:solidFill>
                </w14:textFill>
              </w:rPr>
              <w:t>|</w:t>
            </w:r>
            <w:r w:rsidR="00533927" w:rsidRPr="00533927">
              <w:rPr>
                <w:color w:val="000000"/>
                <w:spacing w:val="1"/>
                <w:shd w:val="solid" w:color="000000" w:fill="000000"/>
                <w:fitText w:val="180" w:id="-1168291325"/>
                <w14:textFill>
                  <w14:solidFill>
                    <w14:srgbClr w14:val="000000">
                      <w14:alpha w14:val="100000"/>
                    </w14:srgbClr>
                  </w14:solidFill>
                </w14:textFill>
              </w:rPr>
              <w:t>|</w:t>
            </w:r>
            <w:r w:rsidRPr="00E05465">
              <w:rPr>
                <w:vertAlign w:val="superscript"/>
              </w:rPr>
              <w:t>n</w:t>
            </w:r>
          </w:p>
        </w:tc>
      </w:tr>
    </w:tbl>
    <w:p w14:paraId="6C37D6A3" w14:textId="77777777" w:rsidR="001212BA" w:rsidRPr="00E05465" w:rsidRDefault="001212BA" w:rsidP="001212BA">
      <w:pPr>
        <w:pStyle w:val="TableFooter"/>
        <w:keepNext/>
      </w:pPr>
      <w:r w:rsidRPr="00E05465">
        <w:t xml:space="preserve">Source: Constructed during the evaluation from the “Attach 4 304-report body”, “Section 3 CMA workbook” and the “Section 4 BIM workbook” provided with the submission. </w:t>
      </w:r>
    </w:p>
    <w:p w14:paraId="3532153D" w14:textId="77777777" w:rsidR="001212BA" w:rsidRPr="00E05465" w:rsidRDefault="001212BA" w:rsidP="001212BA">
      <w:pPr>
        <w:pStyle w:val="TableFooter"/>
        <w:keepNext/>
      </w:pPr>
      <w:r w:rsidRPr="00E05465">
        <w:t>Yr = year.</w:t>
      </w:r>
    </w:p>
    <w:p w14:paraId="5D659FE6" w14:textId="2AB09A81" w:rsidR="001212BA" w:rsidRPr="00E05465" w:rsidRDefault="001212BA" w:rsidP="001212BA">
      <w:pPr>
        <w:pStyle w:val="TableFooter"/>
        <w:keepNext/>
      </w:pPr>
      <w:r w:rsidRPr="00E05465">
        <w:t>Note: Drug doses, and costs were calculated for the average patient where 17% of patients were assumed to weigh ≥30−&lt;40 kg; 33% ≥40−&lt;60 kg and 50% ≥60 kg. The 1,100mg vials were not considered as they have the same cost (per mg) as the 300</w:t>
      </w:r>
      <w:r w:rsidR="0020619D" w:rsidRPr="00E05465">
        <w:t> </w:t>
      </w:r>
      <w:r w:rsidRPr="00E05465">
        <w:t>mg vial.</w:t>
      </w:r>
    </w:p>
    <w:p w14:paraId="1EB4131F" w14:textId="6CE6B547" w:rsidR="001212BA" w:rsidRPr="00E05465" w:rsidRDefault="001212BA" w:rsidP="001212BA">
      <w:pPr>
        <w:pStyle w:val="TableFooter"/>
        <w:keepNext/>
      </w:pPr>
      <w:r w:rsidRPr="00E05465">
        <w:t>Financial estimates were revised during the evaluation as the submission had erroneously estimated the number and dose of ravulizumab scripts in year 1</w:t>
      </w:r>
      <w:r w:rsidR="00CF77C1" w:rsidRPr="00E05465">
        <w:t>.</w:t>
      </w:r>
    </w:p>
    <w:p w14:paraId="7D4E5A8F" w14:textId="1A074691" w:rsidR="001212BA" w:rsidRPr="00E05465" w:rsidRDefault="001212BA" w:rsidP="001212BA">
      <w:pPr>
        <w:pStyle w:val="TableFooter"/>
        <w:keepNext/>
      </w:pPr>
      <w:r w:rsidRPr="00E05465">
        <w:rPr>
          <w:vertAlign w:val="superscript"/>
        </w:rPr>
        <w:t xml:space="preserve">a </w:t>
      </w:r>
      <w:r w:rsidRPr="00E05465">
        <w:t>Mean cumulative dose of 11,500</w:t>
      </w:r>
      <w:r w:rsidR="0020619D" w:rsidRPr="00E05465">
        <w:t> </w:t>
      </w:r>
      <w:r w:rsidRPr="00E05465">
        <w:t>mg per ravulizumab patient over 183 days (the duration of the trial).</w:t>
      </w:r>
    </w:p>
    <w:p w14:paraId="41F51909" w14:textId="0ADCBD93" w:rsidR="001212BA" w:rsidRPr="00E05465" w:rsidRDefault="001212BA" w:rsidP="001212BA">
      <w:pPr>
        <w:pStyle w:val="TableFooter"/>
        <w:keepNext/>
      </w:pPr>
      <w:r w:rsidRPr="00E05465">
        <w:rPr>
          <w:vertAlign w:val="superscript"/>
        </w:rPr>
        <w:t>b</w:t>
      </w:r>
      <w:r w:rsidRPr="00E05465">
        <w:t xml:space="preserve"> 1 × 2,350</w:t>
      </w:r>
      <w:r w:rsidR="0020619D" w:rsidRPr="00E05465">
        <w:t> </w:t>
      </w:r>
      <w:r w:rsidRPr="00E05465">
        <w:t>mg (7.83 vials) loading dose + 6.25 × 3,100</w:t>
      </w:r>
      <w:r w:rsidR="0020619D" w:rsidRPr="00E05465">
        <w:t> </w:t>
      </w:r>
      <w:r w:rsidRPr="00E05465">
        <w:t>mg (10.33 vials) maintenance doses.</w:t>
      </w:r>
    </w:p>
    <w:p w14:paraId="72CE361F" w14:textId="6A5AD55B" w:rsidR="001212BA" w:rsidRPr="00E05465" w:rsidRDefault="001212BA" w:rsidP="001212BA">
      <w:pPr>
        <w:pStyle w:val="TableFooter"/>
        <w:keepNext/>
      </w:pPr>
      <w:r w:rsidRPr="00E05465">
        <w:rPr>
          <w:vertAlign w:val="superscript"/>
        </w:rPr>
        <w:t>c</w:t>
      </w:r>
      <w:r w:rsidRPr="00E05465">
        <w:t xml:space="preserve"> 6.50 × 3,100</w:t>
      </w:r>
      <w:r w:rsidR="0020619D" w:rsidRPr="00E05465">
        <w:t> </w:t>
      </w:r>
      <w:r w:rsidRPr="00E05465">
        <w:t>mg (10.33 vials).</w:t>
      </w:r>
    </w:p>
    <w:p w14:paraId="6BFF4AE1" w14:textId="25499CD7" w:rsidR="001212BA" w:rsidRPr="00E05465" w:rsidRDefault="001212BA" w:rsidP="001212BA">
      <w:pPr>
        <w:pStyle w:val="TableFooter"/>
        <w:keepNext/>
      </w:pPr>
      <w:r w:rsidRPr="00E05465">
        <w:rPr>
          <w:vertAlign w:val="superscript"/>
        </w:rPr>
        <w:t>d</w:t>
      </w:r>
      <w:r w:rsidRPr="00E05465">
        <w:t xml:space="preserve"> 1 × 2,350</w:t>
      </w:r>
      <w:r w:rsidR="0020619D" w:rsidRPr="00E05465">
        <w:t> </w:t>
      </w:r>
      <w:r w:rsidRPr="00E05465">
        <w:t>mg (7.83 vials) loading dose + 12.50 × 1,500</w:t>
      </w:r>
      <w:r w:rsidR="0020619D" w:rsidRPr="00E05465">
        <w:t> </w:t>
      </w:r>
      <w:r w:rsidRPr="00E05465">
        <w:t>mg (5.00</w:t>
      </w:r>
      <w:r w:rsidR="0020619D" w:rsidRPr="00E05465">
        <w:t> </w:t>
      </w:r>
      <w:r w:rsidRPr="00E05465">
        <w:t>vials) maintenance doses.</w:t>
      </w:r>
      <w:r w:rsidR="00911783" w:rsidRPr="00E05465">
        <w:t xml:space="preserve"> </w:t>
      </w:r>
      <w:r w:rsidR="005B1B90" w:rsidRPr="00E05465">
        <w:t xml:space="preserve">In the financial analysis, the frequency of administration and dose per administration for maintenance doses in Year 1 were not consistent with the cost-minimisation analysis. This has been revised during the evaluation. </w:t>
      </w:r>
    </w:p>
    <w:p w14:paraId="3BE89140" w14:textId="6BDBE993" w:rsidR="001212BA" w:rsidRPr="00E05465" w:rsidRDefault="001212BA" w:rsidP="001212BA">
      <w:pPr>
        <w:pStyle w:val="TableFooter"/>
        <w:keepNext/>
      </w:pPr>
      <w:r w:rsidRPr="00E05465">
        <w:rPr>
          <w:vertAlign w:val="superscript"/>
        </w:rPr>
        <w:t xml:space="preserve">e </w:t>
      </w:r>
      <w:r w:rsidRPr="00E05465">
        <w:t>Mean cumulative dose of 6,857</w:t>
      </w:r>
      <w:r w:rsidR="0020619D" w:rsidRPr="00E05465">
        <w:t> </w:t>
      </w:r>
      <w:r w:rsidRPr="00E05465">
        <w:t>mg per eculizumab patient over 86 days (the duration of the trial).</w:t>
      </w:r>
    </w:p>
    <w:p w14:paraId="6419134C" w14:textId="3B36C619" w:rsidR="001212BA" w:rsidRPr="00E05465" w:rsidRDefault="001212BA" w:rsidP="001212BA">
      <w:pPr>
        <w:pStyle w:val="TableFooter"/>
        <w:keepNext/>
      </w:pPr>
      <w:r w:rsidRPr="00E05465">
        <w:rPr>
          <w:vertAlign w:val="superscript"/>
        </w:rPr>
        <w:t xml:space="preserve">f </w:t>
      </w:r>
      <w:r w:rsidRPr="00E05465">
        <w:t xml:space="preserve"> 1 × 2,200</w:t>
      </w:r>
      <w:r w:rsidR="0020619D" w:rsidRPr="00E05465">
        <w:t> </w:t>
      </w:r>
      <w:r w:rsidRPr="00E05465">
        <w:t>mg (7.33 vials) loading dose + 24.17 × 900</w:t>
      </w:r>
      <w:r w:rsidR="0020619D" w:rsidRPr="00E05465">
        <w:t> </w:t>
      </w:r>
      <w:r w:rsidRPr="00E05465">
        <w:t>mg (3.00 vials) maintenance doses.</w:t>
      </w:r>
    </w:p>
    <w:p w14:paraId="31063CA7" w14:textId="3D6A97CB" w:rsidR="001212BA" w:rsidRPr="00E05465" w:rsidRDefault="001212BA" w:rsidP="001212BA">
      <w:pPr>
        <w:pStyle w:val="TableFooter"/>
        <w:keepNext/>
      </w:pPr>
      <w:r w:rsidRPr="00E05465">
        <w:rPr>
          <w:vertAlign w:val="superscript"/>
        </w:rPr>
        <w:t>g</w:t>
      </w:r>
      <w:r w:rsidRPr="00E05465">
        <w:t xml:space="preserve"> 26.00 × 900</w:t>
      </w:r>
      <w:r w:rsidR="0020619D" w:rsidRPr="00E05465">
        <w:t> </w:t>
      </w:r>
      <w:r w:rsidRPr="00E05465">
        <w:t>mg (3.00 vials).</w:t>
      </w:r>
    </w:p>
    <w:p w14:paraId="575197AD" w14:textId="428AC1B8" w:rsidR="001212BA" w:rsidRPr="00E05465" w:rsidRDefault="001212BA" w:rsidP="001212BA">
      <w:pPr>
        <w:pStyle w:val="TableFooter"/>
        <w:keepNext/>
      </w:pPr>
      <w:r w:rsidRPr="00E05465">
        <w:rPr>
          <w:vertAlign w:val="superscript"/>
        </w:rPr>
        <w:t xml:space="preserve">h </w:t>
      </w:r>
      <w:r w:rsidRPr="00E05465">
        <w:t>13.00 × 1,800</w:t>
      </w:r>
      <w:r w:rsidR="0020619D" w:rsidRPr="00E05465">
        <w:t> </w:t>
      </w:r>
      <w:r w:rsidRPr="00E05465">
        <w:t>mg (6.00 vials)</w:t>
      </w:r>
      <w:r w:rsidR="00911783" w:rsidRPr="00E05465">
        <w:t xml:space="preserve"> (</w:t>
      </w:r>
      <w:r w:rsidR="00DF194E" w:rsidRPr="00E05465">
        <w:t>each script is sufficient for</w:t>
      </w:r>
      <w:r w:rsidR="00911783" w:rsidRPr="00E05465">
        <w:t xml:space="preserve"> 2 administrations as per </w:t>
      </w:r>
      <w:r w:rsidR="00DF194E" w:rsidRPr="00E05465">
        <w:t>the maximum quantity</w:t>
      </w:r>
      <w:r w:rsidR="00911783" w:rsidRPr="00E05465">
        <w:t>)</w:t>
      </w:r>
      <w:r w:rsidRPr="00E05465">
        <w:t>.</w:t>
      </w:r>
    </w:p>
    <w:p w14:paraId="7034ACD9" w14:textId="0646F5F6" w:rsidR="001212BA" w:rsidRPr="00E05465" w:rsidRDefault="001212BA" w:rsidP="001212BA">
      <w:pPr>
        <w:pStyle w:val="TableFooter"/>
        <w:keepNext/>
      </w:pPr>
      <w:r w:rsidRPr="00E05465">
        <w:rPr>
          <w:vertAlign w:val="superscript"/>
        </w:rPr>
        <w:t xml:space="preserve">i </w:t>
      </w:r>
      <w:r w:rsidRPr="00E05465">
        <w:t>11,500</w:t>
      </w:r>
      <w:r w:rsidR="0020619D" w:rsidRPr="00E05465">
        <w:t> </w:t>
      </w:r>
      <w:r w:rsidRPr="00E05465">
        <w:t>mg / 300</w:t>
      </w:r>
      <w:r w:rsidR="0020619D" w:rsidRPr="00E05465">
        <w:t> </w:t>
      </w:r>
      <w:r w:rsidRPr="00E05465">
        <w:t>mg vial × $</w:t>
      </w:r>
      <w:r w:rsidR="00533927" w:rsidRPr="00533927">
        <w:rPr>
          <w:color w:val="000000"/>
          <w:spacing w:val="35"/>
          <w:shd w:val="solid" w:color="000000" w:fill="000000"/>
          <w:fitText w:val="265" w:id="-1168291324"/>
          <w14:textFill>
            <w14:solidFill>
              <w14:srgbClr w14:val="000000">
                <w14:alpha w14:val="100000"/>
              </w14:srgbClr>
            </w14:solidFill>
          </w14:textFill>
        </w:rPr>
        <w:t xml:space="preserve">|  </w:t>
      </w:r>
      <w:r w:rsidR="00533927" w:rsidRPr="00533927">
        <w:rPr>
          <w:color w:val="000000"/>
          <w:spacing w:val="2"/>
          <w:shd w:val="solid" w:color="000000" w:fill="000000"/>
          <w:fitText w:val="265" w:id="-1168291324"/>
          <w14:textFill>
            <w14:solidFill>
              <w14:srgbClr w14:val="000000">
                <w14:alpha w14:val="100000"/>
              </w14:srgbClr>
            </w14:solidFill>
          </w14:textFill>
        </w:rPr>
        <w:t>|</w:t>
      </w:r>
      <w:r w:rsidRPr="00E05465">
        <w:t xml:space="preserve"> (effective AEMP per vial)</w:t>
      </w:r>
    </w:p>
    <w:p w14:paraId="2FD7FB57" w14:textId="7ACC5BC9" w:rsidR="001212BA" w:rsidRPr="00E05465" w:rsidRDefault="001212BA" w:rsidP="001212BA">
      <w:pPr>
        <w:pStyle w:val="TableFooter"/>
        <w:keepNext/>
      </w:pPr>
      <w:r w:rsidRPr="00E05465">
        <w:rPr>
          <w:vertAlign w:val="superscript"/>
        </w:rPr>
        <w:t xml:space="preserve">j </w:t>
      </w:r>
      <w:r w:rsidRPr="00E05465">
        <w:t>Number of vials × $</w:t>
      </w:r>
      <w:r w:rsidR="00533927" w:rsidRPr="00533927">
        <w:rPr>
          <w:color w:val="000000"/>
          <w:spacing w:val="40"/>
          <w:shd w:val="solid" w:color="000000" w:fill="000000"/>
          <w:fitText w:val="280" w:id="-1168291323"/>
          <w14:textFill>
            <w14:solidFill>
              <w14:srgbClr w14:val="000000">
                <w14:alpha w14:val="100000"/>
              </w14:srgbClr>
            </w14:solidFill>
          </w14:textFill>
        </w:rPr>
        <w:t xml:space="preserve">|  </w:t>
      </w:r>
      <w:r w:rsidR="00533927" w:rsidRPr="00533927">
        <w:rPr>
          <w:color w:val="000000"/>
          <w:spacing w:val="2"/>
          <w:shd w:val="solid" w:color="000000" w:fill="000000"/>
          <w:fitText w:val="280" w:id="-1168291323"/>
          <w14:textFill>
            <w14:solidFill>
              <w14:srgbClr w14:val="000000">
                <w14:alpha w14:val="100000"/>
              </w14:srgbClr>
            </w14:solidFill>
          </w14:textFill>
        </w:rPr>
        <w:t>|</w:t>
      </w:r>
      <w:r w:rsidRPr="00E05465">
        <w:t xml:space="preserve"> (effective AEMP per vial)</w:t>
      </w:r>
    </w:p>
    <w:p w14:paraId="0BD211D9" w14:textId="2E39AA22" w:rsidR="001212BA" w:rsidRPr="00E05465" w:rsidRDefault="001212BA" w:rsidP="001212BA">
      <w:pPr>
        <w:pStyle w:val="TableFooter"/>
        <w:keepNext/>
      </w:pPr>
      <w:r w:rsidRPr="00E05465">
        <w:rPr>
          <w:vertAlign w:val="superscript"/>
        </w:rPr>
        <w:t xml:space="preserve">k </w:t>
      </w:r>
      <w:r w:rsidRPr="00E05465">
        <w:t>Number of vials × $</w:t>
      </w:r>
      <w:r w:rsidR="00533927" w:rsidRPr="00533927">
        <w:rPr>
          <w:color w:val="000000"/>
          <w:spacing w:val="40"/>
          <w:shd w:val="solid" w:color="000000" w:fill="000000"/>
          <w:fitText w:val="280" w:id="-1168291322"/>
          <w14:textFill>
            <w14:solidFill>
              <w14:srgbClr w14:val="000000">
                <w14:alpha w14:val="100000"/>
              </w14:srgbClr>
            </w14:solidFill>
          </w14:textFill>
        </w:rPr>
        <w:t xml:space="preserve">|  </w:t>
      </w:r>
      <w:r w:rsidR="00533927" w:rsidRPr="00533927">
        <w:rPr>
          <w:color w:val="000000"/>
          <w:spacing w:val="2"/>
          <w:shd w:val="solid" w:color="000000" w:fill="000000"/>
          <w:fitText w:val="280" w:id="-1168291322"/>
          <w14:textFill>
            <w14:solidFill>
              <w14:srgbClr w14:val="000000">
                <w14:alpha w14:val="100000"/>
              </w14:srgbClr>
            </w14:solidFill>
          </w14:textFill>
        </w:rPr>
        <w:t>|</w:t>
      </w:r>
      <w:r w:rsidRPr="00E05465">
        <w:t xml:space="preserve"> (dispensed price per vial, weighted for 92% public hospital use (no additional fees) and 8% private hospital use ($40 remuneration fee and $7.78 ready prepared fee).</w:t>
      </w:r>
    </w:p>
    <w:p w14:paraId="15037220" w14:textId="26F75B2D" w:rsidR="001212BA" w:rsidRPr="00E05465" w:rsidRDefault="001212BA" w:rsidP="001212BA">
      <w:pPr>
        <w:pStyle w:val="TableFooter"/>
        <w:keepNext/>
      </w:pPr>
      <w:r w:rsidRPr="00E05465">
        <w:rPr>
          <w:vertAlign w:val="superscript"/>
        </w:rPr>
        <w:t xml:space="preserve">l </w:t>
      </w:r>
      <w:r w:rsidRPr="00E05465">
        <w:t>6,875</w:t>
      </w:r>
      <w:r w:rsidR="0020619D" w:rsidRPr="00E05465">
        <w:t> </w:t>
      </w:r>
      <w:r w:rsidRPr="00E05465">
        <w:t>mg / 300</w:t>
      </w:r>
      <w:r w:rsidR="0020619D" w:rsidRPr="00E05465">
        <w:t> </w:t>
      </w:r>
      <w:r w:rsidRPr="00E05465">
        <w:t>mg vial × $</w:t>
      </w:r>
      <w:r w:rsidR="00533927" w:rsidRPr="00533927">
        <w:rPr>
          <w:color w:val="000000"/>
          <w:spacing w:val="40"/>
          <w:shd w:val="solid" w:color="000000" w:fill="000000"/>
          <w:fitText w:val="280" w:id="-1168291321"/>
          <w14:textFill>
            <w14:solidFill>
              <w14:srgbClr w14:val="000000">
                <w14:alpha w14:val="100000"/>
              </w14:srgbClr>
            </w14:solidFill>
          </w14:textFill>
        </w:rPr>
        <w:t xml:space="preserve">|  </w:t>
      </w:r>
      <w:r w:rsidR="00533927" w:rsidRPr="00533927">
        <w:rPr>
          <w:color w:val="000000"/>
          <w:spacing w:val="2"/>
          <w:shd w:val="solid" w:color="000000" w:fill="000000"/>
          <w:fitText w:val="280" w:id="-1168291321"/>
          <w14:textFill>
            <w14:solidFill>
              <w14:srgbClr w14:val="000000">
                <w14:alpha w14:val="100000"/>
              </w14:srgbClr>
            </w14:solidFill>
          </w14:textFill>
        </w:rPr>
        <w:t>|</w:t>
      </w:r>
      <w:r w:rsidRPr="00E05465">
        <w:t xml:space="preserve"> (effective AEMP per vial)</w:t>
      </w:r>
    </w:p>
    <w:p w14:paraId="403DE342" w14:textId="22D355B6" w:rsidR="001212BA" w:rsidRPr="00E05465" w:rsidRDefault="001212BA" w:rsidP="001212BA">
      <w:pPr>
        <w:pStyle w:val="TableFooter"/>
        <w:keepNext/>
      </w:pPr>
      <w:r w:rsidRPr="00E05465">
        <w:rPr>
          <w:vertAlign w:val="superscript"/>
        </w:rPr>
        <w:t xml:space="preserve">m </w:t>
      </w:r>
      <w:r w:rsidRPr="00E05465">
        <w:t>Number of vials × $</w:t>
      </w:r>
      <w:r w:rsidR="00533927" w:rsidRPr="00533927">
        <w:rPr>
          <w:color w:val="000000"/>
          <w:spacing w:val="40"/>
          <w:shd w:val="solid" w:color="000000" w:fill="000000"/>
          <w:fitText w:val="280" w:id="-1168291320"/>
          <w14:textFill>
            <w14:solidFill>
              <w14:srgbClr w14:val="000000">
                <w14:alpha w14:val="100000"/>
              </w14:srgbClr>
            </w14:solidFill>
          </w14:textFill>
        </w:rPr>
        <w:t xml:space="preserve">|  </w:t>
      </w:r>
      <w:r w:rsidR="00533927" w:rsidRPr="00533927">
        <w:rPr>
          <w:color w:val="000000"/>
          <w:spacing w:val="2"/>
          <w:shd w:val="solid" w:color="000000" w:fill="000000"/>
          <w:fitText w:val="280" w:id="-1168291320"/>
          <w14:textFill>
            <w14:solidFill>
              <w14:srgbClr w14:val="000000">
                <w14:alpha w14:val="100000"/>
              </w14:srgbClr>
            </w14:solidFill>
          </w14:textFill>
        </w:rPr>
        <w:t>|</w:t>
      </w:r>
      <w:r w:rsidRPr="00E05465">
        <w:t xml:space="preserve"> (effective AEMP per vial)</w:t>
      </w:r>
    </w:p>
    <w:p w14:paraId="4E7A80D1" w14:textId="11D9D0FD" w:rsidR="001212BA" w:rsidRPr="000D02AC" w:rsidRDefault="001212BA" w:rsidP="000D02AC">
      <w:pPr>
        <w:pStyle w:val="TableFooter"/>
        <w:keepNext/>
        <w:spacing w:after="120"/>
      </w:pPr>
      <w:r w:rsidRPr="00E05465">
        <w:rPr>
          <w:vertAlign w:val="superscript"/>
        </w:rPr>
        <w:t xml:space="preserve">n </w:t>
      </w:r>
      <w:r w:rsidRPr="00E05465">
        <w:t>Number of vials × $</w:t>
      </w:r>
      <w:r w:rsidR="00533927" w:rsidRPr="00533927">
        <w:rPr>
          <w:color w:val="000000"/>
          <w:spacing w:val="40"/>
          <w:shd w:val="solid" w:color="000000" w:fill="000000"/>
          <w:fitText w:val="280" w:id="-1168291319"/>
          <w14:textFill>
            <w14:solidFill>
              <w14:srgbClr w14:val="000000">
                <w14:alpha w14:val="100000"/>
              </w14:srgbClr>
            </w14:solidFill>
          </w14:textFill>
        </w:rPr>
        <w:t xml:space="preserve">|  </w:t>
      </w:r>
      <w:r w:rsidR="00533927" w:rsidRPr="00533927">
        <w:rPr>
          <w:color w:val="000000"/>
          <w:spacing w:val="2"/>
          <w:shd w:val="solid" w:color="000000" w:fill="000000"/>
          <w:fitText w:val="280" w:id="-1168291319"/>
          <w14:textFill>
            <w14:solidFill>
              <w14:srgbClr w14:val="000000">
                <w14:alpha w14:val="100000"/>
              </w14:srgbClr>
            </w14:solidFill>
          </w14:textFill>
        </w:rPr>
        <w:t>|</w:t>
      </w:r>
      <w:r w:rsidRPr="00E05465">
        <w:t xml:space="preserve"> (dispensed price per vial, weighted for 92% public hospital use (no additional fees) and 8% private hospital use ($40 remuneration fee and $7.78 ready prepared fee).</w:t>
      </w:r>
    </w:p>
    <w:p w14:paraId="4CACA94B" w14:textId="77777777" w:rsidR="001212BA" w:rsidRPr="00E05465" w:rsidRDefault="001212BA" w:rsidP="002032B0">
      <w:pPr>
        <w:pStyle w:val="3-BodyText"/>
      </w:pPr>
      <w:r w:rsidRPr="00E05465">
        <w:t>The inclusion/exclusion of loading doses for eculizumab was inconsistent between the CMA and financial analysis, where all patients in the CMA were assumed to be complement inhibitor treatment-naïve (and so loading doses for eculizumab were included), compared to the assumption in the financial analysis that all patients would switch from eculizumab (no loading doses for eculizumab included).</w:t>
      </w:r>
    </w:p>
    <w:p w14:paraId="485F775F" w14:textId="77777777" w:rsidR="001212BA" w:rsidRPr="00E05465" w:rsidRDefault="001212BA" w:rsidP="001212BA">
      <w:pPr>
        <w:pStyle w:val="4-SubsectionHeading"/>
      </w:pPr>
      <w:bookmarkStart w:id="62" w:name="_Toc22897647"/>
      <w:bookmarkStart w:id="63" w:name="_Toc133219587"/>
      <w:bookmarkStart w:id="64" w:name="_Toc135034948"/>
      <w:r w:rsidRPr="00E05465">
        <w:lastRenderedPageBreak/>
        <w:t xml:space="preserve">Estimated PBS usage &amp; financial </w:t>
      </w:r>
      <w:proofErr w:type="gramStart"/>
      <w:r w:rsidRPr="00E05465">
        <w:t>implications</w:t>
      </w:r>
      <w:bookmarkEnd w:id="62"/>
      <w:bookmarkEnd w:id="63"/>
      <w:bookmarkEnd w:id="64"/>
      <w:proofErr w:type="gramEnd"/>
    </w:p>
    <w:p w14:paraId="11735FBD" w14:textId="73BD5E69" w:rsidR="001212BA" w:rsidRPr="00E05465" w:rsidRDefault="001212BA" w:rsidP="002032B0">
      <w:pPr>
        <w:pStyle w:val="3-BodyText"/>
      </w:pPr>
      <w:bookmarkStart w:id="65" w:name="_Ref104805262"/>
      <w:r w:rsidRPr="00E05465">
        <w:t xml:space="preserve">This submission </w:t>
      </w:r>
      <w:r w:rsidR="00173FAD" w:rsidRPr="00E05465">
        <w:t>was</w:t>
      </w:r>
      <w:r w:rsidRPr="00E05465">
        <w:t xml:space="preserve"> not considered by DUSC. The submission presented a market share approach to estimate the use and financial implications for listing ravulizumab on the PBS based on the current use of eculizumab in paediatric patients. </w:t>
      </w:r>
    </w:p>
    <w:p w14:paraId="122CA28A" w14:textId="43E2313A" w:rsidR="001212BA" w:rsidRPr="00E05465" w:rsidRDefault="001212BA" w:rsidP="002032B0">
      <w:pPr>
        <w:pStyle w:val="3-BodyText"/>
      </w:pPr>
      <w:r w:rsidRPr="00E05465">
        <w:t xml:space="preserve">Key parameters and sources used in the financial estimates are presented in </w:t>
      </w:r>
      <w:r w:rsidRPr="00E05465">
        <w:fldChar w:fldCharType="begin" w:fldLock="1"/>
      </w:r>
      <w:r w:rsidRPr="00E05465">
        <w:instrText xml:space="preserve"> REF _Ref132879192 \h </w:instrText>
      </w:r>
      <w:r w:rsidRPr="00E05465">
        <w:fldChar w:fldCharType="separate"/>
      </w:r>
      <w:r w:rsidR="00231664" w:rsidRPr="00E05465">
        <w:t xml:space="preserve">Table </w:t>
      </w:r>
      <w:r w:rsidR="00231664" w:rsidRPr="00E05465">
        <w:rPr>
          <w:noProof/>
        </w:rPr>
        <w:t>12</w:t>
      </w:r>
      <w:r w:rsidRPr="00E05465">
        <w:fldChar w:fldCharType="end"/>
      </w:r>
      <w:r w:rsidRPr="00E05465">
        <w:t xml:space="preserve">. </w:t>
      </w:r>
    </w:p>
    <w:p w14:paraId="5564498B" w14:textId="45050A01" w:rsidR="001212BA" w:rsidRPr="00E05465" w:rsidRDefault="001212BA" w:rsidP="001212BA">
      <w:pPr>
        <w:pStyle w:val="Caption"/>
        <w:keepNext w:val="0"/>
      </w:pPr>
      <w:bookmarkStart w:id="66" w:name="_Ref132879192"/>
      <w:bookmarkEnd w:id="65"/>
      <w:r w:rsidRPr="00E05465">
        <w:t xml:space="preserve">Table </w:t>
      </w:r>
      <w:r w:rsidR="00687C33">
        <w:fldChar w:fldCharType="begin" w:fldLock="1"/>
      </w:r>
      <w:r w:rsidR="00687C33">
        <w:instrText xml:space="preserve"> SEQ Table \* ARABIC </w:instrText>
      </w:r>
      <w:r w:rsidR="00687C33">
        <w:fldChar w:fldCharType="separate"/>
      </w:r>
      <w:r w:rsidR="00231664" w:rsidRPr="00E05465">
        <w:rPr>
          <w:noProof/>
        </w:rPr>
        <w:t>12</w:t>
      </w:r>
      <w:r w:rsidR="00687C33">
        <w:rPr>
          <w:noProof/>
        </w:rPr>
        <w:fldChar w:fldCharType="end"/>
      </w:r>
      <w:bookmarkEnd w:id="66"/>
      <w:r w:rsidRPr="00E05465">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4"/>
        <w:gridCol w:w="4676"/>
        <w:gridCol w:w="2927"/>
      </w:tblGrid>
      <w:tr w:rsidR="00E05465" w:rsidRPr="00E05465" w14:paraId="5D8137B0" w14:textId="77777777" w:rsidTr="005954B4">
        <w:trPr>
          <w:cantSplit/>
          <w:tblHeader/>
        </w:trPr>
        <w:tc>
          <w:tcPr>
            <w:tcW w:w="784" w:type="pct"/>
            <w:shd w:val="clear" w:color="auto" w:fill="auto"/>
            <w:vAlign w:val="center"/>
          </w:tcPr>
          <w:p w14:paraId="0366494B" w14:textId="77777777" w:rsidR="001212BA" w:rsidRPr="00E05465" w:rsidRDefault="001212BA" w:rsidP="00071F3B">
            <w:pPr>
              <w:pStyle w:val="In-tableHeading"/>
              <w:keepNext w:val="0"/>
              <w:rPr>
                <w:lang w:val="en-AU"/>
              </w:rPr>
            </w:pPr>
            <w:r w:rsidRPr="00E05465">
              <w:rPr>
                <w:lang w:val="en-AU"/>
              </w:rPr>
              <w:t>Parameter</w:t>
            </w:r>
          </w:p>
        </w:tc>
        <w:tc>
          <w:tcPr>
            <w:tcW w:w="2593" w:type="pct"/>
            <w:shd w:val="clear" w:color="auto" w:fill="auto"/>
            <w:vAlign w:val="center"/>
          </w:tcPr>
          <w:p w14:paraId="06167607" w14:textId="77777777" w:rsidR="001212BA" w:rsidRPr="00E05465" w:rsidRDefault="001212BA" w:rsidP="00071F3B">
            <w:pPr>
              <w:pStyle w:val="In-tableHeading"/>
              <w:keepNext w:val="0"/>
              <w:rPr>
                <w:lang w:val="en-AU"/>
              </w:rPr>
            </w:pPr>
            <w:r w:rsidRPr="00E05465">
              <w:rPr>
                <w:lang w:val="en-AU"/>
              </w:rPr>
              <w:t>Value applied and source</w:t>
            </w:r>
          </w:p>
        </w:tc>
        <w:tc>
          <w:tcPr>
            <w:tcW w:w="1623" w:type="pct"/>
            <w:shd w:val="clear" w:color="auto" w:fill="auto"/>
            <w:vAlign w:val="center"/>
          </w:tcPr>
          <w:p w14:paraId="26BA8B5D" w14:textId="77777777" w:rsidR="001212BA" w:rsidRPr="00E05465" w:rsidRDefault="001212BA" w:rsidP="00071F3B">
            <w:pPr>
              <w:pStyle w:val="In-tableHeading"/>
              <w:keepNext w:val="0"/>
              <w:rPr>
                <w:lang w:val="en-AU"/>
              </w:rPr>
            </w:pPr>
            <w:r w:rsidRPr="00E05465">
              <w:rPr>
                <w:lang w:val="en-AU"/>
              </w:rPr>
              <w:t>Comment</w:t>
            </w:r>
          </w:p>
        </w:tc>
      </w:tr>
      <w:tr w:rsidR="00E05465" w:rsidRPr="00E05465" w14:paraId="282B3736" w14:textId="77777777" w:rsidTr="00071F3B">
        <w:trPr>
          <w:cantSplit/>
        </w:trPr>
        <w:tc>
          <w:tcPr>
            <w:tcW w:w="5000" w:type="pct"/>
            <w:gridSpan w:val="3"/>
            <w:shd w:val="clear" w:color="auto" w:fill="auto"/>
            <w:vAlign w:val="center"/>
          </w:tcPr>
          <w:p w14:paraId="41425106" w14:textId="77777777" w:rsidR="001212BA" w:rsidRPr="00E05465" w:rsidRDefault="001212BA" w:rsidP="00071F3B">
            <w:pPr>
              <w:pStyle w:val="In-tableHeading"/>
              <w:keepNext w:val="0"/>
              <w:rPr>
                <w:lang w:val="en-AU"/>
              </w:rPr>
            </w:pPr>
            <w:r w:rsidRPr="00E05465">
              <w:rPr>
                <w:lang w:val="en-AU"/>
              </w:rPr>
              <w:t>Eligible population</w:t>
            </w:r>
          </w:p>
        </w:tc>
      </w:tr>
      <w:tr w:rsidR="00E05465" w:rsidRPr="00E05465" w14:paraId="171DD9FD" w14:textId="77777777" w:rsidTr="005954B4">
        <w:trPr>
          <w:cantSplit/>
        </w:trPr>
        <w:tc>
          <w:tcPr>
            <w:tcW w:w="784" w:type="pct"/>
            <w:shd w:val="clear" w:color="auto" w:fill="auto"/>
            <w:vAlign w:val="center"/>
          </w:tcPr>
          <w:p w14:paraId="1CF1D8E7" w14:textId="77777777" w:rsidR="001212BA" w:rsidRPr="00E05465" w:rsidRDefault="001212BA" w:rsidP="00071F3B">
            <w:pPr>
              <w:pStyle w:val="TableText0"/>
              <w:keepNext w:val="0"/>
            </w:pPr>
            <w:r w:rsidRPr="00E05465">
              <w:t xml:space="preserve">Incidence and prevalence of paediatric PHN population. </w:t>
            </w:r>
          </w:p>
        </w:tc>
        <w:tc>
          <w:tcPr>
            <w:tcW w:w="2593" w:type="pct"/>
            <w:shd w:val="clear" w:color="auto" w:fill="auto"/>
            <w:vAlign w:val="center"/>
          </w:tcPr>
          <w:p w14:paraId="051AD7EF" w14:textId="77777777" w:rsidR="001212BA" w:rsidRPr="00E05465" w:rsidRDefault="001212BA" w:rsidP="00071F3B">
            <w:pPr>
              <w:pStyle w:val="TableText0"/>
              <w:keepNext w:val="0"/>
            </w:pPr>
            <w:r w:rsidRPr="00E05465">
              <w:t>Incidence: 0%</w:t>
            </w:r>
          </w:p>
          <w:p w14:paraId="71DAA045" w14:textId="5EA0883C" w:rsidR="001212BA" w:rsidRPr="00E05465" w:rsidRDefault="001212BA" w:rsidP="00071F3B">
            <w:pPr>
              <w:pStyle w:val="TableText0"/>
              <w:keepNext w:val="0"/>
            </w:pPr>
            <w:r w:rsidRPr="00E05465">
              <w:t>Prevalence:</w:t>
            </w:r>
            <w:r w:rsidR="009C3592" w:rsidRPr="00E05465">
              <w:t xml:space="preserve"> </w:t>
            </w:r>
            <w:r w:rsidR="00533927" w:rsidRPr="00533927">
              <w:rPr>
                <w:color w:val="000000"/>
                <w:spacing w:val="45"/>
                <w:shd w:val="solid" w:color="000000" w:fill="000000"/>
                <w:fitText w:val="330" w:id="-1168291318"/>
                <w14:textFill>
                  <w14:solidFill>
                    <w14:srgbClr w14:val="000000">
                      <w14:alpha w14:val="100000"/>
                    </w14:srgbClr>
                  </w14:solidFill>
                </w14:textFill>
              </w:rPr>
              <w:t>|||</w:t>
            </w:r>
            <w:r w:rsidR="00533927" w:rsidRPr="00533927">
              <w:rPr>
                <w:color w:val="000000"/>
                <w:spacing w:val="15"/>
                <w:shd w:val="solid" w:color="000000" w:fill="000000"/>
                <w:fitText w:val="330" w:id="-1168291318"/>
                <w14:textFill>
                  <w14:solidFill>
                    <w14:srgbClr w14:val="000000">
                      <w14:alpha w14:val="100000"/>
                    </w14:srgbClr>
                  </w14:solidFill>
                </w14:textFill>
              </w:rPr>
              <w:t>|</w:t>
            </w:r>
            <w:r w:rsidRPr="00E05465">
              <w:t xml:space="preserve"> patients. Based on commissioned DUSC report. </w:t>
            </w:r>
          </w:p>
        </w:tc>
        <w:tc>
          <w:tcPr>
            <w:tcW w:w="1623" w:type="pct"/>
            <w:shd w:val="clear" w:color="auto" w:fill="auto"/>
            <w:vAlign w:val="center"/>
          </w:tcPr>
          <w:p w14:paraId="6B437CF6" w14:textId="5BFDAE88" w:rsidR="001212BA" w:rsidRPr="00E05465" w:rsidRDefault="001212BA" w:rsidP="00071F3B">
            <w:pPr>
              <w:pStyle w:val="TableText0"/>
              <w:keepNext w:val="0"/>
            </w:pPr>
            <w:r w:rsidRPr="00E05465">
              <w:t xml:space="preserve">The assumption of no incident patients over the next 6 years is uncertain, however </w:t>
            </w:r>
            <w:r w:rsidR="00CF1AA1" w:rsidRPr="00E05465">
              <w:t xml:space="preserve">the PBAC agreed this </w:t>
            </w:r>
            <w:r w:rsidRPr="00E05465">
              <w:t xml:space="preserve">may be reasonable, given the rarity of this condition in the paediatric population. </w:t>
            </w:r>
          </w:p>
        </w:tc>
      </w:tr>
      <w:tr w:rsidR="00E05465" w:rsidRPr="00E05465" w14:paraId="167C911F" w14:textId="77777777" w:rsidTr="00071F3B">
        <w:trPr>
          <w:cantSplit/>
        </w:trPr>
        <w:tc>
          <w:tcPr>
            <w:tcW w:w="5000" w:type="pct"/>
            <w:gridSpan w:val="3"/>
            <w:shd w:val="clear" w:color="auto" w:fill="auto"/>
            <w:vAlign w:val="center"/>
          </w:tcPr>
          <w:p w14:paraId="6F4072AF" w14:textId="77777777" w:rsidR="001212BA" w:rsidRPr="00E05465" w:rsidRDefault="001212BA" w:rsidP="00071F3B">
            <w:pPr>
              <w:pStyle w:val="TableText0"/>
              <w:keepNext w:val="0"/>
              <w:rPr>
                <w:b/>
              </w:rPr>
            </w:pPr>
            <w:r w:rsidRPr="00E05465">
              <w:rPr>
                <w:b/>
              </w:rPr>
              <w:t>Treatment utilisation</w:t>
            </w:r>
          </w:p>
        </w:tc>
      </w:tr>
      <w:tr w:rsidR="00E05465" w:rsidRPr="00E05465" w14:paraId="3A823AB0" w14:textId="77777777" w:rsidTr="005954B4">
        <w:trPr>
          <w:cantSplit/>
        </w:trPr>
        <w:tc>
          <w:tcPr>
            <w:tcW w:w="784" w:type="pct"/>
            <w:shd w:val="clear" w:color="auto" w:fill="auto"/>
            <w:vAlign w:val="center"/>
          </w:tcPr>
          <w:p w14:paraId="43D81B51" w14:textId="77777777" w:rsidR="001212BA" w:rsidRPr="00E05465" w:rsidRDefault="001212BA" w:rsidP="00071F3B">
            <w:pPr>
              <w:pStyle w:val="TableText0"/>
              <w:keepNext w:val="0"/>
            </w:pPr>
            <w:r w:rsidRPr="00E05465">
              <w:t>Uptake rate</w:t>
            </w:r>
          </w:p>
        </w:tc>
        <w:tc>
          <w:tcPr>
            <w:tcW w:w="2593" w:type="pct"/>
            <w:shd w:val="clear" w:color="auto" w:fill="auto"/>
            <w:vAlign w:val="center"/>
          </w:tcPr>
          <w:p w14:paraId="549CD016" w14:textId="77777777" w:rsidR="001212BA" w:rsidRPr="00E05465" w:rsidRDefault="001212BA" w:rsidP="00071F3B">
            <w:pPr>
              <w:pStyle w:val="TableText0"/>
              <w:keepNext w:val="0"/>
            </w:pPr>
            <w:r w:rsidRPr="00E05465">
              <w:t xml:space="preserve">100% </w:t>
            </w:r>
          </w:p>
        </w:tc>
        <w:tc>
          <w:tcPr>
            <w:tcW w:w="1623" w:type="pct"/>
            <w:shd w:val="clear" w:color="auto" w:fill="auto"/>
          </w:tcPr>
          <w:p w14:paraId="1EE7B7C8" w14:textId="77777777" w:rsidR="001212BA" w:rsidRPr="00E05465" w:rsidRDefault="001212BA" w:rsidP="00071F3B">
            <w:pPr>
              <w:pStyle w:val="TableText0"/>
              <w:keepNext w:val="0"/>
            </w:pPr>
            <w:r w:rsidRPr="00E05465">
              <w:t xml:space="preserve">Reasonable. </w:t>
            </w:r>
          </w:p>
        </w:tc>
      </w:tr>
      <w:tr w:rsidR="00E05465" w:rsidRPr="00E05465" w14:paraId="0B2662E2" w14:textId="77777777" w:rsidTr="005954B4">
        <w:trPr>
          <w:cantSplit/>
        </w:trPr>
        <w:tc>
          <w:tcPr>
            <w:tcW w:w="784" w:type="pct"/>
            <w:shd w:val="clear" w:color="auto" w:fill="auto"/>
            <w:vAlign w:val="center"/>
          </w:tcPr>
          <w:p w14:paraId="31125345" w14:textId="77777777" w:rsidR="001212BA" w:rsidRPr="00E05465" w:rsidRDefault="001212BA" w:rsidP="00071F3B">
            <w:pPr>
              <w:pStyle w:val="TableText0"/>
              <w:keepNext w:val="0"/>
            </w:pPr>
            <w:r w:rsidRPr="00E05465">
              <w:t>Average number of ravulizumab scripts per patient per year</w:t>
            </w:r>
          </w:p>
        </w:tc>
        <w:tc>
          <w:tcPr>
            <w:tcW w:w="2593" w:type="pct"/>
            <w:shd w:val="clear" w:color="auto" w:fill="auto"/>
            <w:vAlign w:val="center"/>
          </w:tcPr>
          <w:p w14:paraId="27115609" w14:textId="77777777" w:rsidR="001212BA" w:rsidRPr="00E05465" w:rsidRDefault="001212BA" w:rsidP="00071F3B">
            <w:pPr>
              <w:pStyle w:val="TableText0"/>
              <w:keepNext w:val="0"/>
            </w:pPr>
            <w:r w:rsidRPr="00E05465">
              <w:t>Loading dose: 1 script</w:t>
            </w:r>
          </w:p>
          <w:p w14:paraId="5F1E542F" w14:textId="77777777" w:rsidR="001212BA" w:rsidRPr="00E05465" w:rsidRDefault="001212BA" w:rsidP="00071F3B">
            <w:pPr>
              <w:pStyle w:val="TableText0"/>
              <w:keepNext w:val="0"/>
              <w:rPr>
                <w:vertAlign w:val="superscript"/>
              </w:rPr>
            </w:pPr>
            <w:r w:rsidRPr="00E05465">
              <w:t>Maintenance dose in year 1: 12.50 (revised: 6.25</w:t>
            </w:r>
            <w:r w:rsidRPr="00E05465">
              <w:rPr>
                <w:vertAlign w:val="superscript"/>
              </w:rPr>
              <w:t>a</w:t>
            </w:r>
            <w:r w:rsidRPr="00E05465">
              <w:t>) scripts</w:t>
            </w:r>
          </w:p>
          <w:p w14:paraId="299082C4" w14:textId="77777777" w:rsidR="001212BA" w:rsidRPr="00E05465" w:rsidRDefault="001212BA" w:rsidP="00071F3B">
            <w:pPr>
              <w:pStyle w:val="TableText0"/>
              <w:keepNext w:val="0"/>
              <w:rPr>
                <w:vertAlign w:val="superscript"/>
              </w:rPr>
            </w:pPr>
            <w:r w:rsidRPr="00E05465">
              <w:t>Maintenance dose in year 2+: 6.50 scripts</w:t>
            </w:r>
            <w:r w:rsidRPr="00E05465">
              <w:rPr>
                <w:vertAlign w:val="superscript"/>
              </w:rPr>
              <w:t>a</w:t>
            </w:r>
          </w:p>
        </w:tc>
        <w:tc>
          <w:tcPr>
            <w:tcW w:w="1623" w:type="pct"/>
            <w:shd w:val="clear" w:color="auto" w:fill="auto"/>
          </w:tcPr>
          <w:p w14:paraId="27F55E10" w14:textId="77777777" w:rsidR="001212BA" w:rsidRPr="00E05465" w:rsidRDefault="001212BA" w:rsidP="00071F3B">
            <w:pPr>
              <w:pStyle w:val="TableText0"/>
              <w:keepNext w:val="0"/>
            </w:pPr>
            <w:r w:rsidRPr="00E05465">
              <w:t>This was reasonable; however, the submission had erroneously double counted the number of scripts in year 1.</w:t>
            </w:r>
          </w:p>
        </w:tc>
      </w:tr>
      <w:tr w:rsidR="00E05465" w:rsidRPr="00E05465" w14:paraId="619763EE" w14:textId="77777777" w:rsidTr="005954B4">
        <w:trPr>
          <w:cantSplit/>
          <w:trHeight w:val="944"/>
        </w:trPr>
        <w:tc>
          <w:tcPr>
            <w:tcW w:w="784" w:type="pct"/>
            <w:shd w:val="clear" w:color="auto" w:fill="auto"/>
            <w:vAlign w:val="center"/>
          </w:tcPr>
          <w:p w14:paraId="5AAC2E20" w14:textId="77777777" w:rsidR="001212BA" w:rsidRPr="00E05465" w:rsidRDefault="001212BA" w:rsidP="00071F3B">
            <w:pPr>
              <w:pStyle w:val="TableText0"/>
              <w:keepNext w:val="0"/>
            </w:pPr>
            <w:r w:rsidRPr="00E05465">
              <w:t>Dose per ravulizumab script</w:t>
            </w:r>
          </w:p>
        </w:tc>
        <w:tc>
          <w:tcPr>
            <w:tcW w:w="2593" w:type="pct"/>
            <w:shd w:val="clear" w:color="auto" w:fill="auto"/>
            <w:vAlign w:val="center"/>
          </w:tcPr>
          <w:p w14:paraId="1A725A0B" w14:textId="0CFFDBBD" w:rsidR="001212BA" w:rsidRPr="00E05465" w:rsidRDefault="001212BA" w:rsidP="00071F3B">
            <w:pPr>
              <w:pStyle w:val="TableText0"/>
              <w:keepNext w:val="0"/>
            </w:pPr>
            <w:r w:rsidRPr="00E05465">
              <w:t>Loading dose: 2,350</w:t>
            </w:r>
            <w:r w:rsidR="0020619D" w:rsidRPr="00E05465">
              <w:t> </w:t>
            </w:r>
            <w:r w:rsidRPr="00E05465">
              <w:t>mg</w:t>
            </w:r>
          </w:p>
          <w:p w14:paraId="2FF5185C" w14:textId="2BC79DAE" w:rsidR="001212BA" w:rsidRPr="00E05465" w:rsidRDefault="001212BA" w:rsidP="00071F3B">
            <w:pPr>
              <w:pStyle w:val="TableText0"/>
              <w:keepNext w:val="0"/>
            </w:pPr>
            <w:r w:rsidRPr="00E05465">
              <w:t>Year 1 maintenance dose: 1,500</w:t>
            </w:r>
            <w:r w:rsidR="0020619D" w:rsidRPr="00E05465">
              <w:t> </w:t>
            </w:r>
            <w:r w:rsidRPr="00E05465">
              <w:t xml:space="preserve">mg </w:t>
            </w:r>
          </w:p>
          <w:p w14:paraId="68B45C62" w14:textId="3AD686CD" w:rsidR="001212BA" w:rsidRPr="00E05465" w:rsidRDefault="001212BA" w:rsidP="00071F3B">
            <w:pPr>
              <w:pStyle w:val="TableText0"/>
              <w:keepNext w:val="0"/>
            </w:pPr>
            <w:r w:rsidRPr="00E05465">
              <w:t>Year 2 maintenance dose: 3,100</w:t>
            </w:r>
            <w:r w:rsidR="0020619D" w:rsidRPr="00E05465">
              <w:t> </w:t>
            </w:r>
            <w:r w:rsidRPr="00E05465">
              <w:t>mg</w:t>
            </w:r>
          </w:p>
          <w:p w14:paraId="6A490912" w14:textId="77777777" w:rsidR="001212BA" w:rsidRPr="00E05465" w:rsidRDefault="001212BA" w:rsidP="00071F3B">
            <w:pPr>
              <w:pStyle w:val="TableText0"/>
              <w:keepNext w:val="0"/>
            </w:pPr>
          </w:p>
          <w:p w14:paraId="0EEDDFD8" w14:textId="77777777" w:rsidR="001212BA" w:rsidRPr="00E05465" w:rsidRDefault="001212BA" w:rsidP="00071F3B">
            <w:pPr>
              <w:pStyle w:val="TableText0"/>
              <w:keepNext w:val="0"/>
            </w:pPr>
            <w:r w:rsidRPr="00E05465">
              <w:t xml:space="preserve">Based on the weighted doses derived from the CMA. </w:t>
            </w:r>
          </w:p>
        </w:tc>
        <w:tc>
          <w:tcPr>
            <w:tcW w:w="1623" w:type="pct"/>
            <w:shd w:val="clear" w:color="auto" w:fill="auto"/>
          </w:tcPr>
          <w:p w14:paraId="56B10EF3" w14:textId="77777777" w:rsidR="001212BA" w:rsidRPr="00E05465" w:rsidRDefault="001212BA" w:rsidP="00071F3B">
            <w:pPr>
              <w:pStyle w:val="TableText0"/>
              <w:keepNext w:val="0"/>
            </w:pPr>
            <w:r w:rsidRPr="00E05465">
              <w:t xml:space="preserve">The year 1 maintenance dose differed from year 2, this was not justified and appears to be erroneous. </w:t>
            </w:r>
          </w:p>
        </w:tc>
      </w:tr>
      <w:tr w:rsidR="00E05465" w:rsidRPr="00E05465" w14:paraId="76DC302C" w14:textId="77777777" w:rsidTr="005954B4">
        <w:trPr>
          <w:cantSplit/>
        </w:trPr>
        <w:tc>
          <w:tcPr>
            <w:tcW w:w="784" w:type="pct"/>
            <w:shd w:val="clear" w:color="auto" w:fill="auto"/>
            <w:vAlign w:val="center"/>
          </w:tcPr>
          <w:p w14:paraId="07E191A2" w14:textId="77777777" w:rsidR="001212BA" w:rsidRPr="00E05465" w:rsidRDefault="001212BA" w:rsidP="00071F3B">
            <w:pPr>
              <w:pStyle w:val="TableText0"/>
              <w:keepNext w:val="0"/>
            </w:pPr>
            <w:r w:rsidRPr="00E05465">
              <w:t>Cost per ravulizumab script</w:t>
            </w:r>
          </w:p>
        </w:tc>
        <w:tc>
          <w:tcPr>
            <w:tcW w:w="2593" w:type="pct"/>
            <w:shd w:val="clear" w:color="auto" w:fill="auto"/>
            <w:vAlign w:val="center"/>
          </w:tcPr>
          <w:p w14:paraId="739CA41A" w14:textId="76C019BE" w:rsidR="001212BA" w:rsidRPr="00E05465" w:rsidRDefault="001212BA" w:rsidP="00071F3B">
            <w:pPr>
              <w:pStyle w:val="TableText0"/>
              <w:keepNext w:val="0"/>
            </w:pPr>
            <w:r w:rsidRPr="00E05465">
              <w:t>Loading dose script: $</w:t>
            </w:r>
            <w:r w:rsidR="00533927" w:rsidRPr="00533927">
              <w:rPr>
                <w:color w:val="000000"/>
                <w:spacing w:val="45"/>
                <w:shd w:val="solid" w:color="000000" w:fill="000000"/>
                <w:fitText w:val="330" w:id="-1168291317"/>
                <w14:textFill>
                  <w14:solidFill>
                    <w14:srgbClr w14:val="000000">
                      <w14:alpha w14:val="100000"/>
                    </w14:srgbClr>
                  </w14:solidFill>
                </w14:textFill>
              </w:rPr>
              <w:t>|||</w:t>
            </w:r>
            <w:r w:rsidR="00533927" w:rsidRPr="00533927">
              <w:rPr>
                <w:color w:val="000000"/>
                <w:spacing w:val="15"/>
                <w:shd w:val="solid" w:color="000000" w:fill="000000"/>
                <w:fitText w:val="330" w:id="-1168291317"/>
                <w14:textFill>
                  <w14:solidFill>
                    <w14:srgbClr w14:val="000000">
                      <w14:alpha w14:val="100000"/>
                    </w14:srgbClr>
                  </w14:solidFill>
                </w14:textFill>
              </w:rPr>
              <w:t>|</w:t>
            </w:r>
            <w:r w:rsidRPr="00E05465">
              <w:t xml:space="preserve"> (7.83 × 300</w:t>
            </w:r>
            <w:r w:rsidR="0020619D" w:rsidRPr="00E05465">
              <w:t> </w:t>
            </w:r>
            <w:r w:rsidRPr="00E05465">
              <w:t>mg vials)</w:t>
            </w:r>
          </w:p>
          <w:p w14:paraId="5B5078BF" w14:textId="26857BD7" w:rsidR="001212BA" w:rsidRPr="00E05465" w:rsidRDefault="001212BA" w:rsidP="00071F3B">
            <w:pPr>
              <w:pStyle w:val="TableText0"/>
              <w:keepNext w:val="0"/>
            </w:pPr>
            <w:r w:rsidRPr="00E05465">
              <w:t>Year 1 Maintenance dose script: $</w:t>
            </w:r>
            <w:r w:rsidR="00533927" w:rsidRPr="00533927">
              <w:rPr>
                <w:color w:val="000000"/>
                <w:spacing w:val="45"/>
                <w:shd w:val="solid" w:color="000000" w:fill="000000"/>
                <w:fitText w:val="330" w:id="-1168291316"/>
                <w14:textFill>
                  <w14:solidFill>
                    <w14:srgbClr w14:val="000000">
                      <w14:alpha w14:val="100000"/>
                    </w14:srgbClr>
                  </w14:solidFill>
                </w14:textFill>
              </w:rPr>
              <w:t>|||</w:t>
            </w:r>
            <w:r w:rsidR="00533927" w:rsidRPr="00533927">
              <w:rPr>
                <w:color w:val="000000"/>
                <w:spacing w:val="15"/>
                <w:shd w:val="solid" w:color="000000" w:fill="000000"/>
                <w:fitText w:val="330" w:id="-1168291316"/>
                <w14:textFill>
                  <w14:solidFill>
                    <w14:srgbClr w14:val="000000">
                      <w14:alpha w14:val="100000"/>
                    </w14:srgbClr>
                  </w14:solidFill>
                </w14:textFill>
              </w:rPr>
              <w:t>|</w:t>
            </w:r>
            <w:r w:rsidRPr="00E05465">
              <w:t xml:space="preserve"> (5.00 × 300</w:t>
            </w:r>
            <w:r w:rsidR="0020619D" w:rsidRPr="00E05465">
              <w:t> </w:t>
            </w:r>
            <w:r w:rsidRPr="00E05465">
              <w:t>mg vials)</w:t>
            </w:r>
          </w:p>
          <w:p w14:paraId="3935289B" w14:textId="54EFF009" w:rsidR="001212BA" w:rsidRPr="00E05465" w:rsidRDefault="001212BA" w:rsidP="00071F3B">
            <w:pPr>
              <w:pStyle w:val="TableText0"/>
              <w:keepNext w:val="0"/>
            </w:pPr>
            <w:r w:rsidRPr="00E05465">
              <w:t>Year 2 Maintenance dose script: $</w:t>
            </w:r>
            <w:r w:rsidR="00533927" w:rsidRPr="00533927">
              <w:rPr>
                <w:color w:val="000000"/>
                <w:spacing w:val="45"/>
                <w:shd w:val="solid" w:color="000000" w:fill="000000"/>
                <w:fitText w:val="330" w:id="-1168291315"/>
                <w14:textFill>
                  <w14:solidFill>
                    <w14:srgbClr w14:val="000000">
                      <w14:alpha w14:val="100000"/>
                    </w14:srgbClr>
                  </w14:solidFill>
                </w14:textFill>
              </w:rPr>
              <w:t>|||</w:t>
            </w:r>
            <w:r w:rsidR="00533927" w:rsidRPr="00533927">
              <w:rPr>
                <w:color w:val="000000"/>
                <w:spacing w:val="15"/>
                <w:shd w:val="solid" w:color="000000" w:fill="000000"/>
                <w:fitText w:val="330" w:id="-1168291315"/>
                <w14:textFill>
                  <w14:solidFill>
                    <w14:srgbClr w14:val="000000">
                      <w14:alpha w14:val="100000"/>
                    </w14:srgbClr>
                  </w14:solidFill>
                </w14:textFill>
              </w:rPr>
              <w:t>|</w:t>
            </w:r>
            <w:r w:rsidRPr="00E05465">
              <w:t xml:space="preserve"> (10.33 × 300</w:t>
            </w:r>
            <w:r w:rsidR="0020619D" w:rsidRPr="00E05465">
              <w:t> </w:t>
            </w:r>
            <w:r w:rsidRPr="00E05465">
              <w:t xml:space="preserve">mg vials) </w:t>
            </w:r>
          </w:p>
          <w:p w14:paraId="47638764" w14:textId="77777777" w:rsidR="001212BA" w:rsidRPr="00E05465" w:rsidRDefault="001212BA" w:rsidP="00071F3B">
            <w:pPr>
              <w:pStyle w:val="TableText0"/>
              <w:keepNext w:val="0"/>
            </w:pPr>
          </w:p>
          <w:p w14:paraId="504DF34D" w14:textId="7BCDCC10" w:rsidR="001212BA" w:rsidRPr="00E05465" w:rsidRDefault="001212BA" w:rsidP="00071F3B">
            <w:pPr>
              <w:pStyle w:val="TableText0"/>
              <w:keepNext w:val="0"/>
            </w:pPr>
            <w:r w:rsidRPr="00E05465">
              <w:t>The proposed effective AEMP price per 300</w:t>
            </w:r>
            <w:r w:rsidR="0020619D" w:rsidRPr="00E05465">
              <w:t> </w:t>
            </w:r>
            <w:r w:rsidRPr="00E05465">
              <w:t>mg vial ($</w:t>
            </w:r>
            <w:r w:rsidR="00533927" w:rsidRPr="00533927">
              <w:rPr>
                <w:color w:val="000000"/>
                <w:spacing w:val="45"/>
                <w:shd w:val="solid" w:color="000000" w:fill="000000"/>
                <w:fitText w:val="330" w:id="-1168291314"/>
                <w14:textFill>
                  <w14:solidFill>
                    <w14:srgbClr w14:val="000000">
                      <w14:alpha w14:val="100000"/>
                    </w14:srgbClr>
                  </w14:solidFill>
                </w14:textFill>
              </w:rPr>
              <w:t>|||</w:t>
            </w:r>
            <w:r w:rsidR="00533927" w:rsidRPr="00533927">
              <w:rPr>
                <w:color w:val="000000"/>
                <w:spacing w:val="15"/>
                <w:shd w:val="solid" w:color="000000" w:fill="000000"/>
                <w:fitText w:val="330" w:id="-1168291314"/>
                <w14:textFill>
                  <w14:solidFill>
                    <w14:srgbClr w14:val="000000">
                      <w14:alpha w14:val="100000"/>
                    </w14:srgbClr>
                  </w14:solidFill>
                </w14:textFill>
              </w:rPr>
              <w:t>|</w:t>
            </w:r>
            <w:r w:rsidRPr="00E05465">
              <w:t>)</w:t>
            </w:r>
            <w:r w:rsidRPr="00E05465">
              <w:rPr>
                <w:vertAlign w:val="superscript"/>
              </w:rPr>
              <w:t>b</w:t>
            </w:r>
            <w:r w:rsidRPr="00E05465">
              <w:t xml:space="preserve"> was used and the number of 300</w:t>
            </w:r>
            <w:r w:rsidR="0020619D" w:rsidRPr="00E05465">
              <w:t> </w:t>
            </w:r>
            <w:r w:rsidRPr="00E05465">
              <w:t>mg vials</w:t>
            </w:r>
            <w:r w:rsidRPr="00E05465">
              <w:rPr>
                <w:vertAlign w:val="superscript"/>
              </w:rPr>
              <w:t xml:space="preserve"> </w:t>
            </w:r>
            <w:r w:rsidRPr="00E05465">
              <w:t xml:space="preserve">required per script was derived from the CMA. The cost per script was then weighted for 92.27% public hospital use (no additional fees) and 7.73% private hospital use ($40.00 HSD pharmacy mark up and $7.78 ready prepared fee), based on 2021 eculizumab usage in the paediatric and adult population. </w:t>
            </w:r>
          </w:p>
        </w:tc>
        <w:tc>
          <w:tcPr>
            <w:tcW w:w="1623" w:type="pct"/>
            <w:shd w:val="clear" w:color="auto" w:fill="auto"/>
          </w:tcPr>
          <w:p w14:paraId="597BA0FF" w14:textId="77777777" w:rsidR="001212BA" w:rsidRPr="00E05465" w:rsidRDefault="001212BA" w:rsidP="00071F3B">
            <w:pPr>
              <w:pStyle w:val="TableText0"/>
              <w:keepNext w:val="0"/>
            </w:pPr>
            <w:r w:rsidRPr="00E05465">
              <w:t>As stated above the dose per year 1 maintenance script does not appear to be accurate however this approach was reasonable, noting that the dispensing fee applied of ($7.78) was not current ($7.82).</w:t>
            </w:r>
          </w:p>
        </w:tc>
      </w:tr>
      <w:tr w:rsidR="00E05465" w:rsidRPr="00E05465" w14:paraId="3FE54E7A" w14:textId="77777777" w:rsidTr="005954B4">
        <w:trPr>
          <w:cantSplit/>
        </w:trPr>
        <w:tc>
          <w:tcPr>
            <w:tcW w:w="784" w:type="pct"/>
            <w:shd w:val="clear" w:color="auto" w:fill="auto"/>
            <w:vAlign w:val="center"/>
          </w:tcPr>
          <w:p w14:paraId="78310A82" w14:textId="77777777" w:rsidR="001212BA" w:rsidRPr="00E05465" w:rsidRDefault="001212BA" w:rsidP="00071F3B">
            <w:pPr>
              <w:pStyle w:val="TableText0"/>
              <w:keepNext w:val="0"/>
            </w:pPr>
            <w:r w:rsidRPr="00E05465">
              <w:t>Average number of eculizumab scripts per patient per year</w:t>
            </w:r>
          </w:p>
        </w:tc>
        <w:tc>
          <w:tcPr>
            <w:tcW w:w="2593" w:type="pct"/>
            <w:shd w:val="clear" w:color="auto" w:fill="auto"/>
            <w:vAlign w:val="center"/>
          </w:tcPr>
          <w:p w14:paraId="328758E4" w14:textId="483BBE20" w:rsidR="009B5F9A" w:rsidRPr="00E05465" w:rsidRDefault="001212BA" w:rsidP="00071F3B">
            <w:pPr>
              <w:pStyle w:val="TableText0"/>
              <w:keepNext w:val="0"/>
            </w:pPr>
            <w:r w:rsidRPr="00E05465">
              <w:t>Maintenance dose: 13 scripts (equating to one script every 4</w:t>
            </w:r>
            <w:r w:rsidR="0020619D" w:rsidRPr="00E05465">
              <w:t> </w:t>
            </w:r>
            <w:r w:rsidRPr="00E05465">
              <w:t>weeks)</w:t>
            </w:r>
            <w:r w:rsidR="00DF194E" w:rsidRPr="00E05465">
              <w:t xml:space="preserve">. </w:t>
            </w:r>
          </w:p>
          <w:p w14:paraId="0C6D0741" w14:textId="27C72C36" w:rsidR="001212BA" w:rsidRPr="00E05465" w:rsidRDefault="00DF194E" w:rsidP="00071F3B">
            <w:pPr>
              <w:pStyle w:val="TableText0"/>
              <w:keepNext w:val="0"/>
            </w:pPr>
            <w:r w:rsidRPr="00E05465">
              <w:t xml:space="preserve">Assuming each script would be sufficient to cover 2 administrations as the </w:t>
            </w:r>
            <w:r w:rsidR="004A5544" w:rsidRPr="00E05465">
              <w:t>maximum quantity</w:t>
            </w:r>
            <w:r w:rsidRPr="00E05465">
              <w:t xml:space="preserve"> allows for 6 </w:t>
            </w:r>
            <w:r w:rsidR="000F33FE" w:rsidRPr="00E05465">
              <w:t xml:space="preserve">× </w:t>
            </w:r>
            <w:r w:rsidR="004C7A9D" w:rsidRPr="00E05465">
              <w:t>300</w:t>
            </w:r>
            <w:r w:rsidR="0020619D" w:rsidRPr="00E05465">
              <w:t> </w:t>
            </w:r>
            <w:r w:rsidR="004C7A9D" w:rsidRPr="00E05465">
              <w:t xml:space="preserve">mg </w:t>
            </w:r>
            <w:r w:rsidRPr="00E05465">
              <w:t>vials</w:t>
            </w:r>
            <w:r w:rsidR="00FC15B3" w:rsidRPr="00E05465">
              <w:t xml:space="preserve"> </w:t>
            </w:r>
            <w:r w:rsidRPr="00E05465">
              <w:t>(3 vials per administration)</w:t>
            </w:r>
            <w:r w:rsidR="00FC15B3" w:rsidRPr="00E05465">
              <w:t xml:space="preserve">. </w:t>
            </w:r>
            <w:r w:rsidR="001212BA" w:rsidRPr="00E05465">
              <w:t xml:space="preserve"> </w:t>
            </w:r>
          </w:p>
        </w:tc>
        <w:tc>
          <w:tcPr>
            <w:tcW w:w="1623" w:type="pct"/>
            <w:shd w:val="clear" w:color="auto" w:fill="auto"/>
          </w:tcPr>
          <w:p w14:paraId="4DBBFCFD" w14:textId="24470BDB" w:rsidR="001212BA" w:rsidRPr="00E05465" w:rsidRDefault="00FC15B3" w:rsidP="00071F3B">
            <w:pPr>
              <w:pStyle w:val="TableText0"/>
              <w:keepNext w:val="0"/>
            </w:pPr>
            <w:r w:rsidRPr="00E05465">
              <w:t xml:space="preserve"> Reasonable.</w:t>
            </w:r>
            <w:r w:rsidR="001212BA" w:rsidRPr="00E05465">
              <w:t xml:space="preserve"> </w:t>
            </w:r>
          </w:p>
        </w:tc>
      </w:tr>
      <w:tr w:rsidR="00E05465" w:rsidRPr="00E05465" w14:paraId="74F25D2C" w14:textId="77777777" w:rsidTr="005954B4">
        <w:trPr>
          <w:cantSplit/>
        </w:trPr>
        <w:tc>
          <w:tcPr>
            <w:tcW w:w="784" w:type="pct"/>
            <w:shd w:val="clear" w:color="auto" w:fill="auto"/>
            <w:vAlign w:val="center"/>
          </w:tcPr>
          <w:p w14:paraId="5B006C9E" w14:textId="77777777" w:rsidR="001212BA" w:rsidRPr="00E05465" w:rsidRDefault="001212BA" w:rsidP="00071F3B">
            <w:pPr>
              <w:pStyle w:val="TableText0"/>
              <w:keepNext w:val="0"/>
            </w:pPr>
            <w:r w:rsidRPr="00E05465">
              <w:t>Dose per eculizumab script</w:t>
            </w:r>
          </w:p>
        </w:tc>
        <w:tc>
          <w:tcPr>
            <w:tcW w:w="2593" w:type="pct"/>
            <w:shd w:val="clear" w:color="auto" w:fill="auto"/>
            <w:vAlign w:val="center"/>
          </w:tcPr>
          <w:p w14:paraId="3A53E27C" w14:textId="347F7D08" w:rsidR="001212BA" w:rsidRPr="00E05465" w:rsidRDefault="001212BA" w:rsidP="00071F3B">
            <w:pPr>
              <w:pStyle w:val="TableText0"/>
              <w:keepNext w:val="0"/>
            </w:pPr>
            <w:r w:rsidRPr="00E05465">
              <w:t>1,800</w:t>
            </w:r>
            <w:r w:rsidR="0020619D" w:rsidRPr="00E05465">
              <w:t> </w:t>
            </w:r>
            <w:r w:rsidRPr="00E05465">
              <w:t>mg (costed as 6 × 300</w:t>
            </w:r>
            <w:r w:rsidR="0020619D" w:rsidRPr="00E05465">
              <w:t> </w:t>
            </w:r>
            <w:r w:rsidRPr="00E05465">
              <w:t>mg vials per script)</w:t>
            </w:r>
            <w:r w:rsidR="00FC15B3" w:rsidRPr="00E05465">
              <w:t>,</w:t>
            </w:r>
            <w:r w:rsidRPr="00E05465">
              <w:t xml:space="preserve"> </w:t>
            </w:r>
            <w:r w:rsidR="004C7A9D" w:rsidRPr="00E05465">
              <w:t xml:space="preserve">which covers 2 administrations of </w:t>
            </w:r>
            <w:r w:rsidR="00FC15B3" w:rsidRPr="00E05465">
              <w:t>900</w:t>
            </w:r>
            <w:r w:rsidR="0020619D" w:rsidRPr="00E05465">
              <w:t> </w:t>
            </w:r>
            <w:r w:rsidR="00FC15B3" w:rsidRPr="00E05465">
              <w:t xml:space="preserve">mg, </w:t>
            </w:r>
            <w:r w:rsidR="000F33FE" w:rsidRPr="00E05465">
              <w:t>in line with</w:t>
            </w:r>
            <w:r w:rsidR="00FC15B3" w:rsidRPr="00E05465">
              <w:t xml:space="preserve"> the weighted dose derived from the CMA.</w:t>
            </w:r>
            <w:r w:rsidRPr="00E05465">
              <w:t xml:space="preserve"> </w:t>
            </w:r>
          </w:p>
        </w:tc>
        <w:tc>
          <w:tcPr>
            <w:tcW w:w="1623" w:type="pct"/>
            <w:shd w:val="clear" w:color="auto" w:fill="auto"/>
          </w:tcPr>
          <w:p w14:paraId="3F2476E7" w14:textId="7201B5CF" w:rsidR="001212BA" w:rsidRPr="00E05465" w:rsidRDefault="00FC15B3" w:rsidP="00071F3B">
            <w:pPr>
              <w:pStyle w:val="TableText0"/>
              <w:keepNext w:val="0"/>
            </w:pPr>
            <w:r w:rsidRPr="00E05465">
              <w:t xml:space="preserve"> Reasonable.</w:t>
            </w:r>
            <w:r w:rsidR="001212BA" w:rsidRPr="00E05465">
              <w:t xml:space="preserve"> </w:t>
            </w:r>
          </w:p>
        </w:tc>
      </w:tr>
      <w:tr w:rsidR="00E05465" w:rsidRPr="00E05465" w14:paraId="276401A0" w14:textId="77777777" w:rsidTr="005954B4">
        <w:trPr>
          <w:cantSplit/>
        </w:trPr>
        <w:tc>
          <w:tcPr>
            <w:tcW w:w="784" w:type="pct"/>
            <w:shd w:val="clear" w:color="auto" w:fill="auto"/>
            <w:vAlign w:val="center"/>
          </w:tcPr>
          <w:p w14:paraId="10ED5859" w14:textId="77777777" w:rsidR="001212BA" w:rsidRPr="00E05465" w:rsidRDefault="001212BA" w:rsidP="00071F3B">
            <w:pPr>
              <w:pStyle w:val="TableText0"/>
              <w:keepNext w:val="0"/>
            </w:pPr>
            <w:r w:rsidRPr="00E05465">
              <w:t>Cost per eculizumab script</w:t>
            </w:r>
          </w:p>
        </w:tc>
        <w:tc>
          <w:tcPr>
            <w:tcW w:w="2593" w:type="pct"/>
            <w:shd w:val="clear" w:color="auto" w:fill="auto"/>
            <w:vAlign w:val="center"/>
          </w:tcPr>
          <w:p w14:paraId="7C630F71" w14:textId="6BF9E316" w:rsidR="001212BA" w:rsidRPr="00E05465" w:rsidRDefault="001212BA" w:rsidP="00071F3B">
            <w:pPr>
              <w:pStyle w:val="TableText0"/>
              <w:keepNext w:val="0"/>
            </w:pPr>
            <w:r w:rsidRPr="00E05465">
              <w:t>Maintenance dose: $</w:t>
            </w:r>
            <w:r w:rsidR="00533927" w:rsidRPr="00533927">
              <w:rPr>
                <w:color w:val="000000"/>
                <w:spacing w:val="45"/>
                <w:shd w:val="solid" w:color="000000" w:fill="000000"/>
                <w:fitText w:val="330" w:id="-1168291313"/>
                <w14:textFill>
                  <w14:solidFill>
                    <w14:srgbClr w14:val="000000">
                      <w14:alpha w14:val="100000"/>
                    </w14:srgbClr>
                  </w14:solidFill>
                </w14:textFill>
              </w:rPr>
              <w:t>|||</w:t>
            </w:r>
            <w:r w:rsidR="00533927" w:rsidRPr="00533927">
              <w:rPr>
                <w:color w:val="000000"/>
                <w:spacing w:val="15"/>
                <w:shd w:val="solid" w:color="000000" w:fill="000000"/>
                <w:fitText w:val="330" w:id="-1168291313"/>
                <w14:textFill>
                  <w14:solidFill>
                    <w14:srgbClr w14:val="000000">
                      <w14:alpha w14:val="100000"/>
                    </w14:srgbClr>
                  </w14:solidFill>
                </w14:textFill>
              </w:rPr>
              <w:t>|</w:t>
            </w:r>
            <w:r w:rsidRPr="00E05465">
              <w:t xml:space="preserve">. </w:t>
            </w:r>
          </w:p>
          <w:p w14:paraId="7F545C55" w14:textId="35ADE664" w:rsidR="001212BA" w:rsidRPr="00E05465" w:rsidRDefault="001212BA" w:rsidP="00071F3B">
            <w:pPr>
              <w:pStyle w:val="TableText0"/>
              <w:keepNext w:val="0"/>
            </w:pPr>
            <w:r w:rsidRPr="00E05465">
              <w:t>6 × $</w:t>
            </w:r>
            <w:r w:rsidR="00533927" w:rsidRPr="00533927">
              <w:rPr>
                <w:color w:val="000000"/>
                <w:spacing w:val="45"/>
                <w:shd w:val="solid" w:color="000000" w:fill="000000"/>
                <w:fitText w:val="330" w:id="-1168291312"/>
                <w14:textFill>
                  <w14:solidFill>
                    <w14:srgbClr w14:val="000000">
                      <w14:alpha w14:val="100000"/>
                    </w14:srgbClr>
                  </w14:solidFill>
                </w14:textFill>
              </w:rPr>
              <w:t>|||</w:t>
            </w:r>
            <w:r w:rsidR="00533927" w:rsidRPr="00533927">
              <w:rPr>
                <w:color w:val="000000"/>
                <w:spacing w:val="15"/>
                <w:shd w:val="solid" w:color="000000" w:fill="000000"/>
                <w:fitText w:val="330" w:id="-1168291312"/>
                <w14:textFill>
                  <w14:solidFill>
                    <w14:srgbClr w14:val="000000">
                      <w14:alpha w14:val="100000"/>
                    </w14:srgbClr>
                  </w14:solidFill>
                </w14:textFill>
              </w:rPr>
              <w:t>|</w:t>
            </w:r>
            <w:r w:rsidRPr="00E05465">
              <w:t xml:space="preserve"> (effective AEMP for 300</w:t>
            </w:r>
            <w:r w:rsidR="0020619D" w:rsidRPr="00E05465">
              <w:t> </w:t>
            </w:r>
            <w:r w:rsidRPr="00E05465">
              <w:t xml:space="preserve">mg vial). Weighted for public and private hospital use as noted for ravulizumab.  </w:t>
            </w:r>
          </w:p>
        </w:tc>
        <w:tc>
          <w:tcPr>
            <w:tcW w:w="1623" w:type="pct"/>
            <w:shd w:val="clear" w:color="auto" w:fill="auto"/>
          </w:tcPr>
          <w:p w14:paraId="62671380" w14:textId="5071D5F6" w:rsidR="001212BA" w:rsidRPr="00E05465" w:rsidRDefault="00FC15B3" w:rsidP="00071F3B">
            <w:pPr>
              <w:pStyle w:val="TableText0"/>
              <w:keepNext w:val="0"/>
            </w:pPr>
            <w:r w:rsidRPr="00E05465">
              <w:t>Reasonable.</w:t>
            </w:r>
            <w:r w:rsidR="001212BA" w:rsidRPr="00E05465">
              <w:t xml:space="preserve">    </w:t>
            </w:r>
          </w:p>
        </w:tc>
      </w:tr>
      <w:tr w:rsidR="00E05465" w:rsidRPr="00E05465" w14:paraId="0DE3FBC3" w14:textId="77777777" w:rsidTr="005954B4">
        <w:trPr>
          <w:cantSplit/>
          <w:trHeight w:val="70"/>
        </w:trPr>
        <w:tc>
          <w:tcPr>
            <w:tcW w:w="784" w:type="pct"/>
            <w:shd w:val="clear" w:color="auto" w:fill="auto"/>
            <w:vAlign w:val="center"/>
          </w:tcPr>
          <w:p w14:paraId="429F0EB9" w14:textId="77777777" w:rsidR="001212BA" w:rsidRPr="00E05465" w:rsidRDefault="001212BA" w:rsidP="00071F3B">
            <w:pPr>
              <w:pStyle w:val="TableText0"/>
              <w:keepNext w:val="0"/>
            </w:pPr>
            <w:r w:rsidRPr="00E05465">
              <w:lastRenderedPageBreak/>
              <w:t>Patient copayment</w:t>
            </w:r>
          </w:p>
        </w:tc>
        <w:tc>
          <w:tcPr>
            <w:tcW w:w="2593" w:type="pct"/>
            <w:shd w:val="clear" w:color="auto" w:fill="auto"/>
            <w:vAlign w:val="center"/>
          </w:tcPr>
          <w:p w14:paraId="6B04A080" w14:textId="77777777" w:rsidR="001212BA" w:rsidRPr="00E05465" w:rsidRDefault="001212BA" w:rsidP="00071F3B">
            <w:pPr>
              <w:pStyle w:val="TableText0"/>
              <w:keepNext w:val="0"/>
            </w:pPr>
            <w:r w:rsidRPr="00E05465">
              <w:t>PBS: $25.15, weighted by eculizumab PBS utilisation data by beneficiary ($42.50 for general and $6.80 for concession). No RPBS patients were identified from 2021 eculizumab PBS utilisation data.</w:t>
            </w:r>
          </w:p>
        </w:tc>
        <w:tc>
          <w:tcPr>
            <w:tcW w:w="1623" w:type="pct"/>
            <w:shd w:val="clear" w:color="auto" w:fill="auto"/>
          </w:tcPr>
          <w:p w14:paraId="2B8E51C7" w14:textId="73C9483A" w:rsidR="001212BA" w:rsidRPr="00E05465" w:rsidRDefault="001212BA" w:rsidP="00071F3B">
            <w:pPr>
              <w:pStyle w:val="TableText0"/>
              <w:keepNext w:val="0"/>
            </w:pPr>
            <w:r w:rsidRPr="00E05465">
              <w:t>The updated fees for general and concession PBS patients are $30.00 and $7.30. This does not substantially impact the financial estimates.</w:t>
            </w:r>
            <w:r w:rsidR="00FD1F5F" w:rsidRPr="00E05465">
              <w:t xml:space="preserve"> It may be prudent to confirm no RPBS patients were present in 2022.</w:t>
            </w:r>
            <w:r w:rsidRPr="00E05465">
              <w:t xml:space="preserve">  </w:t>
            </w:r>
          </w:p>
        </w:tc>
      </w:tr>
      <w:tr w:rsidR="00E05465" w:rsidRPr="00E05465" w14:paraId="7CA298AD" w14:textId="77777777" w:rsidTr="005954B4">
        <w:trPr>
          <w:cantSplit/>
          <w:trHeight w:val="971"/>
        </w:trPr>
        <w:tc>
          <w:tcPr>
            <w:tcW w:w="784" w:type="pct"/>
            <w:shd w:val="clear" w:color="auto" w:fill="auto"/>
            <w:vAlign w:val="center"/>
          </w:tcPr>
          <w:p w14:paraId="7E3E31B7" w14:textId="77777777" w:rsidR="001212BA" w:rsidRPr="00E05465" w:rsidRDefault="001212BA" w:rsidP="00071F3B">
            <w:pPr>
              <w:pStyle w:val="TableText0"/>
              <w:keepNext w:val="0"/>
            </w:pPr>
            <w:r w:rsidRPr="00E05465">
              <w:t>MBS items</w:t>
            </w:r>
          </w:p>
        </w:tc>
        <w:tc>
          <w:tcPr>
            <w:tcW w:w="2593" w:type="pct"/>
            <w:shd w:val="clear" w:color="auto" w:fill="auto"/>
            <w:vAlign w:val="center"/>
          </w:tcPr>
          <w:p w14:paraId="33063D6E" w14:textId="77777777" w:rsidR="001212BA" w:rsidRPr="00E05465" w:rsidRDefault="001212BA" w:rsidP="00071F3B">
            <w:pPr>
              <w:pStyle w:val="TableText0"/>
              <w:keepNext w:val="0"/>
            </w:pPr>
            <w:r w:rsidRPr="00E05465">
              <w:t xml:space="preserve">MBS item 105 (subsequent specialist consultation) was costed (100% benefit) for each script. </w:t>
            </w:r>
          </w:p>
        </w:tc>
        <w:tc>
          <w:tcPr>
            <w:tcW w:w="1623" w:type="pct"/>
            <w:shd w:val="clear" w:color="auto" w:fill="auto"/>
          </w:tcPr>
          <w:p w14:paraId="3F53F898" w14:textId="77777777" w:rsidR="001212BA" w:rsidRPr="00E05465" w:rsidRDefault="001212BA" w:rsidP="00071F3B">
            <w:pPr>
              <w:pStyle w:val="TableText0"/>
              <w:keepNext w:val="0"/>
            </w:pPr>
            <w:r w:rsidRPr="00E05465">
              <w:t xml:space="preserve">This source was reasonable however the submission did not multiply the number of services by the number of ravulizumab patients and has used the 100% benefit instead of the 80% benefit as suggested in the PBAC guidelines.  </w:t>
            </w:r>
          </w:p>
          <w:p w14:paraId="116F79DC" w14:textId="76E813EF" w:rsidR="00CF1AA1" w:rsidRPr="00E05465" w:rsidRDefault="00CF1AA1" w:rsidP="00071F3B">
            <w:pPr>
              <w:pStyle w:val="TableText0"/>
              <w:keepNext w:val="0"/>
            </w:pPr>
            <w:r w:rsidRPr="00E05465">
              <w:t>The PSCR accepted the correction of the MBS costs.</w:t>
            </w:r>
          </w:p>
        </w:tc>
      </w:tr>
    </w:tbl>
    <w:p w14:paraId="04C8280D" w14:textId="77777777" w:rsidR="001212BA" w:rsidRPr="00E05465" w:rsidRDefault="001212BA" w:rsidP="001212BA">
      <w:pPr>
        <w:pStyle w:val="TableFooter"/>
      </w:pPr>
      <w:r w:rsidRPr="00E05465">
        <w:t>Source: Constructed during the evaluation from the “Section 4 BIM workbook” provided with the submission.</w:t>
      </w:r>
    </w:p>
    <w:p w14:paraId="0DB5304D" w14:textId="5545439F" w:rsidR="001212BA" w:rsidRPr="00E05465" w:rsidRDefault="001212BA" w:rsidP="001212BA">
      <w:pPr>
        <w:pStyle w:val="TableFooter"/>
      </w:pPr>
      <w:r w:rsidRPr="00E05465">
        <w:t>AEMP = approved ex-manufacturer price; CMA = cost-minimisation analysis; DUSC = Drug Utilisation Sub-Committee; HSD = highly specialised drugs; MBS = Medicare Benefits Schedule; PBS = Pharmaceutical Benefits Scheme; PHN = paroxysmal nocturnal hemoglobinuria; PI = Product Information; RPBS = Repatriation Pharmaceutical Benefits Scheme</w:t>
      </w:r>
      <w:r w:rsidR="00F82E1C">
        <w:t>, PSCR =</w:t>
      </w:r>
      <w:r w:rsidR="00F82E1C" w:rsidRPr="00F10BDD">
        <w:t xml:space="preserve"> Pre-Sub-Committee Response</w:t>
      </w:r>
      <w:r w:rsidRPr="00E05465">
        <w:t xml:space="preserve">.   </w:t>
      </w:r>
    </w:p>
    <w:p w14:paraId="7B0AA893" w14:textId="77777777" w:rsidR="001212BA" w:rsidRPr="00E05465" w:rsidRDefault="001212BA" w:rsidP="001212BA">
      <w:pPr>
        <w:pStyle w:val="TableFooter"/>
      </w:pPr>
      <w:r w:rsidRPr="00E05465">
        <w:rPr>
          <w:vertAlign w:val="superscript"/>
        </w:rPr>
        <w:t>a</w:t>
      </w:r>
      <w:r w:rsidRPr="00E05465">
        <w:t xml:space="preserve"> One script every 8 weeks, 2 weeks after loading dose.</w:t>
      </w:r>
    </w:p>
    <w:p w14:paraId="62F20EDB" w14:textId="0108EE1F" w:rsidR="001212BA" w:rsidRPr="00E05465" w:rsidRDefault="001212BA" w:rsidP="00E32653">
      <w:pPr>
        <w:pStyle w:val="TableFooter"/>
      </w:pPr>
      <w:r w:rsidRPr="00E05465">
        <w:rPr>
          <w:vertAlign w:val="superscript"/>
        </w:rPr>
        <w:t>b</w:t>
      </w:r>
      <w:r w:rsidRPr="00E05465">
        <w:t xml:space="preserve"> The 1,100</w:t>
      </w:r>
      <w:r w:rsidR="00D14DA9" w:rsidRPr="00E05465">
        <w:t> </w:t>
      </w:r>
      <w:r w:rsidRPr="00E05465">
        <w:t>mg vials were not considered in the financial analyses as they have the same cost (per mg) as the 300</w:t>
      </w:r>
      <w:r w:rsidR="00D14DA9" w:rsidRPr="00E05465">
        <w:t> </w:t>
      </w:r>
      <w:r w:rsidRPr="00E05465">
        <w:t>mg vial.</w:t>
      </w:r>
    </w:p>
    <w:p w14:paraId="4EA3D9D4" w14:textId="4F517AC3" w:rsidR="00E32653" w:rsidRPr="00E05465" w:rsidRDefault="00E32653" w:rsidP="00E32653">
      <w:pPr>
        <w:pStyle w:val="TableFooter"/>
        <w:rPr>
          <w:i/>
          <w:iCs/>
        </w:rPr>
      </w:pPr>
      <w:r w:rsidRPr="00E05465">
        <w:rPr>
          <w:i/>
          <w:iCs/>
        </w:rPr>
        <w:t>The redacted values correspond to the following range:</w:t>
      </w:r>
    </w:p>
    <w:p w14:paraId="574ABCCF" w14:textId="6C333DF1" w:rsidR="00F82E1C" w:rsidRPr="00E05465" w:rsidRDefault="00E32653" w:rsidP="000D02AC">
      <w:pPr>
        <w:pStyle w:val="TableFooter"/>
        <w:spacing w:after="120"/>
        <w:rPr>
          <w:i/>
          <w:iCs/>
        </w:rPr>
      </w:pPr>
      <w:r w:rsidRPr="00E05465">
        <w:rPr>
          <w:i/>
          <w:iCs/>
          <w:vertAlign w:val="superscript"/>
        </w:rPr>
        <w:t>1</w:t>
      </w:r>
      <w:r w:rsidRPr="00E05465">
        <w:rPr>
          <w:i/>
          <w:iCs/>
        </w:rPr>
        <w:t xml:space="preserve"> &lt; 500</w:t>
      </w:r>
    </w:p>
    <w:p w14:paraId="184FF98A" w14:textId="34463BEF" w:rsidR="001212BA" w:rsidRPr="00E05465" w:rsidRDefault="001212BA" w:rsidP="002032B0">
      <w:pPr>
        <w:pStyle w:val="3-BodyText"/>
      </w:pPr>
      <w:r w:rsidRPr="00E05465">
        <w:t xml:space="preserve">A DUSC report commissioned by the sponsor, identified a total of </w:t>
      </w:r>
      <w:r w:rsidR="009C3592" w:rsidRPr="00E05465">
        <w:t xml:space="preserve"> &lt;</w:t>
      </w:r>
      <w:r w:rsidR="00981D6D" w:rsidRPr="00E05465">
        <w:t> </w:t>
      </w:r>
      <w:r w:rsidR="009C3592" w:rsidRPr="00E05465">
        <w:t xml:space="preserve">500 </w:t>
      </w:r>
      <w:r w:rsidRPr="00E05465">
        <w:t>patients under 18 years old who are currently treated with eculizumab for P</w:t>
      </w:r>
      <w:r w:rsidR="00FD1F5F" w:rsidRPr="00E05465">
        <w:t>NH</w:t>
      </w:r>
      <w:r w:rsidRPr="00E05465">
        <w:t>. The submission considered both of these patients would switch over to ravulizumab and hence only ravulizumab loading does were included in the financial estimates. This was reasonable. The submission also assumed there would be no new paediatric cases of P</w:t>
      </w:r>
      <w:r w:rsidR="00FD1F5F" w:rsidRPr="00E05465">
        <w:t>NH</w:t>
      </w:r>
      <w:r w:rsidRPr="00E05465">
        <w:t xml:space="preserve"> over the next 6 years. This is uncertain but may be reasonable given the rarity of this condition in the paediatric population.</w:t>
      </w:r>
    </w:p>
    <w:p w14:paraId="4FF5365E" w14:textId="2160294E" w:rsidR="005226EA" w:rsidRPr="00E05465" w:rsidRDefault="005226EA" w:rsidP="002032B0">
      <w:pPr>
        <w:pStyle w:val="3-BodyText"/>
      </w:pPr>
      <w:r w:rsidRPr="00E05465">
        <w:t>The submission double counted the number of ravulizumab maintenance scripts in the first year of treatment, assuming 12.5 scripts per patient, equivalent to a script every 4 weeks. The PI indicates an administration every 8 weeks for patients who weigh above 20</w:t>
      </w:r>
      <w:r w:rsidR="00D14DA9" w:rsidRPr="00E05465">
        <w:t> </w:t>
      </w:r>
      <w:r w:rsidRPr="00E05465">
        <w:t xml:space="preserve">kg. The submission </w:t>
      </w:r>
      <w:r w:rsidR="00F1694D" w:rsidRPr="00E05465">
        <w:t>also assumed that each ravulizumab maintenance script in Year 1 would incur the cost of 5 × 300</w:t>
      </w:r>
      <w:r w:rsidR="00D14DA9" w:rsidRPr="00E05465">
        <w:t> </w:t>
      </w:r>
      <w:r w:rsidR="00F1694D" w:rsidRPr="00E05465">
        <w:t>mg vials</w:t>
      </w:r>
      <w:r w:rsidRPr="00E05465">
        <w:t>. This is not consistent with the number of vials costed in Year 2+ which was derived from the CMA (10.3 × 300</w:t>
      </w:r>
      <w:r w:rsidR="00D14DA9" w:rsidRPr="00E05465">
        <w:t> </w:t>
      </w:r>
      <w:r w:rsidRPr="00E05465">
        <w:t>mg vials equating to a dose of 3,100</w:t>
      </w:r>
      <w:r w:rsidR="00D14DA9" w:rsidRPr="00E05465">
        <w:t> </w:t>
      </w:r>
      <w:r w:rsidRPr="00E05465">
        <w:t xml:space="preserve">mg). The number of ravulizumab scripts </w:t>
      </w:r>
      <w:r w:rsidR="00F1694D" w:rsidRPr="00E05465">
        <w:t xml:space="preserve">in Year 1 </w:t>
      </w:r>
      <w:r w:rsidRPr="00E05465">
        <w:t>w</w:t>
      </w:r>
      <w:r w:rsidR="00F1694D" w:rsidRPr="00E05465">
        <w:t>as</w:t>
      </w:r>
      <w:r w:rsidRPr="00E05465">
        <w:t xml:space="preserve"> revised during the evaluation to a maintenance script every 8 weeks (starting 2 weeks after the loading dose), equating to 6.25 maintenance scripts in </w:t>
      </w:r>
      <w:r w:rsidR="00F1694D" w:rsidRPr="00E05465">
        <w:t>Y</w:t>
      </w:r>
      <w:r w:rsidRPr="00E05465">
        <w:t>ear 1</w:t>
      </w:r>
      <w:r w:rsidR="00F1694D" w:rsidRPr="00E05465">
        <w:t>. The cost of ravulizumab maintenance scripts in Year 1 was revised to equal to the cost of maintenance scripts in Year 2+</w:t>
      </w:r>
      <w:r w:rsidRPr="00E05465">
        <w:t xml:space="preserve"> </w:t>
      </w:r>
      <w:r w:rsidR="006F300C" w:rsidRPr="00E05465">
        <w:t>($</w:t>
      </w:r>
      <w:r w:rsidR="00533927" w:rsidRPr="00687C33">
        <w:rPr>
          <w:color w:val="000000"/>
          <w:w w:val="15"/>
          <w:shd w:val="solid" w:color="000000" w:fill="000000"/>
          <w:fitText w:val="-20" w:id="-1168291328"/>
          <w14:textFill>
            <w14:solidFill>
              <w14:srgbClr w14:val="000000">
                <w14:alpha w14:val="100000"/>
              </w14:srgbClr>
            </w14:solidFill>
          </w14:textFill>
        </w:rPr>
        <w:t xml:space="preserve">|  </w:t>
      </w:r>
      <w:r w:rsidR="00533927" w:rsidRPr="00687C33">
        <w:rPr>
          <w:color w:val="000000"/>
          <w:spacing w:val="-69"/>
          <w:w w:val="15"/>
          <w:shd w:val="solid" w:color="000000" w:fill="000000"/>
          <w:fitText w:val="-20" w:id="-1168291328"/>
          <w14:textFill>
            <w14:solidFill>
              <w14:srgbClr w14:val="000000">
                <w14:alpha w14:val="100000"/>
              </w14:srgbClr>
            </w14:solidFill>
          </w14:textFill>
        </w:rPr>
        <w:t>|</w:t>
      </w:r>
      <w:r w:rsidR="006F300C" w:rsidRPr="00E05465">
        <w:t>)</w:t>
      </w:r>
      <w:r w:rsidRPr="00E05465">
        <w:t xml:space="preserve">. </w:t>
      </w:r>
    </w:p>
    <w:p w14:paraId="11171F2E" w14:textId="1B1DAA22" w:rsidR="005226EA" w:rsidRPr="00E05465" w:rsidRDefault="00850144" w:rsidP="002032B0">
      <w:pPr>
        <w:pStyle w:val="3-BodyText"/>
      </w:pPr>
      <w:bookmarkStart w:id="67" w:name="_Ref139462148"/>
      <w:r w:rsidRPr="00E05465">
        <w:t xml:space="preserve">The Pre-Sub-Committee Response (PSCR) accepted the revisions undertaken during the evaluation relating to adjusting for double counting scripts in year 1 and corrected MBS benefit level (80% instead of 100%) (see </w:t>
      </w:r>
      <w:r w:rsidR="00D60296" w:rsidRPr="00E05465">
        <w:fldChar w:fldCharType="begin" w:fldLock="1"/>
      </w:r>
      <w:r w:rsidR="00D60296" w:rsidRPr="00E05465">
        <w:instrText xml:space="preserve"> REF _Ref133416497 \h  \* MERGEFORMAT </w:instrText>
      </w:r>
      <w:r w:rsidR="00D60296" w:rsidRPr="00E05465">
        <w:fldChar w:fldCharType="separate"/>
      </w:r>
      <w:r w:rsidR="00D60296" w:rsidRPr="00E05465">
        <w:t xml:space="preserve">Table </w:t>
      </w:r>
      <w:r w:rsidR="00D60296" w:rsidRPr="00E05465">
        <w:rPr>
          <w:noProof/>
        </w:rPr>
        <w:t>13</w:t>
      </w:r>
      <w:r w:rsidR="00D60296" w:rsidRPr="00E05465">
        <w:fldChar w:fldCharType="end"/>
      </w:r>
      <w:r w:rsidRPr="00E05465">
        <w:t xml:space="preserve">). </w:t>
      </w:r>
      <w:r w:rsidR="005226EA" w:rsidRPr="00E05465">
        <w:t>The</w:t>
      </w:r>
      <w:r w:rsidRPr="00E05465">
        <w:t xml:space="preserve"> updated</w:t>
      </w:r>
      <w:r w:rsidR="005226EA" w:rsidRPr="00E05465">
        <w:t xml:space="preserve"> financia</w:t>
      </w:r>
      <w:r w:rsidRPr="00E05465">
        <w:t xml:space="preserve">l </w:t>
      </w:r>
      <w:r w:rsidR="005226EA" w:rsidRPr="00E05465">
        <w:t xml:space="preserve">estimates are presented in </w:t>
      </w:r>
      <w:r w:rsidR="005226EA" w:rsidRPr="00E05465">
        <w:fldChar w:fldCharType="begin" w:fldLock="1"/>
      </w:r>
      <w:r w:rsidR="005226EA" w:rsidRPr="00E05465">
        <w:instrText xml:space="preserve"> REF _Ref133416497 \h  \* MERGEFORMAT </w:instrText>
      </w:r>
      <w:r w:rsidR="005226EA" w:rsidRPr="00E05465">
        <w:fldChar w:fldCharType="separate"/>
      </w:r>
      <w:r w:rsidR="00231664" w:rsidRPr="00E05465">
        <w:t xml:space="preserve">Table </w:t>
      </w:r>
      <w:r w:rsidR="00231664" w:rsidRPr="00E05465">
        <w:rPr>
          <w:noProof/>
        </w:rPr>
        <w:t>13</w:t>
      </w:r>
      <w:r w:rsidR="005226EA" w:rsidRPr="00E05465">
        <w:fldChar w:fldCharType="end"/>
      </w:r>
      <w:r w:rsidR="005226EA" w:rsidRPr="00E05465">
        <w:t>. The revised results indicate reduced cost-savings</w:t>
      </w:r>
      <w:r w:rsidRPr="00E05465">
        <w:t xml:space="preserve"> to the PBS/RPBS</w:t>
      </w:r>
      <w:r w:rsidR="005226EA" w:rsidRPr="00E05465">
        <w:t xml:space="preserve"> in the first year (</w:t>
      </w:r>
      <w:r w:rsidR="00D14DA9" w:rsidRPr="00E05465">
        <w:t>net cost saving</w:t>
      </w:r>
      <w:r w:rsidR="00D14DA9" w:rsidRPr="00E05465" w:rsidDel="00D14DA9">
        <w:t xml:space="preserve"> </w:t>
      </w:r>
      <w:r w:rsidR="005226EA" w:rsidRPr="00E05465">
        <w:t xml:space="preserve">vs </w:t>
      </w:r>
      <w:r w:rsidR="00D14DA9" w:rsidRPr="00E05465">
        <w:t>net cost saving</w:t>
      </w:r>
      <w:r w:rsidR="00D14DA9" w:rsidRPr="00E05465" w:rsidDel="00D14DA9">
        <w:t xml:space="preserve"> </w:t>
      </w:r>
      <w:r w:rsidR="005226EA" w:rsidRPr="00E05465">
        <w:t>as estimated in the submission).</w:t>
      </w:r>
      <w:bookmarkEnd w:id="67"/>
    </w:p>
    <w:p w14:paraId="4F24E97D" w14:textId="361D706D" w:rsidR="001212BA" w:rsidRPr="00E05465" w:rsidRDefault="001212BA" w:rsidP="000257F6">
      <w:pPr>
        <w:pStyle w:val="Caption"/>
      </w:pPr>
      <w:bookmarkStart w:id="68" w:name="_Ref133416497"/>
      <w:r w:rsidRPr="00E05465">
        <w:lastRenderedPageBreak/>
        <w:t xml:space="preserve">Table </w:t>
      </w:r>
      <w:r w:rsidR="00687C33">
        <w:fldChar w:fldCharType="begin" w:fldLock="1"/>
      </w:r>
      <w:r w:rsidR="00687C33">
        <w:instrText xml:space="preserve"> SEQ Table \* ARABIC </w:instrText>
      </w:r>
      <w:r w:rsidR="00687C33">
        <w:fldChar w:fldCharType="separate"/>
      </w:r>
      <w:r w:rsidR="00231664" w:rsidRPr="00E05465">
        <w:rPr>
          <w:noProof/>
        </w:rPr>
        <w:t>13</w:t>
      </w:r>
      <w:r w:rsidR="00687C33">
        <w:rPr>
          <w:noProof/>
        </w:rPr>
        <w:fldChar w:fldCharType="end"/>
      </w:r>
      <w:bookmarkEnd w:id="68"/>
      <w:r w:rsidRPr="00E05465">
        <w:t xml:space="preserve">: </w:t>
      </w:r>
      <w:r w:rsidRPr="00E05465">
        <w:rPr>
          <w:rStyle w:val="CommentReference"/>
          <w:b/>
          <w:szCs w:val="24"/>
        </w:rPr>
        <w:t xml:space="preserve">Estimated use and financial implications </w:t>
      </w:r>
      <w:r w:rsidR="00850144" w:rsidRPr="00E05465">
        <w:rPr>
          <w:rStyle w:val="CommentReference"/>
          <w:b/>
          <w:i/>
          <w:iCs/>
          <w:szCs w:val="24"/>
        </w:rPr>
        <w:t>(PSCR updated)</w:t>
      </w:r>
    </w:p>
    <w:tbl>
      <w:tblPr>
        <w:tblStyle w:val="TableGrid"/>
        <w:tblW w:w="5000" w:type="pct"/>
        <w:tblLayout w:type="fixed"/>
        <w:tblCellMar>
          <w:left w:w="0" w:type="dxa"/>
        </w:tblCellMar>
        <w:tblLook w:val="04A0" w:firstRow="1" w:lastRow="0" w:firstColumn="1" w:lastColumn="0" w:noHBand="0" w:noVBand="1"/>
      </w:tblPr>
      <w:tblGrid>
        <w:gridCol w:w="2969"/>
        <w:gridCol w:w="994"/>
        <w:gridCol w:w="994"/>
        <w:gridCol w:w="992"/>
        <w:gridCol w:w="992"/>
        <w:gridCol w:w="992"/>
        <w:gridCol w:w="1084"/>
      </w:tblGrid>
      <w:tr w:rsidR="00E05465" w:rsidRPr="00E05465" w14:paraId="44FA7175" w14:textId="77777777" w:rsidTr="000257F6">
        <w:trPr>
          <w:trHeight w:val="170"/>
        </w:trPr>
        <w:tc>
          <w:tcPr>
            <w:tcW w:w="1647" w:type="pct"/>
          </w:tcPr>
          <w:p w14:paraId="561E4FC1" w14:textId="77777777" w:rsidR="001212BA" w:rsidRPr="00E05465" w:rsidRDefault="001212BA" w:rsidP="000257F6">
            <w:pPr>
              <w:pStyle w:val="TableText0"/>
              <w:rPr>
                <w:b/>
                <w:szCs w:val="20"/>
              </w:rPr>
            </w:pPr>
          </w:p>
        </w:tc>
        <w:tc>
          <w:tcPr>
            <w:tcW w:w="551" w:type="pct"/>
            <w:vAlign w:val="center"/>
          </w:tcPr>
          <w:p w14:paraId="63E675CE" w14:textId="77777777" w:rsidR="001212BA" w:rsidRPr="00E05465" w:rsidRDefault="001212BA" w:rsidP="000257F6">
            <w:pPr>
              <w:pStyle w:val="TableText0"/>
              <w:jc w:val="center"/>
              <w:rPr>
                <w:szCs w:val="20"/>
              </w:rPr>
            </w:pPr>
            <w:r w:rsidRPr="00E05465">
              <w:rPr>
                <w:b/>
                <w:szCs w:val="20"/>
              </w:rPr>
              <w:t>2023</w:t>
            </w:r>
          </w:p>
        </w:tc>
        <w:tc>
          <w:tcPr>
            <w:tcW w:w="551" w:type="pct"/>
            <w:vAlign w:val="center"/>
          </w:tcPr>
          <w:p w14:paraId="1B423FBF" w14:textId="77777777" w:rsidR="001212BA" w:rsidRPr="00E05465" w:rsidRDefault="001212BA" w:rsidP="000257F6">
            <w:pPr>
              <w:pStyle w:val="TableText0"/>
              <w:jc w:val="center"/>
              <w:rPr>
                <w:szCs w:val="20"/>
              </w:rPr>
            </w:pPr>
            <w:r w:rsidRPr="00E05465">
              <w:rPr>
                <w:b/>
                <w:szCs w:val="20"/>
              </w:rPr>
              <w:t>2024</w:t>
            </w:r>
          </w:p>
        </w:tc>
        <w:tc>
          <w:tcPr>
            <w:tcW w:w="550" w:type="pct"/>
            <w:vAlign w:val="center"/>
          </w:tcPr>
          <w:p w14:paraId="5794490B" w14:textId="77777777" w:rsidR="001212BA" w:rsidRPr="00E05465" w:rsidRDefault="001212BA" w:rsidP="000257F6">
            <w:pPr>
              <w:pStyle w:val="TableText0"/>
              <w:jc w:val="center"/>
              <w:rPr>
                <w:szCs w:val="20"/>
              </w:rPr>
            </w:pPr>
            <w:r w:rsidRPr="00E05465">
              <w:rPr>
                <w:b/>
                <w:szCs w:val="20"/>
              </w:rPr>
              <w:t>2025</w:t>
            </w:r>
          </w:p>
        </w:tc>
        <w:tc>
          <w:tcPr>
            <w:tcW w:w="550" w:type="pct"/>
            <w:vAlign w:val="center"/>
          </w:tcPr>
          <w:p w14:paraId="6EC30FD9" w14:textId="77777777" w:rsidR="001212BA" w:rsidRPr="00E05465" w:rsidRDefault="001212BA" w:rsidP="000257F6">
            <w:pPr>
              <w:pStyle w:val="TableText0"/>
              <w:jc w:val="center"/>
              <w:rPr>
                <w:szCs w:val="20"/>
              </w:rPr>
            </w:pPr>
            <w:r w:rsidRPr="00E05465">
              <w:rPr>
                <w:b/>
                <w:szCs w:val="20"/>
              </w:rPr>
              <w:t>2026</w:t>
            </w:r>
          </w:p>
        </w:tc>
        <w:tc>
          <w:tcPr>
            <w:tcW w:w="550" w:type="pct"/>
            <w:vAlign w:val="center"/>
          </w:tcPr>
          <w:p w14:paraId="4C43E467" w14:textId="77777777" w:rsidR="001212BA" w:rsidRPr="00E05465" w:rsidRDefault="001212BA" w:rsidP="000257F6">
            <w:pPr>
              <w:pStyle w:val="TableText0"/>
              <w:jc w:val="center"/>
              <w:rPr>
                <w:szCs w:val="20"/>
              </w:rPr>
            </w:pPr>
            <w:r w:rsidRPr="00E05465">
              <w:rPr>
                <w:b/>
                <w:szCs w:val="20"/>
              </w:rPr>
              <w:t>2027</w:t>
            </w:r>
          </w:p>
        </w:tc>
        <w:tc>
          <w:tcPr>
            <w:tcW w:w="601" w:type="pct"/>
            <w:vAlign w:val="center"/>
          </w:tcPr>
          <w:p w14:paraId="639E24E6" w14:textId="77777777" w:rsidR="001212BA" w:rsidRPr="00E05465" w:rsidRDefault="001212BA" w:rsidP="000257F6">
            <w:pPr>
              <w:pStyle w:val="TableText0"/>
              <w:jc w:val="center"/>
              <w:rPr>
                <w:szCs w:val="20"/>
              </w:rPr>
            </w:pPr>
            <w:r w:rsidRPr="00E05465">
              <w:rPr>
                <w:b/>
                <w:szCs w:val="20"/>
              </w:rPr>
              <w:t>2028</w:t>
            </w:r>
          </w:p>
        </w:tc>
      </w:tr>
      <w:tr w:rsidR="00E05465" w:rsidRPr="00E05465" w14:paraId="629B4678" w14:textId="77777777" w:rsidTr="000257F6">
        <w:trPr>
          <w:trHeight w:val="170"/>
        </w:trPr>
        <w:tc>
          <w:tcPr>
            <w:tcW w:w="1647" w:type="pct"/>
          </w:tcPr>
          <w:p w14:paraId="56DF708A" w14:textId="77777777" w:rsidR="001212BA" w:rsidRPr="00E05465" w:rsidRDefault="001212BA" w:rsidP="000257F6">
            <w:pPr>
              <w:pStyle w:val="TableText0"/>
              <w:rPr>
                <w:szCs w:val="20"/>
              </w:rPr>
            </w:pPr>
            <w:r w:rsidRPr="00E05465">
              <w:rPr>
                <w:szCs w:val="20"/>
              </w:rPr>
              <w:t>Patients switching from eculizumab to ravulizumab (100% of patients)</w:t>
            </w:r>
            <w:r w:rsidRPr="00E05465">
              <w:rPr>
                <w:szCs w:val="20"/>
                <w:vertAlign w:val="superscript"/>
              </w:rPr>
              <w:t>a</w:t>
            </w:r>
          </w:p>
        </w:tc>
        <w:tc>
          <w:tcPr>
            <w:tcW w:w="551" w:type="pct"/>
            <w:vAlign w:val="center"/>
          </w:tcPr>
          <w:p w14:paraId="54ED5292" w14:textId="24425A84" w:rsidR="001212BA" w:rsidRPr="00E05465" w:rsidRDefault="00533927" w:rsidP="000257F6">
            <w:pPr>
              <w:pStyle w:val="TableText0"/>
              <w:jc w:val="center"/>
              <w:rPr>
                <w:szCs w:val="20"/>
                <w:vertAlign w:val="superscript"/>
              </w:rPr>
            </w:pPr>
            <w:r w:rsidRPr="00533927">
              <w:rPr>
                <w:color w:val="000000"/>
                <w:spacing w:val="79"/>
                <w:szCs w:val="20"/>
                <w:shd w:val="solid" w:color="000000" w:fill="000000"/>
                <w:fitText w:val="165" w:id="-1168291327"/>
                <w14:textFill>
                  <w14:solidFill>
                    <w14:srgbClr w14:val="000000">
                      <w14:alpha w14:val="100000"/>
                    </w14:srgbClr>
                  </w14:solidFill>
                </w14:textFill>
              </w:rPr>
              <w:t>|</w:t>
            </w:r>
            <w:r w:rsidRPr="00533927">
              <w:rPr>
                <w:color w:val="000000"/>
                <w:spacing w:val="1"/>
                <w:szCs w:val="20"/>
                <w:shd w:val="solid" w:color="000000" w:fill="000000"/>
                <w:fitText w:val="165" w:id="-1168291327"/>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1" w:type="pct"/>
            <w:vAlign w:val="center"/>
          </w:tcPr>
          <w:p w14:paraId="2F858F38" w14:textId="61BDB6F8"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6"/>
                <w14:textFill>
                  <w14:solidFill>
                    <w14:srgbClr w14:val="000000">
                      <w14:alpha w14:val="100000"/>
                    </w14:srgbClr>
                  </w14:solidFill>
                </w14:textFill>
              </w:rPr>
              <w:t>|</w:t>
            </w:r>
            <w:r w:rsidRPr="00533927">
              <w:rPr>
                <w:color w:val="000000"/>
                <w:spacing w:val="1"/>
                <w:szCs w:val="20"/>
                <w:shd w:val="solid" w:color="000000" w:fill="000000"/>
                <w:fitText w:val="165" w:id="-1168291326"/>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31D42B90" w14:textId="321A9225"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5"/>
                <w14:textFill>
                  <w14:solidFill>
                    <w14:srgbClr w14:val="000000">
                      <w14:alpha w14:val="100000"/>
                    </w14:srgbClr>
                  </w14:solidFill>
                </w14:textFill>
              </w:rPr>
              <w:t>|</w:t>
            </w:r>
            <w:r w:rsidRPr="00533927">
              <w:rPr>
                <w:color w:val="000000"/>
                <w:spacing w:val="1"/>
                <w:szCs w:val="20"/>
                <w:shd w:val="solid" w:color="000000" w:fill="000000"/>
                <w:fitText w:val="165" w:id="-1168291325"/>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33981372" w14:textId="098A0F19"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4"/>
                <w14:textFill>
                  <w14:solidFill>
                    <w14:srgbClr w14:val="000000">
                      <w14:alpha w14:val="100000"/>
                    </w14:srgbClr>
                  </w14:solidFill>
                </w14:textFill>
              </w:rPr>
              <w:t>|</w:t>
            </w:r>
            <w:r w:rsidRPr="00533927">
              <w:rPr>
                <w:color w:val="000000"/>
                <w:spacing w:val="1"/>
                <w:szCs w:val="20"/>
                <w:shd w:val="solid" w:color="000000" w:fill="000000"/>
                <w:fitText w:val="165" w:id="-1168291324"/>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6C2ED7F9" w14:textId="0E4A4859"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3"/>
                <w14:textFill>
                  <w14:solidFill>
                    <w14:srgbClr w14:val="000000">
                      <w14:alpha w14:val="100000"/>
                    </w14:srgbClr>
                  </w14:solidFill>
                </w14:textFill>
              </w:rPr>
              <w:t>|</w:t>
            </w:r>
            <w:r w:rsidRPr="00533927">
              <w:rPr>
                <w:color w:val="000000"/>
                <w:spacing w:val="1"/>
                <w:szCs w:val="20"/>
                <w:shd w:val="solid" w:color="000000" w:fill="000000"/>
                <w:fitText w:val="165" w:id="-1168291323"/>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601" w:type="pct"/>
            <w:vAlign w:val="center"/>
          </w:tcPr>
          <w:p w14:paraId="5C206A4F" w14:textId="3ECD58B2" w:rsidR="001212BA" w:rsidRPr="00E05465" w:rsidRDefault="00533927" w:rsidP="000257F6">
            <w:pPr>
              <w:pStyle w:val="TableText0"/>
              <w:jc w:val="center"/>
              <w:rPr>
                <w:szCs w:val="20"/>
              </w:rPr>
            </w:pPr>
            <w:r w:rsidRPr="00533927">
              <w:rPr>
                <w:rFonts w:hint="eastAsia"/>
                <w:color w:val="000000"/>
                <w:w w:val="27"/>
                <w:szCs w:val="20"/>
                <w:shd w:val="solid" w:color="000000" w:fill="000000"/>
                <w:fitText w:val="120" w:id="-1168291322"/>
                <w14:textFill>
                  <w14:solidFill>
                    <w14:srgbClr w14:val="000000">
                      <w14:alpha w14:val="100000"/>
                    </w14:srgbClr>
                  </w14:solidFill>
                </w14:textFill>
              </w:rPr>
              <w:t xml:space="preserve">　</w:t>
            </w:r>
            <w:r w:rsidRPr="00533927">
              <w:rPr>
                <w:color w:val="000000"/>
                <w:w w:val="27"/>
                <w:szCs w:val="20"/>
                <w:shd w:val="solid" w:color="000000" w:fill="000000"/>
                <w:fitText w:val="120" w:id="-1168291322"/>
                <w14:textFill>
                  <w14:solidFill>
                    <w14:srgbClr w14:val="000000">
                      <w14:alpha w14:val="100000"/>
                    </w14:srgbClr>
                  </w14:solidFill>
                </w14:textFill>
              </w:rPr>
              <w:t>|</w:t>
            </w:r>
            <w:r w:rsidRPr="00533927">
              <w:rPr>
                <w:rFonts w:hint="eastAsia"/>
                <w:color w:val="000000"/>
                <w:spacing w:val="1"/>
                <w:w w:val="27"/>
                <w:szCs w:val="20"/>
                <w:shd w:val="solid" w:color="000000" w:fill="000000"/>
                <w:fitText w:val="120" w:id="-1168291322"/>
                <w14:textFill>
                  <w14:solidFill>
                    <w14:srgbClr w14:val="000000">
                      <w14:alpha w14:val="100000"/>
                    </w14:srgbClr>
                  </w14:solidFill>
                </w14:textFill>
              </w:rPr>
              <w:t xml:space="preserve">　</w:t>
            </w:r>
            <w:r w:rsidR="000257F6" w:rsidRPr="00E05465">
              <w:rPr>
                <w:szCs w:val="20"/>
              </w:rPr>
              <w:t xml:space="preserve"> </w:t>
            </w:r>
            <w:r w:rsidR="000257F6" w:rsidRPr="00E05465">
              <w:rPr>
                <w:szCs w:val="20"/>
                <w:vertAlign w:val="superscript"/>
              </w:rPr>
              <w:t>1</w:t>
            </w:r>
          </w:p>
        </w:tc>
      </w:tr>
      <w:tr w:rsidR="00E05465" w:rsidRPr="00E05465" w14:paraId="3377703C" w14:textId="77777777" w:rsidTr="000257F6">
        <w:trPr>
          <w:trHeight w:val="170"/>
        </w:trPr>
        <w:tc>
          <w:tcPr>
            <w:tcW w:w="1647" w:type="pct"/>
          </w:tcPr>
          <w:p w14:paraId="79EB4767" w14:textId="77777777" w:rsidR="001212BA" w:rsidRPr="00E05465" w:rsidRDefault="001212BA" w:rsidP="000257F6">
            <w:pPr>
              <w:pStyle w:val="TableText0"/>
              <w:rPr>
                <w:szCs w:val="20"/>
              </w:rPr>
            </w:pPr>
            <w:r w:rsidRPr="00E05465">
              <w:rPr>
                <w:szCs w:val="20"/>
              </w:rPr>
              <w:t>Yr 2+ ravulizumab patients</w:t>
            </w:r>
          </w:p>
        </w:tc>
        <w:tc>
          <w:tcPr>
            <w:tcW w:w="551" w:type="pct"/>
            <w:vAlign w:val="center"/>
          </w:tcPr>
          <w:p w14:paraId="521F2424" w14:textId="2523BCE1"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1"/>
                <w14:textFill>
                  <w14:solidFill>
                    <w14:srgbClr w14:val="000000">
                      <w14:alpha w14:val="100000"/>
                    </w14:srgbClr>
                  </w14:solidFill>
                </w14:textFill>
              </w:rPr>
              <w:t>|</w:t>
            </w:r>
            <w:r w:rsidRPr="00533927">
              <w:rPr>
                <w:color w:val="000000"/>
                <w:spacing w:val="1"/>
                <w:szCs w:val="20"/>
                <w:shd w:val="solid" w:color="000000" w:fill="000000"/>
                <w:fitText w:val="165" w:id="-1168291321"/>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1" w:type="pct"/>
            <w:vAlign w:val="center"/>
          </w:tcPr>
          <w:p w14:paraId="0FBA5E4F" w14:textId="71AE310C"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0"/>
                <w14:textFill>
                  <w14:solidFill>
                    <w14:srgbClr w14:val="000000">
                      <w14:alpha w14:val="100000"/>
                    </w14:srgbClr>
                  </w14:solidFill>
                </w14:textFill>
              </w:rPr>
              <w:t>|</w:t>
            </w:r>
            <w:r w:rsidRPr="00533927">
              <w:rPr>
                <w:color w:val="000000"/>
                <w:spacing w:val="1"/>
                <w:szCs w:val="20"/>
                <w:shd w:val="solid" w:color="000000" w:fill="000000"/>
                <w:fitText w:val="165" w:id="-1168291320"/>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7BC0BF62" w14:textId="306104E3"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9"/>
                <w14:textFill>
                  <w14:solidFill>
                    <w14:srgbClr w14:val="000000">
                      <w14:alpha w14:val="100000"/>
                    </w14:srgbClr>
                  </w14:solidFill>
                </w14:textFill>
              </w:rPr>
              <w:t>|</w:t>
            </w:r>
            <w:r w:rsidRPr="00533927">
              <w:rPr>
                <w:color w:val="000000"/>
                <w:spacing w:val="1"/>
                <w:szCs w:val="20"/>
                <w:shd w:val="solid" w:color="000000" w:fill="000000"/>
                <w:fitText w:val="165" w:id="-1168291319"/>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2C7B05C5" w14:textId="4D45471C"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8"/>
                <w14:textFill>
                  <w14:solidFill>
                    <w14:srgbClr w14:val="000000">
                      <w14:alpha w14:val="100000"/>
                    </w14:srgbClr>
                  </w14:solidFill>
                </w14:textFill>
              </w:rPr>
              <w:t>|</w:t>
            </w:r>
            <w:r w:rsidRPr="00533927">
              <w:rPr>
                <w:color w:val="000000"/>
                <w:spacing w:val="1"/>
                <w:szCs w:val="20"/>
                <w:shd w:val="solid" w:color="000000" w:fill="000000"/>
                <w:fitText w:val="165" w:id="-1168291318"/>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06991117" w14:textId="0B8A2E9C"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7"/>
                <w14:textFill>
                  <w14:solidFill>
                    <w14:srgbClr w14:val="000000">
                      <w14:alpha w14:val="100000"/>
                    </w14:srgbClr>
                  </w14:solidFill>
                </w14:textFill>
              </w:rPr>
              <w:t>|</w:t>
            </w:r>
            <w:r w:rsidRPr="00533927">
              <w:rPr>
                <w:color w:val="000000"/>
                <w:spacing w:val="1"/>
                <w:szCs w:val="20"/>
                <w:shd w:val="solid" w:color="000000" w:fill="000000"/>
                <w:fitText w:val="165" w:id="-1168291317"/>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601" w:type="pct"/>
            <w:vAlign w:val="center"/>
          </w:tcPr>
          <w:p w14:paraId="39314D83" w14:textId="041316FD" w:rsidR="001212BA" w:rsidRPr="00E05465" w:rsidRDefault="00533927" w:rsidP="000257F6">
            <w:pPr>
              <w:pStyle w:val="TableText0"/>
              <w:jc w:val="center"/>
              <w:rPr>
                <w:szCs w:val="20"/>
              </w:rPr>
            </w:pPr>
            <w:r w:rsidRPr="00533927">
              <w:rPr>
                <w:rFonts w:hint="eastAsia"/>
                <w:color w:val="000000"/>
                <w:w w:val="27"/>
                <w:szCs w:val="20"/>
                <w:shd w:val="solid" w:color="000000" w:fill="000000"/>
                <w:fitText w:val="120" w:id="-1168291316"/>
                <w14:textFill>
                  <w14:solidFill>
                    <w14:srgbClr w14:val="000000">
                      <w14:alpha w14:val="100000"/>
                    </w14:srgbClr>
                  </w14:solidFill>
                </w14:textFill>
              </w:rPr>
              <w:t xml:space="preserve">　</w:t>
            </w:r>
            <w:r w:rsidRPr="00533927">
              <w:rPr>
                <w:color w:val="000000"/>
                <w:w w:val="27"/>
                <w:szCs w:val="20"/>
                <w:shd w:val="solid" w:color="000000" w:fill="000000"/>
                <w:fitText w:val="120" w:id="-1168291316"/>
                <w14:textFill>
                  <w14:solidFill>
                    <w14:srgbClr w14:val="000000">
                      <w14:alpha w14:val="100000"/>
                    </w14:srgbClr>
                  </w14:solidFill>
                </w14:textFill>
              </w:rPr>
              <w:t>|</w:t>
            </w:r>
            <w:r w:rsidRPr="00533927">
              <w:rPr>
                <w:rFonts w:hint="eastAsia"/>
                <w:color w:val="000000"/>
                <w:spacing w:val="1"/>
                <w:w w:val="27"/>
                <w:szCs w:val="20"/>
                <w:shd w:val="solid" w:color="000000" w:fill="000000"/>
                <w:fitText w:val="120" w:id="-1168291316"/>
                <w14:textFill>
                  <w14:solidFill>
                    <w14:srgbClr w14:val="000000">
                      <w14:alpha w14:val="100000"/>
                    </w14:srgbClr>
                  </w14:solidFill>
                </w14:textFill>
              </w:rPr>
              <w:t xml:space="preserve">　</w:t>
            </w:r>
            <w:r w:rsidR="000257F6" w:rsidRPr="00E05465">
              <w:rPr>
                <w:szCs w:val="20"/>
              </w:rPr>
              <w:t xml:space="preserve"> </w:t>
            </w:r>
            <w:r w:rsidR="000257F6" w:rsidRPr="00E05465">
              <w:rPr>
                <w:szCs w:val="20"/>
                <w:vertAlign w:val="superscript"/>
              </w:rPr>
              <w:t>1</w:t>
            </w:r>
          </w:p>
        </w:tc>
      </w:tr>
      <w:tr w:rsidR="00E05465" w:rsidRPr="00E05465" w14:paraId="0E5668E0" w14:textId="77777777" w:rsidTr="000257F6">
        <w:trPr>
          <w:trHeight w:val="170"/>
        </w:trPr>
        <w:tc>
          <w:tcPr>
            <w:tcW w:w="1647" w:type="pct"/>
          </w:tcPr>
          <w:p w14:paraId="081978E1" w14:textId="691BB5CB" w:rsidR="001212BA" w:rsidRPr="00E05465" w:rsidRDefault="001212BA" w:rsidP="000257F6">
            <w:pPr>
              <w:pStyle w:val="TableText0"/>
              <w:rPr>
                <w:szCs w:val="20"/>
              </w:rPr>
            </w:pPr>
            <w:r w:rsidRPr="00E05465">
              <w:rPr>
                <w:szCs w:val="20"/>
              </w:rPr>
              <w:t>Number of ravulizumab loading dose scripts (1 per patient)</w:t>
            </w:r>
          </w:p>
        </w:tc>
        <w:tc>
          <w:tcPr>
            <w:tcW w:w="551" w:type="pct"/>
            <w:vAlign w:val="center"/>
          </w:tcPr>
          <w:p w14:paraId="543F035D" w14:textId="0EFF114E"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5"/>
                <w14:textFill>
                  <w14:solidFill>
                    <w14:srgbClr w14:val="000000">
                      <w14:alpha w14:val="100000"/>
                    </w14:srgbClr>
                  </w14:solidFill>
                </w14:textFill>
              </w:rPr>
              <w:t>|</w:t>
            </w:r>
            <w:r w:rsidRPr="00533927">
              <w:rPr>
                <w:color w:val="000000"/>
                <w:spacing w:val="1"/>
                <w:szCs w:val="20"/>
                <w:shd w:val="solid" w:color="000000" w:fill="000000"/>
                <w:fitText w:val="165" w:id="-1168291315"/>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1" w:type="pct"/>
            <w:vAlign w:val="center"/>
          </w:tcPr>
          <w:p w14:paraId="1070E666" w14:textId="1791BEF1"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4"/>
                <w14:textFill>
                  <w14:solidFill>
                    <w14:srgbClr w14:val="000000">
                      <w14:alpha w14:val="100000"/>
                    </w14:srgbClr>
                  </w14:solidFill>
                </w14:textFill>
              </w:rPr>
              <w:t>|</w:t>
            </w:r>
            <w:r w:rsidRPr="00533927">
              <w:rPr>
                <w:color w:val="000000"/>
                <w:spacing w:val="1"/>
                <w:szCs w:val="20"/>
                <w:shd w:val="solid" w:color="000000" w:fill="000000"/>
                <w:fitText w:val="165" w:id="-1168291314"/>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564381D6" w14:textId="43FCE47F"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3"/>
                <w14:textFill>
                  <w14:solidFill>
                    <w14:srgbClr w14:val="000000">
                      <w14:alpha w14:val="100000"/>
                    </w14:srgbClr>
                  </w14:solidFill>
                </w14:textFill>
              </w:rPr>
              <w:t>|</w:t>
            </w:r>
            <w:r w:rsidRPr="00533927">
              <w:rPr>
                <w:color w:val="000000"/>
                <w:spacing w:val="1"/>
                <w:szCs w:val="20"/>
                <w:shd w:val="solid" w:color="000000" w:fill="000000"/>
                <w:fitText w:val="165" w:id="-1168291313"/>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76D8E414" w14:textId="35CF50AB"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2"/>
                <w14:textFill>
                  <w14:solidFill>
                    <w14:srgbClr w14:val="000000">
                      <w14:alpha w14:val="100000"/>
                    </w14:srgbClr>
                  </w14:solidFill>
                </w14:textFill>
              </w:rPr>
              <w:t>|</w:t>
            </w:r>
            <w:r w:rsidRPr="00533927">
              <w:rPr>
                <w:color w:val="000000"/>
                <w:spacing w:val="1"/>
                <w:szCs w:val="20"/>
                <w:shd w:val="solid" w:color="000000" w:fill="000000"/>
                <w:fitText w:val="165" w:id="-1168291312"/>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79B2BE56" w14:textId="30D15F05"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8"/>
                <w14:textFill>
                  <w14:solidFill>
                    <w14:srgbClr w14:val="000000">
                      <w14:alpha w14:val="100000"/>
                    </w14:srgbClr>
                  </w14:solidFill>
                </w14:textFill>
              </w:rPr>
              <w:t>|</w:t>
            </w:r>
            <w:r w:rsidRPr="00533927">
              <w:rPr>
                <w:color w:val="000000"/>
                <w:spacing w:val="1"/>
                <w:szCs w:val="20"/>
                <w:shd w:val="solid" w:color="000000" w:fill="000000"/>
                <w:fitText w:val="165" w:id="-1168291328"/>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601" w:type="pct"/>
            <w:vAlign w:val="center"/>
          </w:tcPr>
          <w:p w14:paraId="593CD8CF" w14:textId="58AFA2BC" w:rsidR="001212BA" w:rsidRPr="00E05465" w:rsidRDefault="00533927" w:rsidP="000257F6">
            <w:pPr>
              <w:pStyle w:val="TableText0"/>
              <w:jc w:val="center"/>
              <w:rPr>
                <w:szCs w:val="20"/>
              </w:rPr>
            </w:pPr>
            <w:r w:rsidRPr="00533927">
              <w:rPr>
                <w:rFonts w:hint="eastAsia"/>
                <w:color w:val="000000"/>
                <w:w w:val="27"/>
                <w:szCs w:val="20"/>
                <w:shd w:val="solid" w:color="000000" w:fill="000000"/>
                <w:fitText w:val="120" w:id="-1168291327"/>
                <w14:textFill>
                  <w14:solidFill>
                    <w14:srgbClr w14:val="000000">
                      <w14:alpha w14:val="100000"/>
                    </w14:srgbClr>
                  </w14:solidFill>
                </w14:textFill>
              </w:rPr>
              <w:t xml:space="preserve">　</w:t>
            </w:r>
            <w:r w:rsidRPr="00533927">
              <w:rPr>
                <w:color w:val="000000"/>
                <w:w w:val="27"/>
                <w:szCs w:val="20"/>
                <w:shd w:val="solid" w:color="000000" w:fill="000000"/>
                <w:fitText w:val="120" w:id="-1168291327"/>
                <w14:textFill>
                  <w14:solidFill>
                    <w14:srgbClr w14:val="000000">
                      <w14:alpha w14:val="100000"/>
                    </w14:srgbClr>
                  </w14:solidFill>
                </w14:textFill>
              </w:rPr>
              <w:t>|</w:t>
            </w:r>
            <w:r w:rsidRPr="00533927">
              <w:rPr>
                <w:rFonts w:hint="eastAsia"/>
                <w:color w:val="000000"/>
                <w:spacing w:val="1"/>
                <w:w w:val="27"/>
                <w:szCs w:val="20"/>
                <w:shd w:val="solid" w:color="000000" w:fill="000000"/>
                <w:fitText w:val="120" w:id="-1168291327"/>
                <w14:textFill>
                  <w14:solidFill>
                    <w14:srgbClr w14:val="000000">
                      <w14:alpha w14:val="100000"/>
                    </w14:srgbClr>
                  </w14:solidFill>
                </w14:textFill>
              </w:rPr>
              <w:t xml:space="preserve">　</w:t>
            </w:r>
            <w:r w:rsidR="000257F6" w:rsidRPr="00E05465">
              <w:rPr>
                <w:szCs w:val="20"/>
              </w:rPr>
              <w:t xml:space="preserve"> </w:t>
            </w:r>
            <w:r w:rsidR="000257F6" w:rsidRPr="00E05465">
              <w:rPr>
                <w:szCs w:val="20"/>
                <w:vertAlign w:val="superscript"/>
              </w:rPr>
              <w:t>1</w:t>
            </w:r>
          </w:p>
        </w:tc>
      </w:tr>
      <w:tr w:rsidR="00E05465" w:rsidRPr="00E05465" w14:paraId="77E14455" w14:textId="77777777" w:rsidTr="000257F6">
        <w:trPr>
          <w:trHeight w:val="170"/>
        </w:trPr>
        <w:tc>
          <w:tcPr>
            <w:tcW w:w="1647" w:type="pct"/>
          </w:tcPr>
          <w:p w14:paraId="24020D87" w14:textId="49F191CE" w:rsidR="001212BA" w:rsidRPr="00E05465" w:rsidRDefault="001212BA" w:rsidP="000257F6">
            <w:pPr>
              <w:pStyle w:val="TableText0"/>
              <w:rPr>
                <w:szCs w:val="20"/>
              </w:rPr>
            </w:pPr>
            <w:r w:rsidRPr="00E05465">
              <w:rPr>
                <w:szCs w:val="20"/>
              </w:rPr>
              <w:t>Cost of ravulizumab loading dose scripts ($</w:t>
            </w:r>
            <w:r w:rsidR="00533927" w:rsidRPr="00533927">
              <w:rPr>
                <w:color w:val="000000"/>
                <w:spacing w:val="45"/>
                <w:szCs w:val="20"/>
                <w:shd w:val="solid" w:color="000000" w:fill="000000"/>
                <w:fitText w:val="330" w:id="-1168291326"/>
                <w14:textFill>
                  <w14:solidFill>
                    <w14:srgbClr w14:val="000000">
                      <w14:alpha w14:val="100000"/>
                    </w14:srgbClr>
                  </w14:solidFill>
                </w14:textFill>
              </w:rPr>
              <w:t>|||</w:t>
            </w:r>
            <w:r w:rsidR="00533927" w:rsidRPr="00533927">
              <w:rPr>
                <w:color w:val="000000"/>
                <w:spacing w:val="15"/>
                <w:szCs w:val="20"/>
                <w:shd w:val="solid" w:color="000000" w:fill="000000"/>
                <w:fitText w:val="330" w:id="-1168291326"/>
                <w14:textFill>
                  <w14:solidFill>
                    <w14:srgbClr w14:val="000000">
                      <w14:alpha w14:val="100000"/>
                    </w14:srgbClr>
                  </w14:solidFill>
                </w14:textFill>
              </w:rPr>
              <w:t>|</w:t>
            </w:r>
            <w:r w:rsidRPr="00E05465">
              <w:rPr>
                <w:szCs w:val="20"/>
              </w:rPr>
              <w:t xml:space="preserve"> per script)</w:t>
            </w:r>
            <w:r w:rsidRPr="00E05465">
              <w:rPr>
                <w:szCs w:val="20"/>
                <w:vertAlign w:val="superscript"/>
              </w:rPr>
              <w:t>b</w:t>
            </w:r>
            <w:r w:rsidR="000F33FE" w:rsidRPr="00E05465">
              <w:rPr>
                <w:szCs w:val="20"/>
                <w:vertAlign w:val="superscript"/>
              </w:rPr>
              <w:t>,c</w:t>
            </w:r>
          </w:p>
        </w:tc>
        <w:tc>
          <w:tcPr>
            <w:tcW w:w="551" w:type="pct"/>
            <w:vAlign w:val="center"/>
          </w:tcPr>
          <w:p w14:paraId="7DCDB7B3" w14:textId="1FC05038" w:rsidR="001212BA" w:rsidRPr="00E05465" w:rsidRDefault="00533927" w:rsidP="000257F6">
            <w:pPr>
              <w:pStyle w:val="TableText0"/>
              <w:jc w:val="center"/>
              <w:rPr>
                <w:szCs w:val="20"/>
                <w:vertAlign w:val="superscript"/>
              </w:rPr>
            </w:pPr>
            <w:r w:rsidRPr="00533927">
              <w:rPr>
                <w:rFonts w:hint="eastAsia"/>
                <w:color w:val="000000"/>
                <w:w w:val="30"/>
                <w:szCs w:val="20"/>
                <w:shd w:val="solid" w:color="000000" w:fill="000000"/>
                <w:fitText w:val="135" w:id="-1168291325"/>
                <w14:textFill>
                  <w14:solidFill>
                    <w14:srgbClr w14:val="000000">
                      <w14:alpha w14:val="100000"/>
                    </w14:srgbClr>
                  </w14:solidFill>
                </w14:textFill>
              </w:rPr>
              <w:t xml:space="preserve">　</w:t>
            </w:r>
            <w:r w:rsidRPr="00533927">
              <w:rPr>
                <w:color w:val="000000"/>
                <w:w w:val="30"/>
                <w:szCs w:val="20"/>
                <w:shd w:val="solid" w:color="000000" w:fill="000000"/>
                <w:fitText w:val="135" w:id="-1168291325"/>
                <w14:textFill>
                  <w14:solidFill>
                    <w14:srgbClr w14:val="000000">
                      <w14:alpha w14:val="100000"/>
                    </w14:srgbClr>
                  </w14:solidFill>
                </w14:textFill>
              </w:rPr>
              <w:t>|</w:t>
            </w:r>
            <w:r w:rsidRPr="00533927">
              <w:rPr>
                <w:rFonts w:hint="eastAsia"/>
                <w:color w:val="000000"/>
                <w:spacing w:val="3"/>
                <w:w w:val="30"/>
                <w:szCs w:val="20"/>
                <w:shd w:val="solid" w:color="000000" w:fill="000000"/>
                <w:fitText w:val="135" w:id="-1168291325"/>
                <w14:textFill>
                  <w14:solidFill>
                    <w14:srgbClr w14:val="000000">
                      <w14:alpha w14:val="100000"/>
                    </w14:srgbClr>
                  </w14:solidFill>
                </w14:textFill>
              </w:rPr>
              <w:t xml:space="preserve">　</w:t>
            </w:r>
            <w:r w:rsidR="000257F6" w:rsidRPr="00E05465">
              <w:rPr>
                <w:szCs w:val="20"/>
                <w:vertAlign w:val="superscript"/>
              </w:rPr>
              <w:t>2</w:t>
            </w:r>
          </w:p>
        </w:tc>
        <w:tc>
          <w:tcPr>
            <w:tcW w:w="551" w:type="pct"/>
            <w:vAlign w:val="center"/>
          </w:tcPr>
          <w:p w14:paraId="580D4F0D" w14:textId="2F9F8A12"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4"/>
                <w14:textFill>
                  <w14:solidFill>
                    <w14:srgbClr w14:val="000000">
                      <w14:alpha w14:val="100000"/>
                    </w14:srgbClr>
                  </w14:solidFill>
                </w14:textFill>
              </w:rPr>
              <w:t>|</w:t>
            </w:r>
            <w:r w:rsidRPr="00533927">
              <w:rPr>
                <w:color w:val="000000"/>
                <w:spacing w:val="1"/>
                <w:szCs w:val="20"/>
                <w:shd w:val="solid" w:color="000000" w:fill="000000"/>
                <w:fitText w:val="165" w:id="-1168291324"/>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2</w:t>
            </w:r>
          </w:p>
        </w:tc>
        <w:tc>
          <w:tcPr>
            <w:tcW w:w="550" w:type="pct"/>
            <w:vAlign w:val="center"/>
          </w:tcPr>
          <w:p w14:paraId="119E9DD6" w14:textId="1D94F896"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3"/>
                <w14:textFill>
                  <w14:solidFill>
                    <w14:srgbClr w14:val="000000">
                      <w14:alpha w14:val="100000"/>
                    </w14:srgbClr>
                  </w14:solidFill>
                </w14:textFill>
              </w:rPr>
              <w:t>|</w:t>
            </w:r>
            <w:r w:rsidRPr="00533927">
              <w:rPr>
                <w:color w:val="000000"/>
                <w:spacing w:val="1"/>
                <w:szCs w:val="20"/>
                <w:shd w:val="solid" w:color="000000" w:fill="000000"/>
                <w:fitText w:val="165" w:id="-1168291323"/>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2</w:t>
            </w:r>
          </w:p>
        </w:tc>
        <w:tc>
          <w:tcPr>
            <w:tcW w:w="550" w:type="pct"/>
            <w:vAlign w:val="center"/>
          </w:tcPr>
          <w:p w14:paraId="0D19D4BD" w14:textId="2EBBB3D4" w:rsidR="001212BA" w:rsidRPr="00E05465" w:rsidRDefault="00533927" w:rsidP="000257F6">
            <w:pPr>
              <w:pStyle w:val="TableText0"/>
              <w:jc w:val="center"/>
              <w:rPr>
                <w:szCs w:val="20"/>
              </w:rPr>
            </w:pPr>
            <w:r w:rsidRPr="00533927">
              <w:rPr>
                <w:rFonts w:hint="eastAsia"/>
                <w:color w:val="000000"/>
                <w:w w:val="30"/>
                <w:szCs w:val="20"/>
                <w:shd w:val="solid" w:color="000000" w:fill="000000"/>
                <w:fitText w:val="135" w:id="-1168291322"/>
                <w14:textFill>
                  <w14:solidFill>
                    <w14:srgbClr w14:val="000000">
                      <w14:alpha w14:val="100000"/>
                    </w14:srgbClr>
                  </w14:solidFill>
                </w14:textFill>
              </w:rPr>
              <w:t xml:space="preserve">　</w:t>
            </w:r>
            <w:r w:rsidRPr="00533927">
              <w:rPr>
                <w:color w:val="000000"/>
                <w:w w:val="30"/>
                <w:szCs w:val="20"/>
                <w:shd w:val="solid" w:color="000000" w:fill="000000"/>
                <w:fitText w:val="135" w:id="-1168291322"/>
                <w14:textFill>
                  <w14:solidFill>
                    <w14:srgbClr w14:val="000000">
                      <w14:alpha w14:val="100000"/>
                    </w14:srgbClr>
                  </w14:solidFill>
                </w14:textFill>
              </w:rPr>
              <w:t>|</w:t>
            </w:r>
            <w:r w:rsidRPr="00533927">
              <w:rPr>
                <w:rFonts w:hint="eastAsia"/>
                <w:color w:val="000000"/>
                <w:spacing w:val="3"/>
                <w:w w:val="30"/>
                <w:szCs w:val="20"/>
                <w:shd w:val="solid" w:color="000000" w:fill="000000"/>
                <w:fitText w:val="135" w:id="-1168291322"/>
                <w14:textFill>
                  <w14:solidFill>
                    <w14:srgbClr w14:val="000000">
                      <w14:alpha w14:val="100000"/>
                    </w14:srgbClr>
                  </w14:solidFill>
                </w14:textFill>
              </w:rPr>
              <w:t xml:space="preserve">　</w:t>
            </w:r>
            <w:r w:rsidR="000257F6" w:rsidRPr="00E05465">
              <w:rPr>
                <w:szCs w:val="20"/>
                <w:vertAlign w:val="superscript"/>
              </w:rPr>
              <w:t>2</w:t>
            </w:r>
          </w:p>
        </w:tc>
        <w:tc>
          <w:tcPr>
            <w:tcW w:w="550" w:type="pct"/>
            <w:vAlign w:val="center"/>
          </w:tcPr>
          <w:p w14:paraId="330320C4" w14:textId="29F8E819" w:rsidR="001212BA" w:rsidRPr="00E05465" w:rsidRDefault="00533927" w:rsidP="000257F6">
            <w:pPr>
              <w:pStyle w:val="TableText0"/>
              <w:jc w:val="center"/>
              <w:rPr>
                <w:szCs w:val="20"/>
              </w:rPr>
            </w:pPr>
            <w:r w:rsidRPr="00533927">
              <w:rPr>
                <w:rFonts w:hint="eastAsia"/>
                <w:color w:val="000000"/>
                <w:w w:val="30"/>
                <w:szCs w:val="20"/>
                <w:shd w:val="solid" w:color="000000" w:fill="000000"/>
                <w:fitText w:val="135" w:id="-1168291321"/>
                <w14:textFill>
                  <w14:solidFill>
                    <w14:srgbClr w14:val="000000">
                      <w14:alpha w14:val="100000"/>
                    </w14:srgbClr>
                  </w14:solidFill>
                </w14:textFill>
              </w:rPr>
              <w:t xml:space="preserve">　</w:t>
            </w:r>
            <w:r w:rsidRPr="00533927">
              <w:rPr>
                <w:color w:val="000000"/>
                <w:w w:val="30"/>
                <w:szCs w:val="20"/>
                <w:shd w:val="solid" w:color="000000" w:fill="000000"/>
                <w:fitText w:val="135" w:id="-1168291321"/>
                <w14:textFill>
                  <w14:solidFill>
                    <w14:srgbClr w14:val="000000">
                      <w14:alpha w14:val="100000"/>
                    </w14:srgbClr>
                  </w14:solidFill>
                </w14:textFill>
              </w:rPr>
              <w:t>|</w:t>
            </w:r>
            <w:r w:rsidRPr="00533927">
              <w:rPr>
                <w:rFonts w:hint="eastAsia"/>
                <w:color w:val="000000"/>
                <w:spacing w:val="3"/>
                <w:w w:val="30"/>
                <w:szCs w:val="20"/>
                <w:shd w:val="solid" w:color="000000" w:fill="000000"/>
                <w:fitText w:val="135" w:id="-1168291321"/>
                <w14:textFill>
                  <w14:solidFill>
                    <w14:srgbClr w14:val="000000">
                      <w14:alpha w14:val="100000"/>
                    </w14:srgbClr>
                  </w14:solidFill>
                </w14:textFill>
              </w:rPr>
              <w:t xml:space="preserve">　</w:t>
            </w:r>
            <w:r w:rsidR="000257F6" w:rsidRPr="00E05465">
              <w:rPr>
                <w:szCs w:val="20"/>
                <w:vertAlign w:val="superscript"/>
              </w:rPr>
              <w:t>2</w:t>
            </w:r>
          </w:p>
        </w:tc>
        <w:tc>
          <w:tcPr>
            <w:tcW w:w="601" w:type="pct"/>
            <w:vAlign w:val="center"/>
          </w:tcPr>
          <w:p w14:paraId="1A0CCB55" w14:textId="13105875" w:rsidR="001212BA" w:rsidRPr="00E05465" w:rsidRDefault="00533927" w:rsidP="000257F6">
            <w:pPr>
              <w:pStyle w:val="TableText0"/>
              <w:jc w:val="center"/>
              <w:rPr>
                <w:szCs w:val="20"/>
              </w:rPr>
            </w:pPr>
            <w:r w:rsidRPr="00533927">
              <w:rPr>
                <w:rFonts w:hint="eastAsia"/>
                <w:color w:val="000000"/>
                <w:w w:val="20"/>
                <w:szCs w:val="20"/>
                <w:shd w:val="solid" w:color="000000" w:fill="000000"/>
                <w:fitText w:val="90" w:id="-1168291320"/>
                <w14:textFill>
                  <w14:solidFill>
                    <w14:srgbClr w14:val="000000">
                      <w14:alpha w14:val="100000"/>
                    </w14:srgbClr>
                  </w14:solidFill>
                </w14:textFill>
              </w:rPr>
              <w:t xml:space="preserve">　</w:t>
            </w:r>
            <w:r w:rsidRPr="00533927">
              <w:rPr>
                <w:color w:val="000000"/>
                <w:w w:val="20"/>
                <w:szCs w:val="20"/>
                <w:shd w:val="solid" w:color="000000" w:fill="000000"/>
                <w:fitText w:val="90" w:id="-1168291320"/>
                <w14:textFill>
                  <w14:solidFill>
                    <w14:srgbClr w14:val="000000">
                      <w14:alpha w14:val="100000"/>
                    </w14:srgbClr>
                  </w14:solidFill>
                </w14:textFill>
              </w:rPr>
              <w:t>|</w:t>
            </w:r>
            <w:r w:rsidRPr="00533927">
              <w:rPr>
                <w:rFonts w:hint="eastAsia"/>
                <w:color w:val="000000"/>
                <w:spacing w:val="2"/>
                <w:w w:val="20"/>
                <w:szCs w:val="20"/>
                <w:shd w:val="solid" w:color="000000" w:fill="000000"/>
                <w:fitText w:val="90" w:id="-1168291320"/>
                <w14:textFill>
                  <w14:solidFill>
                    <w14:srgbClr w14:val="000000">
                      <w14:alpha w14:val="100000"/>
                    </w14:srgbClr>
                  </w14:solidFill>
                </w14:textFill>
              </w:rPr>
              <w:t xml:space="preserve">　</w:t>
            </w:r>
            <w:r w:rsidR="000257F6" w:rsidRPr="00E05465">
              <w:rPr>
                <w:szCs w:val="20"/>
                <w:vertAlign w:val="superscript"/>
              </w:rPr>
              <w:t>2</w:t>
            </w:r>
          </w:p>
        </w:tc>
      </w:tr>
      <w:tr w:rsidR="00E05465" w:rsidRPr="00E05465" w14:paraId="35B8D79A" w14:textId="77777777" w:rsidTr="000257F6">
        <w:trPr>
          <w:trHeight w:val="170"/>
        </w:trPr>
        <w:tc>
          <w:tcPr>
            <w:tcW w:w="1647" w:type="pct"/>
          </w:tcPr>
          <w:p w14:paraId="18980BCD" w14:textId="07C34E32" w:rsidR="00093906" w:rsidRPr="00E05465" w:rsidRDefault="001212BA" w:rsidP="000257F6">
            <w:pPr>
              <w:pStyle w:val="TableText0"/>
              <w:rPr>
                <w:szCs w:val="20"/>
              </w:rPr>
            </w:pPr>
            <w:r w:rsidRPr="00E05465">
              <w:rPr>
                <w:szCs w:val="20"/>
              </w:rPr>
              <w:t>Number of maintenance dose scripts yr 1 patients (12.5 per patient)</w:t>
            </w:r>
            <w:r w:rsidR="00C93D6F" w:rsidRPr="00E05465">
              <w:rPr>
                <w:szCs w:val="20"/>
                <w:vertAlign w:val="superscript"/>
              </w:rPr>
              <w:t>d</w:t>
            </w:r>
          </w:p>
          <w:p w14:paraId="18076386" w14:textId="0DA43AB5" w:rsidR="001212BA" w:rsidRPr="00E05465" w:rsidRDefault="00093906" w:rsidP="000257F6">
            <w:pPr>
              <w:pStyle w:val="TableText0"/>
              <w:rPr>
                <w:szCs w:val="20"/>
              </w:rPr>
            </w:pPr>
            <w:r w:rsidRPr="00E05465">
              <w:rPr>
                <w:szCs w:val="20"/>
              </w:rPr>
              <w:t>(revised 6.25 per patient)</w:t>
            </w:r>
            <w:r w:rsidR="00C93D6F" w:rsidRPr="00E05465">
              <w:rPr>
                <w:szCs w:val="20"/>
                <w:vertAlign w:val="superscript"/>
              </w:rPr>
              <w:t>e</w:t>
            </w:r>
            <w:r w:rsidR="001212BA" w:rsidRPr="00E05465">
              <w:rPr>
                <w:szCs w:val="20"/>
              </w:rPr>
              <w:t xml:space="preserve"> </w:t>
            </w:r>
          </w:p>
        </w:tc>
        <w:tc>
          <w:tcPr>
            <w:tcW w:w="551" w:type="pct"/>
            <w:vAlign w:val="center"/>
          </w:tcPr>
          <w:p w14:paraId="4F234D07" w14:textId="269D9FAF"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9"/>
                <w14:textFill>
                  <w14:solidFill>
                    <w14:srgbClr w14:val="000000">
                      <w14:alpha w14:val="100000"/>
                    </w14:srgbClr>
                  </w14:solidFill>
                </w14:textFill>
              </w:rPr>
              <w:t>|</w:t>
            </w:r>
            <w:r w:rsidRPr="00533927">
              <w:rPr>
                <w:color w:val="000000"/>
                <w:spacing w:val="1"/>
                <w:szCs w:val="20"/>
                <w:shd w:val="solid" w:color="000000" w:fill="000000"/>
                <w:fitText w:val="165" w:id="-1168291319"/>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p w14:paraId="6E81BBDB" w14:textId="7EDD58FE" w:rsidR="00093906" w:rsidRPr="00E05465" w:rsidRDefault="00093906" w:rsidP="000257F6">
            <w:pPr>
              <w:pStyle w:val="TableText0"/>
              <w:jc w:val="center"/>
              <w:rPr>
                <w:szCs w:val="20"/>
              </w:rPr>
            </w:pPr>
            <w:r w:rsidRPr="00E05465">
              <w:rPr>
                <w:szCs w:val="20"/>
              </w:rPr>
              <w:t>(</w:t>
            </w:r>
            <w:r w:rsidR="00533927" w:rsidRPr="00533927">
              <w:rPr>
                <w:color w:val="000000"/>
                <w:spacing w:val="30"/>
                <w:szCs w:val="20"/>
                <w:shd w:val="solid" w:color="000000" w:fill="000000"/>
                <w:fitText w:val="210" w:id="-1168291318"/>
                <w14:textFill>
                  <w14:solidFill>
                    <w14:srgbClr w14:val="000000">
                      <w14:alpha w14:val="100000"/>
                    </w14:srgbClr>
                  </w14:solidFill>
                </w14:textFill>
              </w:rPr>
              <w:t>||</w:t>
            </w:r>
            <w:r w:rsidR="00533927" w:rsidRPr="00533927">
              <w:rPr>
                <w:color w:val="000000"/>
                <w:spacing w:val="15"/>
                <w:szCs w:val="20"/>
                <w:shd w:val="solid" w:color="000000" w:fill="000000"/>
                <w:fitText w:val="210" w:id="-1168291318"/>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r w:rsidRPr="00E05465">
              <w:rPr>
                <w:szCs w:val="20"/>
              </w:rPr>
              <w:t>)</w:t>
            </w:r>
          </w:p>
        </w:tc>
        <w:tc>
          <w:tcPr>
            <w:tcW w:w="551" w:type="pct"/>
            <w:vAlign w:val="center"/>
          </w:tcPr>
          <w:p w14:paraId="0210B8E6" w14:textId="23FC9D13"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7"/>
                <w14:textFill>
                  <w14:solidFill>
                    <w14:srgbClr w14:val="000000">
                      <w14:alpha w14:val="100000"/>
                    </w14:srgbClr>
                  </w14:solidFill>
                </w14:textFill>
              </w:rPr>
              <w:t>|</w:t>
            </w:r>
            <w:r w:rsidRPr="00533927">
              <w:rPr>
                <w:color w:val="000000"/>
                <w:spacing w:val="1"/>
                <w:szCs w:val="20"/>
                <w:shd w:val="solid" w:color="000000" w:fill="000000"/>
                <w:fitText w:val="165" w:id="-1168291317"/>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5691F83D" w14:textId="419D7AF3"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6"/>
                <w14:textFill>
                  <w14:solidFill>
                    <w14:srgbClr w14:val="000000">
                      <w14:alpha w14:val="100000"/>
                    </w14:srgbClr>
                  </w14:solidFill>
                </w14:textFill>
              </w:rPr>
              <w:t>|</w:t>
            </w:r>
            <w:r w:rsidRPr="00533927">
              <w:rPr>
                <w:color w:val="000000"/>
                <w:spacing w:val="1"/>
                <w:szCs w:val="20"/>
                <w:shd w:val="solid" w:color="000000" w:fill="000000"/>
                <w:fitText w:val="165" w:id="-1168291316"/>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38ED2E34" w14:textId="64CF601C"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5"/>
                <w14:textFill>
                  <w14:solidFill>
                    <w14:srgbClr w14:val="000000">
                      <w14:alpha w14:val="100000"/>
                    </w14:srgbClr>
                  </w14:solidFill>
                </w14:textFill>
              </w:rPr>
              <w:t>|</w:t>
            </w:r>
            <w:r w:rsidRPr="00533927">
              <w:rPr>
                <w:color w:val="000000"/>
                <w:spacing w:val="1"/>
                <w:szCs w:val="20"/>
                <w:shd w:val="solid" w:color="000000" w:fill="000000"/>
                <w:fitText w:val="165" w:id="-1168291315"/>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7E125CE6" w14:textId="3DE0F599"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4"/>
                <w14:textFill>
                  <w14:solidFill>
                    <w14:srgbClr w14:val="000000">
                      <w14:alpha w14:val="100000"/>
                    </w14:srgbClr>
                  </w14:solidFill>
                </w14:textFill>
              </w:rPr>
              <w:t>|</w:t>
            </w:r>
            <w:r w:rsidRPr="00533927">
              <w:rPr>
                <w:color w:val="000000"/>
                <w:spacing w:val="1"/>
                <w:szCs w:val="20"/>
                <w:shd w:val="solid" w:color="000000" w:fill="000000"/>
                <w:fitText w:val="165" w:id="-1168291314"/>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601" w:type="pct"/>
            <w:vAlign w:val="center"/>
          </w:tcPr>
          <w:p w14:paraId="2182E5DB" w14:textId="04CFDFB7" w:rsidR="001212BA" w:rsidRPr="00E05465" w:rsidRDefault="00533927" w:rsidP="000257F6">
            <w:pPr>
              <w:pStyle w:val="TableText0"/>
              <w:jc w:val="center"/>
              <w:rPr>
                <w:szCs w:val="20"/>
              </w:rPr>
            </w:pPr>
            <w:r w:rsidRPr="00533927">
              <w:rPr>
                <w:rFonts w:hint="eastAsia"/>
                <w:color w:val="000000"/>
                <w:w w:val="27"/>
                <w:szCs w:val="20"/>
                <w:shd w:val="solid" w:color="000000" w:fill="000000"/>
                <w:fitText w:val="120" w:id="-1168291313"/>
                <w14:textFill>
                  <w14:solidFill>
                    <w14:srgbClr w14:val="000000">
                      <w14:alpha w14:val="100000"/>
                    </w14:srgbClr>
                  </w14:solidFill>
                </w14:textFill>
              </w:rPr>
              <w:t xml:space="preserve">　</w:t>
            </w:r>
            <w:r w:rsidRPr="00533927">
              <w:rPr>
                <w:color w:val="000000"/>
                <w:w w:val="27"/>
                <w:szCs w:val="20"/>
                <w:shd w:val="solid" w:color="000000" w:fill="000000"/>
                <w:fitText w:val="120" w:id="-1168291313"/>
                <w14:textFill>
                  <w14:solidFill>
                    <w14:srgbClr w14:val="000000">
                      <w14:alpha w14:val="100000"/>
                    </w14:srgbClr>
                  </w14:solidFill>
                </w14:textFill>
              </w:rPr>
              <w:t>|</w:t>
            </w:r>
            <w:r w:rsidRPr="00533927">
              <w:rPr>
                <w:rFonts w:hint="eastAsia"/>
                <w:color w:val="000000"/>
                <w:spacing w:val="1"/>
                <w:w w:val="27"/>
                <w:szCs w:val="20"/>
                <w:shd w:val="solid" w:color="000000" w:fill="000000"/>
                <w:fitText w:val="120" w:id="-1168291313"/>
                <w14:textFill>
                  <w14:solidFill>
                    <w14:srgbClr w14:val="000000">
                      <w14:alpha w14:val="100000"/>
                    </w14:srgbClr>
                  </w14:solidFill>
                </w14:textFill>
              </w:rPr>
              <w:t xml:space="preserve">　</w:t>
            </w:r>
            <w:r w:rsidR="000257F6" w:rsidRPr="00E05465">
              <w:rPr>
                <w:szCs w:val="20"/>
              </w:rPr>
              <w:t xml:space="preserve"> </w:t>
            </w:r>
            <w:r w:rsidR="000257F6" w:rsidRPr="00E05465">
              <w:rPr>
                <w:szCs w:val="20"/>
                <w:vertAlign w:val="superscript"/>
              </w:rPr>
              <w:t>1</w:t>
            </w:r>
          </w:p>
        </w:tc>
      </w:tr>
      <w:tr w:rsidR="00E05465" w:rsidRPr="00E05465" w14:paraId="16D20D75" w14:textId="77777777" w:rsidTr="000257F6">
        <w:trPr>
          <w:trHeight w:val="170"/>
        </w:trPr>
        <w:tc>
          <w:tcPr>
            <w:tcW w:w="1647" w:type="pct"/>
          </w:tcPr>
          <w:p w14:paraId="0F340F02" w14:textId="671A2CDF" w:rsidR="001212BA" w:rsidRPr="00E05465" w:rsidRDefault="001212BA" w:rsidP="000257F6">
            <w:pPr>
              <w:pStyle w:val="TableText0"/>
              <w:rPr>
                <w:szCs w:val="20"/>
                <w:vertAlign w:val="superscript"/>
              </w:rPr>
            </w:pPr>
            <w:r w:rsidRPr="00E05465">
              <w:rPr>
                <w:szCs w:val="20"/>
              </w:rPr>
              <w:t>Number of maintenance dose scripts for yr 2+ patients (6.5 per patient)</w:t>
            </w:r>
            <w:r w:rsidR="000F33FE" w:rsidRPr="00E05465">
              <w:rPr>
                <w:szCs w:val="20"/>
                <w:vertAlign w:val="superscript"/>
              </w:rPr>
              <w:t>e</w:t>
            </w:r>
          </w:p>
        </w:tc>
        <w:tc>
          <w:tcPr>
            <w:tcW w:w="551" w:type="pct"/>
            <w:vAlign w:val="center"/>
          </w:tcPr>
          <w:p w14:paraId="5B306DF5" w14:textId="7EDAF75D"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2"/>
                <w14:textFill>
                  <w14:solidFill>
                    <w14:srgbClr w14:val="000000">
                      <w14:alpha w14:val="100000"/>
                    </w14:srgbClr>
                  </w14:solidFill>
                </w14:textFill>
              </w:rPr>
              <w:t>|</w:t>
            </w:r>
            <w:r w:rsidRPr="00533927">
              <w:rPr>
                <w:color w:val="000000"/>
                <w:spacing w:val="1"/>
                <w:szCs w:val="20"/>
                <w:shd w:val="solid" w:color="000000" w:fill="000000"/>
                <w:fitText w:val="165" w:id="-1168291312"/>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1" w:type="pct"/>
            <w:vAlign w:val="center"/>
          </w:tcPr>
          <w:p w14:paraId="6BF72C9D" w14:textId="1A39D347"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8"/>
                <w14:textFill>
                  <w14:solidFill>
                    <w14:srgbClr w14:val="000000">
                      <w14:alpha w14:val="100000"/>
                    </w14:srgbClr>
                  </w14:solidFill>
                </w14:textFill>
              </w:rPr>
              <w:t>|</w:t>
            </w:r>
            <w:r w:rsidRPr="00533927">
              <w:rPr>
                <w:color w:val="000000"/>
                <w:spacing w:val="1"/>
                <w:szCs w:val="20"/>
                <w:shd w:val="solid" w:color="000000" w:fill="000000"/>
                <w:fitText w:val="165" w:id="-1168291328"/>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0477705C" w14:textId="47FB780F"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7"/>
                <w14:textFill>
                  <w14:solidFill>
                    <w14:srgbClr w14:val="000000">
                      <w14:alpha w14:val="100000"/>
                    </w14:srgbClr>
                  </w14:solidFill>
                </w14:textFill>
              </w:rPr>
              <w:t>|</w:t>
            </w:r>
            <w:r w:rsidRPr="00533927">
              <w:rPr>
                <w:color w:val="000000"/>
                <w:spacing w:val="1"/>
                <w:szCs w:val="20"/>
                <w:shd w:val="solid" w:color="000000" w:fill="000000"/>
                <w:fitText w:val="165" w:id="-1168291327"/>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751E2D7E" w14:textId="23C6FCCA"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6"/>
                <w14:textFill>
                  <w14:solidFill>
                    <w14:srgbClr w14:val="000000">
                      <w14:alpha w14:val="100000"/>
                    </w14:srgbClr>
                  </w14:solidFill>
                </w14:textFill>
              </w:rPr>
              <w:t>|</w:t>
            </w:r>
            <w:r w:rsidRPr="00533927">
              <w:rPr>
                <w:color w:val="000000"/>
                <w:spacing w:val="1"/>
                <w:szCs w:val="20"/>
                <w:shd w:val="solid" w:color="000000" w:fill="000000"/>
                <w:fitText w:val="165" w:id="-1168291326"/>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21C44432" w14:textId="232012CD"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5"/>
                <w14:textFill>
                  <w14:solidFill>
                    <w14:srgbClr w14:val="000000">
                      <w14:alpha w14:val="100000"/>
                    </w14:srgbClr>
                  </w14:solidFill>
                </w14:textFill>
              </w:rPr>
              <w:t>|</w:t>
            </w:r>
            <w:r w:rsidRPr="00533927">
              <w:rPr>
                <w:color w:val="000000"/>
                <w:spacing w:val="1"/>
                <w:szCs w:val="20"/>
                <w:shd w:val="solid" w:color="000000" w:fill="000000"/>
                <w:fitText w:val="165" w:id="-1168291325"/>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601" w:type="pct"/>
            <w:vAlign w:val="center"/>
          </w:tcPr>
          <w:p w14:paraId="0178EABD" w14:textId="3ACEEF8E" w:rsidR="001212BA" w:rsidRPr="00E05465" w:rsidRDefault="00533927" w:rsidP="000257F6">
            <w:pPr>
              <w:pStyle w:val="TableText0"/>
              <w:jc w:val="center"/>
              <w:rPr>
                <w:szCs w:val="20"/>
              </w:rPr>
            </w:pPr>
            <w:r w:rsidRPr="00533927">
              <w:rPr>
                <w:rFonts w:hint="eastAsia"/>
                <w:color w:val="000000"/>
                <w:w w:val="27"/>
                <w:szCs w:val="20"/>
                <w:shd w:val="solid" w:color="000000" w:fill="000000"/>
                <w:fitText w:val="120" w:id="-1168291324"/>
                <w14:textFill>
                  <w14:solidFill>
                    <w14:srgbClr w14:val="000000">
                      <w14:alpha w14:val="100000"/>
                    </w14:srgbClr>
                  </w14:solidFill>
                </w14:textFill>
              </w:rPr>
              <w:t xml:space="preserve">　</w:t>
            </w:r>
            <w:r w:rsidRPr="00533927">
              <w:rPr>
                <w:color w:val="000000"/>
                <w:w w:val="27"/>
                <w:szCs w:val="20"/>
                <w:shd w:val="solid" w:color="000000" w:fill="000000"/>
                <w:fitText w:val="120" w:id="-1168291324"/>
                <w14:textFill>
                  <w14:solidFill>
                    <w14:srgbClr w14:val="000000">
                      <w14:alpha w14:val="100000"/>
                    </w14:srgbClr>
                  </w14:solidFill>
                </w14:textFill>
              </w:rPr>
              <w:t>|</w:t>
            </w:r>
            <w:r w:rsidRPr="00533927">
              <w:rPr>
                <w:rFonts w:hint="eastAsia"/>
                <w:color w:val="000000"/>
                <w:spacing w:val="1"/>
                <w:w w:val="27"/>
                <w:szCs w:val="20"/>
                <w:shd w:val="solid" w:color="000000" w:fill="000000"/>
                <w:fitText w:val="120" w:id="-1168291324"/>
                <w14:textFill>
                  <w14:solidFill>
                    <w14:srgbClr w14:val="000000">
                      <w14:alpha w14:val="100000"/>
                    </w14:srgbClr>
                  </w14:solidFill>
                </w14:textFill>
              </w:rPr>
              <w:t xml:space="preserve">　</w:t>
            </w:r>
            <w:r w:rsidR="000257F6" w:rsidRPr="00E05465">
              <w:rPr>
                <w:szCs w:val="20"/>
              </w:rPr>
              <w:t xml:space="preserve"> </w:t>
            </w:r>
            <w:r w:rsidR="000257F6" w:rsidRPr="00E05465">
              <w:rPr>
                <w:szCs w:val="20"/>
                <w:vertAlign w:val="superscript"/>
              </w:rPr>
              <w:t>1</w:t>
            </w:r>
          </w:p>
        </w:tc>
      </w:tr>
      <w:tr w:rsidR="00E05465" w:rsidRPr="00E05465" w14:paraId="31413050" w14:textId="77777777" w:rsidTr="000257F6">
        <w:trPr>
          <w:trHeight w:val="170"/>
        </w:trPr>
        <w:tc>
          <w:tcPr>
            <w:tcW w:w="1647" w:type="pct"/>
          </w:tcPr>
          <w:p w14:paraId="135B0F35" w14:textId="77777777" w:rsidR="001212BA" w:rsidRPr="00E05465" w:rsidRDefault="001212BA" w:rsidP="000257F6">
            <w:pPr>
              <w:pStyle w:val="TableText0"/>
              <w:rPr>
                <w:szCs w:val="20"/>
              </w:rPr>
            </w:pPr>
            <w:r w:rsidRPr="00E05465">
              <w:rPr>
                <w:szCs w:val="20"/>
              </w:rPr>
              <w:t>Cost of maintenance dose scripts.</w:t>
            </w:r>
          </w:p>
          <w:p w14:paraId="62A8CE4F" w14:textId="261862E5" w:rsidR="001212BA" w:rsidRPr="00E05465" w:rsidRDefault="001212BA" w:rsidP="000257F6">
            <w:pPr>
              <w:pStyle w:val="TableText0"/>
              <w:rPr>
                <w:szCs w:val="20"/>
                <w:vertAlign w:val="superscript"/>
              </w:rPr>
            </w:pPr>
            <w:r w:rsidRPr="00E05465">
              <w:rPr>
                <w:szCs w:val="20"/>
              </w:rPr>
              <w:t>($</w:t>
            </w:r>
            <w:r w:rsidR="00533927" w:rsidRPr="00533927">
              <w:rPr>
                <w:color w:val="000000"/>
                <w:spacing w:val="45"/>
                <w:szCs w:val="20"/>
                <w:shd w:val="solid" w:color="000000" w:fill="000000"/>
                <w:fitText w:val="330" w:id="-1168291323"/>
                <w14:textFill>
                  <w14:solidFill>
                    <w14:srgbClr w14:val="000000">
                      <w14:alpha w14:val="100000"/>
                    </w14:srgbClr>
                  </w14:solidFill>
                </w14:textFill>
              </w:rPr>
              <w:t>|||</w:t>
            </w:r>
            <w:r w:rsidR="00533927" w:rsidRPr="00533927">
              <w:rPr>
                <w:color w:val="000000"/>
                <w:spacing w:val="15"/>
                <w:szCs w:val="20"/>
                <w:shd w:val="solid" w:color="000000" w:fill="000000"/>
                <w:fitText w:val="330" w:id="-1168291323"/>
                <w14:textFill>
                  <w14:solidFill>
                    <w14:srgbClr w14:val="000000">
                      <w14:alpha w14:val="100000"/>
                    </w14:srgbClr>
                  </w14:solidFill>
                </w14:textFill>
              </w:rPr>
              <w:t>|</w:t>
            </w:r>
            <w:r w:rsidR="00C93D6F" w:rsidRPr="00E05465">
              <w:rPr>
                <w:szCs w:val="20"/>
                <w:vertAlign w:val="superscript"/>
              </w:rPr>
              <w:t>c,f</w:t>
            </w:r>
            <w:r w:rsidRPr="00E05465">
              <w:rPr>
                <w:szCs w:val="20"/>
              </w:rPr>
              <w:t xml:space="preserve"> per year 1 script, $</w:t>
            </w:r>
            <w:r w:rsidR="00533927" w:rsidRPr="00533927">
              <w:rPr>
                <w:color w:val="000000"/>
                <w:spacing w:val="45"/>
                <w:szCs w:val="20"/>
                <w:shd w:val="solid" w:color="000000" w:fill="000000"/>
                <w:fitText w:val="330" w:id="-1168291322"/>
                <w14:textFill>
                  <w14:solidFill>
                    <w14:srgbClr w14:val="000000">
                      <w14:alpha w14:val="100000"/>
                    </w14:srgbClr>
                  </w14:solidFill>
                </w14:textFill>
              </w:rPr>
              <w:t>|||</w:t>
            </w:r>
            <w:r w:rsidR="00533927" w:rsidRPr="00533927">
              <w:rPr>
                <w:color w:val="000000"/>
                <w:spacing w:val="15"/>
                <w:szCs w:val="20"/>
                <w:shd w:val="solid" w:color="000000" w:fill="000000"/>
                <w:fitText w:val="330" w:id="-1168291322"/>
                <w14:textFill>
                  <w14:solidFill>
                    <w14:srgbClr w14:val="000000">
                      <w14:alpha w14:val="100000"/>
                    </w14:srgbClr>
                  </w14:solidFill>
                </w14:textFill>
              </w:rPr>
              <w:t>|</w:t>
            </w:r>
            <w:r w:rsidRPr="00E05465">
              <w:rPr>
                <w:szCs w:val="20"/>
              </w:rPr>
              <w:t xml:space="preserve"> per year 2 script)</w:t>
            </w:r>
            <w:r w:rsidR="00C93D6F" w:rsidRPr="00E05465">
              <w:rPr>
                <w:szCs w:val="20"/>
                <w:vertAlign w:val="superscript"/>
              </w:rPr>
              <w:t>c,g</w:t>
            </w:r>
          </w:p>
          <w:p w14:paraId="27633118" w14:textId="1F0260A9" w:rsidR="00093906" w:rsidRPr="00E05465" w:rsidRDefault="00093906" w:rsidP="000257F6">
            <w:pPr>
              <w:pStyle w:val="TableText0"/>
              <w:rPr>
                <w:szCs w:val="20"/>
                <w:vertAlign w:val="superscript"/>
              </w:rPr>
            </w:pPr>
            <w:r w:rsidRPr="00E05465">
              <w:rPr>
                <w:szCs w:val="20"/>
              </w:rPr>
              <w:t>(Revised to $</w:t>
            </w:r>
            <w:r w:rsidR="00533927" w:rsidRPr="00533927">
              <w:rPr>
                <w:color w:val="000000"/>
                <w:spacing w:val="45"/>
                <w:szCs w:val="20"/>
                <w:shd w:val="solid" w:color="000000" w:fill="000000"/>
                <w:fitText w:val="330" w:id="-1168291321"/>
                <w14:textFill>
                  <w14:solidFill>
                    <w14:srgbClr w14:val="000000">
                      <w14:alpha w14:val="100000"/>
                    </w14:srgbClr>
                  </w14:solidFill>
                </w14:textFill>
              </w:rPr>
              <w:t>|||</w:t>
            </w:r>
            <w:r w:rsidR="00533927" w:rsidRPr="00533927">
              <w:rPr>
                <w:color w:val="000000"/>
                <w:spacing w:val="15"/>
                <w:szCs w:val="20"/>
                <w:shd w:val="solid" w:color="000000" w:fill="000000"/>
                <w:fitText w:val="330" w:id="-1168291321"/>
                <w14:textFill>
                  <w14:solidFill>
                    <w14:srgbClr w14:val="000000">
                      <w14:alpha w14:val="100000"/>
                    </w14:srgbClr>
                  </w14:solidFill>
                </w14:textFill>
              </w:rPr>
              <w:t>|</w:t>
            </w:r>
            <w:r w:rsidRPr="00E05465">
              <w:rPr>
                <w:szCs w:val="20"/>
              </w:rPr>
              <w:t xml:space="preserve"> in both year</w:t>
            </w:r>
            <w:r w:rsidR="00C93D6F" w:rsidRPr="00E05465">
              <w:rPr>
                <w:szCs w:val="20"/>
              </w:rPr>
              <w:t>s)</w:t>
            </w:r>
            <w:r w:rsidR="00C93D6F" w:rsidRPr="00E05465">
              <w:rPr>
                <w:szCs w:val="20"/>
                <w:vertAlign w:val="superscript"/>
              </w:rPr>
              <w:t>c,g</w:t>
            </w:r>
          </w:p>
        </w:tc>
        <w:tc>
          <w:tcPr>
            <w:tcW w:w="551" w:type="pct"/>
            <w:vAlign w:val="center"/>
          </w:tcPr>
          <w:p w14:paraId="5D7CF1D3" w14:textId="298A3803" w:rsidR="00093906" w:rsidRPr="00E05465" w:rsidRDefault="00533927" w:rsidP="000257F6">
            <w:pPr>
              <w:pStyle w:val="TableText0"/>
              <w:jc w:val="center"/>
              <w:rPr>
                <w:szCs w:val="20"/>
              </w:rPr>
            </w:pPr>
            <w:r w:rsidRPr="00533927">
              <w:rPr>
                <w:color w:val="000000"/>
                <w:spacing w:val="79"/>
                <w:szCs w:val="20"/>
                <w:shd w:val="solid" w:color="000000" w:fill="000000"/>
                <w:fitText w:val="165" w:id="-1168291320"/>
                <w14:textFill>
                  <w14:solidFill>
                    <w14:srgbClr w14:val="000000">
                      <w14:alpha w14:val="100000"/>
                    </w14:srgbClr>
                  </w14:solidFill>
                </w14:textFill>
              </w:rPr>
              <w:t>|</w:t>
            </w:r>
            <w:r w:rsidRPr="00533927">
              <w:rPr>
                <w:color w:val="000000"/>
                <w:spacing w:val="1"/>
                <w:szCs w:val="20"/>
                <w:shd w:val="solid" w:color="000000" w:fill="000000"/>
                <w:fitText w:val="165" w:id="-1168291320"/>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2</w:t>
            </w:r>
          </w:p>
          <w:p w14:paraId="235F36D5" w14:textId="776B90AE" w:rsidR="00093906" w:rsidRPr="00E05465" w:rsidRDefault="00093906" w:rsidP="000257F6">
            <w:pPr>
              <w:pStyle w:val="TableText0"/>
              <w:jc w:val="center"/>
              <w:rPr>
                <w:szCs w:val="20"/>
              </w:rPr>
            </w:pPr>
            <w:r w:rsidRPr="00E05465">
              <w:rPr>
                <w:szCs w:val="20"/>
              </w:rPr>
              <w:t>(</w:t>
            </w:r>
            <w:r w:rsidR="00533927" w:rsidRPr="00533927">
              <w:rPr>
                <w:color w:val="000000"/>
                <w:spacing w:val="30"/>
                <w:szCs w:val="20"/>
                <w:shd w:val="solid" w:color="000000" w:fill="000000"/>
                <w:fitText w:val="210" w:id="-1168291319"/>
                <w14:textFill>
                  <w14:solidFill>
                    <w14:srgbClr w14:val="000000">
                      <w14:alpha w14:val="100000"/>
                    </w14:srgbClr>
                  </w14:solidFill>
                </w14:textFill>
              </w:rPr>
              <w:t>||</w:t>
            </w:r>
            <w:r w:rsidR="00533927" w:rsidRPr="00533927">
              <w:rPr>
                <w:color w:val="000000"/>
                <w:spacing w:val="15"/>
                <w:szCs w:val="20"/>
                <w:shd w:val="solid" w:color="000000" w:fill="000000"/>
                <w:fitText w:val="210" w:id="-1168291319"/>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2</w:t>
            </w:r>
            <w:r w:rsidRPr="00E05465">
              <w:rPr>
                <w:szCs w:val="20"/>
              </w:rPr>
              <w:t>)</w:t>
            </w:r>
          </w:p>
        </w:tc>
        <w:tc>
          <w:tcPr>
            <w:tcW w:w="551" w:type="pct"/>
            <w:vAlign w:val="center"/>
          </w:tcPr>
          <w:p w14:paraId="16C741B1" w14:textId="2B38834A"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8"/>
                <w14:textFill>
                  <w14:solidFill>
                    <w14:srgbClr w14:val="000000">
                      <w14:alpha w14:val="100000"/>
                    </w14:srgbClr>
                  </w14:solidFill>
                </w14:textFill>
              </w:rPr>
              <w:t>|</w:t>
            </w:r>
            <w:r w:rsidRPr="00533927">
              <w:rPr>
                <w:color w:val="000000"/>
                <w:spacing w:val="1"/>
                <w:szCs w:val="20"/>
                <w:shd w:val="solid" w:color="000000" w:fill="000000"/>
                <w:fitText w:val="165" w:id="-1168291318"/>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2</w:t>
            </w:r>
          </w:p>
        </w:tc>
        <w:tc>
          <w:tcPr>
            <w:tcW w:w="550" w:type="pct"/>
            <w:vAlign w:val="center"/>
          </w:tcPr>
          <w:p w14:paraId="752FD6E3" w14:textId="759DABB4"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7"/>
                <w14:textFill>
                  <w14:solidFill>
                    <w14:srgbClr w14:val="000000">
                      <w14:alpha w14:val="100000"/>
                    </w14:srgbClr>
                  </w14:solidFill>
                </w14:textFill>
              </w:rPr>
              <w:t>|</w:t>
            </w:r>
            <w:r w:rsidRPr="00533927">
              <w:rPr>
                <w:color w:val="000000"/>
                <w:spacing w:val="1"/>
                <w:szCs w:val="20"/>
                <w:shd w:val="solid" w:color="000000" w:fill="000000"/>
                <w:fitText w:val="165" w:id="-1168291317"/>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2</w:t>
            </w:r>
          </w:p>
        </w:tc>
        <w:tc>
          <w:tcPr>
            <w:tcW w:w="550" w:type="pct"/>
            <w:vAlign w:val="center"/>
          </w:tcPr>
          <w:p w14:paraId="4753B1C5" w14:textId="1D5CB136"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6"/>
                <w14:textFill>
                  <w14:solidFill>
                    <w14:srgbClr w14:val="000000">
                      <w14:alpha w14:val="100000"/>
                    </w14:srgbClr>
                  </w14:solidFill>
                </w14:textFill>
              </w:rPr>
              <w:t>|</w:t>
            </w:r>
            <w:r w:rsidRPr="00533927">
              <w:rPr>
                <w:color w:val="000000"/>
                <w:spacing w:val="1"/>
                <w:szCs w:val="20"/>
                <w:shd w:val="solid" w:color="000000" w:fill="000000"/>
                <w:fitText w:val="165" w:id="-1168291316"/>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2</w:t>
            </w:r>
          </w:p>
        </w:tc>
        <w:tc>
          <w:tcPr>
            <w:tcW w:w="550" w:type="pct"/>
            <w:vAlign w:val="center"/>
          </w:tcPr>
          <w:p w14:paraId="70D7B8FE" w14:textId="17CB885E"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5"/>
                <w14:textFill>
                  <w14:solidFill>
                    <w14:srgbClr w14:val="000000">
                      <w14:alpha w14:val="100000"/>
                    </w14:srgbClr>
                  </w14:solidFill>
                </w14:textFill>
              </w:rPr>
              <w:t>|</w:t>
            </w:r>
            <w:r w:rsidRPr="00533927">
              <w:rPr>
                <w:color w:val="000000"/>
                <w:spacing w:val="1"/>
                <w:szCs w:val="20"/>
                <w:shd w:val="solid" w:color="000000" w:fill="000000"/>
                <w:fitText w:val="165" w:id="-1168291315"/>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2</w:t>
            </w:r>
          </w:p>
        </w:tc>
        <w:tc>
          <w:tcPr>
            <w:tcW w:w="601" w:type="pct"/>
            <w:vAlign w:val="center"/>
          </w:tcPr>
          <w:p w14:paraId="1EE0CDBB" w14:textId="4BF3BEA1" w:rsidR="001212BA" w:rsidRPr="00E05465" w:rsidRDefault="00533927" w:rsidP="000257F6">
            <w:pPr>
              <w:pStyle w:val="TableText0"/>
              <w:jc w:val="center"/>
              <w:rPr>
                <w:szCs w:val="20"/>
              </w:rPr>
            </w:pPr>
            <w:r w:rsidRPr="00533927">
              <w:rPr>
                <w:rFonts w:hint="eastAsia"/>
                <w:color w:val="000000"/>
                <w:w w:val="27"/>
                <w:szCs w:val="20"/>
                <w:shd w:val="solid" w:color="000000" w:fill="000000"/>
                <w:fitText w:val="120" w:id="-1168291314"/>
                <w14:textFill>
                  <w14:solidFill>
                    <w14:srgbClr w14:val="000000">
                      <w14:alpha w14:val="100000"/>
                    </w14:srgbClr>
                  </w14:solidFill>
                </w14:textFill>
              </w:rPr>
              <w:t xml:space="preserve">　</w:t>
            </w:r>
            <w:r w:rsidRPr="00533927">
              <w:rPr>
                <w:color w:val="000000"/>
                <w:w w:val="27"/>
                <w:szCs w:val="20"/>
                <w:shd w:val="solid" w:color="000000" w:fill="000000"/>
                <w:fitText w:val="120" w:id="-1168291314"/>
                <w14:textFill>
                  <w14:solidFill>
                    <w14:srgbClr w14:val="000000">
                      <w14:alpha w14:val="100000"/>
                    </w14:srgbClr>
                  </w14:solidFill>
                </w14:textFill>
              </w:rPr>
              <w:t>|</w:t>
            </w:r>
            <w:r w:rsidRPr="00533927">
              <w:rPr>
                <w:rFonts w:hint="eastAsia"/>
                <w:color w:val="000000"/>
                <w:spacing w:val="1"/>
                <w:w w:val="27"/>
                <w:szCs w:val="20"/>
                <w:shd w:val="solid" w:color="000000" w:fill="000000"/>
                <w:fitText w:val="120" w:id="-1168291314"/>
                <w14:textFill>
                  <w14:solidFill>
                    <w14:srgbClr w14:val="000000">
                      <w14:alpha w14:val="100000"/>
                    </w14:srgbClr>
                  </w14:solidFill>
                </w14:textFill>
              </w:rPr>
              <w:t xml:space="preserve">　</w:t>
            </w:r>
            <w:r w:rsidR="000257F6" w:rsidRPr="00E05465">
              <w:rPr>
                <w:szCs w:val="20"/>
              </w:rPr>
              <w:t xml:space="preserve"> </w:t>
            </w:r>
            <w:r w:rsidR="000257F6" w:rsidRPr="00E05465">
              <w:rPr>
                <w:szCs w:val="20"/>
                <w:vertAlign w:val="superscript"/>
              </w:rPr>
              <w:t>2</w:t>
            </w:r>
          </w:p>
        </w:tc>
      </w:tr>
      <w:tr w:rsidR="00E05465" w:rsidRPr="00E05465" w14:paraId="7DEBEE1E" w14:textId="77777777" w:rsidTr="000257F6">
        <w:trPr>
          <w:trHeight w:val="170"/>
        </w:trPr>
        <w:tc>
          <w:tcPr>
            <w:tcW w:w="1647" w:type="pct"/>
          </w:tcPr>
          <w:p w14:paraId="2CE73B70" w14:textId="3E93C05E" w:rsidR="001212BA" w:rsidRPr="00E05465" w:rsidRDefault="001212BA" w:rsidP="000257F6">
            <w:pPr>
              <w:pStyle w:val="TableText0"/>
              <w:rPr>
                <w:szCs w:val="20"/>
                <w:vertAlign w:val="superscript"/>
              </w:rPr>
            </w:pPr>
            <w:r w:rsidRPr="00E05465">
              <w:rPr>
                <w:szCs w:val="20"/>
              </w:rPr>
              <w:t xml:space="preserve">Total cost of ravulizumab to the PBS, </w:t>
            </w:r>
            <w:r w:rsidR="0076067E" w:rsidRPr="00E05465">
              <w:rPr>
                <w:szCs w:val="20"/>
              </w:rPr>
              <w:t>less</w:t>
            </w:r>
            <w:r w:rsidRPr="00E05465">
              <w:rPr>
                <w:szCs w:val="20"/>
              </w:rPr>
              <w:t xml:space="preserve"> copays</w:t>
            </w:r>
            <w:r w:rsidR="00C93D6F" w:rsidRPr="00E05465">
              <w:rPr>
                <w:szCs w:val="20"/>
                <w:vertAlign w:val="superscript"/>
              </w:rPr>
              <w:t>h</w:t>
            </w:r>
          </w:p>
        </w:tc>
        <w:tc>
          <w:tcPr>
            <w:tcW w:w="551" w:type="pct"/>
            <w:vAlign w:val="center"/>
          </w:tcPr>
          <w:p w14:paraId="3DE01161" w14:textId="537726F8"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3"/>
                <w14:textFill>
                  <w14:solidFill>
                    <w14:srgbClr w14:val="000000">
                      <w14:alpha w14:val="100000"/>
                    </w14:srgbClr>
                  </w14:solidFill>
                </w14:textFill>
              </w:rPr>
              <w:t>|</w:t>
            </w:r>
            <w:r w:rsidRPr="00533927">
              <w:rPr>
                <w:color w:val="000000"/>
                <w:spacing w:val="1"/>
                <w:szCs w:val="20"/>
                <w:shd w:val="solid" w:color="000000" w:fill="000000"/>
                <w:fitText w:val="165" w:id="-1168291313"/>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2</w:t>
            </w:r>
          </w:p>
        </w:tc>
        <w:tc>
          <w:tcPr>
            <w:tcW w:w="551" w:type="pct"/>
            <w:vAlign w:val="center"/>
          </w:tcPr>
          <w:p w14:paraId="580779F9" w14:textId="5FA60D29"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2"/>
                <w14:textFill>
                  <w14:solidFill>
                    <w14:srgbClr w14:val="000000">
                      <w14:alpha w14:val="100000"/>
                    </w14:srgbClr>
                  </w14:solidFill>
                </w14:textFill>
              </w:rPr>
              <w:t>|</w:t>
            </w:r>
            <w:r w:rsidRPr="00533927">
              <w:rPr>
                <w:color w:val="000000"/>
                <w:spacing w:val="1"/>
                <w:szCs w:val="20"/>
                <w:shd w:val="solid" w:color="000000" w:fill="000000"/>
                <w:fitText w:val="165" w:id="-1168291312"/>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2</w:t>
            </w:r>
          </w:p>
        </w:tc>
        <w:tc>
          <w:tcPr>
            <w:tcW w:w="550" w:type="pct"/>
            <w:vAlign w:val="center"/>
          </w:tcPr>
          <w:p w14:paraId="31DF2717" w14:textId="25E170E9"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8"/>
                <w14:textFill>
                  <w14:solidFill>
                    <w14:srgbClr w14:val="000000">
                      <w14:alpha w14:val="100000"/>
                    </w14:srgbClr>
                  </w14:solidFill>
                </w14:textFill>
              </w:rPr>
              <w:t>|</w:t>
            </w:r>
            <w:r w:rsidRPr="00533927">
              <w:rPr>
                <w:color w:val="000000"/>
                <w:spacing w:val="1"/>
                <w:szCs w:val="20"/>
                <w:shd w:val="solid" w:color="000000" w:fill="000000"/>
                <w:fitText w:val="165" w:id="-1168291328"/>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2</w:t>
            </w:r>
          </w:p>
        </w:tc>
        <w:tc>
          <w:tcPr>
            <w:tcW w:w="550" w:type="pct"/>
            <w:vAlign w:val="center"/>
          </w:tcPr>
          <w:p w14:paraId="58EB6AD5" w14:textId="40685912"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7"/>
                <w14:textFill>
                  <w14:solidFill>
                    <w14:srgbClr w14:val="000000">
                      <w14:alpha w14:val="100000"/>
                    </w14:srgbClr>
                  </w14:solidFill>
                </w14:textFill>
              </w:rPr>
              <w:t>|</w:t>
            </w:r>
            <w:r w:rsidRPr="00533927">
              <w:rPr>
                <w:color w:val="000000"/>
                <w:spacing w:val="1"/>
                <w:szCs w:val="20"/>
                <w:shd w:val="solid" w:color="000000" w:fill="000000"/>
                <w:fitText w:val="165" w:id="-1168291327"/>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2</w:t>
            </w:r>
          </w:p>
        </w:tc>
        <w:tc>
          <w:tcPr>
            <w:tcW w:w="550" w:type="pct"/>
            <w:vAlign w:val="center"/>
          </w:tcPr>
          <w:p w14:paraId="5A6E402C" w14:textId="454BF854" w:rsidR="001212BA" w:rsidRPr="00E05465" w:rsidRDefault="00533927" w:rsidP="000257F6">
            <w:pPr>
              <w:pStyle w:val="TableText0"/>
              <w:jc w:val="center"/>
              <w:rPr>
                <w:szCs w:val="20"/>
                <w:highlight w:val="darkGray"/>
              </w:rPr>
            </w:pPr>
            <w:r w:rsidRPr="00533927">
              <w:rPr>
                <w:color w:val="000000"/>
                <w:spacing w:val="79"/>
                <w:szCs w:val="20"/>
                <w:shd w:val="solid" w:color="000000" w:fill="000000"/>
                <w:fitText w:val="165" w:id="-1168291326"/>
                <w14:textFill>
                  <w14:solidFill>
                    <w14:srgbClr w14:val="000000">
                      <w14:alpha w14:val="100000"/>
                    </w14:srgbClr>
                  </w14:solidFill>
                </w14:textFill>
              </w:rPr>
              <w:t>|</w:t>
            </w:r>
            <w:r w:rsidRPr="00533927">
              <w:rPr>
                <w:color w:val="000000"/>
                <w:spacing w:val="1"/>
                <w:szCs w:val="20"/>
                <w:shd w:val="solid" w:color="000000" w:fill="000000"/>
                <w:fitText w:val="165" w:id="-1168291326"/>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2</w:t>
            </w:r>
          </w:p>
        </w:tc>
        <w:tc>
          <w:tcPr>
            <w:tcW w:w="601" w:type="pct"/>
            <w:vAlign w:val="center"/>
          </w:tcPr>
          <w:p w14:paraId="52A0CD2C" w14:textId="4A921BCA" w:rsidR="001212BA" w:rsidRPr="00E05465" w:rsidRDefault="00533927" w:rsidP="000257F6">
            <w:pPr>
              <w:pStyle w:val="TableText0"/>
              <w:jc w:val="center"/>
              <w:rPr>
                <w:szCs w:val="20"/>
              </w:rPr>
            </w:pPr>
            <w:r w:rsidRPr="00533927">
              <w:rPr>
                <w:rFonts w:hint="eastAsia"/>
                <w:color w:val="000000"/>
                <w:w w:val="27"/>
                <w:szCs w:val="20"/>
                <w:shd w:val="solid" w:color="000000" w:fill="000000"/>
                <w:fitText w:val="120" w:id="-1168291325"/>
                <w14:textFill>
                  <w14:solidFill>
                    <w14:srgbClr w14:val="000000">
                      <w14:alpha w14:val="100000"/>
                    </w14:srgbClr>
                  </w14:solidFill>
                </w14:textFill>
              </w:rPr>
              <w:t xml:space="preserve">　</w:t>
            </w:r>
            <w:r w:rsidRPr="00533927">
              <w:rPr>
                <w:color w:val="000000"/>
                <w:w w:val="27"/>
                <w:szCs w:val="20"/>
                <w:shd w:val="solid" w:color="000000" w:fill="000000"/>
                <w:fitText w:val="120" w:id="-1168291325"/>
                <w14:textFill>
                  <w14:solidFill>
                    <w14:srgbClr w14:val="000000">
                      <w14:alpha w14:val="100000"/>
                    </w14:srgbClr>
                  </w14:solidFill>
                </w14:textFill>
              </w:rPr>
              <w:t>|</w:t>
            </w:r>
            <w:r w:rsidRPr="00533927">
              <w:rPr>
                <w:rFonts w:hint="eastAsia"/>
                <w:color w:val="000000"/>
                <w:spacing w:val="1"/>
                <w:w w:val="27"/>
                <w:szCs w:val="20"/>
                <w:shd w:val="solid" w:color="000000" w:fill="000000"/>
                <w:fitText w:val="120" w:id="-1168291325"/>
                <w14:textFill>
                  <w14:solidFill>
                    <w14:srgbClr w14:val="000000">
                      <w14:alpha w14:val="100000"/>
                    </w14:srgbClr>
                  </w14:solidFill>
                </w14:textFill>
              </w:rPr>
              <w:t xml:space="preserve">　</w:t>
            </w:r>
            <w:r w:rsidR="00DF6BDA" w:rsidRPr="00E05465">
              <w:rPr>
                <w:szCs w:val="20"/>
              </w:rPr>
              <w:t xml:space="preserve"> </w:t>
            </w:r>
            <w:r w:rsidR="000257F6" w:rsidRPr="00E05465">
              <w:rPr>
                <w:szCs w:val="20"/>
                <w:vertAlign w:val="superscript"/>
              </w:rPr>
              <w:t>2</w:t>
            </w:r>
          </w:p>
        </w:tc>
      </w:tr>
      <w:tr w:rsidR="00E05465" w:rsidRPr="00E05465" w14:paraId="04077AB1" w14:textId="77777777" w:rsidTr="000257F6">
        <w:trPr>
          <w:trHeight w:val="170"/>
        </w:trPr>
        <w:tc>
          <w:tcPr>
            <w:tcW w:w="1647" w:type="pct"/>
          </w:tcPr>
          <w:p w14:paraId="5F1AECA2" w14:textId="7D9008DD" w:rsidR="001212BA" w:rsidRPr="00E05465" w:rsidRDefault="001212BA" w:rsidP="000257F6">
            <w:pPr>
              <w:pStyle w:val="TableText0"/>
              <w:rPr>
                <w:szCs w:val="20"/>
                <w:vertAlign w:val="superscript"/>
              </w:rPr>
            </w:pPr>
            <w:r w:rsidRPr="00E05465">
              <w:rPr>
                <w:szCs w:val="20"/>
              </w:rPr>
              <w:t>Substituted eculizumab scripts (13 scripts per patient)</w:t>
            </w:r>
            <w:r w:rsidR="00C93D6F" w:rsidRPr="00E05465">
              <w:rPr>
                <w:szCs w:val="20"/>
                <w:vertAlign w:val="superscript"/>
              </w:rPr>
              <w:t>i</w:t>
            </w:r>
          </w:p>
        </w:tc>
        <w:tc>
          <w:tcPr>
            <w:tcW w:w="551" w:type="pct"/>
            <w:vAlign w:val="center"/>
          </w:tcPr>
          <w:p w14:paraId="26F4E6E2" w14:textId="48624B3F"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4"/>
                <w14:textFill>
                  <w14:solidFill>
                    <w14:srgbClr w14:val="000000">
                      <w14:alpha w14:val="100000"/>
                    </w14:srgbClr>
                  </w14:solidFill>
                </w14:textFill>
              </w:rPr>
              <w:t>|</w:t>
            </w:r>
            <w:r w:rsidRPr="00533927">
              <w:rPr>
                <w:color w:val="000000"/>
                <w:spacing w:val="1"/>
                <w:szCs w:val="20"/>
                <w:shd w:val="solid" w:color="000000" w:fill="000000"/>
                <w:fitText w:val="165" w:id="-1168291324"/>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1" w:type="pct"/>
            <w:vAlign w:val="center"/>
          </w:tcPr>
          <w:p w14:paraId="1C4A3263" w14:textId="10D83926"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3"/>
                <w14:textFill>
                  <w14:solidFill>
                    <w14:srgbClr w14:val="000000">
                      <w14:alpha w14:val="100000"/>
                    </w14:srgbClr>
                  </w14:solidFill>
                </w14:textFill>
              </w:rPr>
              <w:t>|</w:t>
            </w:r>
            <w:r w:rsidRPr="00533927">
              <w:rPr>
                <w:color w:val="000000"/>
                <w:spacing w:val="1"/>
                <w:szCs w:val="20"/>
                <w:shd w:val="solid" w:color="000000" w:fill="000000"/>
                <w:fitText w:val="165" w:id="-1168291323"/>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657BC1FA" w14:textId="73FDEFC3"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2"/>
                <w14:textFill>
                  <w14:solidFill>
                    <w14:srgbClr w14:val="000000">
                      <w14:alpha w14:val="100000"/>
                    </w14:srgbClr>
                  </w14:solidFill>
                </w14:textFill>
              </w:rPr>
              <w:t>|</w:t>
            </w:r>
            <w:r w:rsidRPr="00533927">
              <w:rPr>
                <w:color w:val="000000"/>
                <w:spacing w:val="1"/>
                <w:szCs w:val="20"/>
                <w:shd w:val="solid" w:color="000000" w:fill="000000"/>
                <w:fitText w:val="165" w:id="-1168291322"/>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57CD6EA2" w14:textId="5AA17FB7"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1"/>
                <w14:textFill>
                  <w14:solidFill>
                    <w14:srgbClr w14:val="000000">
                      <w14:alpha w14:val="100000"/>
                    </w14:srgbClr>
                  </w14:solidFill>
                </w14:textFill>
              </w:rPr>
              <w:t>|</w:t>
            </w:r>
            <w:r w:rsidRPr="00533927">
              <w:rPr>
                <w:color w:val="000000"/>
                <w:spacing w:val="1"/>
                <w:szCs w:val="20"/>
                <w:shd w:val="solid" w:color="000000" w:fill="000000"/>
                <w:fitText w:val="165" w:id="-1168291321"/>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550" w:type="pct"/>
            <w:vAlign w:val="center"/>
          </w:tcPr>
          <w:p w14:paraId="7F1A1C62" w14:textId="55FD0CA6"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0"/>
                <w14:textFill>
                  <w14:solidFill>
                    <w14:srgbClr w14:val="000000">
                      <w14:alpha w14:val="100000"/>
                    </w14:srgbClr>
                  </w14:solidFill>
                </w14:textFill>
              </w:rPr>
              <w:t>|</w:t>
            </w:r>
            <w:r w:rsidRPr="00533927">
              <w:rPr>
                <w:color w:val="000000"/>
                <w:spacing w:val="1"/>
                <w:szCs w:val="20"/>
                <w:shd w:val="solid" w:color="000000" w:fill="000000"/>
                <w:fitText w:val="165" w:id="-1168291320"/>
                <w14:textFill>
                  <w14:solidFill>
                    <w14:srgbClr w14:val="000000">
                      <w14:alpha w14:val="100000"/>
                    </w14:srgbClr>
                  </w14:solidFill>
                </w14:textFill>
              </w:rPr>
              <w:t>|</w:t>
            </w:r>
            <w:r w:rsidR="000257F6" w:rsidRPr="00E05465">
              <w:rPr>
                <w:szCs w:val="20"/>
              </w:rPr>
              <w:t xml:space="preserve"> </w:t>
            </w:r>
            <w:r w:rsidR="000257F6" w:rsidRPr="00E05465">
              <w:rPr>
                <w:szCs w:val="20"/>
                <w:vertAlign w:val="superscript"/>
              </w:rPr>
              <w:t>1</w:t>
            </w:r>
          </w:p>
        </w:tc>
        <w:tc>
          <w:tcPr>
            <w:tcW w:w="601" w:type="pct"/>
            <w:vAlign w:val="center"/>
          </w:tcPr>
          <w:p w14:paraId="27BFCC25" w14:textId="1AB122AC" w:rsidR="001212BA" w:rsidRPr="00E05465" w:rsidRDefault="00533927" w:rsidP="000257F6">
            <w:pPr>
              <w:pStyle w:val="TableText0"/>
              <w:jc w:val="center"/>
              <w:rPr>
                <w:szCs w:val="20"/>
              </w:rPr>
            </w:pPr>
            <w:r w:rsidRPr="00533927">
              <w:rPr>
                <w:rFonts w:hint="eastAsia"/>
                <w:color w:val="000000"/>
                <w:w w:val="27"/>
                <w:szCs w:val="20"/>
                <w:shd w:val="solid" w:color="000000" w:fill="000000"/>
                <w:fitText w:val="120" w:id="-1168291319"/>
                <w14:textFill>
                  <w14:solidFill>
                    <w14:srgbClr w14:val="000000">
                      <w14:alpha w14:val="100000"/>
                    </w14:srgbClr>
                  </w14:solidFill>
                </w14:textFill>
              </w:rPr>
              <w:t xml:space="preserve">　</w:t>
            </w:r>
            <w:r w:rsidRPr="00533927">
              <w:rPr>
                <w:color w:val="000000"/>
                <w:w w:val="27"/>
                <w:szCs w:val="20"/>
                <w:shd w:val="solid" w:color="000000" w:fill="000000"/>
                <w:fitText w:val="120" w:id="-1168291319"/>
                <w14:textFill>
                  <w14:solidFill>
                    <w14:srgbClr w14:val="000000">
                      <w14:alpha w14:val="100000"/>
                    </w14:srgbClr>
                  </w14:solidFill>
                </w14:textFill>
              </w:rPr>
              <w:t>|</w:t>
            </w:r>
            <w:r w:rsidRPr="00533927">
              <w:rPr>
                <w:rFonts w:hint="eastAsia"/>
                <w:color w:val="000000"/>
                <w:spacing w:val="1"/>
                <w:w w:val="27"/>
                <w:szCs w:val="20"/>
                <w:shd w:val="solid" w:color="000000" w:fill="000000"/>
                <w:fitText w:val="120" w:id="-1168291319"/>
                <w14:textFill>
                  <w14:solidFill>
                    <w14:srgbClr w14:val="000000">
                      <w14:alpha w14:val="100000"/>
                    </w14:srgbClr>
                  </w14:solidFill>
                </w14:textFill>
              </w:rPr>
              <w:t xml:space="preserve">　</w:t>
            </w:r>
            <w:r w:rsidR="000257F6" w:rsidRPr="00E05465">
              <w:rPr>
                <w:szCs w:val="20"/>
              </w:rPr>
              <w:t xml:space="preserve"> </w:t>
            </w:r>
            <w:r w:rsidR="000257F6" w:rsidRPr="00E05465">
              <w:rPr>
                <w:szCs w:val="20"/>
                <w:vertAlign w:val="superscript"/>
              </w:rPr>
              <w:t>1</w:t>
            </w:r>
          </w:p>
        </w:tc>
      </w:tr>
      <w:tr w:rsidR="00E05465" w:rsidRPr="00E05465" w14:paraId="15F0D480" w14:textId="77777777" w:rsidTr="000257F6">
        <w:trPr>
          <w:trHeight w:val="170"/>
        </w:trPr>
        <w:tc>
          <w:tcPr>
            <w:tcW w:w="1647" w:type="pct"/>
          </w:tcPr>
          <w:p w14:paraId="2DFA8436" w14:textId="279A830E" w:rsidR="001212BA" w:rsidRPr="00E05465" w:rsidRDefault="001212BA" w:rsidP="000257F6">
            <w:pPr>
              <w:pStyle w:val="TableText0"/>
              <w:rPr>
                <w:szCs w:val="20"/>
              </w:rPr>
            </w:pPr>
            <w:r w:rsidRPr="00E05465">
              <w:rPr>
                <w:szCs w:val="20"/>
              </w:rPr>
              <w:t>Reduction to the PBS for substituted eculizumab scripts ($</w:t>
            </w:r>
            <w:r w:rsidR="00533927" w:rsidRPr="00533927">
              <w:rPr>
                <w:color w:val="000000"/>
                <w:spacing w:val="45"/>
                <w:szCs w:val="20"/>
                <w:shd w:val="solid" w:color="000000" w:fill="000000"/>
                <w:fitText w:val="330" w:id="-1168291318"/>
                <w14:textFill>
                  <w14:solidFill>
                    <w14:srgbClr w14:val="000000">
                      <w14:alpha w14:val="100000"/>
                    </w14:srgbClr>
                  </w14:solidFill>
                </w14:textFill>
              </w:rPr>
              <w:t>|||</w:t>
            </w:r>
            <w:r w:rsidR="00533927" w:rsidRPr="00533927">
              <w:rPr>
                <w:color w:val="000000"/>
                <w:spacing w:val="15"/>
                <w:szCs w:val="20"/>
                <w:shd w:val="solid" w:color="000000" w:fill="000000"/>
                <w:fitText w:val="330" w:id="-1168291318"/>
                <w14:textFill>
                  <w14:solidFill>
                    <w14:srgbClr w14:val="000000">
                      <w14:alpha w14:val="100000"/>
                    </w14:srgbClr>
                  </w14:solidFill>
                </w14:textFill>
              </w:rPr>
              <w:t>|</w:t>
            </w:r>
            <w:r w:rsidRPr="00E05465">
              <w:rPr>
                <w:szCs w:val="20"/>
              </w:rPr>
              <w:t xml:space="preserve"> per script), </w:t>
            </w:r>
            <w:r w:rsidR="0076067E" w:rsidRPr="00E05465">
              <w:rPr>
                <w:szCs w:val="20"/>
              </w:rPr>
              <w:t xml:space="preserve">less </w:t>
            </w:r>
            <w:r w:rsidRPr="00E05465">
              <w:rPr>
                <w:szCs w:val="20"/>
              </w:rPr>
              <w:t>copays</w:t>
            </w:r>
            <w:r w:rsidR="00D9448A" w:rsidRPr="00E05465">
              <w:rPr>
                <w:szCs w:val="20"/>
                <w:vertAlign w:val="superscript"/>
              </w:rPr>
              <w:t>c,h,j</w:t>
            </w:r>
          </w:p>
        </w:tc>
        <w:tc>
          <w:tcPr>
            <w:tcW w:w="551" w:type="pct"/>
            <w:vAlign w:val="center"/>
          </w:tcPr>
          <w:p w14:paraId="7EAED006" w14:textId="6FB49CC4"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7"/>
                <w14:textFill>
                  <w14:solidFill>
                    <w14:srgbClr w14:val="000000">
                      <w14:alpha w14:val="100000"/>
                    </w14:srgbClr>
                  </w14:solidFill>
                </w14:textFill>
              </w:rPr>
              <w:t>|</w:t>
            </w:r>
            <w:r w:rsidRPr="00533927">
              <w:rPr>
                <w:color w:val="000000"/>
                <w:spacing w:val="1"/>
                <w:szCs w:val="20"/>
                <w:shd w:val="solid" w:color="000000" w:fill="000000"/>
                <w:fitText w:val="165" w:id="-1168291317"/>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1" w:type="pct"/>
            <w:vAlign w:val="center"/>
          </w:tcPr>
          <w:p w14:paraId="136F702A" w14:textId="6B0DD2BC"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6"/>
                <w14:textFill>
                  <w14:solidFill>
                    <w14:srgbClr w14:val="000000">
                      <w14:alpha w14:val="100000"/>
                    </w14:srgbClr>
                  </w14:solidFill>
                </w14:textFill>
              </w:rPr>
              <w:t>|</w:t>
            </w:r>
            <w:r w:rsidRPr="00533927">
              <w:rPr>
                <w:color w:val="000000"/>
                <w:spacing w:val="1"/>
                <w:szCs w:val="20"/>
                <w:shd w:val="solid" w:color="000000" w:fill="000000"/>
                <w:fitText w:val="165" w:id="-1168291316"/>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0" w:type="pct"/>
            <w:vAlign w:val="center"/>
          </w:tcPr>
          <w:p w14:paraId="352ECA02" w14:textId="5B18E54A"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15"/>
                <w14:textFill>
                  <w14:solidFill>
                    <w14:srgbClr w14:val="000000">
                      <w14:alpha w14:val="100000"/>
                    </w14:srgbClr>
                  </w14:solidFill>
                </w14:textFill>
              </w:rPr>
              <w:t>|</w:t>
            </w:r>
            <w:r w:rsidRPr="00533927">
              <w:rPr>
                <w:color w:val="000000"/>
                <w:spacing w:val="1"/>
                <w:szCs w:val="20"/>
                <w:shd w:val="solid" w:color="000000" w:fill="000000"/>
                <w:fitText w:val="165" w:id="-1168291315"/>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0" w:type="pct"/>
            <w:vAlign w:val="center"/>
          </w:tcPr>
          <w:p w14:paraId="5F0884E4" w14:textId="47D4099C" w:rsidR="001212BA" w:rsidRPr="00E05465" w:rsidRDefault="00533927" w:rsidP="000257F6">
            <w:pPr>
              <w:pStyle w:val="TableText0"/>
              <w:jc w:val="center"/>
              <w:rPr>
                <w:szCs w:val="20"/>
                <w:highlight w:val="darkGray"/>
              </w:rPr>
            </w:pPr>
            <w:r w:rsidRPr="00533927">
              <w:rPr>
                <w:color w:val="000000"/>
                <w:spacing w:val="79"/>
                <w:szCs w:val="20"/>
                <w:shd w:val="solid" w:color="000000" w:fill="000000"/>
                <w:fitText w:val="165" w:id="-1168291314"/>
                <w14:textFill>
                  <w14:solidFill>
                    <w14:srgbClr w14:val="000000">
                      <w14:alpha w14:val="100000"/>
                    </w14:srgbClr>
                  </w14:solidFill>
                </w14:textFill>
              </w:rPr>
              <w:t>|</w:t>
            </w:r>
            <w:r w:rsidRPr="00533927">
              <w:rPr>
                <w:color w:val="000000"/>
                <w:spacing w:val="1"/>
                <w:szCs w:val="20"/>
                <w:shd w:val="solid" w:color="000000" w:fill="000000"/>
                <w:fitText w:val="165" w:id="-1168291314"/>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0" w:type="pct"/>
            <w:vAlign w:val="center"/>
          </w:tcPr>
          <w:p w14:paraId="64DF1AAF" w14:textId="08D7C249" w:rsidR="001212BA" w:rsidRPr="00E05465" w:rsidRDefault="00533927" w:rsidP="000257F6">
            <w:pPr>
              <w:pStyle w:val="TableText0"/>
              <w:jc w:val="center"/>
              <w:rPr>
                <w:szCs w:val="20"/>
                <w:highlight w:val="darkGray"/>
              </w:rPr>
            </w:pPr>
            <w:r w:rsidRPr="00533927">
              <w:rPr>
                <w:color w:val="000000"/>
                <w:spacing w:val="79"/>
                <w:szCs w:val="20"/>
                <w:shd w:val="solid" w:color="000000" w:fill="000000"/>
                <w:fitText w:val="165" w:id="-1168291313"/>
                <w14:textFill>
                  <w14:solidFill>
                    <w14:srgbClr w14:val="000000">
                      <w14:alpha w14:val="100000"/>
                    </w14:srgbClr>
                  </w14:solidFill>
                </w14:textFill>
              </w:rPr>
              <w:t>|</w:t>
            </w:r>
            <w:r w:rsidRPr="00533927">
              <w:rPr>
                <w:color w:val="000000"/>
                <w:spacing w:val="1"/>
                <w:szCs w:val="20"/>
                <w:shd w:val="solid" w:color="000000" w:fill="000000"/>
                <w:fitText w:val="165" w:id="-1168291313"/>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601" w:type="pct"/>
            <w:vAlign w:val="center"/>
          </w:tcPr>
          <w:p w14:paraId="5E0F8F14" w14:textId="200FE66D" w:rsidR="001212BA" w:rsidRPr="00E05465" w:rsidRDefault="00533927" w:rsidP="000257F6">
            <w:pPr>
              <w:pStyle w:val="TableText0"/>
              <w:jc w:val="center"/>
              <w:rPr>
                <w:szCs w:val="20"/>
              </w:rPr>
            </w:pPr>
            <w:r w:rsidRPr="00533927">
              <w:rPr>
                <w:rFonts w:hint="eastAsia"/>
                <w:color w:val="000000"/>
                <w:w w:val="27"/>
                <w:szCs w:val="20"/>
                <w:shd w:val="solid" w:color="000000" w:fill="000000"/>
                <w:fitText w:val="120" w:id="-1168291312"/>
                <w14:textFill>
                  <w14:solidFill>
                    <w14:srgbClr w14:val="000000">
                      <w14:alpha w14:val="100000"/>
                    </w14:srgbClr>
                  </w14:solidFill>
                </w14:textFill>
              </w:rPr>
              <w:t xml:space="preserve">　</w:t>
            </w:r>
            <w:r w:rsidRPr="00533927">
              <w:rPr>
                <w:color w:val="000000"/>
                <w:w w:val="27"/>
                <w:szCs w:val="20"/>
                <w:shd w:val="solid" w:color="000000" w:fill="000000"/>
                <w:fitText w:val="120" w:id="-1168291312"/>
                <w14:textFill>
                  <w14:solidFill>
                    <w14:srgbClr w14:val="000000">
                      <w14:alpha w14:val="100000"/>
                    </w14:srgbClr>
                  </w14:solidFill>
                </w14:textFill>
              </w:rPr>
              <w:t>|</w:t>
            </w:r>
            <w:r w:rsidRPr="00533927">
              <w:rPr>
                <w:rFonts w:hint="eastAsia"/>
                <w:color w:val="000000"/>
                <w:spacing w:val="1"/>
                <w:w w:val="27"/>
                <w:szCs w:val="20"/>
                <w:shd w:val="solid" w:color="000000" w:fill="000000"/>
                <w:fitText w:val="120" w:id="-1168291312"/>
                <w14:textFill>
                  <w14:solidFill>
                    <w14:srgbClr w14:val="000000">
                      <w14:alpha w14:val="100000"/>
                    </w14:srgbClr>
                  </w14:solidFill>
                </w14:textFill>
              </w:rPr>
              <w:t xml:space="preserve">　</w:t>
            </w:r>
            <w:r w:rsidR="00DF6BDA" w:rsidRPr="00E05465">
              <w:rPr>
                <w:szCs w:val="20"/>
              </w:rPr>
              <w:t xml:space="preserve"> </w:t>
            </w:r>
            <w:r w:rsidR="000257F6" w:rsidRPr="00E05465">
              <w:rPr>
                <w:szCs w:val="20"/>
                <w:vertAlign w:val="superscript"/>
              </w:rPr>
              <w:t>3</w:t>
            </w:r>
          </w:p>
        </w:tc>
      </w:tr>
      <w:tr w:rsidR="00E05465" w:rsidRPr="00E05465" w14:paraId="2646468B" w14:textId="77777777" w:rsidTr="000257F6">
        <w:trPr>
          <w:trHeight w:val="170"/>
        </w:trPr>
        <w:tc>
          <w:tcPr>
            <w:tcW w:w="1647" w:type="pct"/>
          </w:tcPr>
          <w:p w14:paraId="5314EAFF" w14:textId="5C149FE2" w:rsidR="00093906" w:rsidRPr="00E05465" w:rsidRDefault="001212BA" w:rsidP="000257F6">
            <w:pPr>
              <w:pStyle w:val="TableText0"/>
              <w:rPr>
                <w:szCs w:val="20"/>
              </w:rPr>
            </w:pPr>
            <w:r w:rsidRPr="00E05465">
              <w:rPr>
                <w:szCs w:val="20"/>
              </w:rPr>
              <w:t>Net cost to PBS/RPBS</w:t>
            </w:r>
            <w:r w:rsidR="000257F6" w:rsidRPr="00E05465">
              <w:rPr>
                <w:szCs w:val="20"/>
              </w:rPr>
              <w:t xml:space="preserve"> </w:t>
            </w:r>
            <w:r w:rsidR="00093906" w:rsidRPr="00E05465">
              <w:rPr>
                <w:szCs w:val="20"/>
              </w:rPr>
              <w:t>(revised)</w:t>
            </w:r>
          </w:p>
        </w:tc>
        <w:tc>
          <w:tcPr>
            <w:tcW w:w="551" w:type="pct"/>
            <w:vAlign w:val="center"/>
          </w:tcPr>
          <w:p w14:paraId="648810D3" w14:textId="64831094" w:rsidR="00093906" w:rsidRPr="00E05465" w:rsidRDefault="00533927" w:rsidP="000257F6">
            <w:pPr>
              <w:pStyle w:val="TableText0"/>
              <w:jc w:val="center"/>
              <w:rPr>
                <w:szCs w:val="20"/>
              </w:rPr>
            </w:pPr>
            <w:r w:rsidRPr="00533927">
              <w:rPr>
                <w:color w:val="000000"/>
                <w:spacing w:val="79"/>
                <w:szCs w:val="20"/>
                <w:shd w:val="solid" w:color="000000" w:fill="000000"/>
                <w:fitText w:val="165" w:id="-1168291328"/>
                <w14:textFill>
                  <w14:solidFill>
                    <w14:srgbClr w14:val="000000">
                      <w14:alpha w14:val="100000"/>
                    </w14:srgbClr>
                  </w14:solidFill>
                </w14:textFill>
              </w:rPr>
              <w:t>|</w:t>
            </w:r>
            <w:r w:rsidRPr="00533927">
              <w:rPr>
                <w:color w:val="000000"/>
                <w:spacing w:val="1"/>
                <w:szCs w:val="20"/>
                <w:shd w:val="solid" w:color="000000" w:fill="000000"/>
                <w:fitText w:val="165" w:id="-1168291328"/>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1" w:type="pct"/>
            <w:vAlign w:val="center"/>
          </w:tcPr>
          <w:p w14:paraId="52FA66D6" w14:textId="22788626"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7"/>
                <w14:textFill>
                  <w14:solidFill>
                    <w14:srgbClr w14:val="000000">
                      <w14:alpha w14:val="100000"/>
                    </w14:srgbClr>
                  </w14:solidFill>
                </w14:textFill>
              </w:rPr>
              <w:t>|</w:t>
            </w:r>
            <w:r w:rsidRPr="00533927">
              <w:rPr>
                <w:color w:val="000000"/>
                <w:spacing w:val="1"/>
                <w:szCs w:val="20"/>
                <w:shd w:val="solid" w:color="000000" w:fill="000000"/>
                <w:fitText w:val="165" w:id="-1168291327"/>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0" w:type="pct"/>
            <w:vAlign w:val="center"/>
          </w:tcPr>
          <w:p w14:paraId="6B480711" w14:textId="25BB175F"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6"/>
                <w14:textFill>
                  <w14:solidFill>
                    <w14:srgbClr w14:val="000000">
                      <w14:alpha w14:val="100000"/>
                    </w14:srgbClr>
                  </w14:solidFill>
                </w14:textFill>
              </w:rPr>
              <w:t>|</w:t>
            </w:r>
            <w:r w:rsidRPr="00533927">
              <w:rPr>
                <w:color w:val="000000"/>
                <w:spacing w:val="1"/>
                <w:szCs w:val="20"/>
                <w:shd w:val="solid" w:color="000000" w:fill="000000"/>
                <w:fitText w:val="165" w:id="-1168291326"/>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0" w:type="pct"/>
            <w:vAlign w:val="center"/>
          </w:tcPr>
          <w:p w14:paraId="45440386" w14:textId="0EA28435"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5"/>
                <w14:textFill>
                  <w14:solidFill>
                    <w14:srgbClr w14:val="000000">
                      <w14:alpha w14:val="100000"/>
                    </w14:srgbClr>
                  </w14:solidFill>
                </w14:textFill>
              </w:rPr>
              <w:t>|</w:t>
            </w:r>
            <w:r w:rsidRPr="00533927">
              <w:rPr>
                <w:color w:val="000000"/>
                <w:spacing w:val="1"/>
                <w:szCs w:val="20"/>
                <w:shd w:val="solid" w:color="000000" w:fill="000000"/>
                <w:fitText w:val="165" w:id="-1168291325"/>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0" w:type="pct"/>
            <w:vAlign w:val="center"/>
          </w:tcPr>
          <w:p w14:paraId="5D47F854" w14:textId="15197AB9" w:rsidR="001212BA" w:rsidRPr="00E05465" w:rsidRDefault="00533927" w:rsidP="000257F6">
            <w:pPr>
              <w:pStyle w:val="TableText0"/>
              <w:jc w:val="center"/>
              <w:rPr>
                <w:szCs w:val="20"/>
              </w:rPr>
            </w:pPr>
            <w:r w:rsidRPr="00533927">
              <w:rPr>
                <w:color w:val="000000"/>
                <w:spacing w:val="79"/>
                <w:szCs w:val="20"/>
                <w:shd w:val="solid" w:color="000000" w:fill="000000"/>
                <w:fitText w:val="165" w:id="-1168291324"/>
                <w14:textFill>
                  <w14:solidFill>
                    <w14:srgbClr w14:val="000000">
                      <w14:alpha w14:val="100000"/>
                    </w14:srgbClr>
                  </w14:solidFill>
                </w14:textFill>
              </w:rPr>
              <w:t>|</w:t>
            </w:r>
            <w:r w:rsidRPr="00533927">
              <w:rPr>
                <w:color w:val="000000"/>
                <w:spacing w:val="1"/>
                <w:szCs w:val="20"/>
                <w:shd w:val="solid" w:color="000000" w:fill="000000"/>
                <w:fitText w:val="165" w:id="-1168291324"/>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601" w:type="pct"/>
            <w:vAlign w:val="center"/>
          </w:tcPr>
          <w:p w14:paraId="2D0EA7C0" w14:textId="65507FD5" w:rsidR="001212BA" w:rsidRPr="00E05465" w:rsidRDefault="00533927" w:rsidP="000257F6">
            <w:pPr>
              <w:pStyle w:val="TableText0"/>
              <w:jc w:val="center"/>
              <w:rPr>
                <w:szCs w:val="20"/>
              </w:rPr>
            </w:pPr>
            <w:r w:rsidRPr="00533927">
              <w:rPr>
                <w:rFonts w:hint="eastAsia"/>
                <w:color w:val="000000"/>
                <w:w w:val="27"/>
                <w:szCs w:val="20"/>
                <w:shd w:val="solid" w:color="000000" w:fill="000000"/>
                <w:fitText w:val="120" w:id="-1168291323"/>
                <w14:textFill>
                  <w14:solidFill>
                    <w14:srgbClr w14:val="000000">
                      <w14:alpha w14:val="100000"/>
                    </w14:srgbClr>
                  </w14:solidFill>
                </w14:textFill>
              </w:rPr>
              <w:t xml:space="preserve">　</w:t>
            </w:r>
            <w:r w:rsidRPr="00533927">
              <w:rPr>
                <w:color w:val="000000"/>
                <w:w w:val="27"/>
                <w:szCs w:val="20"/>
                <w:shd w:val="solid" w:color="000000" w:fill="000000"/>
                <w:fitText w:val="120" w:id="-1168291323"/>
                <w14:textFill>
                  <w14:solidFill>
                    <w14:srgbClr w14:val="000000">
                      <w14:alpha w14:val="100000"/>
                    </w14:srgbClr>
                  </w14:solidFill>
                </w14:textFill>
              </w:rPr>
              <w:t>|</w:t>
            </w:r>
            <w:r w:rsidRPr="00533927">
              <w:rPr>
                <w:rFonts w:hint="eastAsia"/>
                <w:color w:val="000000"/>
                <w:spacing w:val="1"/>
                <w:w w:val="27"/>
                <w:szCs w:val="20"/>
                <w:shd w:val="solid" w:color="000000" w:fill="000000"/>
                <w:fitText w:val="120" w:id="-1168291323"/>
                <w14:textFill>
                  <w14:solidFill>
                    <w14:srgbClr w14:val="000000">
                      <w14:alpha w14:val="100000"/>
                    </w14:srgbClr>
                  </w14:solidFill>
                </w14:textFill>
              </w:rPr>
              <w:t xml:space="preserve">　</w:t>
            </w:r>
            <w:r w:rsidR="00DF6BDA" w:rsidRPr="00E05465">
              <w:rPr>
                <w:szCs w:val="20"/>
              </w:rPr>
              <w:t xml:space="preserve"> </w:t>
            </w:r>
            <w:r w:rsidR="000257F6" w:rsidRPr="00E05465">
              <w:rPr>
                <w:szCs w:val="20"/>
                <w:vertAlign w:val="superscript"/>
              </w:rPr>
              <w:t>3</w:t>
            </w:r>
          </w:p>
        </w:tc>
      </w:tr>
      <w:tr w:rsidR="00E05465" w:rsidRPr="00E05465" w14:paraId="31303878" w14:textId="77777777" w:rsidTr="000257F6">
        <w:trPr>
          <w:trHeight w:val="170"/>
        </w:trPr>
        <w:tc>
          <w:tcPr>
            <w:tcW w:w="1647" w:type="pct"/>
          </w:tcPr>
          <w:p w14:paraId="31FB98C9" w14:textId="1E469086" w:rsidR="00B32EB9" w:rsidRPr="00E05465" w:rsidRDefault="00B32EB9" w:rsidP="000257F6">
            <w:pPr>
              <w:pStyle w:val="TableText0"/>
              <w:rPr>
                <w:szCs w:val="20"/>
                <w:vertAlign w:val="superscript"/>
              </w:rPr>
            </w:pPr>
            <w:r w:rsidRPr="00E05465">
              <w:rPr>
                <w:szCs w:val="20"/>
              </w:rPr>
              <w:t>Net cost to MBS</w:t>
            </w:r>
            <w:r w:rsidR="00D9448A" w:rsidRPr="00E05465">
              <w:rPr>
                <w:szCs w:val="20"/>
                <w:vertAlign w:val="superscript"/>
              </w:rPr>
              <w:t>k</w:t>
            </w:r>
            <w:r w:rsidR="000257F6" w:rsidRPr="00E05465">
              <w:rPr>
                <w:szCs w:val="20"/>
              </w:rPr>
              <w:t xml:space="preserve"> </w:t>
            </w:r>
            <w:r w:rsidRPr="00E05465">
              <w:rPr>
                <w:szCs w:val="20"/>
              </w:rPr>
              <w:t>(revised)</w:t>
            </w:r>
            <w:r w:rsidR="00D9448A" w:rsidRPr="00E05465">
              <w:rPr>
                <w:szCs w:val="20"/>
                <w:vertAlign w:val="superscript"/>
              </w:rPr>
              <w:t>l</w:t>
            </w:r>
          </w:p>
        </w:tc>
        <w:tc>
          <w:tcPr>
            <w:tcW w:w="551" w:type="pct"/>
            <w:vAlign w:val="center"/>
          </w:tcPr>
          <w:p w14:paraId="1C211716" w14:textId="3DFE1EA0" w:rsidR="00B32EB9" w:rsidRPr="00E05465" w:rsidRDefault="00533927" w:rsidP="000257F6">
            <w:pPr>
              <w:pStyle w:val="TableText0"/>
              <w:jc w:val="center"/>
              <w:rPr>
                <w:szCs w:val="20"/>
              </w:rPr>
            </w:pPr>
            <w:r w:rsidRPr="00533927">
              <w:rPr>
                <w:color w:val="000000"/>
                <w:spacing w:val="79"/>
                <w:szCs w:val="20"/>
                <w:shd w:val="solid" w:color="000000" w:fill="000000"/>
                <w:fitText w:val="165" w:id="-1168291322"/>
                <w14:textFill>
                  <w14:solidFill>
                    <w14:srgbClr w14:val="000000">
                      <w14:alpha w14:val="100000"/>
                    </w14:srgbClr>
                  </w14:solidFill>
                </w14:textFill>
              </w:rPr>
              <w:t>|</w:t>
            </w:r>
            <w:r w:rsidRPr="00533927">
              <w:rPr>
                <w:color w:val="000000"/>
                <w:spacing w:val="1"/>
                <w:szCs w:val="20"/>
                <w:shd w:val="solid" w:color="000000" w:fill="000000"/>
                <w:fitText w:val="165" w:id="-1168291322"/>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1" w:type="pct"/>
            <w:vAlign w:val="center"/>
          </w:tcPr>
          <w:p w14:paraId="3C7F6615" w14:textId="7AF53AC4" w:rsidR="00B32EB9" w:rsidRPr="00E05465" w:rsidRDefault="00533927" w:rsidP="000257F6">
            <w:pPr>
              <w:pStyle w:val="TableText0"/>
              <w:jc w:val="center"/>
              <w:rPr>
                <w:szCs w:val="20"/>
              </w:rPr>
            </w:pPr>
            <w:r w:rsidRPr="00533927">
              <w:rPr>
                <w:color w:val="000000"/>
                <w:spacing w:val="79"/>
                <w:szCs w:val="20"/>
                <w:shd w:val="solid" w:color="000000" w:fill="000000"/>
                <w:fitText w:val="165" w:id="-1168291321"/>
                <w14:textFill>
                  <w14:solidFill>
                    <w14:srgbClr w14:val="000000">
                      <w14:alpha w14:val="100000"/>
                    </w14:srgbClr>
                  </w14:solidFill>
                </w14:textFill>
              </w:rPr>
              <w:t>|</w:t>
            </w:r>
            <w:r w:rsidRPr="00533927">
              <w:rPr>
                <w:color w:val="000000"/>
                <w:spacing w:val="1"/>
                <w:szCs w:val="20"/>
                <w:shd w:val="solid" w:color="000000" w:fill="000000"/>
                <w:fitText w:val="165" w:id="-1168291321"/>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0" w:type="pct"/>
            <w:vAlign w:val="center"/>
          </w:tcPr>
          <w:p w14:paraId="7E7C0B37" w14:textId="0A44BE1F" w:rsidR="00B32EB9" w:rsidRPr="00E05465" w:rsidRDefault="00533927" w:rsidP="000257F6">
            <w:pPr>
              <w:pStyle w:val="TableText0"/>
              <w:jc w:val="center"/>
              <w:rPr>
                <w:szCs w:val="20"/>
              </w:rPr>
            </w:pPr>
            <w:r w:rsidRPr="00533927">
              <w:rPr>
                <w:color w:val="000000"/>
                <w:spacing w:val="79"/>
                <w:szCs w:val="20"/>
                <w:shd w:val="solid" w:color="000000" w:fill="000000"/>
                <w:fitText w:val="165" w:id="-1168291320"/>
                <w14:textFill>
                  <w14:solidFill>
                    <w14:srgbClr w14:val="000000">
                      <w14:alpha w14:val="100000"/>
                    </w14:srgbClr>
                  </w14:solidFill>
                </w14:textFill>
              </w:rPr>
              <w:t>|</w:t>
            </w:r>
            <w:r w:rsidRPr="00533927">
              <w:rPr>
                <w:color w:val="000000"/>
                <w:spacing w:val="1"/>
                <w:szCs w:val="20"/>
                <w:shd w:val="solid" w:color="000000" w:fill="000000"/>
                <w:fitText w:val="165" w:id="-1168291320"/>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0" w:type="pct"/>
            <w:vAlign w:val="center"/>
          </w:tcPr>
          <w:p w14:paraId="77C74A24" w14:textId="4C849014" w:rsidR="00B32EB9" w:rsidRPr="00E05465" w:rsidRDefault="00533927" w:rsidP="000257F6">
            <w:pPr>
              <w:pStyle w:val="TableText0"/>
              <w:jc w:val="center"/>
              <w:rPr>
                <w:szCs w:val="20"/>
              </w:rPr>
            </w:pPr>
            <w:r w:rsidRPr="00533927">
              <w:rPr>
                <w:color w:val="000000"/>
                <w:spacing w:val="79"/>
                <w:szCs w:val="20"/>
                <w:shd w:val="solid" w:color="000000" w:fill="000000"/>
                <w:fitText w:val="165" w:id="-1168291319"/>
                <w14:textFill>
                  <w14:solidFill>
                    <w14:srgbClr w14:val="000000">
                      <w14:alpha w14:val="100000"/>
                    </w14:srgbClr>
                  </w14:solidFill>
                </w14:textFill>
              </w:rPr>
              <w:t>|</w:t>
            </w:r>
            <w:r w:rsidRPr="00533927">
              <w:rPr>
                <w:color w:val="000000"/>
                <w:spacing w:val="1"/>
                <w:szCs w:val="20"/>
                <w:shd w:val="solid" w:color="000000" w:fill="000000"/>
                <w:fitText w:val="165" w:id="-1168291319"/>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0" w:type="pct"/>
            <w:vAlign w:val="center"/>
          </w:tcPr>
          <w:p w14:paraId="33744F60" w14:textId="21D95481" w:rsidR="00B32EB9" w:rsidRPr="00E05465" w:rsidRDefault="00533927" w:rsidP="000257F6">
            <w:pPr>
              <w:pStyle w:val="TableText0"/>
              <w:jc w:val="center"/>
              <w:rPr>
                <w:szCs w:val="20"/>
              </w:rPr>
            </w:pPr>
            <w:r w:rsidRPr="00533927">
              <w:rPr>
                <w:color w:val="000000"/>
                <w:spacing w:val="79"/>
                <w:szCs w:val="20"/>
                <w:shd w:val="solid" w:color="000000" w:fill="000000"/>
                <w:fitText w:val="165" w:id="-1168291318"/>
                <w14:textFill>
                  <w14:solidFill>
                    <w14:srgbClr w14:val="000000">
                      <w14:alpha w14:val="100000"/>
                    </w14:srgbClr>
                  </w14:solidFill>
                </w14:textFill>
              </w:rPr>
              <w:t>|</w:t>
            </w:r>
            <w:r w:rsidRPr="00533927">
              <w:rPr>
                <w:color w:val="000000"/>
                <w:spacing w:val="1"/>
                <w:szCs w:val="20"/>
                <w:shd w:val="solid" w:color="000000" w:fill="000000"/>
                <w:fitText w:val="165" w:id="-1168291318"/>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601" w:type="pct"/>
            <w:vAlign w:val="center"/>
          </w:tcPr>
          <w:p w14:paraId="1015D8F0" w14:textId="2608241A" w:rsidR="00B32EB9" w:rsidRPr="00E05465" w:rsidRDefault="00533927" w:rsidP="000257F6">
            <w:pPr>
              <w:pStyle w:val="TableText0"/>
              <w:jc w:val="center"/>
              <w:rPr>
                <w:szCs w:val="20"/>
              </w:rPr>
            </w:pPr>
            <w:r w:rsidRPr="00533927">
              <w:rPr>
                <w:rFonts w:hint="eastAsia"/>
                <w:color w:val="000000"/>
                <w:w w:val="27"/>
                <w:szCs w:val="20"/>
                <w:shd w:val="solid" w:color="000000" w:fill="000000"/>
                <w:fitText w:val="120" w:id="-1168291317"/>
                <w14:textFill>
                  <w14:solidFill>
                    <w14:srgbClr w14:val="000000">
                      <w14:alpha w14:val="100000"/>
                    </w14:srgbClr>
                  </w14:solidFill>
                </w14:textFill>
              </w:rPr>
              <w:t xml:space="preserve">　</w:t>
            </w:r>
            <w:r w:rsidRPr="00533927">
              <w:rPr>
                <w:color w:val="000000"/>
                <w:w w:val="27"/>
                <w:szCs w:val="20"/>
                <w:shd w:val="solid" w:color="000000" w:fill="000000"/>
                <w:fitText w:val="120" w:id="-1168291317"/>
                <w14:textFill>
                  <w14:solidFill>
                    <w14:srgbClr w14:val="000000">
                      <w14:alpha w14:val="100000"/>
                    </w14:srgbClr>
                  </w14:solidFill>
                </w14:textFill>
              </w:rPr>
              <w:t>|</w:t>
            </w:r>
            <w:r w:rsidRPr="00533927">
              <w:rPr>
                <w:rFonts w:hint="eastAsia"/>
                <w:color w:val="000000"/>
                <w:spacing w:val="1"/>
                <w:w w:val="27"/>
                <w:szCs w:val="20"/>
                <w:shd w:val="solid" w:color="000000" w:fill="000000"/>
                <w:fitText w:val="120" w:id="-1168291317"/>
                <w14:textFill>
                  <w14:solidFill>
                    <w14:srgbClr w14:val="000000">
                      <w14:alpha w14:val="100000"/>
                    </w14:srgbClr>
                  </w14:solidFill>
                </w14:textFill>
              </w:rPr>
              <w:t xml:space="preserve">　</w:t>
            </w:r>
            <w:r w:rsidR="00DF6BDA" w:rsidRPr="00E05465">
              <w:rPr>
                <w:szCs w:val="20"/>
              </w:rPr>
              <w:t xml:space="preserve"> </w:t>
            </w:r>
            <w:r w:rsidR="000257F6" w:rsidRPr="00E05465">
              <w:rPr>
                <w:szCs w:val="20"/>
                <w:vertAlign w:val="superscript"/>
              </w:rPr>
              <w:t>3</w:t>
            </w:r>
          </w:p>
        </w:tc>
      </w:tr>
      <w:tr w:rsidR="00E05465" w:rsidRPr="00E05465" w14:paraId="4F433895" w14:textId="77777777" w:rsidTr="000257F6">
        <w:trPr>
          <w:trHeight w:val="170"/>
        </w:trPr>
        <w:tc>
          <w:tcPr>
            <w:tcW w:w="1647" w:type="pct"/>
          </w:tcPr>
          <w:p w14:paraId="21F31FCC" w14:textId="14231BFB" w:rsidR="00191EAD" w:rsidRPr="00E05465" w:rsidRDefault="00191EAD" w:rsidP="000257F6">
            <w:pPr>
              <w:pStyle w:val="TableText0"/>
              <w:rPr>
                <w:szCs w:val="20"/>
                <w:highlight w:val="darkGray"/>
              </w:rPr>
            </w:pPr>
            <w:r w:rsidRPr="00E05465">
              <w:rPr>
                <w:szCs w:val="20"/>
              </w:rPr>
              <w:t>Net cost to PBS/RPBS/MBS</w:t>
            </w:r>
            <w:r w:rsidR="000257F6" w:rsidRPr="00E05465">
              <w:rPr>
                <w:szCs w:val="20"/>
              </w:rPr>
              <w:t xml:space="preserve"> </w:t>
            </w:r>
            <w:r w:rsidRPr="00E05465">
              <w:rPr>
                <w:szCs w:val="20"/>
              </w:rPr>
              <w:t>(revised)</w:t>
            </w:r>
          </w:p>
        </w:tc>
        <w:tc>
          <w:tcPr>
            <w:tcW w:w="551" w:type="pct"/>
            <w:vAlign w:val="center"/>
          </w:tcPr>
          <w:p w14:paraId="0717A48A" w14:textId="6D69345D" w:rsidR="00191EAD" w:rsidRPr="00E05465" w:rsidRDefault="00533927" w:rsidP="000257F6">
            <w:pPr>
              <w:pStyle w:val="TableText0"/>
              <w:jc w:val="center"/>
              <w:rPr>
                <w:szCs w:val="20"/>
                <w:highlight w:val="darkGray"/>
              </w:rPr>
            </w:pPr>
            <w:r w:rsidRPr="00533927">
              <w:rPr>
                <w:color w:val="000000"/>
                <w:spacing w:val="79"/>
                <w:szCs w:val="20"/>
                <w:shd w:val="solid" w:color="000000" w:fill="000000"/>
                <w:fitText w:val="165" w:id="-1168291316"/>
                <w14:textFill>
                  <w14:solidFill>
                    <w14:srgbClr w14:val="000000">
                      <w14:alpha w14:val="100000"/>
                    </w14:srgbClr>
                  </w14:solidFill>
                </w14:textFill>
              </w:rPr>
              <w:t>|</w:t>
            </w:r>
            <w:r w:rsidRPr="00533927">
              <w:rPr>
                <w:color w:val="000000"/>
                <w:spacing w:val="1"/>
                <w:szCs w:val="20"/>
                <w:shd w:val="solid" w:color="000000" w:fill="000000"/>
                <w:fitText w:val="165" w:id="-1168291316"/>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1" w:type="pct"/>
            <w:vAlign w:val="center"/>
          </w:tcPr>
          <w:p w14:paraId="310FE3ED" w14:textId="16626DD1" w:rsidR="00191EAD" w:rsidRPr="00E05465" w:rsidRDefault="00533927" w:rsidP="000257F6">
            <w:pPr>
              <w:pStyle w:val="TableText0"/>
              <w:jc w:val="center"/>
              <w:rPr>
                <w:szCs w:val="20"/>
              </w:rPr>
            </w:pPr>
            <w:r w:rsidRPr="00533927">
              <w:rPr>
                <w:color w:val="000000"/>
                <w:spacing w:val="79"/>
                <w:szCs w:val="20"/>
                <w:shd w:val="solid" w:color="000000" w:fill="000000"/>
                <w:fitText w:val="165" w:id="-1168291315"/>
                <w14:textFill>
                  <w14:solidFill>
                    <w14:srgbClr w14:val="000000">
                      <w14:alpha w14:val="100000"/>
                    </w14:srgbClr>
                  </w14:solidFill>
                </w14:textFill>
              </w:rPr>
              <w:t>|</w:t>
            </w:r>
            <w:r w:rsidRPr="00533927">
              <w:rPr>
                <w:color w:val="000000"/>
                <w:spacing w:val="1"/>
                <w:szCs w:val="20"/>
                <w:shd w:val="solid" w:color="000000" w:fill="000000"/>
                <w:fitText w:val="165" w:id="-1168291315"/>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0" w:type="pct"/>
            <w:vAlign w:val="center"/>
          </w:tcPr>
          <w:p w14:paraId="49A7D1DD" w14:textId="69F2A686" w:rsidR="00191EAD" w:rsidRPr="00E05465" w:rsidRDefault="00533927" w:rsidP="000257F6">
            <w:pPr>
              <w:pStyle w:val="TableText0"/>
              <w:jc w:val="center"/>
              <w:rPr>
                <w:szCs w:val="20"/>
              </w:rPr>
            </w:pPr>
            <w:r w:rsidRPr="00533927">
              <w:rPr>
                <w:color w:val="000000"/>
                <w:spacing w:val="79"/>
                <w:szCs w:val="20"/>
                <w:shd w:val="solid" w:color="000000" w:fill="000000"/>
                <w:fitText w:val="165" w:id="-1168291314"/>
                <w14:textFill>
                  <w14:solidFill>
                    <w14:srgbClr w14:val="000000">
                      <w14:alpha w14:val="100000"/>
                    </w14:srgbClr>
                  </w14:solidFill>
                </w14:textFill>
              </w:rPr>
              <w:t>|</w:t>
            </w:r>
            <w:r w:rsidRPr="00533927">
              <w:rPr>
                <w:color w:val="000000"/>
                <w:spacing w:val="1"/>
                <w:szCs w:val="20"/>
                <w:shd w:val="solid" w:color="000000" w:fill="000000"/>
                <w:fitText w:val="165" w:id="-1168291314"/>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0" w:type="pct"/>
            <w:vAlign w:val="center"/>
          </w:tcPr>
          <w:p w14:paraId="462AF229" w14:textId="4874043D" w:rsidR="00191EAD" w:rsidRPr="00E05465" w:rsidRDefault="00533927" w:rsidP="000257F6">
            <w:pPr>
              <w:pStyle w:val="TableText0"/>
              <w:jc w:val="center"/>
              <w:rPr>
                <w:szCs w:val="20"/>
              </w:rPr>
            </w:pPr>
            <w:r w:rsidRPr="000A313F">
              <w:rPr>
                <w:color w:val="000000"/>
                <w:spacing w:val="79"/>
                <w:szCs w:val="20"/>
                <w:shd w:val="solid" w:color="000000" w:fill="000000"/>
                <w:fitText w:val="165" w:id="-1168291313"/>
                <w14:textFill>
                  <w14:solidFill>
                    <w14:srgbClr w14:val="000000">
                      <w14:alpha w14:val="100000"/>
                    </w14:srgbClr>
                  </w14:solidFill>
                </w14:textFill>
              </w:rPr>
              <w:t>|</w:t>
            </w:r>
            <w:r w:rsidRPr="000A313F">
              <w:rPr>
                <w:color w:val="000000"/>
                <w:szCs w:val="20"/>
                <w:shd w:val="solid" w:color="000000" w:fill="000000"/>
                <w:fitText w:val="165" w:id="-1168291313"/>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550" w:type="pct"/>
            <w:vAlign w:val="center"/>
          </w:tcPr>
          <w:p w14:paraId="7898F7CA" w14:textId="7CEF0459" w:rsidR="00191EAD" w:rsidRPr="00E05465" w:rsidRDefault="00533927" w:rsidP="000257F6">
            <w:pPr>
              <w:pStyle w:val="TableText0"/>
              <w:jc w:val="center"/>
              <w:rPr>
                <w:szCs w:val="20"/>
              </w:rPr>
            </w:pPr>
            <w:r w:rsidRPr="00533927">
              <w:rPr>
                <w:color w:val="000000"/>
                <w:spacing w:val="79"/>
                <w:szCs w:val="20"/>
                <w:shd w:val="solid" w:color="000000" w:fill="000000"/>
                <w:fitText w:val="165" w:id="-1168291312"/>
                <w14:textFill>
                  <w14:solidFill>
                    <w14:srgbClr w14:val="000000">
                      <w14:alpha w14:val="100000"/>
                    </w14:srgbClr>
                  </w14:solidFill>
                </w14:textFill>
              </w:rPr>
              <w:t>|</w:t>
            </w:r>
            <w:r w:rsidRPr="00533927">
              <w:rPr>
                <w:color w:val="000000"/>
                <w:spacing w:val="1"/>
                <w:szCs w:val="20"/>
                <w:shd w:val="solid" w:color="000000" w:fill="000000"/>
                <w:fitText w:val="165" w:id="-1168291312"/>
                <w14:textFill>
                  <w14:solidFill>
                    <w14:srgbClr w14:val="000000">
                      <w14:alpha w14:val="100000"/>
                    </w14:srgbClr>
                  </w14:solidFill>
                </w14:textFill>
              </w:rPr>
              <w:t>|</w:t>
            </w:r>
            <w:r w:rsidR="00DF6BDA" w:rsidRPr="00E05465">
              <w:rPr>
                <w:szCs w:val="20"/>
              </w:rPr>
              <w:t xml:space="preserve"> </w:t>
            </w:r>
            <w:r w:rsidR="000257F6" w:rsidRPr="00E05465">
              <w:rPr>
                <w:szCs w:val="20"/>
                <w:vertAlign w:val="superscript"/>
              </w:rPr>
              <w:t>3</w:t>
            </w:r>
          </w:p>
        </w:tc>
        <w:tc>
          <w:tcPr>
            <w:tcW w:w="601" w:type="pct"/>
            <w:vAlign w:val="center"/>
          </w:tcPr>
          <w:p w14:paraId="1F670BFA" w14:textId="78D82362" w:rsidR="00191EAD" w:rsidRPr="00E05465" w:rsidRDefault="00533927" w:rsidP="000257F6">
            <w:pPr>
              <w:pStyle w:val="TableText0"/>
              <w:jc w:val="center"/>
              <w:rPr>
                <w:szCs w:val="20"/>
              </w:rPr>
            </w:pPr>
            <w:r w:rsidRPr="000A313F">
              <w:rPr>
                <w:rFonts w:hint="eastAsia"/>
                <w:color w:val="000000"/>
                <w:w w:val="27"/>
                <w:szCs w:val="20"/>
                <w:shd w:val="solid" w:color="000000" w:fill="000000"/>
                <w:fitText w:val="120" w:id="-1168291328"/>
                <w14:textFill>
                  <w14:solidFill>
                    <w14:srgbClr w14:val="000000">
                      <w14:alpha w14:val="100000"/>
                    </w14:srgbClr>
                  </w14:solidFill>
                </w14:textFill>
              </w:rPr>
              <w:t xml:space="preserve">　</w:t>
            </w:r>
            <w:r w:rsidRPr="000A313F">
              <w:rPr>
                <w:color w:val="000000"/>
                <w:w w:val="27"/>
                <w:szCs w:val="20"/>
                <w:shd w:val="solid" w:color="000000" w:fill="000000"/>
                <w:fitText w:val="120" w:id="-1168291328"/>
                <w14:textFill>
                  <w14:solidFill>
                    <w14:srgbClr w14:val="000000">
                      <w14:alpha w14:val="100000"/>
                    </w14:srgbClr>
                  </w14:solidFill>
                </w14:textFill>
              </w:rPr>
              <w:t>|</w:t>
            </w:r>
            <w:r w:rsidRPr="000A313F">
              <w:rPr>
                <w:rFonts w:hint="eastAsia"/>
                <w:color w:val="000000"/>
                <w:spacing w:val="2"/>
                <w:w w:val="27"/>
                <w:szCs w:val="20"/>
                <w:shd w:val="solid" w:color="000000" w:fill="000000"/>
                <w:fitText w:val="120" w:id="-1168291328"/>
                <w14:textFill>
                  <w14:solidFill>
                    <w14:srgbClr w14:val="000000">
                      <w14:alpha w14:val="100000"/>
                    </w14:srgbClr>
                  </w14:solidFill>
                </w14:textFill>
              </w:rPr>
              <w:t xml:space="preserve">　</w:t>
            </w:r>
            <w:r w:rsidR="00DF6BDA" w:rsidRPr="00E05465">
              <w:rPr>
                <w:szCs w:val="20"/>
              </w:rPr>
              <w:t xml:space="preserve"> </w:t>
            </w:r>
            <w:r w:rsidR="000257F6" w:rsidRPr="00E05465">
              <w:rPr>
                <w:szCs w:val="20"/>
                <w:vertAlign w:val="superscript"/>
              </w:rPr>
              <w:t>3</w:t>
            </w:r>
          </w:p>
        </w:tc>
      </w:tr>
    </w:tbl>
    <w:p w14:paraId="02392B63" w14:textId="77777777" w:rsidR="001212BA" w:rsidRPr="00E05465" w:rsidRDefault="001212BA" w:rsidP="000257F6">
      <w:pPr>
        <w:pStyle w:val="TableFooter"/>
        <w:keepNext/>
      </w:pPr>
      <w:r w:rsidRPr="00E05465">
        <w:t>Source: Constructed during the evaluation from the “Section 4 BIM workbook” attachment provided with the submission.</w:t>
      </w:r>
    </w:p>
    <w:p w14:paraId="66422BBC" w14:textId="77777777" w:rsidR="001212BA" w:rsidRPr="00E05465" w:rsidRDefault="001212BA" w:rsidP="000257F6">
      <w:pPr>
        <w:pStyle w:val="TableFooter"/>
        <w:keepNext/>
      </w:pPr>
      <w:r w:rsidRPr="00E05465">
        <w:t>MBS = Medicare Benefits Schedule; PBS = Pharmaceutical Benefits Scheme; RPBS = Repatriation Pharmaceutical Benefits Scheme; Yr = year.</w:t>
      </w:r>
    </w:p>
    <w:p w14:paraId="1394C30A" w14:textId="77777777" w:rsidR="001212BA" w:rsidRPr="00E05465" w:rsidRDefault="001212BA" w:rsidP="000257F6">
      <w:pPr>
        <w:pStyle w:val="TableFooter"/>
        <w:keepNext/>
      </w:pPr>
      <w:r w:rsidRPr="00E05465">
        <w:rPr>
          <w:vertAlign w:val="superscript"/>
        </w:rPr>
        <w:t>a</w:t>
      </w:r>
      <w:r w:rsidRPr="00E05465">
        <w:t xml:space="preserve"> DUSC report commissioned by the sponsor indicates that there are currently two paediatric patients treated with eculizumab in Australia.</w:t>
      </w:r>
    </w:p>
    <w:p w14:paraId="734B1102" w14:textId="0B03C0BD" w:rsidR="000F33FE" w:rsidRPr="00E05465" w:rsidRDefault="001212BA" w:rsidP="000257F6">
      <w:pPr>
        <w:pStyle w:val="TableFooter"/>
        <w:keepNext/>
      </w:pPr>
      <w:r w:rsidRPr="00E05465">
        <w:rPr>
          <w:vertAlign w:val="superscript"/>
        </w:rPr>
        <w:t xml:space="preserve">b </w:t>
      </w:r>
      <w:r w:rsidR="000F33FE" w:rsidRPr="00E05465">
        <w:t xml:space="preserve">Cost </w:t>
      </w:r>
      <w:r w:rsidRPr="00E05465">
        <w:t>per script based on average loading dose of 2,350</w:t>
      </w:r>
      <w:r w:rsidR="00DF6BDA" w:rsidRPr="00E05465">
        <w:t> </w:t>
      </w:r>
      <w:r w:rsidRPr="00E05465">
        <w:t>mg (derived in the cost minimisation analysis), equivalent to 7.83 × 300</w:t>
      </w:r>
      <w:r w:rsidR="00DF6BDA" w:rsidRPr="00E05465">
        <w:t> </w:t>
      </w:r>
      <w:r w:rsidRPr="00E05465">
        <w:t>mg vials at an AEMP of $</w:t>
      </w:r>
      <w:r w:rsidR="00533927" w:rsidRPr="006B77CF">
        <w:rPr>
          <w:color w:val="000000"/>
          <w:spacing w:val="40"/>
          <w:shd w:val="solid" w:color="000000" w:fill="000000"/>
          <w:fitText w:val="280" w:id="-1168291327"/>
          <w14:textFill>
            <w14:solidFill>
              <w14:srgbClr w14:val="000000">
                <w14:alpha w14:val="100000"/>
              </w14:srgbClr>
            </w14:solidFill>
          </w14:textFill>
        </w:rPr>
        <w:t xml:space="preserve">|  </w:t>
      </w:r>
      <w:r w:rsidR="00533927" w:rsidRPr="006B77CF">
        <w:rPr>
          <w:color w:val="000000"/>
          <w:spacing w:val="2"/>
          <w:shd w:val="solid" w:color="000000" w:fill="000000"/>
          <w:fitText w:val="280" w:id="-1168291327"/>
          <w14:textFill>
            <w14:solidFill>
              <w14:srgbClr w14:val="000000">
                <w14:alpha w14:val="100000"/>
              </w14:srgbClr>
            </w14:solidFill>
          </w14:textFill>
        </w:rPr>
        <w:t>|</w:t>
      </w:r>
      <w:r w:rsidRPr="00E05465">
        <w:t xml:space="preserve"> per vial. </w:t>
      </w:r>
    </w:p>
    <w:p w14:paraId="4D0B04CA" w14:textId="045DE42B" w:rsidR="001212BA" w:rsidRPr="00E05465" w:rsidRDefault="000F33FE" w:rsidP="000257F6">
      <w:pPr>
        <w:pStyle w:val="TableFooter"/>
        <w:keepNext/>
      </w:pPr>
      <w:r w:rsidRPr="00E05465">
        <w:rPr>
          <w:vertAlign w:val="superscript"/>
        </w:rPr>
        <w:t xml:space="preserve">c </w:t>
      </w:r>
      <w:r w:rsidR="001212BA" w:rsidRPr="00E05465">
        <w:t>Weighted for 92% public hospital use (no additional fees) and 8% private hospital use ($40 HSD pharmacy mark-up and $7.78 ready prepared fee).</w:t>
      </w:r>
    </w:p>
    <w:p w14:paraId="263EE68F" w14:textId="2AAB7E0A" w:rsidR="00C93D6F" w:rsidRPr="00E05465" w:rsidRDefault="000F33FE" w:rsidP="000257F6">
      <w:pPr>
        <w:pStyle w:val="TableFooter"/>
        <w:keepNext/>
      </w:pPr>
      <w:r w:rsidRPr="00E05465">
        <w:rPr>
          <w:vertAlign w:val="superscript"/>
        </w:rPr>
        <w:t>d</w:t>
      </w:r>
      <w:r w:rsidR="00093906" w:rsidRPr="00E05465">
        <w:t xml:space="preserve"> </w:t>
      </w:r>
      <w:r w:rsidR="00C93D6F" w:rsidRPr="00E05465">
        <w:t xml:space="preserve">The submission had erroneously estimated 12.5 Year 1 ravulizumab maintenance scripts per patient. </w:t>
      </w:r>
    </w:p>
    <w:p w14:paraId="18648340" w14:textId="7DE7D53B" w:rsidR="00093906" w:rsidRPr="00E05465" w:rsidRDefault="00C93D6F" w:rsidP="000257F6">
      <w:pPr>
        <w:pStyle w:val="TableFooter"/>
        <w:keepNext/>
      </w:pPr>
      <w:r w:rsidRPr="00E05465">
        <w:rPr>
          <w:vertAlign w:val="superscript"/>
        </w:rPr>
        <w:t xml:space="preserve">e </w:t>
      </w:r>
      <w:r w:rsidRPr="00E05465">
        <w:t>Ravulizumab</w:t>
      </w:r>
      <w:r w:rsidR="00093906" w:rsidRPr="00E05465">
        <w:t xml:space="preserve"> script every 8 weeks, starting 2 weeks after the loading dose as per the PI. </w:t>
      </w:r>
      <w:r w:rsidR="001212BA" w:rsidRPr="00E05465">
        <w:rPr>
          <w:vertAlign w:val="superscript"/>
        </w:rPr>
        <w:t xml:space="preserve"> </w:t>
      </w:r>
    </w:p>
    <w:p w14:paraId="7B52CA9E" w14:textId="5BC66002" w:rsidR="001212BA" w:rsidRPr="00E05465" w:rsidRDefault="00C93D6F" w:rsidP="000257F6">
      <w:pPr>
        <w:pStyle w:val="TableFooter"/>
        <w:keepNext/>
      </w:pPr>
      <w:r w:rsidRPr="00E05465">
        <w:rPr>
          <w:vertAlign w:val="superscript"/>
        </w:rPr>
        <w:t>f</w:t>
      </w:r>
      <w:r w:rsidR="001212BA" w:rsidRPr="00E05465">
        <w:rPr>
          <w:vertAlign w:val="superscript"/>
        </w:rPr>
        <w:t xml:space="preserve"> </w:t>
      </w:r>
      <w:r w:rsidR="001212BA" w:rsidRPr="00E05465">
        <w:t>Weighted (for public/private use) cost per script based on 5 × 300</w:t>
      </w:r>
      <w:r w:rsidR="00DF6BDA" w:rsidRPr="00E05465">
        <w:t> </w:t>
      </w:r>
      <w:r w:rsidR="001212BA" w:rsidRPr="00E05465">
        <w:t>mg vials at an AEMP of $</w:t>
      </w:r>
      <w:r w:rsidR="00533927" w:rsidRPr="000A313F">
        <w:rPr>
          <w:color w:val="000000"/>
          <w:spacing w:val="40"/>
          <w:shd w:val="solid" w:color="000000" w:fill="000000"/>
          <w:fitText w:val="280" w:id="-1168291326"/>
          <w14:textFill>
            <w14:solidFill>
              <w14:srgbClr w14:val="000000">
                <w14:alpha w14:val="100000"/>
              </w14:srgbClr>
            </w14:solidFill>
          </w14:textFill>
        </w:rPr>
        <w:t xml:space="preserve">|  </w:t>
      </w:r>
      <w:r w:rsidR="00533927" w:rsidRPr="000A313F">
        <w:rPr>
          <w:color w:val="000000"/>
          <w:spacing w:val="2"/>
          <w:shd w:val="solid" w:color="000000" w:fill="000000"/>
          <w:fitText w:val="280" w:id="-1168291326"/>
          <w14:textFill>
            <w14:solidFill>
              <w14:srgbClr w14:val="000000">
                <w14:alpha w14:val="100000"/>
              </w14:srgbClr>
            </w14:solidFill>
          </w14:textFill>
        </w:rPr>
        <w:t>|</w:t>
      </w:r>
      <w:r w:rsidR="001212BA" w:rsidRPr="00E05465">
        <w:t xml:space="preserve"> per vial.</w:t>
      </w:r>
    </w:p>
    <w:p w14:paraId="32340FC0" w14:textId="66A68D52" w:rsidR="001212BA" w:rsidRPr="00E05465" w:rsidRDefault="00C93D6F" w:rsidP="000257F6">
      <w:pPr>
        <w:pStyle w:val="TableFooter"/>
        <w:keepNext/>
      </w:pPr>
      <w:r w:rsidRPr="00E05465">
        <w:rPr>
          <w:vertAlign w:val="superscript"/>
        </w:rPr>
        <w:t>g</w:t>
      </w:r>
      <w:r w:rsidR="001212BA" w:rsidRPr="00E05465">
        <w:rPr>
          <w:vertAlign w:val="superscript"/>
        </w:rPr>
        <w:t xml:space="preserve"> </w:t>
      </w:r>
      <w:r w:rsidR="001212BA" w:rsidRPr="00E05465">
        <w:t>Weighted (for public/private use) cost per script based on average dose of 3,100</w:t>
      </w:r>
      <w:r w:rsidR="00DF6BDA" w:rsidRPr="00E05465">
        <w:t> </w:t>
      </w:r>
      <w:r w:rsidR="001212BA" w:rsidRPr="00E05465">
        <w:t>mg (derived in the cost minimisation analysis), equivalent to 10.33 × 300</w:t>
      </w:r>
      <w:r w:rsidR="00DF6BDA" w:rsidRPr="00E05465">
        <w:t> </w:t>
      </w:r>
      <w:r w:rsidR="001212BA" w:rsidRPr="00E05465">
        <w:t>mg vials at an AEMP of $</w:t>
      </w:r>
      <w:r w:rsidR="00533927" w:rsidRPr="000A313F">
        <w:rPr>
          <w:color w:val="000000"/>
          <w:spacing w:val="40"/>
          <w:shd w:val="solid" w:color="000000" w:fill="000000"/>
          <w:fitText w:val="280" w:id="-1168291325"/>
          <w14:textFill>
            <w14:solidFill>
              <w14:srgbClr w14:val="000000">
                <w14:alpha w14:val="100000"/>
              </w14:srgbClr>
            </w14:solidFill>
          </w14:textFill>
        </w:rPr>
        <w:t xml:space="preserve">|  </w:t>
      </w:r>
      <w:r w:rsidR="00533927" w:rsidRPr="000A313F">
        <w:rPr>
          <w:color w:val="000000"/>
          <w:spacing w:val="2"/>
          <w:shd w:val="solid" w:color="000000" w:fill="000000"/>
          <w:fitText w:val="280" w:id="-1168291325"/>
          <w14:textFill>
            <w14:solidFill>
              <w14:srgbClr w14:val="000000">
                <w14:alpha w14:val="100000"/>
              </w14:srgbClr>
            </w14:solidFill>
          </w14:textFill>
        </w:rPr>
        <w:t>|</w:t>
      </w:r>
      <w:r w:rsidR="001212BA" w:rsidRPr="00E05465">
        <w:t xml:space="preserve"> per vial.</w:t>
      </w:r>
    </w:p>
    <w:p w14:paraId="1B2078D1" w14:textId="1AA60BC4" w:rsidR="00C93D6F" w:rsidRPr="00E05465" w:rsidRDefault="00C93D6F" w:rsidP="000257F6">
      <w:pPr>
        <w:pStyle w:val="TableFooter"/>
        <w:keepNext/>
      </w:pPr>
      <w:r w:rsidRPr="00E05465">
        <w:rPr>
          <w:vertAlign w:val="superscript"/>
        </w:rPr>
        <w:t>h</w:t>
      </w:r>
      <w:r w:rsidRPr="00E05465">
        <w:t xml:space="preserve"> </w:t>
      </w:r>
      <w:r w:rsidR="00093906" w:rsidRPr="00E05465">
        <w:t>Patient copayment of $25.15 per script, weighted by eculizumab PBS utilisation data by beneficiary, (52% $42.50 (general), 45% $6.80 (concession) and 3% $0.00 (concessional free)</w:t>
      </w:r>
    </w:p>
    <w:p w14:paraId="32AF3271" w14:textId="27CAD79E" w:rsidR="001212BA" w:rsidRPr="00E05465" w:rsidRDefault="00C93D6F" w:rsidP="000257F6">
      <w:pPr>
        <w:pStyle w:val="TableFooter"/>
        <w:keepNext/>
      </w:pPr>
      <w:r w:rsidRPr="00E05465">
        <w:rPr>
          <w:vertAlign w:val="superscript"/>
        </w:rPr>
        <w:t>i</w:t>
      </w:r>
      <w:r w:rsidR="001212BA" w:rsidRPr="00E05465">
        <w:rPr>
          <w:vertAlign w:val="superscript"/>
        </w:rPr>
        <w:t xml:space="preserve"> </w:t>
      </w:r>
      <w:r w:rsidR="00F17AA6" w:rsidRPr="00E05465">
        <w:t xml:space="preserve">One eculizumab script every 4 weeks </w:t>
      </w:r>
      <w:r w:rsidR="00DF194E" w:rsidRPr="00E05465">
        <w:t>(as each script is sufficient for 2 administrations)</w:t>
      </w:r>
      <w:r w:rsidR="00F17AA6" w:rsidRPr="00E05465">
        <w:t>.</w:t>
      </w:r>
    </w:p>
    <w:p w14:paraId="062EE3E8" w14:textId="08B318B6" w:rsidR="001212BA" w:rsidRPr="00E05465" w:rsidRDefault="00D9448A" w:rsidP="000257F6">
      <w:pPr>
        <w:pStyle w:val="TableFooter"/>
        <w:keepNext/>
      </w:pPr>
      <w:r w:rsidRPr="00E05465">
        <w:rPr>
          <w:vertAlign w:val="superscript"/>
        </w:rPr>
        <w:t>j</w:t>
      </w:r>
      <w:r w:rsidR="001212BA" w:rsidRPr="00E05465">
        <w:t xml:space="preserve"> </w:t>
      </w:r>
      <w:r w:rsidR="00F17AA6" w:rsidRPr="00E05465">
        <w:t>Weighted (for public/private use) cost per script based on 2 average doses of 900</w:t>
      </w:r>
      <w:r w:rsidR="00DF6BDA" w:rsidRPr="00E05465">
        <w:t> </w:t>
      </w:r>
      <w:r w:rsidR="00F17AA6" w:rsidRPr="00E05465">
        <w:t>mg each (derived in the cost-minimisation analysis), equivalent to 6.00 × 300</w:t>
      </w:r>
      <w:r w:rsidR="00DF6BDA" w:rsidRPr="00E05465">
        <w:t> </w:t>
      </w:r>
      <w:r w:rsidR="00F17AA6" w:rsidRPr="00E05465">
        <w:t>mg vials at an AEMP of $</w:t>
      </w:r>
      <w:r w:rsidR="00533927" w:rsidRPr="006B77CF">
        <w:rPr>
          <w:color w:val="000000"/>
          <w:spacing w:val="40"/>
          <w:shd w:val="solid" w:color="000000" w:fill="000000"/>
          <w:fitText w:val="280" w:id="-1168291324"/>
          <w14:textFill>
            <w14:solidFill>
              <w14:srgbClr w14:val="000000">
                <w14:alpha w14:val="100000"/>
              </w14:srgbClr>
            </w14:solidFill>
          </w14:textFill>
        </w:rPr>
        <w:t xml:space="preserve">|  </w:t>
      </w:r>
      <w:r w:rsidR="00533927" w:rsidRPr="006B77CF">
        <w:rPr>
          <w:color w:val="000000"/>
          <w:spacing w:val="2"/>
          <w:shd w:val="solid" w:color="000000" w:fill="000000"/>
          <w:fitText w:val="280" w:id="-1168291324"/>
          <w14:textFill>
            <w14:solidFill>
              <w14:srgbClr w14:val="000000">
                <w14:alpha w14:val="100000"/>
              </w14:srgbClr>
            </w14:solidFill>
          </w14:textFill>
        </w:rPr>
        <w:t>|</w:t>
      </w:r>
      <w:r w:rsidR="00F17AA6" w:rsidRPr="00E05465">
        <w:t xml:space="preserve"> per vial.</w:t>
      </w:r>
    </w:p>
    <w:p w14:paraId="49D8B1FD" w14:textId="793A17BD" w:rsidR="000F33FE" w:rsidRPr="00E05465" w:rsidRDefault="00D9448A" w:rsidP="000257F6">
      <w:pPr>
        <w:pStyle w:val="TableFooter"/>
        <w:keepNext/>
        <w:rPr>
          <w:i/>
          <w:iCs/>
          <w:vertAlign w:val="superscript"/>
        </w:rPr>
      </w:pPr>
      <w:r w:rsidRPr="00E05465">
        <w:rPr>
          <w:vertAlign w:val="superscript"/>
        </w:rPr>
        <w:t>k</w:t>
      </w:r>
      <w:r w:rsidR="000F33FE" w:rsidRPr="00E05465">
        <w:rPr>
          <w:vertAlign w:val="superscript"/>
        </w:rPr>
        <w:t xml:space="preserve"> </w:t>
      </w:r>
      <w:r w:rsidR="000F33FE" w:rsidRPr="00E05465">
        <w:t>100% benefit of MBS item 105 (</w:t>
      </w:r>
      <w:r w:rsidRPr="00E05465">
        <w:t xml:space="preserve">$46.15, </w:t>
      </w:r>
      <w:r w:rsidR="000F33FE" w:rsidRPr="00E05465">
        <w:t>subsequent specialist visit</w:t>
      </w:r>
      <w:r w:rsidRPr="00E05465">
        <w:t xml:space="preserve">) for 7.25 and 6.50 administrations in Year 1 and 2+ for ravulizumab and 26 administrations per year for eculizumab. Administrations for one patient only. </w:t>
      </w:r>
      <w:r w:rsidR="00850144" w:rsidRPr="00E05465">
        <w:rPr>
          <w:i/>
          <w:iCs/>
        </w:rPr>
        <w:t>The 80% MBS rebate has been applied</w:t>
      </w:r>
      <w:r w:rsidR="008E72BC" w:rsidRPr="00E05465">
        <w:rPr>
          <w:i/>
          <w:iCs/>
        </w:rPr>
        <w:t xml:space="preserve"> in the estimates</w:t>
      </w:r>
      <w:r w:rsidR="00850144" w:rsidRPr="00E05465">
        <w:rPr>
          <w:i/>
          <w:iCs/>
        </w:rPr>
        <w:t>.</w:t>
      </w:r>
    </w:p>
    <w:p w14:paraId="12DF5E6A" w14:textId="7DF7E79D" w:rsidR="00191EAD" w:rsidRPr="00E05465" w:rsidRDefault="00D9448A" w:rsidP="000257F6">
      <w:pPr>
        <w:pStyle w:val="TableFooter"/>
        <w:keepNext/>
      </w:pPr>
      <w:r w:rsidRPr="00E05465">
        <w:rPr>
          <w:vertAlign w:val="superscript"/>
        </w:rPr>
        <w:t>l</w:t>
      </w:r>
      <w:r w:rsidR="00191EAD" w:rsidRPr="00E05465">
        <w:rPr>
          <w:vertAlign w:val="superscript"/>
        </w:rPr>
        <w:t xml:space="preserve"> </w:t>
      </w:r>
      <w:r w:rsidR="00191EAD" w:rsidRPr="00E05465">
        <w:t>Costs to the MBS were revised during the evaluation as the submission estimated costs for one patient only and had applied the MBS fee of item 10</w:t>
      </w:r>
      <w:r w:rsidR="00C67B8E" w:rsidRPr="00E05465">
        <w:t xml:space="preserve">5 </w:t>
      </w:r>
      <w:r w:rsidR="00191EAD" w:rsidRPr="00E05465">
        <w:t>instead of the 80% benefit</w:t>
      </w:r>
      <w:r w:rsidRPr="00E05465">
        <w:t xml:space="preserve"> ($36.92)</w:t>
      </w:r>
      <w:r w:rsidR="00191EAD" w:rsidRPr="00E05465">
        <w:t xml:space="preserve"> which is recommended in the PBAC guidelines. </w:t>
      </w:r>
    </w:p>
    <w:p w14:paraId="1071FA8A" w14:textId="77777777" w:rsidR="000257F6" w:rsidRPr="00E05465" w:rsidRDefault="000257F6" w:rsidP="000257F6">
      <w:pPr>
        <w:keepNext/>
        <w:rPr>
          <w:rFonts w:ascii="Arial Narrow" w:hAnsi="Arial Narrow"/>
          <w:i/>
          <w:sz w:val="18"/>
          <w:szCs w:val="18"/>
        </w:rPr>
      </w:pPr>
      <w:r w:rsidRPr="00E05465">
        <w:rPr>
          <w:rFonts w:ascii="Arial Narrow" w:hAnsi="Arial Narrow"/>
          <w:i/>
          <w:sz w:val="18"/>
          <w:szCs w:val="18"/>
        </w:rPr>
        <w:t xml:space="preserve">The redacted values correspond to the following ranges: </w:t>
      </w:r>
    </w:p>
    <w:p w14:paraId="7FA52BBD" w14:textId="405C3503" w:rsidR="000257F6" w:rsidRPr="00E05465" w:rsidRDefault="000257F6" w:rsidP="000257F6">
      <w:pPr>
        <w:keepNext/>
        <w:rPr>
          <w:rFonts w:ascii="Arial Narrow" w:hAnsi="Arial Narrow"/>
          <w:i/>
          <w:sz w:val="18"/>
          <w:szCs w:val="18"/>
        </w:rPr>
      </w:pPr>
      <w:r w:rsidRPr="00E05465">
        <w:rPr>
          <w:rFonts w:ascii="Arial Narrow" w:hAnsi="Arial Narrow"/>
          <w:i/>
          <w:sz w:val="18"/>
          <w:szCs w:val="18"/>
          <w:vertAlign w:val="superscript"/>
        </w:rPr>
        <w:t>1</w:t>
      </w:r>
      <w:r w:rsidRPr="00E05465">
        <w:rPr>
          <w:rFonts w:ascii="Arial Narrow" w:hAnsi="Arial Narrow"/>
          <w:i/>
          <w:sz w:val="18"/>
          <w:szCs w:val="18"/>
        </w:rPr>
        <w:t xml:space="preserve"> &lt; 500</w:t>
      </w:r>
    </w:p>
    <w:p w14:paraId="7E8BE6EB" w14:textId="4E80D55C" w:rsidR="000257F6" w:rsidRPr="00E05465" w:rsidRDefault="000257F6" w:rsidP="000257F6">
      <w:pPr>
        <w:keepNext/>
        <w:rPr>
          <w:rFonts w:ascii="Arial Narrow" w:hAnsi="Arial Narrow"/>
          <w:i/>
          <w:sz w:val="18"/>
          <w:szCs w:val="18"/>
        </w:rPr>
      </w:pPr>
      <w:r w:rsidRPr="00E05465">
        <w:rPr>
          <w:rFonts w:ascii="Arial Narrow" w:hAnsi="Arial Narrow"/>
          <w:i/>
          <w:sz w:val="18"/>
          <w:szCs w:val="18"/>
          <w:vertAlign w:val="superscript"/>
        </w:rPr>
        <w:t>2</w:t>
      </w:r>
      <w:r w:rsidRPr="00E05465">
        <w:rPr>
          <w:rFonts w:ascii="Arial Narrow" w:hAnsi="Arial Narrow"/>
          <w:i/>
          <w:sz w:val="18"/>
          <w:szCs w:val="18"/>
        </w:rPr>
        <w:t xml:space="preserve"> $0 to &lt; $10 million</w:t>
      </w:r>
    </w:p>
    <w:p w14:paraId="5826CFEA" w14:textId="6DEF99DC" w:rsidR="000257F6" w:rsidRPr="00E05465" w:rsidRDefault="000257F6" w:rsidP="000257F6">
      <w:pPr>
        <w:spacing w:after="120"/>
        <w:rPr>
          <w:rFonts w:ascii="Arial Narrow" w:hAnsi="Arial Narrow"/>
          <w:i/>
          <w:sz w:val="18"/>
          <w:szCs w:val="18"/>
        </w:rPr>
      </w:pPr>
      <w:r w:rsidRPr="00E05465">
        <w:rPr>
          <w:rFonts w:ascii="Arial Narrow" w:hAnsi="Arial Narrow"/>
          <w:i/>
          <w:sz w:val="18"/>
          <w:szCs w:val="18"/>
          <w:vertAlign w:val="superscript"/>
        </w:rPr>
        <w:t>3</w:t>
      </w:r>
      <w:r w:rsidRPr="00E05465">
        <w:rPr>
          <w:rFonts w:ascii="Arial Narrow" w:hAnsi="Arial Narrow"/>
          <w:i/>
          <w:sz w:val="18"/>
          <w:szCs w:val="18"/>
        </w:rPr>
        <w:t xml:space="preserve"> Net cost saving</w:t>
      </w:r>
    </w:p>
    <w:p w14:paraId="735103AB" w14:textId="77777777" w:rsidR="001212BA" w:rsidRPr="00E05465" w:rsidRDefault="001212BA" w:rsidP="001212BA">
      <w:pPr>
        <w:pStyle w:val="4-SubsectionHeading"/>
      </w:pPr>
      <w:bookmarkStart w:id="69" w:name="_Toc22897649"/>
      <w:bookmarkStart w:id="70" w:name="_Toc133219589"/>
      <w:bookmarkStart w:id="71" w:name="_Toc135034950"/>
      <w:r w:rsidRPr="00E05465">
        <w:lastRenderedPageBreak/>
        <w:t>Financial Management – Risk Sharing Arrangements</w:t>
      </w:r>
      <w:bookmarkEnd w:id="69"/>
      <w:bookmarkEnd w:id="70"/>
      <w:bookmarkEnd w:id="71"/>
    </w:p>
    <w:p w14:paraId="05B6AB3E" w14:textId="36A8662F" w:rsidR="00173FAD" w:rsidRPr="00E05465" w:rsidRDefault="001212BA" w:rsidP="002032B0">
      <w:pPr>
        <w:pStyle w:val="3-BodyText"/>
      </w:pPr>
      <w:r w:rsidRPr="00E05465">
        <w:t xml:space="preserve">The submission proposed no changes to the existing RSA established prior to the listing of eculizumab and ravulizumab on 1 March 2022 for the treatment of PNH. </w:t>
      </w:r>
    </w:p>
    <w:p w14:paraId="63A4B27C" w14:textId="358356E5" w:rsidR="002C1848" w:rsidRPr="00E05465" w:rsidRDefault="002C1848" w:rsidP="002C1848">
      <w:pPr>
        <w:ind w:firstLine="709"/>
        <w:rPr>
          <w:rFonts w:asciiTheme="minorHAnsi" w:hAnsiTheme="minorHAnsi"/>
          <w:i/>
        </w:rPr>
      </w:pPr>
      <w:r w:rsidRPr="00E05465">
        <w:rPr>
          <w:rFonts w:asciiTheme="minorHAnsi" w:hAnsiTheme="minorHAnsi"/>
          <w:i/>
        </w:rPr>
        <w:t>For more detail on PBAC’s view, see section 7 PBAC outcome.</w:t>
      </w:r>
    </w:p>
    <w:p w14:paraId="012DFE23" w14:textId="77777777" w:rsidR="002C1848" w:rsidRPr="00E05465" w:rsidRDefault="002C1848" w:rsidP="00316B88">
      <w:pPr>
        <w:pStyle w:val="2-SectionHeading"/>
        <w:numPr>
          <w:ilvl w:val="0"/>
          <w:numId w:val="1"/>
        </w:numPr>
      </w:pPr>
      <w:bookmarkStart w:id="72" w:name="_Hlk76381249"/>
      <w:bookmarkStart w:id="73" w:name="_Hlk76377955"/>
      <w:bookmarkStart w:id="74" w:name="_Hlk138321418"/>
      <w:r w:rsidRPr="00E05465">
        <w:t>PBAC Outcome</w:t>
      </w:r>
    </w:p>
    <w:p w14:paraId="11FBAF82" w14:textId="2AA600A7" w:rsidR="002C1848" w:rsidRPr="00E05465" w:rsidRDefault="002C1848" w:rsidP="002C1848">
      <w:pPr>
        <w:widowControl w:val="0"/>
        <w:numPr>
          <w:ilvl w:val="1"/>
          <w:numId w:val="1"/>
        </w:numPr>
        <w:spacing w:after="120"/>
        <w:rPr>
          <w:rFonts w:asciiTheme="minorHAnsi" w:hAnsiTheme="minorHAnsi"/>
          <w:snapToGrid w:val="0"/>
          <w:lang w:val="en-GB"/>
        </w:rPr>
      </w:pPr>
      <w:r w:rsidRPr="00E05465">
        <w:rPr>
          <w:rFonts w:asciiTheme="minorHAnsi" w:hAnsiTheme="minorHAnsi"/>
          <w:snapToGrid w:val="0"/>
          <w:lang w:val="en-GB"/>
        </w:rPr>
        <w:t xml:space="preserve">The PBAC recommended </w:t>
      </w:r>
      <w:r w:rsidR="009F2EB2" w:rsidRPr="00E05465">
        <w:rPr>
          <w:rFonts w:asciiTheme="minorHAnsi" w:hAnsiTheme="minorHAnsi"/>
          <w:snapToGrid w:val="0"/>
          <w:lang w:val="en-GB"/>
        </w:rPr>
        <w:t xml:space="preserve">amending the Section 100 – Highly Specialised Drugs Program (Public and Private Hospital) </w:t>
      </w:r>
      <w:r w:rsidRPr="00E05465">
        <w:rPr>
          <w:rFonts w:asciiTheme="minorHAnsi" w:hAnsiTheme="minorHAnsi"/>
          <w:snapToGrid w:val="0"/>
          <w:lang w:val="en-GB"/>
        </w:rPr>
        <w:t>listing</w:t>
      </w:r>
      <w:r w:rsidR="009F2EB2" w:rsidRPr="00E05465">
        <w:rPr>
          <w:rFonts w:asciiTheme="minorHAnsi" w:hAnsiTheme="minorHAnsi"/>
          <w:snapToGrid w:val="0"/>
          <w:lang w:val="en-GB"/>
        </w:rPr>
        <w:t>s</w:t>
      </w:r>
      <w:r w:rsidRPr="00E05465">
        <w:rPr>
          <w:rFonts w:asciiTheme="minorHAnsi" w:hAnsiTheme="minorHAnsi"/>
          <w:snapToGrid w:val="0"/>
          <w:lang w:val="en-GB"/>
        </w:rPr>
        <w:t xml:space="preserve"> </w:t>
      </w:r>
      <w:r w:rsidR="009F2EB2" w:rsidRPr="00E05465">
        <w:rPr>
          <w:rFonts w:asciiTheme="minorHAnsi" w:hAnsiTheme="minorHAnsi"/>
          <w:snapToGrid w:val="0"/>
          <w:lang w:val="en-GB"/>
        </w:rPr>
        <w:t xml:space="preserve">of ravulizumab to permit use in </w:t>
      </w:r>
      <w:r w:rsidR="009F2EB2" w:rsidRPr="00E05465">
        <w:t xml:space="preserve">paediatric patients with paroxysmal nocturnal haemoglobinuria (PNH). In making this recommendation, the PBAC was satisfied the available evidence, while limited due to the rarity of PNH in </w:t>
      </w:r>
      <w:r w:rsidR="00392916" w:rsidRPr="00E05465">
        <w:t>children</w:t>
      </w:r>
      <w:r w:rsidR="009F2EB2" w:rsidRPr="00E05465">
        <w:t xml:space="preserve">, </w:t>
      </w:r>
      <w:r w:rsidR="00392916" w:rsidRPr="00E05465">
        <w:t>supports a conclusion</w:t>
      </w:r>
      <w:r w:rsidR="009F2EB2" w:rsidRPr="00E05465">
        <w:t xml:space="preserve"> that ravulizumab is likely to be of non-inferior comparative effectiveness</w:t>
      </w:r>
      <w:r w:rsidR="00926EE5" w:rsidRPr="00E05465">
        <w:t xml:space="preserve"> and safety</w:t>
      </w:r>
      <w:r w:rsidR="009F2EB2" w:rsidRPr="00E05465">
        <w:t xml:space="preserve"> to eculizumab in this patient population. </w:t>
      </w:r>
      <w:r w:rsidR="00F13033" w:rsidRPr="00E05465">
        <w:t>The PBAC’s recommendation for listing was based on, among other matters, its assessment, as described above, that the cost-effectiveness of ravulizumab would be acceptable if it were cost-minimised against eculizumab.</w:t>
      </w:r>
    </w:p>
    <w:p w14:paraId="00AD3704" w14:textId="2EEE32E3" w:rsidR="009F2EB2" w:rsidRPr="00E05465" w:rsidRDefault="009F2EB2" w:rsidP="002032B0">
      <w:pPr>
        <w:pStyle w:val="3-BodyText"/>
        <w:rPr>
          <w:lang w:val="en-GB"/>
        </w:rPr>
      </w:pPr>
      <w:r w:rsidRPr="00E05465">
        <w:rPr>
          <w:lang w:val="en-GB"/>
        </w:rPr>
        <w:t xml:space="preserve">The </w:t>
      </w:r>
      <w:r w:rsidR="00392916" w:rsidRPr="00E05465">
        <w:rPr>
          <w:lang w:val="en-GB"/>
        </w:rPr>
        <w:t>Committee</w:t>
      </w:r>
      <w:r w:rsidRPr="00E05465">
        <w:rPr>
          <w:lang w:val="en-GB"/>
        </w:rPr>
        <w:t xml:space="preserve"> considered the equi-effective doses were ravulizumab 41,875</w:t>
      </w:r>
      <w:r w:rsidR="00DF6BDA" w:rsidRPr="00E05465">
        <w:t> </w:t>
      </w:r>
      <w:r w:rsidRPr="00E05465">
        <w:rPr>
          <w:lang w:val="en-GB"/>
        </w:rPr>
        <w:t>mg (based on a weighted loading dose of 2,350</w:t>
      </w:r>
      <w:r w:rsidR="00DF6BDA" w:rsidRPr="00E05465">
        <w:t> </w:t>
      </w:r>
      <w:r w:rsidRPr="00E05465">
        <w:rPr>
          <w:lang w:val="en-GB"/>
        </w:rPr>
        <w:t>mg and 12.75 x 3,100</w:t>
      </w:r>
      <w:r w:rsidR="00DF6BDA" w:rsidRPr="00E05465">
        <w:t> </w:t>
      </w:r>
      <w:r w:rsidRPr="00E05465">
        <w:rPr>
          <w:lang w:val="en-GB"/>
        </w:rPr>
        <w:t xml:space="preserve">mg maintenance doses) </w:t>
      </w:r>
      <w:r w:rsidR="00926EE5" w:rsidRPr="00E05465">
        <w:rPr>
          <w:lang w:val="en-GB"/>
        </w:rPr>
        <w:t>=</w:t>
      </w:r>
      <w:r w:rsidRPr="00E05465">
        <w:rPr>
          <w:lang w:val="en-GB"/>
        </w:rPr>
        <w:t xml:space="preserve"> eculizumab 47,350</w:t>
      </w:r>
      <w:r w:rsidR="00DF6BDA" w:rsidRPr="00E05465">
        <w:t> </w:t>
      </w:r>
      <w:r w:rsidRPr="00E05465">
        <w:rPr>
          <w:lang w:val="en-GB"/>
        </w:rPr>
        <w:t>mg (based on weighted 3.67 x 600</w:t>
      </w:r>
      <w:r w:rsidR="00DF6BDA" w:rsidRPr="00E05465">
        <w:t> </w:t>
      </w:r>
      <w:r w:rsidRPr="00E05465">
        <w:rPr>
          <w:lang w:val="en-GB"/>
        </w:rPr>
        <w:t>mg loading doses and 50.17 x 900</w:t>
      </w:r>
      <w:r w:rsidR="00DF6BDA" w:rsidRPr="00E05465">
        <w:t> </w:t>
      </w:r>
      <w:r w:rsidRPr="00E05465">
        <w:rPr>
          <w:lang w:val="en-GB"/>
        </w:rPr>
        <w:t xml:space="preserve">mg maintenance doses). </w:t>
      </w:r>
    </w:p>
    <w:p w14:paraId="3D9B5B21" w14:textId="4C00CEAC" w:rsidR="002C1848" w:rsidRPr="00E05465" w:rsidRDefault="009F2EB2" w:rsidP="002C1848">
      <w:pPr>
        <w:widowControl w:val="0"/>
        <w:numPr>
          <w:ilvl w:val="1"/>
          <w:numId w:val="1"/>
        </w:numPr>
        <w:spacing w:after="120"/>
        <w:rPr>
          <w:rFonts w:asciiTheme="minorHAnsi" w:hAnsiTheme="minorHAnsi"/>
          <w:snapToGrid w:val="0"/>
          <w:lang w:val="en-GB"/>
        </w:rPr>
      </w:pPr>
      <w:r w:rsidRPr="00E05465">
        <w:rPr>
          <w:rFonts w:asciiTheme="minorHAnsi" w:hAnsiTheme="minorHAnsi"/>
          <w:snapToGrid w:val="0"/>
          <w:lang w:val="en-GB"/>
        </w:rPr>
        <w:t xml:space="preserve">The PBAC considered that while paediatric patients were eligible for treatment with eculizumab and the clinical need for an additional therapy was modest, </w:t>
      </w:r>
      <w:r w:rsidR="002B20B8" w:rsidRPr="00E05465">
        <w:rPr>
          <w:rFonts w:asciiTheme="minorHAnsi" w:hAnsiTheme="minorHAnsi"/>
          <w:snapToGrid w:val="0"/>
          <w:lang w:val="en-GB"/>
        </w:rPr>
        <w:t xml:space="preserve">it </w:t>
      </w:r>
      <w:r w:rsidR="004C2326" w:rsidRPr="00E05465">
        <w:rPr>
          <w:rFonts w:asciiTheme="minorHAnsi" w:hAnsiTheme="minorHAnsi"/>
          <w:snapToGrid w:val="0"/>
          <w:lang w:val="en-GB"/>
        </w:rPr>
        <w:t xml:space="preserve">also considered the </w:t>
      </w:r>
      <w:r w:rsidR="002B20B8" w:rsidRPr="00E05465">
        <w:rPr>
          <w:rFonts w:asciiTheme="minorHAnsi" w:hAnsiTheme="minorHAnsi"/>
          <w:snapToGrid w:val="0"/>
          <w:lang w:val="en-GB"/>
        </w:rPr>
        <w:t xml:space="preserve">reduced frequency of the </w:t>
      </w:r>
      <w:r w:rsidR="004C2326" w:rsidRPr="00E05465">
        <w:rPr>
          <w:rFonts w:asciiTheme="minorHAnsi" w:hAnsiTheme="minorHAnsi"/>
          <w:snapToGrid w:val="0"/>
          <w:lang w:val="en-GB"/>
        </w:rPr>
        <w:t xml:space="preserve">dosing regimen (8 weekly in maintenance therapy for ravulizumab versus fortnightly for eculizumab) </w:t>
      </w:r>
      <w:r w:rsidR="002B20B8" w:rsidRPr="00E05465">
        <w:rPr>
          <w:rFonts w:asciiTheme="minorHAnsi" w:hAnsiTheme="minorHAnsi"/>
          <w:snapToGrid w:val="0"/>
          <w:lang w:val="en-GB"/>
        </w:rPr>
        <w:t>would</w:t>
      </w:r>
      <w:r w:rsidR="004C2326" w:rsidRPr="00E05465">
        <w:rPr>
          <w:rFonts w:asciiTheme="minorHAnsi" w:hAnsiTheme="minorHAnsi"/>
          <w:snapToGrid w:val="0"/>
          <w:lang w:val="en-GB"/>
        </w:rPr>
        <w:t xml:space="preserve"> be beneficial for paediatric patients </w:t>
      </w:r>
      <w:r w:rsidR="002B20B8" w:rsidRPr="00E05465">
        <w:rPr>
          <w:rFonts w:asciiTheme="minorHAnsi" w:hAnsiTheme="minorHAnsi"/>
          <w:snapToGrid w:val="0"/>
          <w:lang w:val="en-GB"/>
        </w:rPr>
        <w:t>resulting in</w:t>
      </w:r>
      <w:r w:rsidR="004C2326" w:rsidRPr="00E05465">
        <w:rPr>
          <w:rFonts w:asciiTheme="minorHAnsi" w:hAnsiTheme="minorHAnsi"/>
          <w:snapToGrid w:val="0"/>
          <w:lang w:val="en-GB"/>
        </w:rPr>
        <w:t xml:space="preserve"> fewer time-consuming</w:t>
      </w:r>
      <w:r w:rsidR="00926EE5" w:rsidRPr="00E05465">
        <w:rPr>
          <w:rFonts w:asciiTheme="minorHAnsi" w:hAnsiTheme="minorHAnsi"/>
          <w:snapToGrid w:val="0"/>
          <w:lang w:val="en-GB"/>
        </w:rPr>
        <w:t xml:space="preserve"> hospital visits and</w:t>
      </w:r>
      <w:r w:rsidR="004C2326" w:rsidRPr="00E05465">
        <w:rPr>
          <w:rFonts w:asciiTheme="minorHAnsi" w:hAnsiTheme="minorHAnsi"/>
          <w:snapToGrid w:val="0"/>
          <w:lang w:val="en-GB"/>
        </w:rPr>
        <w:t xml:space="preserve"> infusions.</w:t>
      </w:r>
      <w:r w:rsidRPr="00E05465">
        <w:rPr>
          <w:rFonts w:asciiTheme="minorHAnsi" w:hAnsiTheme="minorHAnsi"/>
          <w:snapToGrid w:val="0"/>
          <w:lang w:val="en-GB"/>
        </w:rPr>
        <w:t xml:space="preserve"> </w:t>
      </w:r>
      <w:r w:rsidR="002B20B8" w:rsidRPr="00E05465">
        <w:rPr>
          <w:rFonts w:asciiTheme="minorHAnsi" w:hAnsiTheme="minorHAnsi"/>
          <w:snapToGrid w:val="0"/>
          <w:lang w:val="en-GB"/>
        </w:rPr>
        <w:t>The PBAC noted there was currently inequitable PBS access for adults and paediatric patients with PNH.</w:t>
      </w:r>
    </w:p>
    <w:p w14:paraId="081A3BB3" w14:textId="56056743" w:rsidR="002C1848" w:rsidRPr="00E05465" w:rsidRDefault="00392916" w:rsidP="002032B0">
      <w:pPr>
        <w:pStyle w:val="3-BodyText"/>
        <w:rPr>
          <w:lang w:val="en-GB"/>
        </w:rPr>
      </w:pPr>
      <w:r w:rsidRPr="00E05465">
        <w:rPr>
          <w:lang w:val="en-GB"/>
        </w:rPr>
        <w:t>With respect to the requested listings, t</w:t>
      </w:r>
      <w:r w:rsidR="004C2326" w:rsidRPr="00E05465">
        <w:rPr>
          <w:lang w:val="en-GB"/>
        </w:rPr>
        <w:t xml:space="preserve">he PBAC </w:t>
      </w:r>
      <w:r w:rsidR="00D878DD" w:rsidRPr="00E05465">
        <w:rPr>
          <w:lang w:val="en-GB"/>
        </w:rPr>
        <w:t xml:space="preserve">considered </w:t>
      </w:r>
      <w:r w:rsidR="004C2326" w:rsidRPr="00E05465">
        <w:rPr>
          <w:lang w:val="en-GB"/>
        </w:rPr>
        <w:t xml:space="preserve">the proposal to remove the age restriction on the listings of ravulizumab for PNH was reasonable, and a </w:t>
      </w:r>
      <w:r w:rsidR="00926EE5" w:rsidRPr="00E05465">
        <w:rPr>
          <w:lang w:val="en-GB"/>
        </w:rPr>
        <w:t>unique</w:t>
      </w:r>
      <w:r w:rsidR="004C2326" w:rsidRPr="00E05465">
        <w:rPr>
          <w:lang w:val="en-GB"/>
        </w:rPr>
        <w:t xml:space="preserve"> restriction for the paediatric population was not required.</w:t>
      </w:r>
      <w:r w:rsidR="00D878DD" w:rsidRPr="00E05465">
        <w:rPr>
          <w:lang w:val="en-GB"/>
        </w:rPr>
        <w:t xml:space="preserve"> The PBAC noted the extension to the PBS listing to include paediatric patients would resolve current equity issues for these patients by providing an effective treatment option with reduced </w:t>
      </w:r>
      <w:r w:rsidR="00B34C85" w:rsidRPr="00E05465">
        <w:rPr>
          <w:lang w:val="en-GB"/>
        </w:rPr>
        <w:t xml:space="preserve">hospital attendances and </w:t>
      </w:r>
      <w:r w:rsidR="00D878DD" w:rsidRPr="00E05465">
        <w:rPr>
          <w:lang w:val="en-GB"/>
        </w:rPr>
        <w:t xml:space="preserve">infusion frequency, which can be highly impactful on children.  </w:t>
      </w:r>
    </w:p>
    <w:p w14:paraId="0488EB87" w14:textId="270DBD75" w:rsidR="002C1848" w:rsidRPr="00E05465" w:rsidRDefault="004C2326" w:rsidP="002032B0">
      <w:pPr>
        <w:pStyle w:val="3-BodyText"/>
        <w:rPr>
          <w:lang w:val="en-GB"/>
        </w:rPr>
      </w:pPr>
      <w:r w:rsidRPr="00E05465">
        <w:rPr>
          <w:lang w:val="en-GB"/>
        </w:rPr>
        <w:t>The PBAC considered the nominated comparator of eculizumab was reasonable as it is currently PBS listed for the treatment of PNH in paediatric patients.</w:t>
      </w:r>
    </w:p>
    <w:p w14:paraId="13C05730" w14:textId="116F238A" w:rsidR="002C1848" w:rsidRPr="00E05465" w:rsidRDefault="004C2326" w:rsidP="002C1848">
      <w:pPr>
        <w:widowControl w:val="0"/>
        <w:numPr>
          <w:ilvl w:val="1"/>
          <w:numId w:val="1"/>
        </w:numPr>
        <w:spacing w:after="120"/>
        <w:rPr>
          <w:rFonts w:asciiTheme="minorHAnsi" w:hAnsiTheme="minorHAnsi"/>
          <w:snapToGrid w:val="0"/>
          <w:lang w:val="en-GB"/>
        </w:rPr>
      </w:pPr>
      <w:r w:rsidRPr="00E05465">
        <w:rPr>
          <w:rFonts w:asciiTheme="minorHAnsi" w:hAnsiTheme="minorHAnsi"/>
          <w:snapToGrid w:val="0"/>
          <w:lang w:val="en-GB"/>
        </w:rPr>
        <w:t>The PBAC noted the clinical evidence for ravulizumab and eculizumab studies was very limited, with only single arm trials with very few patients (N=12 for the ravulizumab trial and N=7 for the eculizumab trial)</w:t>
      </w:r>
      <w:r w:rsidR="00AA0B21" w:rsidRPr="00E05465">
        <w:rPr>
          <w:rFonts w:asciiTheme="minorHAnsi" w:hAnsiTheme="minorHAnsi"/>
          <w:snapToGrid w:val="0"/>
          <w:lang w:val="en-GB"/>
        </w:rPr>
        <w:t>.</w:t>
      </w:r>
      <w:r w:rsidRPr="00E05465">
        <w:rPr>
          <w:rFonts w:asciiTheme="minorHAnsi" w:hAnsiTheme="minorHAnsi"/>
          <w:snapToGrid w:val="0"/>
          <w:lang w:val="en-GB"/>
        </w:rPr>
        <w:t xml:space="preserve"> </w:t>
      </w:r>
      <w:r w:rsidR="00AA0B21" w:rsidRPr="00E05465">
        <w:rPr>
          <w:rFonts w:asciiTheme="minorHAnsi" w:hAnsiTheme="minorHAnsi"/>
          <w:snapToGrid w:val="0"/>
          <w:lang w:val="en-GB"/>
        </w:rPr>
        <w:t>The Committee</w:t>
      </w:r>
      <w:r w:rsidRPr="00E05465">
        <w:rPr>
          <w:rFonts w:asciiTheme="minorHAnsi" w:hAnsiTheme="minorHAnsi"/>
          <w:snapToGrid w:val="0"/>
          <w:lang w:val="en-GB"/>
        </w:rPr>
        <w:t xml:space="preserve"> further noted</w:t>
      </w:r>
      <w:r w:rsidR="00B01B0F" w:rsidRPr="00E05465">
        <w:rPr>
          <w:rFonts w:asciiTheme="minorHAnsi" w:hAnsiTheme="minorHAnsi"/>
          <w:snapToGrid w:val="0"/>
          <w:lang w:val="en-GB"/>
        </w:rPr>
        <w:t xml:space="preserve"> the evaluation concluded</w:t>
      </w:r>
      <w:r w:rsidRPr="00E05465">
        <w:rPr>
          <w:rFonts w:asciiTheme="minorHAnsi" w:hAnsiTheme="minorHAnsi"/>
          <w:snapToGrid w:val="0"/>
          <w:lang w:val="en-GB"/>
        </w:rPr>
        <w:t xml:space="preserve"> a rigorous assessment of transitivity </w:t>
      </w:r>
      <w:r w:rsidR="006146DF" w:rsidRPr="00E05465">
        <w:rPr>
          <w:rFonts w:asciiTheme="minorHAnsi" w:hAnsiTheme="minorHAnsi"/>
          <w:snapToGrid w:val="0"/>
          <w:lang w:val="en-GB"/>
        </w:rPr>
        <w:t>statistical analyses</w:t>
      </w:r>
      <w:r w:rsidRPr="00E05465">
        <w:rPr>
          <w:rFonts w:asciiTheme="minorHAnsi" w:hAnsiTheme="minorHAnsi"/>
          <w:snapToGrid w:val="0"/>
          <w:lang w:val="en-GB"/>
        </w:rPr>
        <w:t xml:space="preserve"> was not </w:t>
      </w:r>
      <w:r w:rsidR="006146DF" w:rsidRPr="00E05465">
        <w:rPr>
          <w:rFonts w:asciiTheme="minorHAnsi" w:hAnsiTheme="minorHAnsi"/>
          <w:snapToGrid w:val="0"/>
          <w:lang w:val="en-GB"/>
        </w:rPr>
        <w:t>possible</w:t>
      </w:r>
      <w:r w:rsidRPr="00E05465">
        <w:rPr>
          <w:rFonts w:asciiTheme="minorHAnsi" w:hAnsiTheme="minorHAnsi"/>
          <w:snapToGrid w:val="0"/>
          <w:lang w:val="en-GB"/>
        </w:rPr>
        <w:t xml:space="preserve"> with the available data</w:t>
      </w:r>
      <w:r w:rsidR="00AA0B21" w:rsidRPr="00E05465">
        <w:rPr>
          <w:rFonts w:asciiTheme="minorHAnsi" w:hAnsiTheme="minorHAnsi"/>
          <w:snapToGrid w:val="0"/>
          <w:lang w:val="en-GB"/>
        </w:rPr>
        <w:t xml:space="preserve"> resulting in limited precision in the differences in the level of </w:t>
      </w:r>
      <w:r w:rsidR="00AA0B21" w:rsidRPr="00E05465">
        <w:rPr>
          <w:rFonts w:asciiTheme="minorHAnsi" w:hAnsiTheme="minorHAnsi"/>
          <w:snapToGrid w:val="0"/>
          <w:lang w:val="en-GB"/>
        </w:rPr>
        <w:lastRenderedPageBreak/>
        <w:t>change in lactate dehydrogenase (LDH) and free haemoglobin levels between eculizumab and ravulizumab in paediatric patients</w:t>
      </w:r>
      <w:r w:rsidRPr="00E05465">
        <w:rPr>
          <w:rFonts w:asciiTheme="minorHAnsi" w:hAnsiTheme="minorHAnsi"/>
          <w:snapToGrid w:val="0"/>
          <w:lang w:val="en-GB"/>
        </w:rPr>
        <w:t xml:space="preserve">. However, </w:t>
      </w:r>
      <w:r w:rsidR="006146DF" w:rsidRPr="00E05465">
        <w:rPr>
          <w:rFonts w:asciiTheme="minorHAnsi" w:hAnsiTheme="minorHAnsi"/>
          <w:snapToGrid w:val="0"/>
          <w:lang w:val="en-GB"/>
        </w:rPr>
        <w:t xml:space="preserve">the PBAC noted ravulizumab and eculizumab are pharmacological analogues, </w:t>
      </w:r>
      <w:r w:rsidR="00AA0B21" w:rsidRPr="00E05465">
        <w:rPr>
          <w:rFonts w:asciiTheme="minorHAnsi" w:hAnsiTheme="minorHAnsi"/>
          <w:snapToGrid w:val="0"/>
          <w:lang w:val="en-GB"/>
        </w:rPr>
        <w:t>and</w:t>
      </w:r>
      <w:r w:rsidR="006146DF" w:rsidRPr="00E05465">
        <w:rPr>
          <w:rFonts w:asciiTheme="minorHAnsi" w:hAnsiTheme="minorHAnsi"/>
          <w:snapToGrid w:val="0"/>
          <w:lang w:val="en-GB"/>
        </w:rPr>
        <w:t xml:space="preserve"> there was no evidence to suggest the effectiveness or safety of ravulizumab </w:t>
      </w:r>
      <w:r w:rsidR="00F21C5B" w:rsidRPr="00E05465">
        <w:rPr>
          <w:rFonts w:asciiTheme="minorHAnsi" w:hAnsiTheme="minorHAnsi"/>
          <w:snapToGrid w:val="0"/>
          <w:lang w:val="en-GB"/>
        </w:rPr>
        <w:t xml:space="preserve">compared to eculizumab </w:t>
      </w:r>
      <w:r w:rsidR="006146DF" w:rsidRPr="00E05465">
        <w:rPr>
          <w:rFonts w:asciiTheme="minorHAnsi" w:hAnsiTheme="minorHAnsi"/>
          <w:snapToGrid w:val="0"/>
          <w:lang w:val="en-GB"/>
        </w:rPr>
        <w:t>in paediatric patients would be different to the adult population.</w:t>
      </w:r>
      <w:r w:rsidR="0099015E" w:rsidRPr="00E05465">
        <w:rPr>
          <w:rFonts w:asciiTheme="minorHAnsi" w:hAnsiTheme="minorHAnsi"/>
          <w:snapToGrid w:val="0"/>
          <w:lang w:val="en-GB"/>
        </w:rPr>
        <w:t xml:space="preserve"> Overall, the PBAC considered ravulizumab </w:t>
      </w:r>
      <w:r w:rsidR="00B47F63" w:rsidRPr="00E05465">
        <w:rPr>
          <w:rFonts w:asciiTheme="minorHAnsi" w:hAnsiTheme="minorHAnsi"/>
          <w:snapToGrid w:val="0"/>
          <w:lang w:val="en-GB"/>
        </w:rPr>
        <w:t>was</w:t>
      </w:r>
      <w:r w:rsidR="0099015E" w:rsidRPr="00E05465">
        <w:rPr>
          <w:rFonts w:asciiTheme="minorHAnsi" w:hAnsiTheme="minorHAnsi"/>
          <w:snapToGrid w:val="0"/>
          <w:lang w:val="en-GB"/>
        </w:rPr>
        <w:t xml:space="preserve"> likely to be of non-inferior comparative effectiveness </w:t>
      </w:r>
      <w:r w:rsidR="00B47F63" w:rsidRPr="00E05465">
        <w:rPr>
          <w:rFonts w:asciiTheme="minorHAnsi" w:hAnsiTheme="minorHAnsi"/>
          <w:snapToGrid w:val="0"/>
          <w:lang w:val="en-GB"/>
        </w:rPr>
        <w:t xml:space="preserve">to eculizumab </w:t>
      </w:r>
      <w:r w:rsidR="0099015E" w:rsidRPr="00E05465">
        <w:rPr>
          <w:rFonts w:asciiTheme="minorHAnsi" w:hAnsiTheme="minorHAnsi"/>
          <w:snapToGrid w:val="0"/>
          <w:lang w:val="en-GB"/>
        </w:rPr>
        <w:t xml:space="preserve">for PNH in paediatric patients. </w:t>
      </w:r>
    </w:p>
    <w:p w14:paraId="51C2F732" w14:textId="47D025CB" w:rsidR="002C1848" w:rsidRPr="00E05465" w:rsidRDefault="00392916" w:rsidP="002C1848">
      <w:pPr>
        <w:widowControl w:val="0"/>
        <w:numPr>
          <w:ilvl w:val="1"/>
          <w:numId w:val="1"/>
        </w:numPr>
        <w:spacing w:after="120"/>
        <w:rPr>
          <w:rFonts w:asciiTheme="minorHAnsi" w:hAnsiTheme="minorHAnsi"/>
          <w:snapToGrid w:val="0"/>
          <w:lang w:val="en-GB"/>
        </w:rPr>
      </w:pPr>
      <w:r w:rsidRPr="00E05465">
        <w:rPr>
          <w:rFonts w:asciiTheme="minorHAnsi" w:hAnsiTheme="minorHAnsi"/>
          <w:snapToGrid w:val="0"/>
          <w:lang w:val="en-GB"/>
        </w:rPr>
        <w:t xml:space="preserve">The Committee noted the evidence for safety and adverse events was limited in the paediatric population due to the small number of patients in the clinical trials; </w:t>
      </w:r>
      <w:r w:rsidR="00926EE5" w:rsidRPr="00E05465">
        <w:rPr>
          <w:rFonts w:asciiTheme="minorHAnsi" w:hAnsiTheme="minorHAnsi"/>
          <w:snapToGrid w:val="0"/>
          <w:lang w:val="en-GB"/>
        </w:rPr>
        <w:t>however, also</w:t>
      </w:r>
      <w:r w:rsidRPr="00E05465">
        <w:rPr>
          <w:rFonts w:asciiTheme="minorHAnsi" w:hAnsiTheme="minorHAnsi"/>
          <w:snapToGrid w:val="0"/>
          <w:lang w:val="en-GB"/>
        </w:rPr>
        <w:t xml:space="preserve"> noted the available evidence suggested similar frequency and types of adverse events between ravulizumab and eculizumab, and further noted all patients require meningococcal vaccination and prophylactic penicillin. Overall, the PBAC considered it was reasonable to conclude the available (but limited) data suggest ravulizumab is likely to be of non-inferior comparative safety to eculizumab in paediatric patients with PNH.</w:t>
      </w:r>
    </w:p>
    <w:p w14:paraId="40719D6F" w14:textId="615DB72C" w:rsidR="004D18B5" w:rsidRPr="00E05465" w:rsidRDefault="004D18B5" w:rsidP="002C1848">
      <w:pPr>
        <w:widowControl w:val="0"/>
        <w:numPr>
          <w:ilvl w:val="1"/>
          <w:numId w:val="1"/>
        </w:numPr>
        <w:spacing w:after="120"/>
      </w:pPr>
      <w:r w:rsidRPr="00E05465">
        <w:rPr>
          <w:rFonts w:asciiTheme="minorHAnsi" w:hAnsiTheme="minorHAnsi"/>
          <w:snapToGrid w:val="0"/>
          <w:lang w:val="en-GB"/>
        </w:rPr>
        <w:t xml:space="preserve">The PBAC considered the methodology of the cost minimisation approach (CMA) used in the submission was reasonable and </w:t>
      </w:r>
      <w:r w:rsidR="0074042B" w:rsidRPr="00E05465">
        <w:rPr>
          <w:rFonts w:asciiTheme="minorHAnsi" w:hAnsiTheme="minorHAnsi"/>
          <w:snapToGrid w:val="0"/>
          <w:lang w:val="en-GB"/>
        </w:rPr>
        <w:t xml:space="preserve">it </w:t>
      </w:r>
      <w:r w:rsidR="001676F7" w:rsidRPr="00E05465">
        <w:rPr>
          <w:rFonts w:asciiTheme="minorHAnsi" w:hAnsiTheme="minorHAnsi"/>
          <w:snapToGrid w:val="0"/>
          <w:lang w:val="en-GB"/>
        </w:rPr>
        <w:t xml:space="preserve">accepted </w:t>
      </w:r>
      <w:r w:rsidRPr="00E05465">
        <w:rPr>
          <w:rFonts w:asciiTheme="minorHAnsi" w:hAnsiTheme="minorHAnsi"/>
          <w:snapToGrid w:val="0"/>
          <w:lang w:val="en-GB"/>
        </w:rPr>
        <w:t xml:space="preserve">the </w:t>
      </w:r>
      <w:r w:rsidR="001676F7" w:rsidRPr="00E05465">
        <w:rPr>
          <w:rFonts w:asciiTheme="minorHAnsi" w:hAnsiTheme="minorHAnsi"/>
          <w:snapToGrid w:val="0"/>
          <w:lang w:val="en-GB"/>
        </w:rPr>
        <w:t xml:space="preserve">more conservative </w:t>
      </w:r>
      <w:r w:rsidRPr="00E05465">
        <w:rPr>
          <w:rFonts w:asciiTheme="minorHAnsi" w:hAnsiTheme="minorHAnsi"/>
          <w:snapToGrid w:val="0"/>
          <w:lang w:val="en-GB"/>
        </w:rPr>
        <w:t xml:space="preserve">proposed price of ravulizumab </w:t>
      </w:r>
      <w:r w:rsidR="001676F7" w:rsidRPr="00E05465">
        <w:rPr>
          <w:rFonts w:asciiTheme="minorHAnsi" w:hAnsiTheme="minorHAnsi"/>
          <w:snapToGrid w:val="0"/>
          <w:lang w:val="en-GB"/>
        </w:rPr>
        <w:t xml:space="preserve">which </w:t>
      </w:r>
      <w:r w:rsidRPr="00E05465">
        <w:rPr>
          <w:rFonts w:asciiTheme="minorHAnsi" w:hAnsiTheme="minorHAnsi"/>
          <w:snapToGrid w:val="0"/>
          <w:lang w:val="en-GB"/>
        </w:rPr>
        <w:t xml:space="preserve">was the same </w:t>
      </w:r>
      <w:r w:rsidR="001676F7" w:rsidRPr="00E05465">
        <w:rPr>
          <w:rFonts w:asciiTheme="minorHAnsi" w:hAnsiTheme="minorHAnsi"/>
          <w:snapToGrid w:val="0"/>
          <w:lang w:val="en-GB"/>
        </w:rPr>
        <w:t xml:space="preserve">as </w:t>
      </w:r>
      <w:r w:rsidRPr="00E05465">
        <w:rPr>
          <w:rFonts w:asciiTheme="minorHAnsi" w:hAnsiTheme="minorHAnsi"/>
          <w:snapToGrid w:val="0"/>
          <w:lang w:val="en-GB"/>
        </w:rPr>
        <w:t xml:space="preserve">that accepted for the adult population. The PBAC considered that while there were some uncertainties </w:t>
      </w:r>
      <w:r w:rsidR="00C611B0" w:rsidRPr="00E05465">
        <w:rPr>
          <w:rFonts w:asciiTheme="minorHAnsi" w:hAnsiTheme="minorHAnsi"/>
          <w:snapToGrid w:val="0"/>
          <w:lang w:val="en-GB"/>
        </w:rPr>
        <w:t xml:space="preserve">in the CMA associated </w:t>
      </w:r>
      <w:r w:rsidRPr="00E05465">
        <w:rPr>
          <w:rFonts w:asciiTheme="minorHAnsi" w:hAnsiTheme="minorHAnsi"/>
          <w:snapToGrid w:val="0"/>
          <w:lang w:val="en-GB"/>
        </w:rPr>
        <w:t xml:space="preserve">with the distributions of weight </w:t>
      </w:r>
      <w:r w:rsidR="00C611B0" w:rsidRPr="00E05465">
        <w:rPr>
          <w:rFonts w:asciiTheme="minorHAnsi" w:hAnsiTheme="minorHAnsi"/>
          <w:snapToGrid w:val="0"/>
          <w:lang w:val="en-GB"/>
        </w:rPr>
        <w:t>(given the small number of patients) and with treatment switching not being accounted for, it noted</w:t>
      </w:r>
      <w:r w:rsidR="0074042B" w:rsidRPr="00E05465">
        <w:rPr>
          <w:rFonts w:asciiTheme="minorHAnsi" w:hAnsiTheme="minorHAnsi"/>
          <w:snapToGrid w:val="0"/>
          <w:lang w:val="en-GB"/>
        </w:rPr>
        <w:t xml:space="preserve"> </w:t>
      </w:r>
      <w:r w:rsidR="001676F7" w:rsidRPr="00E05465">
        <w:rPr>
          <w:rFonts w:asciiTheme="minorHAnsi" w:hAnsiTheme="minorHAnsi"/>
          <w:snapToGrid w:val="0"/>
          <w:lang w:val="en-GB"/>
        </w:rPr>
        <w:t xml:space="preserve">the additional sensitivity analyses </w:t>
      </w:r>
      <w:r w:rsidR="0074042B" w:rsidRPr="00E05465">
        <w:rPr>
          <w:rFonts w:asciiTheme="minorHAnsi" w:hAnsiTheme="minorHAnsi"/>
          <w:snapToGrid w:val="0"/>
          <w:lang w:val="en-GB"/>
        </w:rPr>
        <w:t xml:space="preserve">in the evaluation </w:t>
      </w:r>
      <w:r w:rsidR="001676F7" w:rsidRPr="00E05465">
        <w:rPr>
          <w:rFonts w:asciiTheme="minorHAnsi" w:hAnsiTheme="minorHAnsi"/>
          <w:snapToGrid w:val="0"/>
          <w:lang w:val="en-GB"/>
        </w:rPr>
        <w:t>di</w:t>
      </w:r>
      <w:r w:rsidR="0074042B" w:rsidRPr="00E05465">
        <w:rPr>
          <w:rFonts w:asciiTheme="minorHAnsi" w:hAnsiTheme="minorHAnsi"/>
          <w:snapToGrid w:val="0"/>
          <w:lang w:val="en-GB"/>
        </w:rPr>
        <w:t>d</w:t>
      </w:r>
      <w:r w:rsidR="001676F7" w:rsidRPr="00E05465">
        <w:rPr>
          <w:rFonts w:asciiTheme="minorHAnsi" w:hAnsiTheme="minorHAnsi"/>
          <w:snapToGrid w:val="0"/>
          <w:lang w:val="en-GB"/>
        </w:rPr>
        <w:t xml:space="preserve"> not result in a lower </w:t>
      </w:r>
      <w:r w:rsidR="00AA0B21" w:rsidRPr="00E05465">
        <w:rPr>
          <w:rFonts w:asciiTheme="minorHAnsi" w:hAnsiTheme="minorHAnsi"/>
          <w:snapToGrid w:val="0"/>
          <w:lang w:val="en-GB"/>
        </w:rPr>
        <w:t xml:space="preserve">equi-effective </w:t>
      </w:r>
      <w:r w:rsidR="001676F7" w:rsidRPr="00E05465">
        <w:rPr>
          <w:rFonts w:asciiTheme="minorHAnsi" w:hAnsiTheme="minorHAnsi"/>
          <w:snapToGrid w:val="0"/>
          <w:lang w:val="en-GB"/>
        </w:rPr>
        <w:t xml:space="preserve">price than was offered and </w:t>
      </w:r>
      <w:r w:rsidRPr="00E05465">
        <w:rPr>
          <w:rFonts w:asciiTheme="minorHAnsi" w:hAnsiTheme="minorHAnsi"/>
          <w:snapToGrid w:val="0"/>
          <w:lang w:val="en-GB"/>
        </w:rPr>
        <w:t xml:space="preserve">overall </w:t>
      </w:r>
      <w:r w:rsidR="001676F7" w:rsidRPr="00E05465">
        <w:rPr>
          <w:rFonts w:asciiTheme="minorHAnsi" w:hAnsiTheme="minorHAnsi"/>
          <w:snapToGrid w:val="0"/>
          <w:lang w:val="en-GB"/>
        </w:rPr>
        <w:t xml:space="preserve">the Committee </w:t>
      </w:r>
      <w:r w:rsidRPr="00E05465">
        <w:rPr>
          <w:rFonts w:asciiTheme="minorHAnsi" w:hAnsiTheme="minorHAnsi"/>
          <w:snapToGrid w:val="0"/>
          <w:lang w:val="en-GB"/>
        </w:rPr>
        <w:t xml:space="preserve">was of the view the approach was </w:t>
      </w:r>
      <w:r w:rsidR="0074042B" w:rsidRPr="00E05465">
        <w:rPr>
          <w:rFonts w:asciiTheme="minorHAnsi" w:hAnsiTheme="minorHAnsi"/>
          <w:snapToGrid w:val="0"/>
          <w:lang w:val="en-GB"/>
        </w:rPr>
        <w:t xml:space="preserve">acceptable as it </w:t>
      </w:r>
      <w:r w:rsidR="001676F7" w:rsidRPr="00E05465">
        <w:rPr>
          <w:rFonts w:asciiTheme="minorHAnsi" w:hAnsiTheme="minorHAnsi"/>
          <w:snapToGrid w:val="0"/>
          <w:lang w:val="en-GB"/>
        </w:rPr>
        <w:t>would not</w:t>
      </w:r>
      <w:r w:rsidRPr="00E05465">
        <w:rPr>
          <w:rFonts w:asciiTheme="minorHAnsi" w:hAnsiTheme="minorHAnsi"/>
          <w:snapToGrid w:val="0"/>
          <w:lang w:val="en-GB"/>
        </w:rPr>
        <w:t xml:space="preserve"> be associated with additional costs over eculizumab. </w:t>
      </w:r>
    </w:p>
    <w:p w14:paraId="61B0A1E1" w14:textId="694FFC92" w:rsidR="002C1848" w:rsidRPr="00E05465" w:rsidRDefault="00883BDB" w:rsidP="002C1848">
      <w:pPr>
        <w:widowControl w:val="0"/>
        <w:numPr>
          <w:ilvl w:val="1"/>
          <w:numId w:val="1"/>
        </w:numPr>
        <w:spacing w:after="120"/>
      </w:pPr>
      <w:r w:rsidRPr="00E05465">
        <w:rPr>
          <w:rFonts w:asciiTheme="minorHAnsi" w:hAnsiTheme="minorHAnsi"/>
          <w:snapToGrid w:val="0"/>
          <w:lang w:val="en-GB"/>
        </w:rPr>
        <w:t xml:space="preserve">The PBAC considered that the assumption of two prevalent patients, with an incidence of </w:t>
      </w:r>
      <w:r w:rsidR="00CF1AA1" w:rsidRPr="00E05465">
        <w:rPr>
          <w:rFonts w:asciiTheme="minorHAnsi" w:hAnsiTheme="minorHAnsi"/>
          <w:snapToGrid w:val="0"/>
          <w:lang w:val="en-GB"/>
        </w:rPr>
        <w:t xml:space="preserve">zero </w:t>
      </w:r>
      <w:r w:rsidRPr="00E05465">
        <w:rPr>
          <w:rFonts w:asciiTheme="minorHAnsi" w:hAnsiTheme="minorHAnsi"/>
          <w:snapToGrid w:val="0"/>
          <w:lang w:val="en-GB"/>
        </w:rPr>
        <w:t>additional patients over 6 years was uncertain, however considered that given the relatively well</w:t>
      </w:r>
      <w:r w:rsidR="00392916" w:rsidRPr="00E05465">
        <w:rPr>
          <w:rFonts w:asciiTheme="minorHAnsi" w:hAnsiTheme="minorHAnsi"/>
          <w:snapToGrid w:val="0"/>
          <w:lang w:val="en-GB"/>
        </w:rPr>
        <w:t xml:space="preserve"> documented</w:t>
      </w:r>
      <w:r w:rsidRPr="00E05465">
        <w:rPr>
          <w:rFonts w:asciiTheme="minorHAnsi" w:hAnsiTheme="minorHAnsi"/>
          <w:snapToGrid w:val="0"/>
          <w:lang w:val="en-GB"/>
        </w:rPr>
        <w:t xml:space="preserve"> incidence of PNH in children</w:t>
      </w:r>
      <w:r w:rsidR="00392916" w:rsidRPr="00E05465">
        <w:rPr>
          <w:rFonts w:asciiTheme="minorHAnsi" w:hAnsiTheme="minorHAnsi"/>
          <w:snapToGrid w:val="0"/>
          <w:lang w:val="en-GB"/>
        </w:rPr>
        <w:t>,</w:t>
      </w:r>
      <w:r w:rsidRPr="00E05465">
        <w:rPr>
          <w:rFonts w:asciiTheme="minorHAnsi" w:hAnsiTheme="minorHAnsi"/>
          <w:snapToGrid w:val="0"/>
          <w:lang w:val="en-GB"/>
        </w:rPr>
        <w:t xml:space="preserve"> this estimate was likely to be reasonable</w:t>
      </w:r>
      <w:r w:rsidR="00392916" w:rsidRPr="00E05465">
        <w:rPr>
          <w:rFonts w:asciiTheme="minorHAnsi" w:hAnsiTheme="minorHAnsi"/>
          <w:snapToGrid w:val="0"/>
          <w:lang w:val="en-GB"/>
        </w:rPr>
        <w:t xml:space="preserve"> (although </w:t>
      </w:r>
      <w:r w:rsidR="00CF1AA1" w:rsidRPr="00E05465">
        <w:rPr>
          <w:rFonts w:asciiTheme="minorHAnsi" w:hAnsiTheme="minorHAnsi"/>
          <w:snapToGrid w:val="0"/>
          <w:lang w:val="en-GB"/>
        </w:rPr>
        <w:t>it w</w:t>
      </w:r>
      <w:r w:rsidR="00392916" w:rsidRPr="00E05465">
        <w:rPr>
          <w:rFonts w:asciiTheme="minorHAnsi" w:hAnsiTheme="minorHAnsi"/>
          <w:snapToGrid w:val="0"/>
          <w:lang w:val="en-GB"/>
        </w:rPr>
        <w:t>a</w:t>
      </w:r>
      <w:r w:rsidR="00CF1AA1" w:rsidRPr="00E05465">
        <w:rPr>
          <w:rFonts w:asciiTheme="minorHAnsi" w:hAnsiTheme="minorHAnsi"/>
          <w:snapToGrid w:val="0"/>
          <w:lang w:val="en-GB"/>
        </w:rPr>
        <w:t>s possible a</w:t>
      </w:r>
      <w:r w:rsidR="00392916" w:rsidRPr="00E05465">
        <w:rPr>
          <w:rFonts w:asciiTheme="minorHAnsi" w:hAnsiTheme="minorHAnsi"/>
          <w:snapToGrid w:val="0"/>
          <w:lang w:val="en-GB"/>
        </w:rPr>
        <w:t xml:space="preserve"> case may occur in this period)</w:t>
      </w:r>
      <w:r w:rsidRPr="00E05465">
        <w:rPr>
          <w:rFonts w:asciiTheme="minorHAnsi" w:hAnsiTheme="minorHAnsi"/>
          <w:snapToGrid w:val="0"/>
          <w:lang w:val="en-GB"/>
        </w:rPr>
        <w:t>.</w:t>
      </w:r>
      <w:r w:rsidR="0099015E" w:rsidRPr="00E05465">
        <w:rPr>
          <w:rFonts w:asciiTheme="minorHAnsi" w:hAnsiTheme="minorHAnsi"/>
          <w:snapToGrid w:val="0"/>
          <w:lang w:val="en-GB"/>
        </w:rPr>
        <w:t xml:space="preserve"> The PBAC noted the issues with double counting the number of ravu</w:t>
      </w:r>
      <w:r w:rsidR="003D0873" w:rsidRPr="00E05465">
        <w:rPr>
          <w:rFonts w:asciiTheme="minorHAnsi" w:hAnsiTheme="minorHAnsi"/>
          <w:snapToGrid w:val="0"/>
          <w:lang w:val="en-GB"/>
        </w:rPr>
        <w:t>liz</w:t>
      </w:r>
      <w:r w:rsidR="0099015E" w:rsidRPr="00E05465">
        <w:rPr>
          <w:rFonts w:asciiTheme="minorHAnsi" w:hAnsiTheme="minorHAnsi"/>
          <w:snapToGrid w:val="0"/>
          <w:lang w:val="en-GB"/>
        </w:rPr>
        <w:t xml:space="preserve">umab maintenance prescriptions and predicted MBS costs had been revised and accepted by the Sponsor (paragraph </w:t>
      </w:r>
      <w:r w:rsidR="0099015E" w:rsidRPr="00E05465">
        <w:rPr>
          <w:rFonts w:asciiTheme="minorHAnsi" w:hAnsiTheme="minorHAnsi"/>
          <w:snapToGrid w:val="0"/>
          <w:lang w:val="en-GB"/>
        </w:rPr>
        <w:fldChar w:fldCharType="begin" w:fldLock="1"/>
      </w:r>
      <w:r w:rsidR="0099015E" w:rsidRPr="00E05465">
        <w:rPr>
          <w:rFonts w:asciiTheme="minorHAnsi" w:hAnsiTheme="minorHAnsi"/>
          <w:snapToGrid w:val="0"/>
          <w:lang w:val="en-GB"/>
        </w:rPr>
        <w:instrText xml:space="preserve"> REF _Ref139462148 \r \h </w:instrText>
      </w:r>
      <w:r w:rsidR="0099015E" w:rsidRPr="00E05465">
        <w:rPr>
          <w:rFonts w:asciiTheme="minorHAnsi" w:hAnsiTheme="minorHAnsi"/>
          <w:snapToGrid w:val="0"/>
          <w:lang w:val="en-GB"/>
        </w:rPr>
      </w:r>
      <w:r w:rsidR="0099015E" w:rsidRPr="00E05465">
        <w:rPr>
          <w:rFonts w:asciiTheme="minorHAnsi" w:hAnsiTheme="minorHAnsi"/>
          <w:snapToGrid w:val="0"/>
          <w:lang w:val="en-GB"/>
        </w:rPr>
        <w:fldChar w:fldCharType="separate"/>
      </w:r>
      <w:r w:rsidR="00ED56D5" w:rsidRPr="00E05465">
        <w:rPr>
          <w:rFonts w:asciiTheme="minorHAnsi" w:hAnsiTheme="minorHAnsi"/>
          <w:snapToGrid w:val="0"/>
          <w:lang w:val="en-GB"/>
        </w:rPr>
        <w:t>6.57</w:t>
      </w:r>
      <w:r w:rsidR="0099015E" w:rsidRPr="00E05465">
        <w:rPr>
          <w:rFonts w:asciiTheme="minorHAnsi" w:hAnsiTheme="minorHAnsi"/>
          <w:snapToGrid w:val="0"/>
          <w:lang w:val="en-GB"/>
        </w:rPr>
        <w:fldChar w:fldCharType="end"/>
      </w:r>
      <w:r w:rsidR="0099015E" w:rsidRPr="00E05465">
        <w:rPr>
          <w:rFonts w:asciiTheme="minorHAnsi" w:hAnsiTheme="minorHAnsi"/>
          <w:snapToGrid w:val="0"/>
          <w:lang w:val="en-GB"/>
        </w:rPr>
        <w:t xml:space="preserve"> refers) and considered the revised financial estimates</w:t>
      </w:r>
      <w:r w:rsidR="00926EE5" w:rsidRPr="00E05465">
        <w:rPr>
          <w:rFonts w:asciiTheme="minorHAnsi" w:hAnsiTheme="minorHAnsi"/>
          <w:snapToGrid w:val="0"/>
          <w:lang w:val="en-GB"/>
        </w:rPr>
        <w:t>, which estimated a modest save to the PBS,</w:t>
      </w:r>
      <w:r w:rsidR="0099015E" w:rsidRPr="00E05465">
        <w:rPr>
          <w:rFonts w:asciiTheme="minorHAnsi" w:hAnsiTheme="minorHAnsi"/>
          <w:snapToGrid w:val="0"/>
          <w:lang w:val="en-GB"/>
        </w:rPr>
        <w:t xml:space="preserve"> were likely to be reasonable.</w:t>
      </w:r>
      <w:r w:rsidRPr="00E05465">
        <w:rPr>
          <w:rFonts w:asciiTheme="minorHAnsi" w:hAnsiTheme="minorHAnsi"/>
          <w:snapToGrid w:val="0"/>
          <w:lang w:val="en-GB"/>
        </w:rPr>
        <w:t xml:space="preserve"> The PBAC</w:t>
      </w:r>
      <w:r w:rsidR="0099015E" w:rsidRPr="00E05465">
        <w:rPr>
          <w:rFonts w:asciiTheme="minorHAnsi" w:hAnsiTheme="minorHAnsi"/>
          <w:snapToGrid w:val="0"/>
          <w:lang w:val="en-GB"/>
        </w:rPr>
        <w:t xml:space="preserve"> also</w:t>
      </w:r>
      <w:r w:rsidRPr="00E05465">
        <w:rPr>
          <w:rFonts w:asciiTheme="minorHAnsi" w:hAnsiTheme="minorHAnsi"/>
          <w:snapToGrid w:val="0"/>
          <w:lang w:val="en-GB"/>
        </w:rPr>
        <w:t xml:space="preserve"> considered the proposal of no increase to the current financial expenditure caps for PNH provided additional certainty as to the likely overall expenditure </w:t>
      </w:r>
      <w:r w:rsidR="0099015E" w:rsidRPr="00E05465">
        <w:rPr>
          <w:rFonts w:asciiTheme="minorHAnsi" w:hAnsiTheme="minorHAnsi"/>
          <w:snapToGrid w:val="0"/>
          <w:lang w:val="en-GB"/>
        </w:rPr>
        <w:t>on</w:t>
      </w:r>
      <w:r w:rsidRPr="00E05465">
        <w:rPr>
          <w:rFonts w:asciiTheme="minorHAnsi" w:hAnsiTheme="minorHAnsi"/>
          <w:snapToGrid w:val="0"/>
          <w:lang w:val="en-GB"/>
        </w:rPr>
        <w:t xml:space="preserve"> ravulizumab for PNH.</w:t>
      </w:r>
    </w:p>
    <w:p w14:paraId="74A6F813" w14:textId="31D36782" w:rsidR="002C1848" w:rsidRPr="00E05465" w:rsidRDefault="002C1848" w:rsidP="00883BDB">
      <w:pPr>
        <w:widowControl w:val="0"/>
        <w:numPr>
          <w:ilvl w:val="1"/>
          <w:numId w:val="1"/>
        </w:numPr>
        <w:spacing w:after="120"/>
        <w:rPr>
          <w:rFonts w:asciiTheme="minorHAnsi" w:hAnsiTheme="minorHAnsi"/>
          <w:snapToGrid w:val="0"/>
          <w:lang w:val="en-GB"/>
        </w:rPr>
      </w:pPr>
      <w:r w:rsidRPr="00E05465">
        <w:rPr>
          <w:rFonts w:asciiTheme="minorHAnsi" w:hAnsiTheme="minorHAnsi"/>
          <w:snapToGrid w:val="0"/>
          <w:lang w:val="en-GB"/>
        </w:rPr>
        <w:t xml:space="preserve">The PBAC noted that its recommendation was on a cost-minimisation basis and advised that, because </w:t>
      </w:r>
      <w:r w:rsidR="00883BDB" w:rsidRPr="00E05465">
        <w:rPr>
          <w:rFonts w:asciiTheme="minorHAnsi" w:hAnsiTheme="minorHAnsi"/>
          <w:snapToGrid w:val="0"/>
          <w:lang w:val="en-GB"/>
        </w:rPr>
        <w:t>ravulizumab</w:t>
      </w:r>
      <w:r w:rsidRPr="00E05465">
        <w:rPr>
          <w:rFonts w:asciiTheme="minorHAnsi" w:hAnsiTheme="minorHAnsi"/>
          <w:snapToGrid w:val="0"/>
          <w:lang w:val="en-GB"/>
        </w:rPr>
        <w:t xml:space="preserve"> is not expected to provide a substantial and clinically relevant improvement in efficacy, or reduction of toxicity, over </w:t>
      </w:r>
      <w:r w:rsidR="00883BDB" w:rsidRPr="00E05465">
        <w:rPr>
          <w:rFonts w:asciiTheme="minorHAnsi" w:hAnsiTheme="minorHAnsi"/>
          <w:snapToGrid w:val="0"/>
          <w:lang w:val="en-GB"/>
        </w:rPr>
        <w:t>eculizumab</w:t>
      </w:r>
      <w:r w:rsidRPr="00E05465">
        <w:rPr>
          <w:rFonts w:asciiTheme="minorHAnsi" w:hAnsiTheme="minorHAnsi"/>
          <w:snapToGrid w:val="0"/>
          <w:lang w:val="en-GB"/>
        </w:rPr>
        <w:t xml:space="preserve">, or not expected to address a high and urgent unmet clinical need given the presence of an alternative therapy, the criteria prescribed by the </w:t>
      </w:r>
      <w:r w:rsidRPr="00E05465">
        <w:rPr>
          <w:rFonts w:asciiTheme="minorHAnsi" w:hAnsiTheme="minorHAnsi"/>
          <w:i/>
          <w:iCs/>
          <w:snapToGrid w:val="0"/>
          <w:lang w:val="en-GB"/>
        </w:rPr>
        <w:t>National Health (Pharmaceuticals and Vaccines – Cost Recovery) Regulations 2022</w:t>
      </w:r>
      <w:r w:rsidRPr="00E05465">
        <w:rPr>
          <w:rFonts w:asciiTheme="minorHAnsi" w:hAnsiTheme="minorHAnsi"/>
          <w:snapToGrid w:val="0"/>
          <w:lang w:val="en-GB"/>
        </w:rPr>
        <w:t xml:space="preserve"> for Pricing Pathway A were not met.</w:t>
      </w:r>
    </w:p>
    <w:p w14:paraId="4487DD2C" w14:textId="11CA1E23" w:rsidR="002C1848" w:rsidRPr="00E05465" w:rsidRDefault="002C1848" w:rsidP="002C1848">
      <w:pPr>
        <w:widowControl w:val="0"/>
        <w:numPr>
          <w:ilvl w:val="1"/>
          <w:numId w:val="1"/>
        </w:numPr>
        <w:spacing w:after="120"/>
        <w:rPr>
          <w:rFonts w:asciiTheme="minorHAnsi" w:hAnsiTheme="minorHAnsi"/>
          <w:snapToGrid w:val="0"/>
          <w:lang w:val="en-GB"/>
        </w:rPr>
      </w:pPr>
      <w:r w:rsidRPr="00E05465">
        <w:rPr>
          <w:rFonts w:asciiTheme="minorHAnsi" w:hAnsiTheme="minorHAnsi"/>
          <w:snapToGrid w:val="0"/>
          <w:lang w:val="en-GB"/>
        </w:rPr>
        <w:lastRenderedPageBreak/>
        <w:t>The PBAC noted that this submission is not eligible for an Independent Review</w:t>
      </w:r>
      <w:r w:rsidR="00883BDB" w:rsidRPr="00E05465">
        <w:rPr>
          <w:rFonts w:asciiTheme="minorHAnsi" w:hAnsiTheme="minorHAnsi"/>
          <w:snapToGrid w:val="0"/>
          <w:lang w:val="en-GB"/>
        </w:rPr>
        <w:t xml:space="preserve"> as it received a positive recommendation</w:t>
      </w:r>
      <w:r w:rsidRPr="00E05465">
        <w:rPr>
          <w:rFonts w:asciiTheme="minorHAnsi" w:hAnsiTheme="minorHAnsi"/>
          <w:snapToGrid w:val="0"/>
          <w:lang w:val="en-GB"/>
        </w:rPr>
        <w:t xml:space="preserve">. </w:t>
      </w:r>
    </w:p>
    <w:p w14:paraId="1200A812" w14:textId="77777777" w:rsidR="002C1848" w:rsidRPr="00E05465" w:rsidRDefault="002C1848" w:rsidP="002C1848">
      <w:pPr>
        <w:spacing w:before="240"/>
        <w:rPr>
          <w:rFonts w:asciiTheme="minorHAnsi" w:hAnsiTheme="minorHAnsi"/>
          <w:b/>
          <w:bCs/>
          <w:snapToGrid w:val="0"/>
          <w:lang w:val="en-GB"/>
        </w:rPr>
      </w:pPr>
      <w:r w:rsidRPr="00E05465">
        <w:rPr>
          <w:rFonts w:asciiTheme="minorHAnsi" w:hAnsiTheme="minorHAnsi"/>
          <w:b/>
          <w:bCs/>
          <w:snapToGrid w:val="0"/>
          <w:lang w:val="en-GB"/>
        </w:rPr>
        <w:t>Outcome:</w:t>
      </w:r>
    </w:p>
    <w:p w14:paraId="3E3C82FF" w14:textId="671CF4A5" w:rsidR="002C1848" w:rsidRPr="00E05465" w:rsidRDefault="002C1848" w:rsidP="002C1848">
      <w:pPr>
        <w:rPr>
          <w:rFonts w:asciiTheme="minorHAnsi" w:hAnsiTheme="minorHAnsi"/>
          <w:bCs/>
          <w:snapToGrid w:val="0"/>
          <w:lang w:val="en-GB"/>
        </w:rPr>
      </w:pPr>
      <w:r w:rsidRPr="00E05465">
        <w:rPr>
          <w:rFonts w:asciiTheme="minorHAnsi" w:hAnsiTheme="minorHAnsi"/>
          <w:bCs/>
          <w:snapToGrid w:val="0"/>
          <w:lang w:val="en-GB"/>
        </w:rPr>
        <w:t>Recommended</w:t>
      </w:r>
    </w:p>
    <w:bookmarkEnd w:id="72"/>
    <w:p w14:paraId="30960774" w14:textId="686DE45E" w:rsidR="002C1848" w:rsidRPr="00E05465" w:rsidRDefault="002C1848" w:rsidP="00316B88">
      <w:pPr>
        <w:pStyle w:val="2-SectionHeading"/>
        <w:numPr>
          <w:ilvl w:val="0"/>
          <w:numId w:val="1"/>
        </w:numPr>
      </w:pPr>
      <w:r w:rsidRPr="00E05465">
        <w:t xml:space="preserve">Recommended </w:t>
      </w:r>
      <w:proofErr w:type="gramStart"/>
      <w:r w:rsidRPr="00E05465">
        <w:t>listing</w:t>
      </w:r>
      <w:proofErr w:type="gramEnd"/>
    </w:p>
    <w:p w14:paraId="1D2B924B" w14:textId="1804D644" w:rsidR="002C1848" w:rsidRPr="00E05465" w:rsidRDefault="002C1848" w:rsidP="0099015E">
      <w:pPr>
        <w:widowControl w:val="0"/>
        <w:numPr>
          <w:ilvl w:val="1"/>
          <w:numId w:val="1"/>
        </w:numPr>
        <w:spacing w:after="120"/>
        <w:contextualSpacing/>
        <w:rPr>
          <w:rFonts w:asciiTheme="minorHAnsi" w:hAnsiTheme="minorHAnsi"/>
          <w:bCs/>
          <w:snapToGrid w:val="0"/>
        </w:rPr>
      </w:pPr>
      <w:r w:rsidRPr="00E05465">
        <w:rPr>
          <w:rFonts w:asciiTheme="minorHAnsi" w:hAnsiTheme="minorHAnsi"/>
          <w:bCs/>
          <w:snapToGrid w:val="0"/>
        </w:rPr>
        <w:t>Amend existing/recommended listing as follows:</w:t>
      </w:r>
    </w:p>
    <w:bookmarkEnd w:id="73"/>
    <w:p w14:paraId="0D85D36A" w14:textId="1F956FA9" w:rsidR="002C1848" w:rsidRPr="00E05465" w:rsidRDefault="002C1848" w:rsidP="0099015E">
      <w:pPr>
        <w:widowControl w:val="0"/>
        <w:rPr>
          <w:rFonts w:asciiTheme="minorHAnsi" w:hAnsiTheme="minorHAnsi"/>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0"/>
        <w:gridCol w:w="848"/>
        <w:gridCol w:w="846"/>
        <w:gridCol w:w="845"/>
        <w:gridCol w:w="1128"/>
      </w:tblGrid>
      <w:tr w:rsidR="00E05465" w:rsidRPr="00E05465" w14:paraId="3A482B76" w14:textId="77777777" w:rsidTr="0099015E">
        <w:trPr>
          <w:cantSplit/>
          <w:trHeight w:val="471"/>
        </w:trPr>
        <w:tc>
          <w:tcPr>
            <w:tcW w:w="5350" w:type="dxa"/>
            <w:vAlign w:val="center"/>
          </w:tcPr>
          <w:p w14:paraId="68B3ADB6" w14:textId="77777777" w:rsidR="0099015E" w:rsidRPr="00E05465" w:rsidRDefault="0099015E" w:rsidP="0099015E">
            <w:pPr>
              <w:keepLines/>
              <w:jc w:val="left"/>
              <w:rPr>
                <w:rFonts w:ascii="Arial Narrow" w:hAnsi="Arial Narrow"/>
                <w:b/>
                <w:bCs/>
                <w:sz w:val="20"/>
                <w:szCs w:val="20"/>
              </w:rPr>
            </w:pPr>
            <w:r w:rsidRPr="00E05465">
              <w:rPr>
                <w:rFonts w:ascii="Arial Narrow" w:hAnsi="Arial Narrow"/>
                <w:b/>
                <w:bCs/>
                <w:sz w:val="20"/>
                <w:szCs w:val="20"/>
              </w:rPr>
              <w:t>MEDICINAL PRODUCT</w:t>
            </w:r>
          </w:p>
          <w:p w14:paraId="741DD230" w14:textId="5401BC40" w:rsidR="0099015E" w:rsidRPr="00E05465" w:rsidRDefault="0099015E" w:rsidP="0099015E">
            <w:pPr>
              <w:ind w:left="-108"/>
              <w:jc w:val="left"/>
              <w:rPr>
                <w:rFonts w:ascii="Arial Narrow" w:hAnsi="Arial Narrow"/>
                <w:b/>
                <w:sz w:val="20"/>
                <w:szCs w:val="20"/>
              </w:rPr>
            </w:pPr>
            <w:r w:rsidRPr="00E05465">
              <w:rPr>
                <w:rFonts w:ascii="Arial Narrow" w:hAnsi="Arial Narrow"/>
                <w:b/>
                <w:bCs/>
                <w:sz w:val="20"/>
                <w:szCs w:val="20"/>
              </w:rPr>
              <w:t xml:space="preserve">  medicinal product pack</w:t>
            </w:r>
          </w:p>
        </w:tc>
        <w:tc>
          <w:tcPr>
            <w:tcW w:w="848" w:type="dxa"/>
          </w:tcPr>
          <w:p w14:paraId="37157C9D" w14:textId="77777777" w:rsidR="0099015E" w:rsidRPr="00E05465" w:rsidRDefault="0099015E" w:rsidP="00E57EE5">
            <w:pPr>
              <w:ind w:left="-108"/>
              <w:jc w:val="center"/>
              <w:rPr>
                <w:rFonts w:ascii="Arial Narrow" w:hAnsi="Arial Narrow"/>
                <w:b/>
                <w:sz w:val="20"/>
                <w:szCs w:val="20"/>
              </w:rPr>
            </w:pPr>
            <w:r w:rsidRPr="00E05465">
              <w:rPr>
                <w:rFonts w:ascii="Arial Narrow" w:hAnsi="Arial Narrow"/>
                <w:b/>
                <w:sz w:val="20"/>
                <w:szCs w:val="20"/>
              </w:rPr>
              <w:t xml:space="preserve">Max. qty packs </w:t>
            </w:r>
          </w:p>
        </w:tc>
        <w:tc>
          <w:tcPr>
            <w:tcW w:w="846" w:type="dxa"/>
          </w:tcPr>
          <w:p w14:paraId="4E5A7291" w14:textId="77777777" w:rsidR="0099015E" w:rsidRPr="00E05465" w:rsidRDefault="0099015E" w:rsidP="00E57EE5">
            <w:pPr>
              <w:ind w:left="-108"/>
              <w:jc w:val="center"/>
              <w:rPr>
                <w:rFonts w:ascii="Arial Narrow" w:hAnsi="Arial Narrow"/>
                <w:b/>
                <w:sz w:val="20"/>
                <w:szCs w:val="20"/>
              </w:rPr>
            </w:pPr>
            <w:r w:rsidRPr="00E05465">
              <w:rPr>
                <w:rFonts w:ascii="Arial Narrow" w:hAnsi="Arial Narrow"/>
                <w:b/>
                <w:sz w:val="20"/>
                <w:szCs w:val="20"/>
              </w:rPr>
              <w:t xml:space="preserve"> Max. qty units</w:t>
            </w:r>
          </w:p>
        </w:tc>
        <w:tc>
          <w:tcPr>
            <w:tcW w:w="845" w:type="dxa"/>
          </w:tcPr>
          <w:p w14:paraId="7EEA1537" w14:textId="638EA7E0" w:rsidR="0099015E" w:rsidRPr="00E05465" w:rsidRDefault="0099015E" w:rsidP="00E57EE5">
            <w:pPr>
              <w:ind w:left="-108"/>
              <w:jc w:val="center"/>
              <w:rPr>
                <w:rFonts w:ascii="Arial Narrow" w:hAnsi="Arial Narrow"/>
                <w:b/>
                <w:sz w:val="20"/>
                <w:szCs w:val="20"/>
              </w:rPr>
            </w:pPr>
            <w:r w:rsidRPr="00E05465">
              <w:rPr>
                <w:rFonts w:ascii="Arial Narrow" w:hAnsi="Arial Narrow"/>
                <w:b/>
                <w:sz w:val="20"/>
                <w:szCs w:val="20"/>
              </w:rPr>
              <w:t xml:space="preserve"> </w:t>
            </w:r>
            <w:r w:rsidR="00ED56D5" w:rsidRPr="00E05465">
              <w:rPr>
                <w:rFonts w:ascii="Arial Narrow" w:hAnsi="Arial Narrow"/>
                <w:b/>
                <w:sz w:val="20"/>
                <w:szCs w:val="20"/>
              </w:rPr>
              <w:t>№. of</w:t>
            </w:r>
            <w:r w:rsidRPr="00E05465">
              <w:rPr>
                <w:rFonts w:ascii="Arial Narrow" w:hAnsi="Arial Narrow"/>
                <w:b/>
                <w:sz w:val="20"/>
                <w:szCs w:val="20"/>
              </w:rPr>
              <w:t xml:space="preserve"> Rpts</w:t>
            </w:r>
          </w:p>
        </w:tc>
        <w:tc>
          <w:tcPr>
            <w:tcW w:w="1128" w:type="dxa"/>
          </w:tcPr>
          <w:p w14:paraId="753CD870" w14:textId="77777777" w:rsidR="0099015E" w:rsidRPr="00E05465" w:rsidRDefault="0099015E" w:rsidP="00E57EE5">
            <w:pPr>
              <w:rPr>
                <w:rFonts w:ascii="Arial Narrow" w:hAnsi="Arial Narrow"/>
                <w:b/>
                <w:sz w:val="20"/>
                <w:szCs w:val="20"/>
              </w:rPr>
            </w:pPr>
            <w:r w:rsidRPr="00E05465">
              <w:rPr>
                <w:rFonts w:ascii="Arial Narrow" w:hAnsi="Arial Narrow"/>
                <w:b/>
                <w:sz w:val="20"/>
                <w:szCs w:val="20"/>
              </w:rPr>
              <w:t>Available brands</w:t>
            </w:r>
          </w:p>
        </w:tc>
      </w:tr>
      <w:tr w:rsidR="00E05465" w:rsidRPr="00E05465" w14:paraId="1BEC6708" w14:textId="77777777" w:rsidTr="0099015E">
        <w:trPr>
          <w:cantSplit/>
          <w:trHeight w:val="60"/>
        </w:trPr>
        <w:tc>
          <w:tcPr>
            <w:tcW w:w="9017" w:type="dxa"/>
            <w:gridSpan w:val="5"/>
          </w:tcPr>
          <w:p w14:paraId="7DB8218F"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RAVULIZUMAB</w:t>
            </w:r>
          </w:p>
        </w:tc>
      </w:tr>
      <w:tr w:rsidR="00E05465" w:rsidRPr="00E05465" w14:paraId="4E71237F" w14:textId="77777777" w:rsidTr="00176EB4">
        <w:trPr>
          <w:cantSplit/>
          <w:trHeight w:val="359"/>
        </w:trPr>
        <w:tc>
          <w:tcPr>
            <w:tcW w:w="5350" w:type="dxa"/>
          </w:tcPr>
          <w:p w14:paraId="03756C43" w14:textId="518B34EA" w:rsidR="0099015E" w:rsidRPr="00E05465" w:rsidRDefault="0099015E" w:rsidP="0099015E">
            <w:pPr>
              <w:jc w:val="left"/>
              <w:rPr>
                <w:rFonts w:ascii="Arial Narrow" w:hAnsi="Arial Narrow"/>
                <w:sz w:val="20"/>
                <w:szCs w:val="20"/>
              </w:rPr>
            </w:pPr>
            <w:r w:rsidRPr="00E05465">
              <w:rPr>
                <w:rFonts w:ascii="Arial Narrow" w:hAnsi="Arial Narrow"/>
                <w:sz w:val="20"/>
                <w:szCs w:val="20"/>
              </w:rPr>
              <w:t>Ravulizumab 300 mg/3 mL injection, 3 mL vial</w:t>
            </w:r>
          </w:p>
        </w:tc>
        <w:tc>
          <w:tcPr>
            <w:tcW w:w="848" w:type="dxa"/>
          </w:tcPr>
          <w:p w14:paraId="4AC6E68F" w14:textId="77777777" w:rsidR="0099015E" w:rsidRPr="00E05465" w:rsidRDefault="0099015E" w:rsidP="00E57EE5">
            <w:pPr>
              <w:jc w:val="center"/>
              <w:rPr>
                <w:rFonts w:ascii="Arial Narrow" w:hAnsi="Arial Narrow"/>
                <w:sz w:val="20"/>
                <w:szCs w:val="20"/>
              </w:rPr>
            </w:pPr>
            <w:r w:rsidRPr="00E05465">
              <w:rPr>
                <w:rFonts w:ascii="Arial Narrow" w:hAnsi="Arial Narrow"/>
                <w:sz w:val="20"/>
                <w:szCs w:val="20"/>
              </w:rPr>
              <w:t>1</w:t>
            </w:r>
          </w:p>
        </w:tc>
        <w:tc>
          <w:tcPr>
            <w:tcW w:w="846" w:type="dxa"/>
          </w:tcPr>
          <w:p w14:paraId="4B87D9D6" w14:textId="77777777" w:rsidR="0099015E" w:rsidRPr="00E05465" w:rsidRDefault="0099015E" w:rsidP="00E57EE5">
            <w:pPr>
              <w:jc w:val="center"/>
              <w:rPr>
                <w:rFonts w:ascii="Arial Narrow" w:hAnsi="Arial Narrow"/>
                <w:sz w:val="20"/>
                <w:szCs w:val="20"/>
              </w:rPr>
            </w:pPr>
            <w:r w:rsidRPr="00E05465">
              <w:rPr>
                <w:rFonts w:ascii="Arial Narrow" w:hAnsi="Arial Narrow"/>
                <w:sz w:val="20"/>
                <w:szCs w:val="20"/>
              </w:rPr>
              <w:t>1</w:t>
            </w:r>
          </w:p>
        </w:tc>
        <w:tc>
          <w:tcPr>
            <w:tcW w:w="845" w:type="dxa"/>
          </w:tcPr>
          <w:p w14:paraId="35BCB112" w14:textId="77777777" w:rsidR="0099015E" w:rsidRPr="00E05465" w:rsidRDefault="0099015E" w:rsidP="00E57EE5">
            <w:pPr>
              <w:jc w:val="center"/>
              <w:rPr>
                <w:rFonts w:ascii="Arial Narrow" w:eastAsiaTheme="majorEastAsia" w:hAnsi="Arial Narrow" w:cstheme="majorBidi"/>
                <w:bCs/>
                <w:sz w:val="20"/>
              </w:rPr>
            </w:pPr>
            <w:r w:rsidRPr="00E05465">
              <w:rPr>
                <w:rFonts w:ascii="Arial Narrow" w:eastAsiaTheme="majorEastAsia" w:hAnsi="Arial Narrow" w:cstheme="majorBidi"/>
                <w:bCs/>
                <w:sz w:val="20"/>
              </w:rPr>
              <w:t>2</w:t>
            </w:r>
          </w:p>
        </w:tc>
        <w:tc>
          <w:tcPr>
            <w:tcW w:w="1128" w:type="dxa"/>
          </w:tcPr>
          <w:p w14:paraId="22E1E093" w14:textId="77777777" w:rsidR="0099015E" w:rsidRPr="00E05465" w:rsidRDefault="0099015E" w:rsidP="00E57EE5">
            <w:pPr>
              <w:jc w:val="center"/>
              <w:rPr>
                <w:rFonts w:ascii="Arial Narrow" w:hAnsi="Arial Narrow"/>
                <w:sz w:val="20"/>
                <w:szCs w:val="20"/>
              </w:rPr>
            </w:pPr>
            <w:r w:rsidRPr="00E05465">
              <w:rPr>
                <w:rFonts w:ascii="Arial Narrow" w:hAnsi="Arial Narrow"/>
                <w:sz w:val="20"/>
                <w:szCs w:val="20"/>
              </w:rPr>
              <w:t>Ultomiris</w:t>
            </w:r>
          </w:p>
        </w:tc>
      </w:tr>
      <w:tr w:rsidR="00E05465" w:rsidRPr="00E05465" w14:paraId="4E33DFD4" w14:textId="77777777" w:rsidTr="0099015E">
        <w:trPr>
          <w:cantSplit/>
          <w:trHeight w:val="347"/>
        </w:trPr>
        <w:tc>
          <w:tcPr>
            <w:tcW w:w="5350" w:type="dxa"/>
          </w:tcPr>
          <w:p w14:paraId="77AD218B" w14:textId="4A8B27D4" w:rsidR="0099015E" w:rsidRPr="00E05465" w:rsidRDefault="0099015E" w:rsidP="0099015E">
            <w:pPr>
              <w:jc w:val="left"/>
              <w:rPr>
                <w:rFonts w:ascii="Arial Narrow" w:hAnsi="Arial Narrow"/>
                <w:sz w:val="20"/>
                <w:szCs w:val="20"/>
              </w:rPr>
            </w:pPr>
            <w:r w:rsidRPr="00E05465">
              <w:rPr>
                <w:rFonts w:ascii="Arial Narrow" w:hAnsi="Arial Narrow"/>
                <w:sz w:val="20"/>
                <w:szCs w:val="20"/>
              </w:rPr>
              <w:t>Ravulizumab 1.1 g/11 mL injection, 11 mL vial</w:t>
            </w:r>
          </w:p>
        </w:tc>
        <w:tc>
          <w:tcPr>
            <w:tcW w:w="848" w:type="dxa"/>
          </w:tcPr>
          <w:p w14:paraId="47ECC9FB" w14:textId="77777777" w:rsidR="0099015E" w:rsidRPr="00E05465" w:rsidRDefault="0099015E" w:rsidP="00E57EE5">
            <w:pPr>
              <w:jc w:val="center"/>
              <w:rPr>
                <w:rFonts w:ascii="Arial Narrow" w:hAnsi="Arial Narrow"/>
                <w:sz w:val="20"/>
                <w:szCs w:val="20"/>
              </w:rPr>
            </w:pPr>
            <w:r w:rsidRPr="00E05465">
              <w:rPr>
                <w:rFonts w:ascii="Arial Narrow" w:hAnsi="Arial Narrow"/>
                <w:sz w:val="20"/>
                <w:szCs w:val="20"/>
              </w:rPr>
              <w:t>1</w:t>
            </w:r>
          </w:p>
        </w:tc>
        <w:tc>
          <w:tcPr>
            <w:tcW w:w="846" w:type="dxa"/>
          </w:tcPr>
          <w:p w14:paraId="620D7F05" w14:textId="77777777" w:rsidR="0099015E" w:rsidRPr="00E05465" w:rsidRDefault="0099015E" w:rsidP="00E57EE5">
            <w:pPr>
              <w:jc w:val="center"/>
              <w:rPr>
                <w:rFonts w:ascii="Arial Narrow" w:hAnsi="Arial Narrow"/>
                <w:sz w:val="20"/>
                <w:szCs w:val="20"/>
              </w:rPr>
            </w:pPr>
            <w:r w:rsidRPr="00E05465">
              <w:rPr>
                <w:rFonts w:ascii="Arial Narrow" w:hAnsi="Arial Narrow"/>
                <w:sz w:val="20"/>
                <w:szCs w:val="20"/>
              </w:rPr>
              <w:t>1</w:t>
            </w:r>
          </w:p>
        </w:tc>
        <w:tc>
          <w:tcPr>
            <w:tcW w:w="845" w:type="dxa"/>
          </w:tcPr>
          <w:p w14:paraId="3ACEBEAE" w14:textId="77777777" w:rsidR="0099015E" w:rsidRPr="00E05465" w:rsidRDefault="0099015E" w:rsidP="00E57EE5">
            <w:pPr>
              <w:jc w:val="center"/>
              <w:rPr>
                <w:rFonts w:ascii="Arial Narrow" w:hAnsi="Arial Narrow"/>
                <w:sz w:val="20"/>
                <w:szCs w:val="20"/>
              </w:rPr>
            </w:pPr>
            <w:r w:rsidRPr="00E05465">
              <w:rPr>
                <w:rFonts w:ascii="Arial Narrow" w:eastAsiaTheme="majorEastAsia" w:hAnsi="Arial Narrow" w:cstheme="majorBidi"/>
                <w:bCs/>
                <w:sz w:val="20"/>
              </w:rPr>
              <w:t>2</w:t>
            </w:r>
          </w:p>
        </w:tc>
        <w:tc>
          <w:tcPr>
            <w:tcW w:w="1128" w:type="dxa"/>
          </w:tcPr>
          <w:p w14:paraId="2875E737" w14:textId="77777777" w:rsidR="0099015E" w:rsidRPr="00E05465" w:rsidRDefault="0099015E" w:rsidP="00E57EE5">
            <w:pPr>
              <w:jc w:val="center"/>
              <w:rPr>
                <w:rFonts w:ascii="Arial Narrow" w:hAnsi="Arial Narrow"/>
                <w:sz w:val="20"/>
                <w:szCs w:val="20"/>
              </w:rPr>
            </w:pPr>
            <w:r w:rsidRPr="00E05465">
              <w:rPr>
                <w:rFonts w:ascii="Arial Narrow" w:hAnsi="Arial Narrow"/>
                <w:sz w:val="20"/>
                <w:szCs w:val="20"/>
              </w:rPr>
              <w:t>Ultomiris</w:t>
            </w:r>
          </w:p>
        </w:tc>
      </w:tr>
      <w:tr w:rsidR="00E05465" w:rsidRPr="00E05465" w14:paraId="2CFAA2D2"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Borders>
              <w:top w:val="single" w:sz="4" w:space="0" w:color="auto"/>
              <w:left w:val="single" w:sz="4" w:space="0" w:color="auto"/>
              <w:bottom w:val="single" w:sz="4" w:space="0" w:color="auto"/>
              <w:right w:val="single" w:sz="4" w:space="0" w:color="auto"/>
            </w:tcBorders>
          </w:tcPr>
          <w:p w14:paraId="371EA05B" w14:textId="77777777" w:rsidR="0099015E" w:rsidRPr="00E05465" w:rsidRDefault="0099015E" w:rsidP="00E57EE5">
            <w:pPr>
              <w:rPr>
                <w:rFonts w:ascii="Arial Narrow" w:hAnsi="Arial Narrow"/>
                <w:b/>
                <w:sz w:val="20"/>
                <w:szCs w:val="20"/>
              </w:rPr>
            </w:pPr>
            <w:r w:rsidRPr="00E05465">
              <w:rPr>
                <w:rFonts w:ascii="Arial Narrow" w:hAnsi="Arial Narrow"/>
                <w:b/>
                <w:sz w:val="20"/>
                <w:szCs w:val="20"/>
              </w:rPr>
              <w:t>Proposed PBS restriction: initiation for complement inhibitor-naïve patients with PNH</w:t>
            </w:r>
          </w:p>
        </w:tc>
      </w:tr>
      <w:tr w:rsidR="00E05465" w:rsidRPr="00E05465" w14:paraId="41C438D3"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Borders>
              <w:top w:val="single" w:sz="4" w:space="0" w:color="auto"/>
              <w:left w:val="single" w:sz="4" w:space="0" w:color="auto"/>
              <w:bottom w:val="single" w:sz="4" w:space="0" w:color="auto"/>
              <w:right w:val="single" w:sz="4" w:space="0" w:color="auto"/>
            </w:tcBorders>
          </w:tcPr>
          <w:p w14:paraId="26450B03" w14:textId="77777777" w:rsidR="0099015E" w:rsidRPr="00E05465" w:rsidRDefault="0099015E" w:rsidP="00E57EE5">
            <w:pPr>
              <w:rPr>
                <w:rFonts w:ascii="Arial Narrow" w:hAnsi="Arial Narrow"/>
                <w:sz w:val="20"/>
                <w:szCs w:val="20"/>
              </w:rPr>
            </w:pPr>
            <w:r w:rsidRPr="00E05465">
              <w:rPr>
                <w:rFonts w:ascii="Arial Narrow" w:hAnsi="Arial Narrow"/>
                <w:b/>
                <w:sz w:val="20"/>
                <w:szCs w:val="20"/>
              </w:rPr>
              <w:t xml:space="preserve">Category / Program: </w:t>
            </w:r>
            <w:r w:rsidRPr="00E05465">
              <w:rPr>
                <w:rFonts w:ascii="Arial Narrow" w:hAnsi="Arial Narrow"/>
                <w:sz w:val="20"/>
                <w:szCs w:val="20"/>
              </w:rPr>
              <w:t>Section 100 – Highly Specialised Drugs Program (Public/Private)</w:t>
            </w:r>
          </w:p>
        </w:tc>
      </w:tr>
      <w:tr w:rsidR="00E05465" w:rsidRPr="00E05465" w14:paraId="5971669F" w14:textId="77777777" w:rsidTr="0099015E">
        <w:tblPrEx>
          <w:tblCellMar>
            <w:top w:w="15" w:type="dxa"/>
            <w:left w:w="15" w:type="dxa"/>
            <w:bottom w:w="15" w:type="dxa"/>
            <w:right w:w="15" w:type="dxa"/>
          </w:tblCellMar>
          <w:tblLook w:val="04A0" w:firstRow="1" w:lastRow="0" w:firstColumn="1" w:lastColumn="0" w:noHBand="0" w:noVBand="1"/>
        </w:tblPrEx>
        <w:trPr>
          <w:cantSplit/>
          <w:trHeight w:val="240"/>
        </w:trPr>
        <w:tc>
          <w:tcPr>
            <w:tcW w:w="9017" w:type="dxa"/>
            <w:gridSpan w:val="5"/>
            <w:tcBorders>
              <w:top w:val="single" w:sz="4" w:space="0" w:color="auto"/>
              <w:left w:val="single" w:sz="4" w:space="0" w:color="auto"/>
              <w:bottom w:val="single" w:sz="4" w:space="0" w:color="auto"/>
              <w:right w:val="single" w:sz="4" w:space="0" w:color="auto"/>
            </w:tcBorders>
          </w:tcPr>
          <w:p w14:paraId="1FC4BC1D" w14:textId="77777777" w:rsidR="0099015E" w:rsidRPr="00E05465" w:rsidRDefault="0099015E" w:rsidP="00E57EE5">
            <w:pPr>
              <w:rPr>
                <w:rFonts w:ascii="Arial Narrow" w:hAnsi="Arial Narrow"/>
                <w:b/>
                <w:sz w:val="20"/>
                <w:szCs w:val="20"/>
              </w:rPr>
            </w:pPr>
            <w:r w:rsidRPr="00E05465">
              <w:rPr>
                <w:rFonts w:ascii="Arial Narrow" w:hAnsi="Arial Narrow"/>
                <w:b/>
                <w:sz w:val="20"/>
                <w:szCs w:val="20"/>
              </w:rPr>
              <w:t>Prescriber type:</w:t>
            </w:r>
            <w:r w:rsidRPr="00E05465">
              <w:rPr>
                <w:rFonts w:ascii="Arial Narrow" w:hAnsi="Arial Narrow"/>
                <w:sz w:val="20"/>
                <w:szCs w:val="20"/>
              </w:rPr>
              <w:t xml:space="preserve"> </w:t>
            </w:r>
            <w:r w:rsidRPr="00E05465">
              <w:rPr>
                <w:rFonts w:ascii="Arial Narrow" w:hAnsi="Arial Narrow"/>
                <w:sz w:val="20"/>
                <w:szCs w:val="20"/>
              </w:rPr>
              <w:fldChar w:fldCharType="begin" w:fldLock="1">
                <w:ffData>
                  <w:name w:val=""/>
                  <w:enabled/>
                  <w:calcOnExit w:val="0"/>
                  <w:checkBox>
                    <w:sizeAuto/>
                    <w:default w:val="1"/>
                  </w:checkBox>
                </w:ffData>
              </w:fldChar>
            </w:r>
            <w:r w:rsidRPr="00E05465">
              <w:rPr>
                <w:rFonts w:ascii="Arial Narrow" w:hAnsi="Arial Narrow"/>
                <w:sz w:val="20"/>
                <w:szCs w:val="20"/>
              </w:rPr>
              <w:instrText xml:space="preserve"> FORMCHECKBOX </w:instrText>
            </w:r>
            <w:r w:rsidR="00687C33">
              <w:rPr>
                <w:rFonts w:ascii="Arial Narrow" w:hAnsi="Arial Narrow"/>
                <w:sz w:val="20"/>
                <w:szCs w:val="20"/>
              </w:rPr>
            </w:r>
            <w:r w:rsidR="00687C33">
              <w:rPr>
                <w:rFonts w:ascii="Arial Narrow" w:hAnsi="Arial Narrow"/>
                <w:sz w:val="20"/>
                <w:szCs w:val="20"/>
              </w:rPr>
              <w:fldChar w:fldCharType="separate"/>
            </w:r>
            <w:r w:rsidRPr="00E05465">
              <w:rPr>
                <w:rFonts w:ascii="Arial Narrow" w:hAnsi="Arial Narrow"/>
                <w:sz w:val="20"/>
                <w:szCs w:val="20"/>
              </w:rPr>
              <w:fldChar w:fldCharType="end"/>
            </w:r>
            <w:r w:rsidRPr="00E05465">
              <w:rPr>
                <w:rFonts w:ascii="Arial Narrow" w:hAnsi="Arial Narrow"/>
                <w:sz w:val="20"/>
                <w:szCs w:val="20"/>
              </w:rPr>
              <w:t>Medical Practitioners</w:t>
            </w:r>
          </w:p>
        </w:tc>
      </w:tr>
      <w:tr w:rsidR="00E05465" w:rsidRPr="00E05465" w14:paraId="76AC86E8"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Borders>
              <w:top w:val="single" w:sz="4" w:space="0" w:color="auto"/>
              <w:left w:val="single" w:sz="4" w:space="0" w:color="auto"/>
              <w:bottom w:val="single" w:sz="4" w:space="0" w:color="auto"/>
              <w:right w:val="single" w:sz="4" w:space="0" w:color="auto"/>
            </w:tcBorders>
          </w:tcPr>
          <w:p w14:paraId="6E7AC38A" w14:textId="77777777" w:rsidR="0099015E" w:rsidRPr="00E05465" w:rsidRDefault="0099015E" w:rsidP="00E57EE5">
            <w:pPr>
              <w:rPr>
                <w:rFonts w:ascii="Arial Narrow" w:eastAsia="Calibri" w:hAnsi="Arial Narrow"/>
                <w:sz w:val="20"/>
                <w:szCs w:val="20"/>
              </w:rPr>
            </w:pPr>
            <w:r w:rsidRPr="00E05465">
              <w:rPr>
                <w:rFonts w:ascii="Arial Narrow" w:hAnsi="Arial Narrow"/>
                <w:b/>
                <w:sz w:val="20"/>
                <w:szCs w:val="20"/>
              </w:rPr>
              <w:t xml:space="preserve">Restriction type: </w:t>
            </w:r>
            <w:r w:rsidRPr="00E05465">
              <w:rPr>
                <w:rFonts w:ascii="Arial Narrow" w:eastAsia="Calibri" w:hAnsi="Arial Narrow"/>
                <w:sz w:val="20"/>
                <w:szCs w:val="20"/>
              </w:rPr>
              <w:fldChar w:fldCharType="begin" w:fldLock="1">
                <w:ffData>
                  <w:name w:val=""/>
                  <w:enabled/>
                  <w:calcOnExit w:val="0"/>
                  <w:checkBox>
                    <w:sizeAuto/>
                    <w:default w:val="1"/>
                  </w:checkBox>
                </w:ffData>
              </w:fldChar>
            </w:r>
            <w:r w:rsidRPr="00E05465">
              <w:rPr>
                <w:rFonts w:ascii="Arial Narrow" w:eastAsia="Calibri" w:hAnsi="Arial Narrow"/>
                <w:sz w:val="20"/>
                <w:szCs w:val="20"/>
              </w:rPr>
              <w:instrText xml:space="preserve"> FORMCHECKBOX </w:instrText>
            </w:r>
            <w:r w:rsidR="00687C33">
              <w:rPr>
                <w:rFonts w:ascii="Arial Narrow" w:eastAsia="Calibri" w:hAnsi="Arial Narrow"/>
                <w:sz w:val="20"/>
                <w:szCs w:val="20"/>
              </w:rPr>
            </w:r>
            <w:r w:rsidR="00687C33">
              <w:rPr>
                <w:rFonts w:ascii="Arial Narrow" w:eastAsia="Calibri" w:hAnsi="Arial Narrow"/>
                <w:sz w:val="20"/>
                <w:szCs w:val="20"/>
              </w:rPr>
              <w:fldChar w:fldCharType="separate"/>
            </w:r>
            <w:r w:rsidRPr="00E05465">
              <w:rPr>
                <w:rFonts w:ascii="Arial Narrow" w:eastAsia="Calibri" w:hAnsi="Arial Narrow"/>
                <w:sz w:val="20"/>
                <w:szCs w:val="20"/>
              </w:rPr>
              <w:fldChar w:fldCharType="end"/>
            </w:r>
            <w:r w:rsidRPr="00E05465">
              <w:rPr>
                <w:rFonts w:ascii="Arial Narrow" w:eastAsia="Calibri" w:hAnsi="Arial Narrow"/>
                <w:sz w:val="20"/>
                <w:szCs w:val="20"/>
              </w:rPr>
              <w:t>Authority Required – written</w:t>
            </w:r>
          </w:p>
        </w:tc>
      </w:tr>
      <w:tr w:rsidR="00E05465" w:rsidRPr="00E05465" w14:paraId="16AA6B2E"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vAlign w:val="center"/>
          </w:tcPr>
          <w:p w14:paraId="53C06333" w14:textId="77777777" w:rsidR="0099015E" w:rsidRPr="00E05465" w:rsidRDefault="0099015E" w:rsidP="00E57EE5">
            <w:pPr>
              <w:rPr>
                <w:rFonts w:ascii="Arial Narrow" w:hAnsi="Arial Narrow"/>
                <w:bCs/>
                <w:sz w:val="20"/>
                <w:szCs w:val="20"/>
              </w:rPr>
            </w:pPr>
            <w:r w:rsidRPr="00E05465">
              <w:rPr>
                <w:rFonts w:ascii="Arial Narrow" w:hAnsi="Arial Narrow"/>
                <w:b/>
                <w:bCs/>
                <w:sz w:val="20"/>
                <w:szCs w:val="20"/>
              </w:rPr>
              <w:t xml:space="preserve">Episodicity: </w:t>
            </w:r>
            <w:r w:rsidRPr="00E05465">
              <w:rPr>
                <w:rFonts w:ascii="Arial Narrow" w:eastAsia="Calibri" w:hAnsi="Arial Narrow"/>
                <w:sz w:val="20"/>
                <w:szCs w:val="20"/>
              </w:rPr>
              <w:t xml:space="preserve">Not applicable </w:t>
            </w:r>
          </w:p>
        </w:tc>
      </w:tr>
      <w:tr w:rsidR="00E05465" w:rsidRPr="00E05465" w14:paraId="4C0AD88C"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vAlign w:val="center"/>
          </w:tcPr>
          <w:p w14:paraId="22DE7A69" w14:textId="77777777" w:rsidR="0099015E" w:rsidRPr="00E05465" w:rsidRDefault="0099015E" w:rsidP="00E57EE5">
            <w:pPr>
              <w:rPr>
                <w:rFonts w:ascii="Arial Narrow" w:hAnsi="Arial Narrow"/>
                <w:b/>
                <w:bCs/>
                <w:sz w:val="20"/>
                <w:szCs w:val="20"/>
              </w:rPr>
            </w:pPr>
            <w:r w:rsidRPr="00E05465">
              <w:rPr>
                <w:rFonts w:ascii="Arial Narrow" w:hAnsi="Arial Narrow"/>
                <w:b/>
                <w:bCs/>
                <w:sz w:val="20"/>
                <w:szCs w:val="20"/>
              </w:rPr>
              <w:t xml:space="preserve">Severity: </w:t>
            </w:r>
            <w:r w:rsidRPr="00E05465">
              <w:rPr>
                <w:rFonts w:ascii="Arial Narrow" w:eastAsia="Calibri" w:hAnsi="Arial Narrow"/>
                <w:sz w:val="20"/>
                <w:szCs w:val="20"/>
              </w:rPr>
              <w:t>Not applicable</w:t>
            </w:r>
          </w:p>
        </w:tc>
      </w:tr>
      <w:tr w:rsidR="00E05465" w:rsidRPr="00E05465" w14:paraId="5C048841"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vAlign w:val="center"/>
          </w:tcPr>
          <w:p w14:paraId="57225ADC" w14:textId="77777777" w:rsidR="0099015E" w:rsidRPr="00E05465" w:rsidRDefault="0099015E" w:rsidP="00E57EE5">
            <w:pPr>
              <w:rPr>
                <w:rFonts w:ascii="Arial Narrow" w:hAnsi="Arial Narrow"/>
                <w:b/>
                <w:bCs/>
                <w:sz w:val="20"/>
                <w:szCs w:val="20"/>
              </w:rPr>
            </w:pPr>
            <w:r w:rsidRPr="00E05465">
              <w:rPr>
                <w:rFonts w:ascii="Arial Narrow" w:hAnsi="Arial Narrow"/>
                <w:b/>
                <w:bCs/>
                <w:sz w:val="20"/>
                <w:szCs w:val="20"/>
              </w:rPr>
              <w:t xml:space="preserve">Condition: </w:t>
            </w:r>
            <w:r w:rsidRPr="00E05465">
              <w:rPr>
                <w:rFonts w:ascii="Arial Narrow" w:eastAsia="Calibri" w:hAnsi="Arial Narrow"/>
                <w:sz w:val="20"/>
                <w:szCs w:val="20"/>
              </w:rPr>
              <w:t>Paroxysmal nocturnal haemoglobinuria (PNH)</w:t>
            </w:r>
          </w:p>
        </w:tc>
      </w:tr>
      <w:tr w:rsidR="00E05465" w:rsidRPr="00E05465" w14:paraId="60A4C96B"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vAlign w:val="center"/>
            <w:hideMark/>
          </w:tcPr>
          <w:p w14:paraId="34EC19C1" w14:textId="77777777" w:rsidR="0099015E" w:rsidRPr="00E05465" w:rsidRDefault="0099015E" w:rsidP="00E57EE5">
            <w:pPr>
              <w:rPr>
                <w:rFonts w:ascii="Arial Narrow" w:eastAsia="Calibri" w:hAnsi="Arial Narrow"/>
                <w:sz w:val="20"/>
                <w:szCs w:val="20"/>
              </w:rPr>
            </w:pPr>
            <w:r w:rsidRPr="00E05465">
              <w:rPr>
                <w:rFonts w:ascii="Arial Narrow" w:eastAsia="Calibri" w:hAnsi="Arial Narrow"/>
                <w:b/>
                <w:sz w:val="20"/>
                <w:szCs w:val="20"/>
              </w:rPr>
              <w:t>Treatment Phase:</w:t>
            </w:r>
            <w:r w:rsidRPr="00E05465">
              <w:rPr>
                <w:rFonts w:ascii="Arial Narrow" w:eastAsia="Calibri" w:hAnsi="Arial Narrow"/>
                <w:sz w:val="20"/>
                <w:szCs w:val="20"/>
              </w:rPr>
              <w:t xml:space="preserve"> Initial treatment- Initial 1 (new patient)</w:t>
            </w:r>
          </w:p>
        </w:tc>
      </w:tr>
      <w:tr w:rsidR="00E05465" w:rsidRPr="00E05465" w14:paraId="4099D009"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vAlign w:val="center"/>
          </w:tcPr>
          <w:p w14:paraId="2CCFF294" w14:textId="77777777" w:rsidR="0099015E" w:rsidRPr="00E05465" w:rsidRDefault="0099015E" w:rsidP="00E57EE5">
            <w:pPr>
              <w:rPr>
                <w:rFonts w:ascii="Arial Narrow" w:eastAsia="Calibri" w:hAnsi="Arial Narrow"/>
                <w:b/>
                <w:sz w:val="20"/>
                <w:szCs w:val="20"/>
              </w:rPr>
            </w:pPr>
            <w:r w:rsidRPr="00E05465">
              <w:rPr>
                <w:rFonts w:ascii="Arial Narrow" w:eastAsia="Calibri" w:hAnsi="Arial Narrow"/>
                <w:b/>
                <w:sz w:val="20"/>
                <w:szCs w:val="20"/>
              </w:rPr>
              <w:t xml:space="preserve">Restriction: </w:t>
            </w:r>
            <w:r w:rsidRPr="00E05465">
              <w:rPr>
                <w:rFonts w:ascii="Arial Narrow" w:eastAsia="Calibri" w:hAnsi="Arial Narrow"/>
                <w:sz w:val="20"/>
                <w:szCs w:val="20"/>
              </w:rPr>
              <w:t>Authority Required - written</w:t>
            </w:r>
          </w:p>
        </w:tc>
      </w:tr>
      <w:tr w:rsidR="00E05465" w:rsidRPr="00E05465" w14:paraId="7F24B0C9"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vAlign w:val="center"/>
          </w:tcPr>
          <w:p w14:paraId="67CED2EB" w14:textId="77777777" w:rsidR="0099015E" w:rsidRPr="00E05465" w:rsidRDefault="0099015E" w:rsidP="00E57EE5">
            <w:pPr>
              <w:rPr>
                <w:rFonts w:ascii="Arial Narrow" w:eastAsia="Calibri" w:hAnsi="Arial Narrow"/>
                <w:bCs/>
                <w:sz w:val="20"/>
                <w:szCs w:val="20"/>
              </w:rPr>
            </w:pPr>
            <w:r w:rsidRPr="00E05465">
              <w:rPr>
                <w:rFonts w:ascii="Arial Narrow" w:eastAsia="Calibri" w:hAnsi="Arial Narrow"/>
                <w:b/>
                <w:sz w:val="20"/>
                <w:szCs w:val="20"/>
              </w:rPr>
              <w:t xml:space="preserve">Treatment criteria: </w:t>
            </w:r>
            <w:r w:rsidRPr="00E05465">
              <w:rPr>
                <w:rFonts w:ascii="Arial Narrow" w:eastAsia="Calibri" w:hAnsi="Arial Narrow"/>
                <w:bCs/>
                <w:sz w:val="20"/>
                <w:szCs w:val="20"/>
              </w:rPr>
              <w:t>Must be treated by a haematologist; OR</w:t>
            </w:r>
          </w:p>
          <w:p w14:paraId="047E5F8F" w14:textId="77777777" w:rsidR="0099015E" w:rsidRPr="00E05465" w:rsidRDefault="0099015E" w:rsidP="00E57EE5">
            <w:pPr>
              <w:rPr>
                <w:rFonts w:ascii="Arial Narrow" w:eastAsia="Calibri" w:hAnsi="Arial Narrow"/>
                <w:sz w:val="20"/>
                <w:szCs w:val="20"/>
              </w:rPr>
            </w:pPr>
            <w:r w:rsidRPr="00E05465">
              <w:rPr>
                <w:rFonts w:ascii="Arial Narrow" w:eastAsia="Calibri" w:hAnsi="Arial Narrow"/>
                <w:sz w:val="20"/>
                <w:szCs w:val="20"/>
              </w:rPr>
              <w:t>Must be treated by a non-specialist medical physician who has consulted a haematologist on the patient’s drug treatment details</w:t>
            </w:r>
          </w:p>
        </w:tc>
      </w:tr>
      <w:tr w:rsidR="00E05465" w:rsidRPr="00E05465" w14:paraId="18B35F7E"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hideMark/>
          </w:tcPr>
          <w:p w14:paraId="3D9F05EE" w14:textId="77777777" w:rsidR="0099015E" w:rsidRPr="00E05465" w:rsidRDefault="0099015E" w:rsidP="00E57EE5">
            <w:pPr>
              <w:rPr>
                <w:rFonts w:ascii="Arial Narrow" w:hAnsi="Arial Narrow"/>
                <w:b/>
                <w:sz w:val="20"/>
                <w:szCs w:val="20"/>
              </w:rPr>
            </w:pPr>
            <w:r w:rsidRPr="00E05465">
              <w:rPr>
                <w:rFonts w:ascii="Arial Narrow" w:hAnsi="Arial Narrow"/>
                <w:b/>
                <w:sz w:val="20"/>
                <w:szCs w:val="20"/>
              </w:rPr>
              <w:t>Clinical criteria:</w:t>
            </w:r>
          </w:p>
        </w:tc>
      </w:tr>
      <w:tr w:rsidR="00E05465" w:rsidRPr="00E05465" w14:paraId="5B77A076"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Pr>
          <w:p w14:paraId="34632B0F" w14:textId="77777777" w:rsidR="0099015E" w:rsidRPr="00E05465" w:rsidRDefault="0099015E" w:rsidP="00E57EE5">
            <w:pPr>
              <w:rPr>
                <w:rFonts w:ascii="Arial Narrow" w:hAnsi="Arial Narrow"/>
                <w:sz w:val="20"/>
                <w:szCs w:val="20"/>
              </w:rPr>
            </w:pPr>
            <w:r w:rsidRPr="00E05465">
              <w:rPr>
                <w:rFonts w:ascii="Arial Narrow" w:hAnsi="Arial Narrow"/>
                <w:bCs/>
                <w:sz w:val="20"/>
                <w:szCs w:val="20"/>
              </w:rPr>
              <w:t>Patient must not have received prior treatment with this drug for this condition, AND</w:t>
            </w:r>
          </w:p>
        </w:tc>
      </w:tr>
      <w:tr w:rsidR="00E05465" w:rsidRPr="00E05465" w14:paraId="7FA157BE"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hideMark/>
          </w:tcPr>
          <w:p w14:paraId="1753A9AF"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Patient must have a diagnosis of PNH established by flow cytometry, AND</w:t>
            </w:r>
          </w:p>
        </w:tc>
      </w:tr>
      <w:tr w:rsidR="00E05465" w:rsidRPr="00E05465" w14:paraId="5AAC01EB"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Pr>
          <w:p w14:paraId="6BB00490"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Patient must have a PNH granulocyte clone size equal to or greater than 10%, AND</w:t>
            </w:r>
          </w:p>
        </w:tc>
      </w:tr>
      <w:tr w:rsidR="00E05465" w:rsidRPr="00E05465" w14:paraId="0F7B2A03"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hideMark/>
          </w:tcPr>
          <w:p w14:paraId="13D28D15"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 xml:space="preserve">Patient must have a raised lactate dehydrogenase value at least 1.5 times the upper limit of normal, AND </w:t>
            </w:r>
          </w:p>
        </w:tc>
      </w:tr>
      <w:tr w:rsidR="00E05465" w:rsidRPr="00E05465" w14:paraId="4CB6A632"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Pr>
          <w:p w14:paraId="03075E3B"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Patient must have experienced a thrombotic/embolic event which required anticoagulant therapy; OR</w:t>
            </w:r>
          </w:p>
        </w:tc>
      </w:tr>
      <w:tr w:rsidR="00E05465" w:rsidRPr="00E05465" w14:paraId="63636974"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Pr>
          <w:p w14:paraId="16129ED1"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Patient must have been transfused with at least 4 units of red blood cells in the last 12 months, OR</w:t>
            </w:r>
          </w:p>
        </w:tc>
      </w:tr>
      <w:tr w:rsidR="00E05465" w:rsidRPr="00E05465" w14:paraId="36E12A97"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Pr>
          <w:p w14:paraId="77D16373" w14:textId="77777777" w:rsidR="0099015E" w:rsidRPr="00E05465" w:rsidRDefault="0099015E" w:rsidP="00E57EE5">
            <w:pPr>
              <w:rPr>
                <w:rFonts w:ascii="Arial Narrow" w:hAnsi="Arial Narrow"/>
                <w:sz w:val="20"/>
                <w:szCs w:val="20"/>
              </w:rPr>
            </w:pPr>
            <w:r w:rsidRPr="00E05465">
              <w:rPr>
                <w:rFonts w:ascii="Arial Narrow" w:hAnsi="Arial Narrow"/>
                <w:bCs/>
                <w:sz w:val="20"/>
                <w:szCs w:val="20"/>
              </w:rPr>
              <w:t>Patient must have chronic/recurrent anaemia, where causes other than haemolysis have been excluded, together with multiple haemoglobin measurements not exceeding 70 g/L in the absence of anaemia symptoms; OR</w:t>
            </w:r>
          </w:p>
        </w:tc>
      </w:tr>
      <w:tr w:rsidR="00E05465" w:rsidRPr="00E05465" w14:paraId="60C26F10"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Pr>
          <w:p w14:paraId="772BA769" w14:textId="77777777" w:rsidR="0099015E" w:rsidRPr="00E05465" w:rsidRDefault="0099015E" w:rsidP="00E57EE5">
            <w:pPr>
              <w:rPr>
                <w:rFonts w:ascii="Arial Narrow" w:hAnsi="Arial Narrow"/>
                <w:bCs/>
                <w:sz w:val="20"/>
                <w:szCs w:val="20"/>
              </w:rPr>
            </w:pPr>
            <w:r w:rsidRPr="00E05465">
              <w:rPr>
                <w:rFonts w:ascii="Arial Narrow" w:hAnsi="Arial Narrow"/>
                <w:sz w:val="20"/>
                <w:szCs w:val="20"/>
              </w:rPr>
              <w:t>Patient must have chronic/recurrent anaemia, where causes other than haemolysis have been excluded, together with multiple red blood cell measurements not exceeding 100 g/L in addition to having anaemia symptoms; OR</w:t>
            </w:r>
          </w:p>
        </w:tc>
      </w:tr>
      <w:tr w:rsidR="00E05465" w:rsidRPr="00E05465" w14:paraId="0B85C13C"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Pr>
          <w:p w14:paraId="1E2BA5D6"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Patient must have debilitating shortness of breath/chest pain resulting in limitation of normal activity (New York Heart Association Class III) and/or established diagnosis of pulmonary arterial hypertension, where causes other than PNH have been excluded; OR</w:t>
            </w:r>
          </w:p>
        </w:tc>
      </w:tr>
      <w:tr w:rsidR="00E05465" w:rsidRPr="00E05465" w14:paraId="778EC4C4"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Pr>
          <w:p w14:paraId="2552E102"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Patient must have a history of renal insufficiency, demonstrated by an eGFR less than or equal to 60 mL/min/1.73m</w:t>
            </w:r>
            <w:r w:rsidRPr="00E05465">
              <w:rPr>
                <w:rFonts w:ascii="Arial Narrow" w:hAnsi="Arial Narrow"/>
                <w:sz w:val="20"/>
                <w:szCs w:val="20"/>
                <w:vertAlign w:val="superscript"/>
              </w:rPr>
              <w:t>2</w:t>
            </w:r>
            <w:r w:rsidRPr="00E05465">
              <w:rPr>
                <w:rFonts w:ascii="Arial Narrow" w:hAnsi="Arial Narrow"/>
                <w:sz w:val="20"/>
                <w:szCs w:val="20"/>
              </w:rPr>
              <w:t>, where causes other than PNH have been excluded; OR</w:t>
            </w:r>
          </w:p>
        </w:tc>
      </w:tr>
      <w:tr w:rsidR="00E05465" w:rsidRPr="00E05465" w14:paraId="462A45BC"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Pr>
          <w:p w14:paraId="3B1F9880"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Patients must have recurrent episodes of severe pain requiring hospitalisation and/or narcotic analgesia, where causes other than PNH have been excluded, AND</w:t>
            </w:r>
          </w:p>
        </w:tc>
      </w:tr>
      <w:tr w:rsidR="00E05465" w:rsidRPr="00E05465" w14:paraId="5638144F"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Pr>
          <w:p w14:paraId="5EC211F7" w14:textId="77777777" w:rsidR="0099015E" w:rsidRPr="00E05465" w:rsidRDefault="0099015E" w:rsidP="00E57EE5">
            <w:pPr>
              <w:rPr>
                <w:rFonts w:ascii="Arial Narrow" w:hAnsi="Arial Narrow"/>
                <w:sz w:val="20"/>
                <w:szCs w:val="20"/>
              </w:rPr>
            </w:pPr>
            <w:r w:rsidRPr="00E05465">
              <w:rPr>
                <w:rFonts w:ascii="Arial Narrow" w:hAnsi="Arial Narrow"/>
                <w:bCs/>
                <w:sz w:val="20"/>
                <w:szCs w:val="20"/>
              </w:rPr>
              <w:t>The treatment must not be in combination with any of (i) another Complement 5 (C5) inhibitor, (ii) pegcetacoplan</w:t>
            </w:r>
          </w:p>
        </w:tc>
      </w:tr>
      <w:tr w:rsidR="00E05465" w:rsidRPr="00E05465" w14:paraId="2452694B"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Pr>
          <w:p w14:paraId="407003E6" w14:textId="77777777" w:rsidR="0099015E" w:rsidRPr="00E05465" w:rsidRDefault="0099015E" w:rsidP="00E57EE5">
            <w:pPr>
              <w:rPr>
                <w:rFonts w:ascii="Arial Narrow" w:hAnsi="Arial Narrow"/>
                <w:bCs/>
                <w:sz w:val="20"/>
                <w:szCs w:val="20"/>
              </w:rPr>
            </w:pPr>
            <w:r w:rsidRPr="00E05465">
              <w:rPr>
                <w:rFonts w:ascii="Arial Narrow" w:hAnsi="Arial Narrow" w:cstheme="minorHAnsi"/>
                <w:b/>
                <w:strike/>
                <w:sz w:val="20"/>
                <w:szCs w:val="20"/>
              </w:rPr>
              <w:t>Population criteria</w:t>
            </w:r>
            <w:r w:rsidRPr="00E05465">
              <w:rPr>
                <w:rFonts w:ascii="Arial Narrow" w:hAnsi="Arial Narrow" w:cstheme="minorHAnsi"/>
                <w:strike/>
                <w:sz w:val="20"/>
                <w:szCs w:val="20"/>
              </w:rPr>
              <w:t>: Patient must be at least 18 years of age.</w:t>
            </w:r>
          </w:p>
        </w:tc>
      </w:tr>
      <w:tr w:rsidR="00E05465" w:rsidRPr="00E05465" w14:paraId="39430BDD"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Pr>
          <w:p w14:paraId="089E3AD1" w14:textId="77777777" w:rsidR="0099015E" w:rsidRPr="00E05465" w:rsidRDefault="0099015E" w:rsidP="00E57EE5">
            <w:pPr>
              <w:rPr>
                <w:rFonts w:ascii="Arial Narrow" w:hAnsi="Arial Narrow" w:cstheme="minorHAnsi"/>
                <w:b/>
                <w:strike/>
                <w:sz w:val="20"/>
                <w:szCs w:val="20"/>
              </w:rPr>
            </w:pPr>
            <w:r w:rsidRPr="00E05465">
              <w:rPr>
                <w:rFonts w:ascii="Arial Narrow" w:hAnsi="Arial Narrow"/>
                <w:b/>
                <w:sz w:val="20"/>
                <w:szCs w:val="20"/>
              </w:rPr>
              <w:lastRenderedPageBreak/>
              <w:t xml:space="preserve">Prescribing instructions: </w:t>
            </w:r>
            <w:r w:rsidRPr="00E05465">
              <w:rPr>
                <w:rFonts w:ascii="Arial Narrow" w:hAnsi="Arial Narrow"/>
                <w:sz w:val="20"/>
                <w:szCs w:val="20"/>
              </w:rPr>
              <w:t>At the time of the authority application, medical practitioners should request the appropriate number of vials, to provide for a single infusion to cover the loading dose and maintenance doses based on the patient’s weight and as per the Product Information. Refer to the Product information for patient weight ranges for the 100mg/mL doses (consisting of 300 mg in 3 mL and 1100 mg in 11 mL vials).</w:t>
            </w:r>
          </w:p>
        </w:tc>
      </w:tr>
      <w:tr w:rsidR="00E05465" w:rsidRPr="00E05465" w14:paraId="6AF79574"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Pr>
          <w:p w14:paraId="5C2AF001" w14:textId="77777777" w:rsidR="0099015E" w:rsidRPr="00E05465" w:rsidRDefault="0099015E" w:rsidP="00E57EE5">
            <w:pPr>
              <w:rPr>
                <w:rFonts w:ascii="Arial Narrow" w:hAnsi="Arial Narrow"/>
                <w:b/>
                <w:sz w:val="20"/>
                <w:szCs w:val="20"/>
              </w:rPr>
            </w:pPr>
            <w:r w:rsidRPr="00E05465">
              <w:rPr>
                <w:rFonts w:ascii="Arial Narrow" w:hAnsi="Arial Narrow"/>
                <w:b/>
                <w:sz w:val="20"/>
                <w:szCs w:val="20"/>
              </w:rPr>
              <w:t>Administrative advice:</w:t>
            </w:r>
          </w:p>
          <w:p w14:paraId="76464494"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Any queries concerning the arrangements to prescribe may be directed to Services Australia on 1800 700 270 (hours of operation 8 a.m. to 5 p.m. EST Monday to Friday).</w:t>
            </w:r>
          </w:p>
          <w:p w14:paraId="00C1E964"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 xml:space="preserve">Prescribing information (including Authority Application forms and other relevant documentation as applicable) is available on the Services Australia website at </w:t>
            </w:r>
            <w:proofErr w:type="gramStart"/>
            <w:r w:rsidRPr="00E05465">
              <w:rPr>
                <w:rFonts w:ascii="Arial Narrow" w:hAnsi="Arial Narrow"/>
                <w:sz w:val="20"/>
                <w:szCs w:val="20"/>
              </w:rPr>
              <w:t>www.servicesaustralia.gov.au</w:t>
            </w:r>
            <w:proofErr w:type="gramEnd"/>
          </w:p>
          <w:p w14:paraId="2A234C1D"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 xml:space="preserve">Applications for authority to prescribe should be submitted online using the form upload facility in Health Professional Online Services (HPOS) at </w:t>
            </w:r>
            <w:proofErr w:type="gramStart"/>
            <w:r w:rsidRPr="00E05465">
              <w:rPr>
                <w:rFonts w:ascii="Arial Narrow" w:hAnsi="Arial Narrow"/>
                <w:sz w:val="20"/>
                <w:szCs w:val="20"/>
              </w:rPr>
              <w:t>www.servicesaustralia.gov.au/hpos</w:t>
            </w:r>
            <w:proofErr w:type="gramEnd"/>
          </w:p>
          <w:p w14:paraId="272BC383"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Or mailed to:</w:t>
            </w:r>
          </w:p>
          <w:p w14:paraId="54F848CD"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Services Australia</w:t>
            </w:r>
          </w:p>
          <w:p w14:paraId="540DB840"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Complex Drugs</w:t>
            </w:r>
          </w:p>
          <w:p w14:paraId="2D625441"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Reply Paid 9826</w:t>
            </w:r>
          </w:p>
          <w:p w14:paraId="304715C2"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HOBART TAS 7001</w:t>
            </w:r>
          </w:p>
          <w:p w14:paraId="321A8CA4" w14:textId="77777777" w:rsidR="0099015E" w:rsidRPr="00E05465" w:rsidRDefault="0099015E" w:rsidP="00E57EE5">
            <w:pPr>
              <w:rPr>
                <w:rFonts w:ascii="Arial Narrow" w:hAnsi="Arial Narrow"/>
                <w:sz w:val="20"/>
                <w:szCs w:val="20"/>
              </w:rPr>
            </w:pPr>
          </w:p>
          <w:p w14:paraId="3F924F43" w14:textId="77777777" w:rsidR="0099015E" w:rsidRPr="00E05465" w:rsidRDefault="0099015E" w:rsidP="00E57EE5">
            <w:pPr>
              <w:rPr>
                <w:rFonts w:ascii="Arial Narrow" w:hAnsi="Arial Narrow"/>
                <w:b/>
                <w:sz w:val="20"/>
                <w:szCs w:val="20"/>
              </w:rPr>
            </w:pPr>
            <w:r w:rsidRPr="00E05465">
              <w:rPr>
                <w:rFonts w:ascii="Arial Narrow" w:hAnsi="Arial Narrow" w:cstheme="minorHAnsi"/>
                <w:sz w:val="20"/>
                <w:szCs w:val="20"/>
              </w:rPr>
              <w:t>No increase in the maximum number of repeats may be authorised</w:t>
            </w:r>
          </w:p>
        </w:tc>
      </w:tr>
      <w:tr w:rsidR="0099015E" w:rsidRPr="00E05465" w14:paraId="34DD4DA8" w14:textId="77777777" w:rsidTr="0099015E">
        <w:tblPrEx>
          <w:tblCellMar>
            <w:top w:w="15" w:type="dxa"/>
            <w:left w:w="15" w:type="dxa"/>
            <w:bottom w:w="15" w:type="dxa"/>
            <w:right w:w="15" w:type="dxa"/>
          </w:tblCellMar>
          <w:tblLook w:val="04A0" w:firstRow="1" w:lastRow="0" w:firstColumn="1" w:lastColumn="0" w:noHBand="0" w:noVBand="1"/>
        </w:tblPrEx>
        <w:trPr>
          <w:cantSplit/>
        </w:trPr>
        <w:tc>
          <w:tcPr>
            <w:tcW w:w="9017" w:type="dxa"/>
            <w:gridSpan w:val="5"/>
          </w:tcPr>
          <w:p w14:paraId="372D745C" w14:textId="77777777" w:rsidR="0099015E" w:rsidRPr="00E05465" w:rsidRDefault="0099015E" w:rsidP="00E57EE5">
            <w:pPr>
              <w:rPr>
                <w:rFonts w:ascii="Arial Narrow" w:hAnsi="Arial Narrow"/>
                <w:sz w:val="20"/>
                <w:szCs w:val="20"/>
              </w:rPr>
            </w:pPr>
            <w:r w:rsidRPr="00E05465">
              <w:rPr>
                <w:rFonts w:ascii="Arial Narrow" w:hAnsi="Arial Narrow"/>
                <w:b/>
                <w:sz w:val="20"/>
                <w:szCs w:val="20"/>
              </w:rPr>
              <w:t>Caution:</w:t>
            </w:r>
          </w:p>
          <w:p w14:paraId="65D5B294"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 xml:space="preserve">WARNING: This drug increases the risk of meningococcal infections (sepsis and/or meningitis). </w:t>
            </w:r>
          </w:p>
          <w:p w14:paraId="5230CAB4" w14:textId="77777777" w:rsidR="0099015E" w:rsidRPr="00E05465" w:rsidRDefault="0099015E" w:rsidP="00E57EE5">
            <w:pPr>
              <w:rPr>
                <w:rFonts w:ascii="Arial Narrow" w:hAnsi="Arial Narrow"/>
                <w:b/>
                <w:sz w:val="20"/>
                <w:szCs w:val="20"/>
              </w:rPr>
            </w:pPr>
            <w:r w:rsidRPr="00E05465">
              <w:rPr>
                <w:rFonts w:ascii="Arial Narrow" w:hAnsi="Arial Narrow"/>
                <w:sz w:val="20"/>
                <w:szCs w:val="20"/>
              </w:rPr>
              <w:t>Consult the approved PI for information about vaccination against meningococcal infection.</w:t>
            </w:r>
          </w:p>
        </w:tc>
      </w:tr>
    </w:tbl>
    <w:p w14:paraId="28F8FFF2" w14:textId="77777777" w:rsidR="0099015E" w:rsidRPr="00E05465" w:rsidRDefault="0099015E" w:rsidP="002032B0">
      <w:pPr>
        <w:pStyle w:val="3-BodyText"/>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17"/>
      </w:tblGrid>
      <w:tr w:rsidR="00E05465" w:rsidRPr="00E05465" w14:paraId="06E47FDC" w14:textId="77777777" w:rsidTr="00E57EE5">
        <w:trPr>
          <w:cantSplit/>
        </w:trPr>
        <w:tc>
          <w:tcPr>
            <w:tcW w:w="9077" w:type="dxa"/>
            <w:tcBorders>
              <w:top w:val="single" w:sz="4" w:space="0" w:color="auto"/>
              <w:left w:val="single" w:sz="4" w:space="0" w:color="auto"/>
              <w:bottom w:val="single" w:sz="4" w:space="0" w:color="auto"/>
              <w:right w:val="single" w:sz="4" w:space="0" w:color="auto"/>
            </w:tcBorders>
          </w:tcPr>
          <w:p w14:paraId="737FBF8D" w14:textId="77777777" w:rsidR="0099015E" w:rsidRPr="00E05465" w:rsidRDefault="0099015E" w:rsidP="00E57EE5">
            <w:pPr>
              <w:rPr>
                <w:rFonts w:ascii="Arial Narrow" w:hAnsi="Arial Narrow"/>
                <w:b/>
                <w:sz w:val="20"/>
                <w:szCs w:val="20"/>
              </w:rPr>
            </w:pPr>
            <w:r w:rsidRPr="00E05465">
              <w:rPr>
                <w:rFonts w:ascii="Arial Narrow" w:hAnsi="Arial Narrow"/>
                <w:b/>
                <w:sz w:val="20"/>
                <w:szCs w:val="20"/>
              </w:rPr>
              <w:t>Requested restriction for ravulizumab –for patients transitioning from eculizumab to ravulizumab (abridged)</w:t>
            </w:r>
          </w:p>
        </w:tc>
      </w:tr>
      <w:tr w:rsidR="00E05465" w:rsidRPr="00E05465" w14:paraId="1C9683DF" w14:textId="77777777" w:rsidTr="00E57EE5">
        <w:trPr>
          <w:cantSplit/>
        </w:trPr>
        <w:tc>
          <w:tcPr>
            <w:tcW w:w="9077" w:type="dxa"/>
            <w:tcBorders>
              <w:top w:val="single" w:sz="4" w:space="0" w:color="auto"/>
              <w:left w:val="single" w:sz="4" w:space="0" w:color="auto"/>
              <w:bottom w:val="single" w:sz="4" w:space="0" w:color="auto"/>
              <w:right w:val="single" w:sz="4" w:space="0" w:color="auto"/>
            </w:tcBorders>
          </w:tcPr>
          <w:p w14:paraId="0709C350" w14:textId="77777777" w:rsidR="0099015E" w:rsidRPr="00E05465" w:rsidRDefault="0099015E" w:rsidP="00E57EE5">
            <w:pPr>
              <w:rPr>
                <w:rFonts w:ascii="Arial Narrow" w:hAnsi="Arial Narrow"/>
                <w:sz w:val="20"/>
                <w:szCs w:val="20"/>
              </w:rPr>
            </w:pPr>
            <w:r w:rsidRPr="00E05465">
              <w:rPr>
                <w:rFonts w:ascii="Arial Narrow" w:hAnsi="Arial Narrow"/>
                <w:b/>
                <w:sz w:val="20"/>
                <w:szCs w:val="20"/>
              </w:rPr>
              <w:t xml:space="preserve">Category / Program: </w:t>
            </w:r>
            <w:r w:rsidRPr="00E05465">
              <w:rPr>
                <w:rFonts w:ascii="Arial Narrow" w:hAnsi="Arial Narrow"/>
                <w:sz w:val="20"/>
                <w:szCs w:val="20"/>
              </w:rPr>
              <w:t>Section 100 – Highly Specialised Drugs Program (Public/Private)</w:t>
            </w:r>
          </w:p>
        </w:tc>
      </w:tr>
      <w:tr w:rsidR="00E05465" w:rsidRPr="00E05465" w14:paraId="20919596" w14:textId="77777777" w:rsidTr="00E57EE5">
        <w:trPr>
          <w:cantSplit/>
        </w:trPr>
        <w:tc>
          <w:tcPr>
            <w:tcW w:w="9077" w:type="dxa"/>
            <w:tcBorders>
              <w:top w:val="single" w:sz="4" w:space="0" w:color="auto"/>
              <w:left w:val="single" w:sz="4" w:space="0" w:color="auto"/>
              <w:bottom w:val="single" w:sz="4" w:space="0" w:color="auto"/>
              <w:right w:val="single" w:sz="4" w:space="0" w:color="auto"/>
            </w:tcBorders>
          </w:tcPr>
          <w:p w14:paraId="554DB124" w14:textId="77777777" w:rsidR="0099015E" w:rsidRPr="00E05465" w:rsidRDefault="0099015E" w:rsidP="00E57EE5">
            <w:pPr>
              <w:rPr>
                <w:rFonts w:ascii="Arial Narrow" w:hAnsi="Arial Narrow"/>
                <w:b/>
                <w:sz w:val="20"/>
                <w:szCs w:val="20"/>
              </w:rPr>
            </w:pPr>
            <w:r w:rsidRPr="00E05465">
              <w:rPr>
                <w:rFonts w:ascii="Arial Narrow" w:hAnsi="Arial Narrow"/>
                <w:b/>
                <w:sz w:val="20"/>
                <w:szCs w:val="20"/>
              </w:rPr>
              <w:t xml:space="preserve">Condition: </w:t>
            </w:r>
            <w:r w:rsidRPr="00E05465">
              <w:rPr>
                <w:rFonts w:ascii="Arial Narrow" w:hAnsi="Arial Narrow"/>
                <w:sz w:val="20"/>
                <w:szCs w:val="20"/>
              </w:rPr>
              <w:t>Paroxysmal nocturnal haemoglobinuria</w:t>
            </w:r>
          </w:p>
        </w:tc>
      </w:tr>
      <w:tr w:rsidR="00E05465" w:rsidRPr="00E05465" w14:paraId="69384347" w14:textId="77777777" w:rsidTr="00E57EE5">
        <w:trPr>
          <w:cantSplit/>
        </w:trPr>
        <w:tc>
          <w:tcPr>
            <w:tcW w:w="9077" w:type="dxa"/>
            <w:tcBorders>
              <w:top w:val="single" w:sz="4" w:space="0" w:color="auto"/>
              <w:left w:val="single" w:sz="4" w:space="0" w:color="auto"/>
              <w:bottom w:val="single" w:sz="4" w:space="0" w:color="auto"/>
              <w:right w:val="single" w:sz="4" w:space="0" w:color="auto"/>
            </w:tcBorders>
          </w:tcPr>
          <w:p w14:paraId="0C24575D" w14:textId="77777777" w:rsidR="0099015E" w:rsidRPr="00E05465" w:rsidRDefault="0099015E" w:rsidP="00E57EE5">
            <w:pPr>
              <w:rPr>
                <w:rFonts w:ascii="Arial Narrow" w:hAnsi="Arial Narrow"/>
                <w:b/>
                <w:sz w:val="20"/>
                <w:szCs w:val="20"/>
              </w:rPr>
            </w:pPr>
            <w:r w:rsidRPr="00E05465">
              <w:rPr>
                <w:rFonts w:ascii="Arial Narrow" w:hAnsi="Arial Narrow"/>
                <w:b/>
                <w:sz w:val="20"/>
                <w:szCs w:val="20"/>
              </w:rPr>
              <w:t xml:space="preserve">PBS indication: </w:t>
            </w:r>
            <w:r w:rsidRPr="00E05465">
              <w:rPr>
                <w:rFonts w:ascii="Arial Narrow" w:hAnsi="Arial Narrow"/>
                <w:sz w:val="20"/>
                <w:szCs w:val="20"/>
              </w:rPr>
              <w:t>Paroxysmal nocturnal haemoglobinuria</w:t>
            </w:r>
          </w:p>
        </w:tc>
      </w:tr>
      <w:tr w:rsidR="00E05465" w:rsidRPr="00E05465" w14:paraId="185F9D28" w14:textId="77777777" w:rsidTr="00E57EE5">
        <w:trPr>
          <w:cantSplit/>
        </w:trPr>
        <w:tc>
          <w:tcPr>
            <w:tcW w:w="9077" w:type="dxa"/>
            <w:tcBorders>
              <w:top w:val="single" w:sz="4" w:space="0" w:color="auto"/>
              <w:left w:val="single" w:sz="4" w:space="0" w:color="auto"/>
              <w:bottom w:val="single" w:sz="4" w:space="0" w:color="auto"/>
              <w:right w:val="single" w:sz="4" w:space="0" w:color="auto"/>
            </w:tcBorders>
          </w:tcPr>
          <w:p w14:paraId="2E79F959" w14:textId="77777777" w:rsidR="0099015E" w:rsidRPr="00E05465" w:rsidRDefault="0099015E" w:rsidP="00E57EE5">
            <w:pPr>
              <w:rPr>
                <w:rFonts w:ascii="Arial Narrow" w:eastAsia="Calibri" w:hAnsi="Arial Narrow"/>
                <w:sz w:val="20"/>
                <w:szCs w:val="20"/>
              </w:rPr>
            </w:pPr>
            <w:r w:rsidRPr="00E05465">
              <w:rPr>
                <w:rFonts w:ascii="Arial Narrow" w:hAnsi="Arial Narrow"/>
                <w:b/>
                <w:sz w:val="20"/>
                <w:szCs w:val="20"/>
              </w:rPr>
              <w:t xml:space="preserve">Restriction type: </w:t>
            </w:r>
            <w:r w:rsidRPr="00E05465">
              <w:rPr>
                <w:rFonts w:ascii="Arial Narrow" w:eastAsia="Calibri" w:hAnsi="Arial Narrow"/>
                <w:sz w:val="20"/>
                <w:szCs w:val="20"/>
              </w:rPr>
              <w:fldChar w:fldCharType="begin" w:fldLock="1">
                <w:ffData>
                  <w:name w:val=""/>
                  <w:enabled/>
                  <w:calcOnExit w:val="0"/>
                  <w:checkBox>
                    <w:sizeAuto/>
                    <w:default w:val="1"/>
                  </w:checkBox>
                </w:ffData>
              </w:fldChar>
            </w:r>
            <w:r w:rsidRPr="00E05465">
              <w:rPr>
                <w:rFonts w:ascii="Arial Narrow" w:eastAsia="Calibri" w:hAnsi="Arial Narrow"/>
                <w:sz w:val="20"/>
                <w:szCs w:val="20"/>
              </w:rPr>
              <w:instrText xml:space="preserve"> FORMCHECKBOX </w:instrText>
            </w:r>
            <w:r w:rsidR="00687C33">
              <w:rPr>
                <w:rFonts w:ascii="Arial Narrow" w:eastAsia="Calibri" w:hAnsi="Arial Narrow"/>
                <w:sz w:val="20"/>
                <w:szCs w:val="20"/>
              </w:rPr>
            </w:r>
            <w:r w:rsidR="00687C33">
              <w:rPr>
                <w:rFonts w:ascii="Arial Narrow" w:eastAsia="Calibri" w:hAnsi="Arial Narrow"/>
                <w:sz w:val="20"/>
                <w:szCs w:val="20"/>
              </w:rPr>
              <w:fldChar w:fldCharType="separate"/>
            </w:r>
            <w:r w:rsidRPr="00E05465">
              <w:rPr>
                <w:rFonts w:ascii="Arial Narrow" w:eastAsia="Calibri" w:hAnsi="Arial Narrow"/>
                <w:sz w:val="20"/>
                <w:szCs w:val="20"/>
              </w:rPr>
              <w:fldChar w:fldCharType="end"/>
            </w:r>
            <w:r w:rsidRPr="00E05465">
              <w:rPr>
                <w:rFonts w:ascii="Arial Narrow" w:eastAsia="Calibri" w:hAnsi="Arial Narrow"/>
                <w:sz w:val="20"/>
                <w:szCs w:val="20"/>
              </w:rPr>
              <w:t>Authority Required – written</w:t>
            </w:r>
          </w:p>
        </w:tc>
      </w:tr>
      <w:tr w:rsidR="00E05465" w:rsidRPr="00E05465" w14:paraId="1644761F" w14:textId="77777777" w:rsidTr="00E57EE5">
        <w:trPr>
          <w:cantSplit/>
        </w:trPr>
        <w:tc>
          <w:tcPr>
            <w:tcW w:w="9077" w:type="dxa"/>
            <w:vAlign w:val="center"/>
            <w:hideMark/>
          </w:tcPr>
          <w:p w14:paraId="271CC87F" w14:textId="77777777" w:rsidR="0099015E" w:rsidRPr="00E05465" w:rsidRDefault="0099015E" w:rsidP="00E57EE5">
            <w:pPr>
              <w:rPr>
                <w:rFonts w:ascii="Arial Narrow" w:eastAsia="Calibri" w:hAnsi="Arial Narrow"/>
                <w:sz w:val="20"/>
                <w:szCs w:val="20"/>
              </w:rPr>
            </w:pPr>
            <w:r w:rsidRPr="00E05465">
              <w:rPr>
                <w:rFonts w:ascii="Arial Narrow" w:eastAsia="Calibri" w:hAnsi="Arial Narrow"/>
                <w:b/>
                <w:sz w:val="20"/>
                <w:szCs w:val="20"/>
              </w:rPr>
              <w:t>Treatment Phase:</w:t>
            </w:r>
            <w:r w:rsidRPr="00E05465">
              <w:rPr>
                <w:rFonts w:ascii="Arial Narrow" w:eastAsia="Calibri" w:hAnsi="Arial Narrow"/>
                <w:sz w:val="20"/>
                <w:szCs w:val="20"/>
              </w:rPr>
              <w:t xml:space="preserve"> Initial treatment- Initial 2 (switching from eculizumab)</w:t>
            </w:r>
          </w:p>
        </w:tc>
      </w:tr>
      <w:tr w:rsidR="00E05465" w:rsidRPr="00E05465" w14:paraId="585E37C0" w14:textId="77777777" w:rsidTr="00E57EE5">
        <w:trPr>
          <w:cantSplit/>
        </w:trPr>
        <w:tc>
          <w:tcPr>
            <w:tcW w:w="9077" w:type="dxa"/>
            <w:vAlign w:val="center"/>
          </w:tcPr>
          <w:p w14:paraId="5B744FC3" w14:textId="77777777" w:rsidR="0099015E" w:rsidRPr="00E05465" w:rsidRDefault="0099015E" w:rsidP="00E57EE5">
            <w:pPr>
              <w:rPr>
                <w:rFonts w:ascii="Arial Narrow" w:eastAsia="Calibri" w:hAnsi="Arial Narrow"/>
                <w:bCs/>
                <w:sz w:val="20"/>
                <w:szCs w:val="20"/>
              </w:rPr>
            </w:pPr>
            <w:r w:rsidRPr="00E05465">
              <w:rPr>
                <w:rFonts w:ascii="Arial Narrow" w:eastAsia="Calibri" w:hAnsi="Arial Narrow"/>
                <w:b/>
                <w:sz w:val="20"/>
                <w:szCs w:val="20"/>
              </w:rPr>
              <w:t xml:space="preserve">Treatment criteria: </w:t>
            </w:r>
            <w:r w:rsidRPr="00E05465">
              <w:rPr>
                <w:rFonts w:ascii="Arial Narrow" w:eastAsia="Calibri" w:hAnsi="Arial Narrow"/>
                <w:bCs/>
                <w:sz w:val="20"/>
                <w:szCs w:val="20"/>
              </w:rPr>
              <w:t>Must be treated by a haematologist; OR</w:t>
            </w:r>
          </w:p>
          <w:p w14:paraId="1824D724" w14:textId="77777777" w:rsidR="0099015E" w:rsidRPr="00E05465" w:rsidRDefault="0099015E" w:rsidP="00E57EE5">
            <w:pPr>
              <w:rPr>
                <w:rFonts w:ascii="Arial Narrow" w:eastAsia="Calibri" w:hAnsi="Arial Narrow"/>
                <w:sz w:val="20"/>
                <w:szCs w:val="20"/>
              </w:rPr>
            </w:pPr>
            <w:r w:rsidRPr="00E05465">
              <w:rPr>
                <w:rFonts w:ascii="Arial Narrow" w:eastAsia="Calibri" w:hAnsi="Arial Narrow"/>
                <w:sz w:val="20"/>
                <w:szCs w:val="20"/>
              </w:rPr>
              <w:t>Must be treated by a non-specialist medical physician who has consulted a haematologist on the patient’s drug treatment details</w:t>
            </w:r>
          </w:p>
        </w:tc>
      </w:tr>
      <w:tr w:rsidR="00E05465" w:rsidRPr="00E05465" w14:paraId="2034073F" w14:textId="77777777" w:rsidTr="00E57EE5">
        <w:trPr>
          <w:cantSplit/>
        </w:trPr>
        <w:tc>
          <w:tcPr>
            <w:tcW w:w="9077" w:type="dxa"/>
            <w:hideMark/>
          </w:tcPr>
          <w:p w14:paraId="318D9904" w14:textId="77777777" w:rsidR="0099015E" w:rsidRPr="00E05465" w:rsidRDefault="0099015E" w:rsidP="00E57EE5">
            <w:pPr>
              <w:rPr>
                <w:rFonts w:ascii="Arial Narrow" w:hAnsi="Arial Narrow"/>
                <w:b/>
                <w:sz w:val="20"/>
                <w:szCs w:val="20"/>
              </w:rPr>
            </w:pPr>
            <w:r w:rsidRPr="00E05465">
              <w:rPr>
                <w:rFonts w:ascii="Arial Narrow" w:hAnsi="Arial Narrow"/>
                <w:b/>
                <w:sz w:val="20"/>
                <w:szCs w:val="20"/>
              </w:rPr>
              <w:t>Clinical criteria:</w:t>
            </w:r>
          </w:p>
        </w:tc>
      </w:tr>
      <w:tr w:rsidR="00E05465" w:rsidRPr="00E05465" w14:paraId="27E9A44B" w14:textId="77777777" w:rsidTr="00E57EE5">
        <w:trPr>
          <w:cantSplit/>
        </w:trPr>
        <w:tc>
          <w:tcPr>
            <w:tcW w:w="9077" w:type="dxa"/>
          </w:tcPr>
          <w:p w14:paraId="0706B8BB" w14:textId="77777777" w:rsidR="0099015E" w:rsidRPr="00E05465" w:rsidRDefault="0099015E" w:rsidP="00E57EE5">
            <w:pPr>
              <w:rPr>
                <w:rFonts w:ascii="Arial Narrow" w:hAnsi="Arial Narrow"/>
                <w:sz w:val="20"/>
                <w:szCs w:val="20"/>
              </w:rPr>
            </w:pPr>
            <w:r w:rsidRPr="00E05465">
              <w:rPr>
                <w:rFonts w:ascii="Arial Narrow" w:hAnsi="Arial Narrow"/>
                <w:bCs/>
                <w:sz w:val="20"/>
                <w:szCs w:val="20"/>
              </w:rPr>
              <w:t>Patient must have previously received eculizumab for the treatment of this condition funded under the Australian Government's Life Saving Drugs Program (LSDP), OR</w:t>
            </w:r>
          </w:p>
        </w:tc>
      </w:tr>
      <w:tr w:rsidR="00E05465" w:rsidRPr="00E05465" w14:paraId="343979C3" w14:textId="77777777" w:rsidTr="00E57EE5">
        <w:trPr>
          <w:cantSplit/>
        </w:trPr>
        <w:tc>
          <w:tcPr>
            <w:tcW w:w="9077" w:type="dxa"/>
            <w:hideMark/>
          </w:tcPr>
          <w:p w14:paraId="49509A3A"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Patient must have received prior PBS-subsidised treatment with this drug for this condition; AND</w:t>
            </w:r>
          </w:p>
        </w:tc>
      </w:tr>
      <w:tr w:rsidR="00E05465" w:rsidRPr="00E05465" w14:paraId="6F794568" w14:textId="77777777" w:rsidTr="00E57EE5">
        <w:trPr>
          <w:cantSplit/>
        </w:trPr>
        <w:tc>
          <w:tcPr>
            <w:tcW w:w="9077" w:type="dxa"/>
          </w:tcPr>
          <w:p w14:paraId="1C010DC0"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Patient must have a diagnosis of PNH established by flow cytometry prior to LSDP-funded treatment with eculizumab, AND received prior PBS-subsidised treatment with eculizumab through the 'Initial treatment - Initial 2 (switching from PBS-subsidised ravulizumab for pregnancy)' criteria; AND</w:t>
            </w:r>
          </w:p>
        </w:tc>
      </w:tr>
      <w:tr w:rsidR="00E05465" w:rsidRPr="00E05465" w14:paraId="37C1B293" w14:textId="77777777" w:rsidTr="00E57EE5">
        <w:trPr>
          <w:cantSplit/>
        </w:trPr>
        <w:tc>
          <w:tcPr>
            <w:tcW w:w="9077" w:type="dxa"/>
          </w:tcPr>
          <w:p w14:paraId="1A688BA3" w14:textId="77777777" w:rsidR="0099015E" w:rsidRPr="00E05465" w:rsidRDefault="0099015E" w:rsidP="00E57EE5">
            <w:pPr>
              <w:rPr>
                <w:rFonts w:ascii="Arial Narrow" w:hAnsi="Arial Narrow"/>
                <w:sz w:val="20"/>
                <w:szCs w:val="20"/>
              </w:rPr>
            </w:pPr>
            <w:r w:rsidRPr="00E05465">
              <w:rPr>
                <w:rFonts w:ascii="Arial Narrow" w:hAnsi="Arial Narrow"/>
                <w:sz w:val="20"/>
                <w:szCs w:val="20"/>
              </w:rPr>
              <w:t>The treatment must not be in combination with any of (i) another Complement 5 (C5) inhibitor, (ii) pegcetacoplan</w:t>
            </w:r>
          </w:p>
        </w:tc>
      </w:tr>
      <w:tr w:rsidR="0099015E" w:rsidRPr="00E05465" w14:paraId="371FD84B" w14:textId="77777777" w:rsidTr="00E57EE5">
        <w:trPr>
          <w:cantSplit/>
        </w:trPr>
        <w:tc>
          <w:tcPr>
            <w:tcW w:w="9077" w:type="dxa"/>
          </w:tcPr>
          <w:p w14:paraId="1CEC7A63" w14:textId="77777777" w:rsidR="0099015E" w:rsidRPr="00E05465" w:rsidRDefault="0099015E" w:rsidP="00E57EE5">
            <w:pPr>
              <w:rPr>
                <w:rFonts w:ascii="Arial Narrow" w:hAnsi="Arial Narrow"/>
                <w:bCs/>
                <w:sz w:val="20"/>
                <w:szCs w:val="20"/>
              </w:rPr>
            </w:pPr>
            <w:r w:rsidRPr="00E05465">
              <w:rPr>
                <w:rFonts w:ascii="Arial Narrow" w:hAnsi="Arial Narrow" w:cstheme="minorHAnsi"/>
                <w:b/>
                <w:strike/>
                <w:sz w:val="20"/>
                <w:szCs w:val="20"/>
              </w:rPr>
              <w:t>Population criteria</w:t>
            </w:r>
            <w:r w:rsidRPr="00E05465">
              <w:rPr>
                <w:rFonts w:ascii="Arial Narrow" w:hAnsi="Arial Narrow" w:cstheme="minorHAnsi"/>
                <w:strike/>
                <w:sz w:val="20"/>
                <w:szCs w:val="20"/>
              </w:rPr>
              <w:t>: Patient must be at least 18 years of age.</w:t>
            </w:r>
          </w:p>
        </w:tc>
      </w:tr>
    </w:tbl>
    <w:p w14:paraId="5BB99527" w14:textId="77777777" w:rsidR="0099015E" w:rsidRPr="00E05465" w:rsidRDefault="0099015E" w:rsidP="002032B0">
      <w:pPr>
        <w:pStyle w:val="3-BodyText"/>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17"/>
      </w:tblGrid>
      <w:tr w:rsidR="00E05465" w:rsidRPr="00E05465" w14:paraId="6CDAA44A" w14:textId="77777777" w:rsidTr="00E57EE5">
        <w:trPr>
          <w:cantSplit/>
        </w:trPr>
        <w:tc>
          <w:tcPr>
            <w:tcW w:w="9077" w:type="dxa"/>
            <w:tcBorders>
              <w:top w:val="single" w:sz="4" w:space="0" w:color="auto"/>
              <w:left w:val="single" w:sz="4" w:space="0" w:color="auto"/>
              <w:bottom w:val="single" w:sz="4" w:space="0" w:color="auto"/>
              <w:right w:val="single" w:sz="4" w:space="0" w:color="auto"/>
            </w:tcBorders>
          </w:tcPr>
          <w:p w14:paraId="799BE62F" w14:textId="77777777" w:rsidR="0099015E" w:rsidRPr="00E05465" w:rsidRDefault="0099015E" w:rsidP="00E57EE5">
            <w:pPr>
              <w:keepNext/>
              <w:rPr>
                <w:rFonts w:ascii="Arial Narrow" w:hAnsi="Arial Narrow"/>
                <w:b/>
                <w:sz w:val="20"/>
                <w:szCs w:val="20"/>
              </w:rPr>
            </w:pPr>
            <w:r w:rsidRPr="00E05465">
              <w:rPr>
                <w:rFonts w:ascii="Arial Narrow" w:hAnsi="Arial Narrow"/>
                <w:b/>
                <w:sz w:val="20"/>
                <w:szCs w:val="20"/>
              </w:rPr>
              <w:lastRenderedPageBreak/>
              <w:t>Requested restriction for ravulizumab – continuing treatment</w:t>
            </w:r>
          </w:p>
        </w:tc>
      </w:tr>
      <w:tr w:rsidR="00E05465" w:rsidRPr="00E05465" w14:paraId="420DDE5D" w14:textId="77777777" w:rsidTr="00E57EE5">
        <w:trPr>
          <w:cantSplit/>
        </w:trPr>
        <w:tc>
          <w:tcPr>
            <w:tcW w:w="9077" w:type="dxa"/>
            <w:tcBorders>
              <w:top w:val="single" w:sz="4" w:space="0" w:color="auto"/>
              <w:left w:val="single" w:sz="4" w:space="0" w:color="auto"/>
              <w:bottom w:val="single" w:sz="4" w:space="0" w:color="auto"/>
              <w:right w:val="single" w:sz="4" w:space="0" w:color="auto"/>
            </w:tcBorders>
          </w:tcPr>
          <w:p w14:paraId="1ADD979B" w14:textId="77777777" w:rsidR="0099015E" w:rsidRPr="00E05465" w:rsidRDefault="0099015E" w:rsidP="00E57EE5">
            <w:pPr>
              <w:keepNext/>
              <w:rPr>
                <w:rFonts w:ascii="Arial Narrow" w:hAnsi="Arial Narrow"/>
                <w:sz w:val="20"/>
                <w:szCs w:val="20"/>
              </w:rPr>
            </w:pPr>
            <w:r w:rsidRPr="00E05465">
              <w:rPr>
                <w:rFonts w:ascii="Arial Narrow" w:hAnsi="Arial Narrow"/>
                <w:b/>
                <w:sz w:val="20"/>
                <w:szCs w:val="20"/>
              </w:rPr>
              <w:t xml:space="preserve">Category / Program: </w:t>
            </w:r>
            <w:r w:rsidRPr="00E05465">
              <w:rPr>
                <w:rFonts w:ascii="Arial Narrow" w:hAnsi="Arial Narrow"/>
                <w:sz w:val="20"/>
                <w:szCs w:val="20"/>
              </w:rPr>
              <w:t>Section 100 – Highly Specialised Drugs Program (Public/Private)</w:t>
            </w:r>
          </w:p>
        </w:tc>
      </w:tr>
      <w:tr w:rsidR="00E05465" w:rsidRPr="00E05465" w14:paraId="2A11B834" w14:textId="77777777" w:rsidTr="00E57EE5">
        <w:trPr>
          <w:cantSplit/>
        </w:trPr>
        <w:tc>
          <w:tcPr>
            <w:tcW w:w="9077" w:type="dxa"/>
            <w:tcBorders>
              <w:top w:val="single" w:sz="4" w:space="0" w:color="auto"/>
              <w:left w:val="single" w:sz="4" w:space="0" w:color="auto"/>
              <w:bottom w:val="single" w:sz="4" w:space="0" w:color="auto"/>
              <w:right w:val="single" w:sz="4" w:space="0" w:color="auto"/>
            </w:tcBorders>
          </w:tcPr>
          <w:p w14:paraId="29187372" w14:textId="77777777" w:rsidR="0099015E" w:rsidRPr="00E05465" w:rsidRDefault="0099015E" w:rsidP="00E57EE5">
            <w:pPr>
              <w:keepNext/>
              <w:rPr>
                <w:rFonts w:ascii="Arial Narrow" w:hAnsi="Arial Narrow"/>
                <w:b/>
                <w:sz w:val="20"/>
                <w:szCs w:val="20"/>
              </w:rPr>
            </w:pPr>
            <w:r w:rsidRPr="00E05465">
              <w:rPr>
                <w:rFonts w:ascii="Arial Narrow" w:hAnsi="Arial Narrow"/>
                <w:b/>
                <w:sz w:val="20"/>
                <w:szCs w:val="20"/>
              </w:rPr>
              <w:t xml:space="preserve">PBS indication: </w:t>
            </w:r>
            <w:r w:rsidRPr="00E05465">
              <w:rPr>
                <w:rFonts w:ascii="Arial Narrow" w:hAnsi="Arial Narrow"/>
                <w:sz w:val="20"/>
                <w:szCs w:val="20"/>
              </w:rPr>
              <w:t>Paroxysmal nocturnal haemoglobinuria</w:t>
            </w:r>
          </w:p>
        </w:tc>
      </w:tr>
      <w:tr w:rsidR="00E05465" w:rsidRPr="00E05465" w14:paraId="63F06410" w14:textId="77777777" w:rsidTr="00E57EE5">
        <w:trPr>
          <w:cantSplit/>
        </w:trPr>
        <w:tc>
          <w:tcPr>
            <w:tcW w:w="9077" w:type="dxa"/>
            <w:tcBorders>
              <w:top w:val="single" w:sz="4" w:space="0" w:color="auto"/>
              <w:left w:val="single" w:sz="4" w:space="0" w:color="auto"/>
              <w:bottom w:val="single" w:sz="4" w:space="0" w:color="auto"/>
              <w:right w:val="single" w:sz="4" w:space="0" w:color="auto"/>
            </w:tcBorders>
          </w:tcPr>
          <w:p w14:paraId="04D469ED" w14:textId="77777777" w:rsidR="0099015E" w:rsidRPr="00E05465" w:rsidRDefault="0099015E" w:rsidP="00E57EE5">
            <w:pPr>
              <w:keepNext/>
              <w:rPr>
                <w:rFonts w:ascii="Arial Narrow" w:eastAsia="Calibri" w:hAnsi="Arial Narrow"/>
                <w:sz w:val="20"/>
                <w:szCs w:val="20"/>
              </w:rPr>
            </w:pPr>
            <w:r w:rsidRPr="00E05465">
              <w:rPr>
                <w:rFonts w:ascii="Arial Narrow" w:hAnsi="Arial Narrow"/>
                <w:b/>
                <w:sz w:val="20"/>
                <w:szCs w:val="20"/>
              </w:rPr>
              <w:t xml:space="preserve">Restriction type: </w:t>
            </w:r>
            <w:r w:rsidRPr="00E05465">
              <w:rPr>
                <w:rFonts w:ascii="Arial Narrow" w:eastAsia="Calibri" w:hAnsi="Arial Narrow"/>
                <w:sz w:val="20"/>
                <w:szCs w:val="20"/>
              </w:rPr>
              <w:fldChar w:fldCharType="begin" w:fldLock="1">
                <w:ffData>
                  <w:name w:val=""/>
                  <w:enabled/>
                  <w:calcOnExit w:val="0"/>
                  <w:checkBox>
                    <w:sizeAuto/>
                    <w:default w:val="1"/>
                  </w:checkBox>
                </w:ffData>
              </w:fldChar>
            </w:r>
            <w:r w:rsidRPr="00E05465">
              <w:rPr>
                <w:rFonts w:ascii="Arial Narrow" w:eastAsia="Calibri" w:hAnsi="Arial Narrow"/>
                <w:sz w:val="20"/>
                <w:szCs w:val="20"/>
              </w:rPr>
              <w:instrText xml:space="preserve"> FORMCHECKBOX </w:instrText>
            </w:r>
            <w:r w:rsidR="00687C33">
              <w:rPr>
                <w:rFonts w:ascii="Arial Narrow" w:eastAsia="Calibri" w:hAnsi="Arial Narrow"/>
                <w:sz w:val="20"/>
                <w:szCs w:val="20"/>
              </w:rPr>
            </w:r>
            <w:r w:rsidR="00687C33">
              <w:rPr>
                <w:rFonts w:ascii="Arial Narrow" w:eastAsia="Calibri" w:hAnsi="Arial Narrow"/>
                <w:sz w:val="20"/>
                <w:szCs w:val="20"/>
              </w:rPr>
              <w:fldChar w:fldCharType="separate"/>
            </w:r>
            <w:r w:rsidRPr="00E05465">
              <w:rPr>
                <w:rFonts w:ascii="Arial Narrow" w:eastAsia="Calibri" w:hAnsi="Arial Narrow"/>
                <w:sz w:val="20"/>
                <w:szCs w:val="20"/>
              </w:rPr>
              <w:fldChar w:fldCharType="end"/>
            </w:r>
            <w:r w:rsidRPr="00E05465">
              <w:rPr>
                <w:rFonts w:ascii="Arial Narrow" w:eastAsia="Calibri" w:hAnsi="Arial Narrow"/>
                <w:sz w:val="20"/>
                <w:szCs w:val="20"/>
              </w:rPr>
              <w:t>Authority Required – written</w:t>
            </w:r>
          </w:p>
        </w:tc>
      </w:tr>
      <w:tr w:rsidR="00E05465" w:rsidRPr="00E05465" w14:paraId="4614205C" w14:textId="77777777" w:rsidTr="00E57EE5">
        <w:trPr>
          <w:cantSplit/>
        </w:trPr>
        <w:tc>
          <w:tcPr>
            <w:tcW w:w="9077" w:type="dxa"/>
            <w:vAlign w:val="center"/>
            <w:hideMark/>
          </w:tcPr>
          <w:p w14:paraId="183BB825" w14:textId="77777777" w:rsidR="0099015E" w:rsidRPr="00E05465" w:rsidRDefault="0099015E" w:rsidP="00E57EE5">
            <w:pPr>
              <w:keepNext/>
              <w:rPr>
                <w:rFonts w:ascii="Arial Narrow" w:eastAsia="Calibri" w:hAnsi="Arial Narrow"/>
                <w:sz w:val="20"/>
                <w:szCs w:val="20"/>
              </w:rPr>
            </w:pPr>
            <w:r w:rsidRPr="00E05465">
              <w:rPr>
                <w:rFonts w:ascii="Arial Narrow" w:eastAsia="Calibri" w:hAnsi="Arial Narrow"/>
                <w:b/>
                <w:sz w:val="20"/>
                <w:szCs w:val="20"/>
              </w:rPr>
              <w:t>Treatment Phase:</w:t>
            </w:r>
            <w:r w:rsidRPr="00E05465">
              <w:rPr>
                <w:rFonts w:ascii="Arial Narrow" w:eastAsia="Calibri" w:hAnsi="Arial Narrow"/>
                <w:sz w:val="20"/>
                <w:szCs w:val="20"/>
              </w:rPr>
              <w:t xml:space="preserve"> continuing treatment</w:t>
            </w:r>
          </w:p>
        </w:tc>
      </w:tr>
      <w:tr w:rsidR="00E05465" w:rsidRPr="00E05465" w14:paraId="6DB9BFBC" w14:textId="77777777" w:rsidTr="00E57EE5">
        <w:trPr>
          <w:cantSplit/>
        </w:trPr>
        <w:tc>
          <w:tcPr>
            <w:tcW w:w="9077" w:type="dxa"/>
            <w:vAlign w:val="center"/>
          </w:tcPr>
          <w:p w14:paraId="0D2A36C0" w14:textId="77777777" w:rsidR="0099015E" w:rsidRPr="00E05465" w:rsidRDefault="0099015E" w:rsidP="00E57EE5">
            <w:pPr>
              <w:keepNext/>
              <w:rPr>
                <w:rFonts w:ascii="Arial Narrow" w:eastAsia="Calibri" w:hAnsi="Arial Narrow"/>
                <w:bCs/>
                <w:sz w:val="20"/>
                <w:szCs w:val="20"/>
              </w:rPr>
            </w:pPr>
            <w:r w:rsidRPr="00E05465">
              <w:rPr>
                <w:rFonts w:ascii="Arial Narrow" w:eastAsia="Calibri" w:hAnsi="Arial Narrow"/>
                <w:b/>
                <w:sz w:val="20"/>
                <w:szCs w:val="20"/>
              </w:rPr>
              <w:t xml:space="preserve">Treatment criteria: </w:t>
            </w:r>
            <w:r w:rsidRPr="00E05465">
              <w:rPr>
                <w:rFonts w:ascii="Arial Narrow" w:eastAsia="Calibri" w:hAnsi="Arial Narrow"/>
                <w:bCs/>
                <w:sz w:val="20"/>
                <w:szCs w:val="20"/>
              </w:rPr>
              <w:t>Must be treated by a haematologist; OR</w:t>
            </w:r>
          </w:p>
          <w:p w14:paraId="2783289C" w14:textId="77777777" w:rsidR="0099015E" w:rsidRPr="00E05465" w:rsidRDefault="0099015E" w:rsidP="00E57EE5">
            <w:pPr>
              <w:keepNext/>
              <w:rPr>
                <w:rFonts w:ascii="Arial Narrow" w:eastAsia="Calibri" w:hAnsi="Arial Narrow"/>
                <w:sz w:val="20"/>
                <w:szCs w:val="20"/>
              </w:rPr>
            </w:pPr>
            <w:r w:rsidRPr="00E05465">
              <w:rPr>
                <w:rFonts w:ascii="Arial Narrow" w:eastAsia="Calibri" w:hAnsi="Arial Narrow"/>
                <w:sz w:val="20"/>
                <w:szCs w:val="20"/>
              </w:rPr>
              <w:t>Must be treated by a non-specialist medical physician who has consulted a haematologist on the patient’s drug treatment details</w:t>
            </w:r>
          </w:p>
        </w:tc>
      </w:tr>
      <w:tr w:rsidR="00E05465" w:rsidRPr="00E05465" w14:paraId="5FD8AED9" w14:textId="77777777" w:rsidTr="00E57EE5">
        <w:trPr>
          <w:cantSplit/>
        </w:trPr>
        <w:tc>
          <w:tcPr>
            <w:tcW w:w="9077" w:type="dxa"/>
            <w:hideMark/>
          </w:tcPr>
          <w:p w14:paraId="09FD920D" w14:textId="77777777" w:rsidR="0099015E" w:rsidRPr="00E05465" w:rsidRDefault="0099015E" w:rsidP="00E57EE5">
            <w:pPr>
              <w:keepNext/>
              <w:rPr>
                <w:rFonts w:ascii="Arial Narrow" w:hAnsi="Arial Narrow"/>
                <w:b/>
                <w:sz w:val="20"/>
                <w:szCs w:val="20"/>
              </w:rPr>
            </w:pPr>
            <w:r w:rsidRPr="00E05465">
              <w:rPr>
                <w:rFonts w:ascii="Arial Narrow" w:hAnsi="Arial Narrow"/>
                <w:b/>
                <w:sz w:val="20"/>
                <w:szCs w:val="20"/>
              </w:rPr>
              <w:t>Clinical criteria:</w:t>
            </w:r>
          </w:p>
        </w:tc>
      </w:tr>
      <w:tr w:rsidR="00E05465" w:rsidRPr="00E05465" w14:paraId="2D6FB6A5" w14:textId="77777777" w:rsidTr="00E57EE5">
        <w:trPr>
          <w:cantSplit/>
        </w:trPr>
        <w:tc>
          <w:tcPr>
            <w:tcW w:w="9077" w:type="dxa"/>
          </w:tcPr>
          <w:p w14:paraId="16B8A888" w14:textId="77777777" w:rsidR="0099015E" w:rsidRPr="00E05465" w:rsidRDefault="0099015E" w:rsidP="00E57EE5">
            <w:pPr>
              <w:keepNext/>
              <w:rPr>
                <w:rFonts w:ascii="Arial Narrow" w:hAnsi="Arial Narrow"/>
                <w:bCs/>
                <w:sz w:val="20"/>
                <w:szCs w:val="20"/>
              </w:rPr>
            </w:pPr>
            <w:r w:rsidRPr="00E05465">
              <w:rPr>
                <w:rFonts w:ascii="Arial Narrow" w:hAnsi="Arial Narrow"/>
                <w:bCs/>
                <w:sz w:val="20"/>
                <w:szCs w:val="20"/>
                <w:u w:val="single"/>
              </w:rPr>
              <w:t>First Continuing Criteria</w:t>
            </w:r>
            <w:r w:rsidRPr="00E05465">
              <w:rPr>
                <w:rFonts w:ascii="Arial Narrow" w:hAnsi="Arial Narrow"/>
                <w:bCs/>
                <w:sz w:val="20"/>
                <w:szCs w:val="20"/>
              </w:rPr>
              <w:t>:</w:t>
            </w:r>
          </w:p>
          <w:p w14:paraId="452619E3" w14:textId="77777777" w:rsidR="0099015E" w:rsidRPr="00E05465" w:rsidRDefault="0099015E" w:rsidP="00E57EE5">
            <w:pPr>
              <w:keepNext/>
              <w:rPr>
                <w:rFonts w:ascii="Arial Narrow" w:hAnsi="Arial Narrow"/>
                <w:bCs/>
                <w:sz w:val="20"/>
                <w:szCs w:val="20"/>
              </w:rPr>
            </w:pPr>
            <w:r w:rsidRPr="00E05465">
              <w:rPr>
                <w:rFonts w:ascii="Arial Narrow" w:hAnsi="Arial Narrow"/>
                <w:bCs/>
                <w:sz w:val="20"/>
                <w:szCs w:val="20"/>
              </w:rPr>
              <w:t>Patient must have received PBS-subsidised treatment with this drug for this condition under the 'Initial' or 'Grandfather' treatment restriction, AND</w:t>
            </w:r>
          </w:p>
          <w:p w14:paraId="61BBE0F2" w14:textId="77777777" w:rsidR="0099015E" w:rsidRPr="00E05465" w:rsidRDefault="0099015E" w:rsidP="00E57EE5">
            <w:pPr>
              <w:keepNext/>
              <w:rPr>
                <w:rFonts w:ascii="Arial Narrow" w:hAnsi="Arial Narrow"/>
                <w:bCs/>
                <w:sz w:val="20"/>
                <w:szCs w:val="20"/>
              </w:rPr>
            </w:pPr>
            <w:r w:rsidRPr="00E05465">
              <w:rPr>
                <w:rFonts w:ascii="Arial Narrow" w:hAnsi="Arial Narrow"/>
                <w:bCs/>
                <w:sz w:val="20"/>
                <w:szCs w:val="20"/>
              </w:rPr>
              <w:t>The treatment must not be in combination with any of (i) another Complement 5 (C5) inhibitor, (ii) pegcetacoplan.</w:t>
            </w:r>
          </w:p>
          <w:p w14:paraId="7FB188B0" w14:textId="77777777" w:rsidR="0099015E" w:rsidRPr="00E05465" w:rsidRDefault="0099015E" w:rsidP="00E57EE5">
            <w:pPr>
              <w:keepNext/>
              <w:rPr>
                <w:rFonts w:ascii="Arial Narrow" w:hAnsi="Arial Narrow"/>
                <w:bCs/>
                <w:sz w:val="20"/>
                <w:szCs w:val="20"/>
              </w:rPr>
            </w:pPr>
          </w:p>
          <w:p w14:paraId="58D5D3E7" w14:textId="77777777" w:rsidR="0099015E" w:rsidRPr="00E05465" w:rsidRDefault="0099015E" w:rsidP="00E57EE5">
            <w:pPr>
              <w:keepNext/>
              <w:rPr>
                <w:rFonts w:ascii="Arial Narrow" w:hAnsi="Arial Narrow"/>
                <w:bCs/>
                <w:sz w:val="20"/>
                <w:szCs w:val="20"/>
              </w:rPr>
            </w:pPr>
            <w:r w:rsidRPr="00E05465">
              <w:rPr>
                <w:rFonts w:ascii="Arial Narrow" w:hAnsi="Arial Narrow"/>
                <w:bCs/>
                <w:sz w:val="20"/>
                <w:szCs w:val="20"/>
                <w:u w:val="single"/>
              </w:rPr>
              <w:t>Subsequent Continuing Treatment</w:t>
            </w:r>
            <w:r w:rsidRPr="00E05465">
              <w:rPr>
                <w:rFonts w:ascii="Arial Narrow" w:hAnsi="Arial Narrow"/>
                <w:bCs/>
                <w:sz w:val="20"/>
                <w:szCs w:val="20"/>
              </w:rPr>
              <w:t>:</w:t>
            </w:r>
          </w:p>
          <w:p w14:paraId="1E2F2A73" w14:textId="77777777" w:rsidR="0099015E" w:rsidRPr="00E05465" w:rsidRDefault="0099015E" w:rsidP="00E57EE5">
            <w:pPr>
              <w:keepNext/>
              <w:rPr>
                <w:rFonts w:ascii="Arial Narrow" w:hAnsi="Arial Narrow"/>
                <w:bCs/>
                <w:sz w:val="20"/>
                <w:szCs w:val="20"/>
              </w:rPr>
            </w:pPr>
            <w:r w:rsidRPr="00E05465">
              <w:rPr>
                <w:rFonts w:ascii="Arial Narrow" w:hAnsi="Arial Narrow"/>
                <w:bCs/>
                <w:sz w:val="20"/>
                <w:szCs w:val="20"/>
              </w:rPr>
              <w:t>Patient must have previously received PBS-subsidised treatment with this drug for this condition under the 'First Continuing Treatment' or 'Return' criteria, AND</w:t>
            </w:r>
          </w:p>
          <w:p w14:paraId="127C35FA" w14:textId="77777777" w:rsidR="0099015E" w:rsidRPr="00E05465" w:rsidRDefault="0099015E" w:rsidP="00E57EE5">
            <w:pPr>
              <w:keepNext/>
              <w:rPr>
                <w:rFonts w:ascii="Arial Narrow" w:hAnsi="Arial Narrow"/>
                <w:bCs/>
                <w:sz w:val="20"/>
                <w:szCs w:val="20"/>
              </w:rPr>
            </w:pPr>
            <w:r w:rsidRPr="00E05465">
              <w:rPr>
                <w:rFonts w:ascii="Arial Narrow" w:hAnsi="Arial Narrow"/>
                <w:bCs/>
                <w:sz w:val="20"/>
                <w:szCs w:val="20"/>
              </w:rPr>
              <w:t>Patient must have experienced clinical improvement as a result of treatment with this drug, OR</w:t>
            </w:r>
          </w:p>
          <w:p w14:paraId="422F7423" w14:textId="77777777" w:rsidR="0099015E" w:rsidRPr="00E05465" w:rsidRDefault="0099015E" w:rsidP="00E57EE5">
            <w:pPr>
              <w:keepNext/>
              <w:rPr>
                <w:rFonts w:ascii="Arial Narrow" w:hAnsi="Arial Narrow"/>
                <w:bCs/>
                <w:sz w:val="20"/>
                <w:szCs w:val="20"/>
              </w:rPr>
            </w:pPr>
            <w:r w:rsidRPr="00E05465">
              <w:rPr>
                <w:rFonts w:ascii="Arial Narrow" w:hAnsi="Arial Narrow"/>
                <w:bCs/>
                <w:sz w:val="20"/>
                <w:szCs w:val="20"/>
              </w:rPr>
              <w:t>Patient must have experienced a stabilisation of the condition as a result of treatment with this drug; AND</w:t>
            </w:r>
          </w:p>
          <w:p w14:paraId="31874506" w14:textId="77777777" w:rsidR="0099015E" w:rsidRPr="00E05465" w:rsidRDefault="0099015E" w:rsidP="00E57EE5">
            <w:pPr>
              <w:keepNext/>
              <w:rPr>
                <w:rFonts w:ascii="Arial Narrow" w:hAnsi="Arial Narrow"/>
                <w:sz w:val="20"/>
                <w:szCs w:val="20"/>
              </w:rPr>
            </w:pPr>
            <w:r w:rsidRPr="00E05465">
              <w:rPr>
                <w:rFonts w:ascii="Arial Narrow" w:hAnsi="Arial Narrow"/>
                <w:bCs/>
                <w:sz w:val="20"/>
                <w:szCs w:val="20"/>
              </w:rPr>
              <w:t>The treatment must not be in combination with any of (i) another Complement 5 (C5) inhibitor, (ii) pegcetacoplan.</w:t>
            </w:r>
          </w:p>
        </w:tc>
      </w:tr>
      <w:tr w:rsidR="00E05465" w:rsidRPr="00E05465" w14:paraId="7AD9C148" w14:textId="77777777" w:rsidTr="00E57EE5">
        <w:trPr>
          <w:cantSplit/>
        </w:trPr>
        <w:tc>
          <w:tcPr>
            <w:tcW w:w="9077" w:type="dxa"/>
          </w:tcPr>
          <w:p w14:paraId="31BEAC03" w14:textId="77777777" w:rsidR="0099015E" w:rsidRPr="00E05465" w:rsidRDefault="0099015E" w:rsidP="00E57EE5">
            <w:pPr>
              <w:keepNext/>
              <w:rPr>
                <w:rFonts w:ascii="Arial Narrow" w:hAnsi="Arial Narrow"/>
                <w:bCs/>
                <w:sz w:val="20"/>
                <w:szCs w:val="20"/>
              </w:rPr>
            </w:pPr>
            <w:r w:rsidRPr="00E05465">
              <w:rPr>
                <w:rFonts w:ascii="Arial Narrow" w:hAnsi="Arial Narrow" w:cstheme="minorHAnsi"/>
                <w:b/>
                <w:strike/>
                <w:sz w:val="20"/>
                <w:szCs w:val="20"/>
              </w:rPr>
              <w:t>Population criteria</w:t>
            </w:r>
            <w:r w:rsidRPr="00E05465">
              <w:rPr>
                <w:rFonts w:ascii="Arial Narrow" w:hAnsi="Arial Narrow" w:cstheme="minorHAnsi"/>
                <w:strike/>
                <w:sz w:val="20"/>
                <w:szCs w:val="20"/>
              </w:rPr>
              <w:t>: Patient must be at least 18 years of age.</w:t>
            </w:r>
          </w:p>
        </w:tc>
      </w:tr>
      <w:bookmarkEnd w:id="74"/>
    </w:tbl>
    <w:p w14:paraId="4A01FE25" w14:textId="77777777" w:rsidR="00DF6BDA" w:rsidRPr="00E05465" w:rsidRDefault="00DF6BDA" w:rsidP="00173FAD">
      <w:pPr>
        <w:jc w:val="left"/>
        <w:rPr>
          <w:b/>
          <w:bCs/>
          <w:i/>
          <w:iCs/>
        </w:rPr>
      </w:pPr>
    </w:p>
    <w:p w14:paraId="310F5DC1" w14:textId="0CA250CA" w:rsidR="002032B0" w:rsidRPr="00E05465" w:rsidRDefault="00C4065D" w:rsidP="00173FAD">
      <w:pPr>
        <w:jc w:val="left"/>
        <w:rPr>
          <w:b/>
          <w:bCs/>
          <w:i/>
          <w:iCs/>
        </w:rPr>
      </w:pPr>
      <w:r w:rsidRPr="00E05465">
        <w:rPr>
          <w:b/>
          <w:bCs/>
          <w:i/>
          <w:iCs/>
        </w:rPr>
        <w:t>This restriction may be subject to further review. Should there be any changes made to the restriction the Sponsor will be informed.</w:t>
      </w:r>
    </w:p>
    <w:p w14:paraId="5B4AF3FF" w14:textId="551EDCB4" w:rsidR="002032B0" w:rsidRPr="00E05465" w:rsidRDefault="002032B0" w:rsidP="002032B0">
      <w:pPr>
        <w:pStyle w:val="2-SectionHeading"/>
        <w:rPr>
          <w:bCs/>
          <w:lang w:val="en-GB"/>
        </w:rPr>
      </w:pPr>
      <w:r w:rsidRPr="00E05465">
        <w:t>Context for Decision</w:t>
      </w:r>
    </w:p>
    <w:p w14:paraId="657F63E9" w14:textId="77777777" w:rsidR="002032B0" w:rsidRPr="00E05465" w:rsidRDefault="002032B0" w:rsidP="002032B0">
      <w:pPr>
        <w:spacing w:after="120"/>
        <w:ind w:left="720"/>
        <w:rPr>
          <w:rFonts w:asciiTheme="minorHAnsi" w:hAnsiTheme="minorHAnsi"/>
          <w:bCs/>
          <w:lang w:val="en-GB"/>
        </w:rPr>
      </w:pPr>
      <w:r w:rsidRPr="00E05465">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328DF86" w14:textId="6E7A6781" w:rsidR="002032B0" w:rsidRPr="00E05465" w:rsidRDefault="002032B0" w:rsidP="002032B0">
      <w:pPr>
        <w:pStyle w:val="2-SectionHeading"/>
      </w:pPr>
      <w:r w:rsidRPr="00E05465">
        <w:t>Sponsor’s Comment</w:t>
      </w:r>
    </w:p>
    <w:p w14:paraId="430B42A4" w14:textId="77777777" w:rsidR="002032B0" w:rsidRPr="00E05465" w:rsidRDefault="002032B0" w:rsidP="002032B0">
      <w:pPr>
        <w:spacing w:after="120"/>
        <w:ind w:left="426" w:firstLine="294"/>
        <w:rPr>
          <w:rFonts w:asciiTheme="minorHAnsi" w:hAnsiTheme="minorHAnsi"/>
          <w:bCs/>
        </w:rPr>
      </w:pPr>
      <w:r w:rsidRPr="00E05465">
        <w:rPr>
          <w:rFonts w:asciiTheme="minorHAnsi" w:hAnsiTheme="minorHAnsi"/>
          <w:bCs/>
        </w:rPr>
        <w:t>The sponsor had no comment.</w:t>
      </w:r>
    </w:p>
    <w:p w14:paraId="533960FF" w14:textId="77777777" w:rsidR="002032B0" w:rsidRPr="00E05465" w:rsidRDefault="002032B0" w:rsidP="00173FAD">
      <w:pPr>
        <w:jc w:val="left"/>
      </w:pPr>
    </w:p>
    <w:sectPr w:rsidR="002032B0" w:rsidRPr="00E05465"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187F" w14:textId="77777777" w:rsidR="002B0381" w:rsidRDefault="002B0381" w:rsidP="00124A51">
      <w:r>
        <w:separator/>
      </w:r>
    </w:p>
    <w:p w14:paraId="2F6B5F15" w14:textId="77777777" w:rsidR="002B0381" w:rsidRDefault="002B0381"/>
  </w:endnote>
  <w:endnote w:type="continuationSeparator" w:id="0">
    <w:p w14:paraId="3152FD1B" w14:textId="77777777" w:rsidR="002B0381" w:rsidRDefault="002B0381" w:rsidP="00124A51">
      <w:r>
        <w:continuationSeparator/>
      </w:r>
    </w:p>
    <w:p w14:paraId="57C4C668" w14:textId="77777777" w:rsidR="002B0381" w:rsidRDefault="002B0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150E" w14:textId="77777777" w:rsidR="000D02AC" w:rsidRDefault="000D0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9B4C" w14:textId="77777777" w:rsidR="003F3A38" w:rsidRDefault="003F3A38" w:rsidP="00753B29">
    <w:pPr>
      <w:pStyle w:val="Footer"/>
      <w:jc w:val="center"/>
    </w:pPr>
  </w:p>
  <w:bookmarkStart w:id="76" w:name="_Hlk76375156"/>
  <w:bookmarkStart w:id="77" w:name="_Hlk138321463"/>
  <w:p w14:paraId="034C9794" w14:textId="2121BF63" w:rsidR="003F3A38" w:rsidRPr="002C1848" w:rsidRDefault="002C1848" w:rsidP="002C1848">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76"/>
    <w:bookmarkEnd w:id="7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F972" w14:textId="77777777" w:rsidR="000D02AC" w:rsidRDefault="000D0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D3BF" w14:textId="77777777" w:rsidR="002B0381" w:rsidRDefault="002B0381" w:rsidP="00124A51">
      <w:r>
        <w:separator/>
      </w:r>
    </w:p>
    <w:p w14:paraId="4E57FA03" w14:textId="77777777" w:rsidR="002B0381" w:rsidRDefault="002B0381"/>
  </w:footnote>
  <w:footnote w:type="continuationSeparator" w:id="0">
    <w:p w14:paraId="65CFB82C" w14:textId="77777777" w:rsidR="002B0381" w:rsidRDefault="002B0381" w:rsidP="00124A51">
      <w:r>
        <w:continuationSeparator/>
      </w:r>
    </w:p>
    <w:p w14:paraId="6CD96552" w14:textId="77777777" w:rsidR="002B0381" w:rsidRDefault="002B0381"/>
  </w:footnote>
  <w:footnote w:id="1">
    <w:p w14:paraId="7AA71F04" w14:textId="77777777" w:rsidR="003F3A38" w:rsidRDefault="003F3A38" w:rsidP="001D559C">
      <w:pPr>
        <w:pStyle w:val="FootnoteText"/>
      </w:pPr>
      <w:r>
        <w:rPr>
          <w:rStyle w:val="FootnoteReference"/>
        </w:rPr>
        <w:footnoteRef/>
      </w:r>
      <w:r>
        <w:t xml:space="preserve"> </w:t>
      </w:r>
      <w:r>
        <w:rPr>
          <w:lang w:val="en-US"/>
        </w:rPr>
        <w:t>A</w:t>
      </w:r>
      <w:r w:rsidRPr="00884D14">
        <w:rPr>
          <w:lang w:val="en-US"/>
        </w:rPr>
        <w:t xml:space="preserve">voidance of a 2 g/dL (or greater) decrease in haemoglobin level from </w:t>
      </w:r>
      <w:r>
        <w:rPr>
          <w:lang w:val="en-US"/>
        </w:rPr>
        <w:t>b</w:t>
      </w:r>
      <w:r w:rsidRPr="00884D14">
        <w:rPr>
          <w:lang w:val="en-US"/>
        </w:rPr>
        <w:t>aseline in the absence of transfusion through Day 183 (Primary Evaluation Period)</w:t>
      </w:r>
    </w:p>
  </w:footnote>
  <w:footnote w:id="2">
    <w:p w14:paraId="785DCAD2" w14:textId="77777777" w:rsidR="003F3A38" w:rsidRDefault="003F3A38" w:rsidP="001D559C">
      <w:pPr>
        <w:pStyle w:val="FootnoteText"/>
      </w:pPr>
      <w:r>
        <w:rPr>
          <w:rStyle w:val="FootnoteReference"/>
        </w:rPr>
        <w:footnoteRef/>
      </w:r>
      <w:r>
        <w:t xml:space="preserve"> BTH was d</w:t>
      </w:r>
      <w:r w:rsidRPr="00494056">
        <w:rPr>
          <w:lang w:val="en-US"/>
        </w:rPr>
        <w:t>efined as at least one new or worsening symptom or sign of intravascular haemolysis</w:t>
      </w:r>
      <w:r>
        <w:rPr>
          <w:lang w:val="en-US"/>
        </w:rPr>
        <w:t>.</w:t>
      </w:r>
    </w:p>
  </w:footnote>
  <w:footnote w:id="3">
    <w:p w14:paraId="413AC98F" w14:textId="77777777" w:rsidR="003F3A38" w:rsidRDefault="003F3A38" w:rsidP="001D559C">
      <w:pPr>
        <w:pStyle w:val="FootnoteText"/>
      </w:pPr>
      <w:r>
        <w:rPr>
          <w:rStyle w:val="FootnoteReference"/>
        </w:rPr>
        <w:footnoteRef/>
      </w:r>
      <w:r>
        <w:t xml:space="preserve"> </w:t>
      </w:r>
      <w:r w:rsidRPr="00845FEF">
        <w:t>Webster K</w:t>
      </w:r>
      <w:r>
        <w:t xml:space="preserve"> </w:t>
      </w:r>
      <w:r w:rsidRPr="004F51F2">
        <w:rPr>
          <w:i/>
        </w:rPr>
        <w:t>et al</w:t>
      </w:r>
      <w:r w:rsidRPr="00845FEF">
        <w:t xml:space="preserve">. The Functional Assessment of Chronic Illness Therapy (FACIT) Measurement System: properties, applications, and interpretation. </w:t>
      </w:r>
      <w:r w:rsidRPr="00845FEF">
        <w:rPr>
          <w:i/>
        </w:rPr>
        <w:t>Health Qual Life Outcomes</w:t>
      </w:r>
      <w:r>
        <w:t>. 2003</w:t>
      </w:r>
      <w:r>
        <w:rPr>
          <w:i/>
        </w:rPr>
        <w:t xml:space="preserve">; </w:t>
      </w:r>
      <w:r w:rsidRPr="00845FEF">
        <w:t>1:79</w:t>
      </w:r>
    </w:p>
  </w:footnote>
  <w:footnote w:id="4">
    <w:p w14:paraId="075342C0" w14:textId="77777777" w:rsidR="003F3A38" w:rsidRDefault="003F3A38" w:rsidP="001D559C">
      <w:pPr>
        <w:pStyle w:val="FootnoteText"/>
        <w:jc w:val="left"/>
      </w:pPr>
      <w:r>
        <w:rPr>
          <w:rStyle w:val="FootnoteReference"/>
        </w:rPr>
        <w:footnoteRef/>
      </w:r>
      <w:r>
        <w:t xml:space="preserve"> </w:t>
      </w:r>
      <w:r w:rsidRPr="004E012E">
        <w:t>European Medicines Agency. Soliris (eculizumab). 2020</w:t>
      </w:r>
      <w:r>
        <w:t xml:space="preserve">. </w:t>
      </w:r>
      <w:r w:rsidRPr="004E012E">
        <w:t>https://www.ema.europa.eu/en/medicines/human/EPAR/soliris</w:t>
      </w:r>
    </w:p>
  </w:footnote>
  <w:footnote w:id="5">
    <w:p w14:paraId="7E7A4019" w14:textId="47AA2A70" w:rsidR="003F3A38" w:rsidRPr="005A30B6" w:rsidRDefault="003F3A38" w:rsidP="001212BA">
      <w:pPr>
        <w:pStyle w:val="FootnoteText"/>
        <w:rPr>
          <w:lang w:val="en-US"/>
        </w:rPr>
      </w:pPr>
      <w:r>
        <w:rPr>
          <w:rStyle w:val="FootnoteReference"/>
        </w:rPr>
        <w:footnoteRef/>
      </w:r>
      <w:r>
        <w:t xml:space="preserve"> </w:t>
      </w:r>
      <w:r>
        <w:rPr>
          <w:lang w:val="en-US"/>
        </w:rPr>
        <w:t xml:space="preserve">As the average ravulizumab dose in adults reported in the PSD (44,616 mg) was lower than the total dose in patients weighing </w:t>
      </w:r>
      <w:r>
        <w:rPr>
          <w:rFonts w:cs="Calibri"/>
          <w:lang w:val="en-US"/>
        </w:rPr>
        <w:t>≥</w:t>
      </w:r>
      <w:r>
        <w:rPr>
          <w:lang w:val="en-US"/>
        </w:rPr>
        <w:t>60 kg (</w:t>
      </w:r>
      <w:r w:rsidR="000F33FE">
        <w:rPr>
          <w:lang w:val="en-US"/>
        </w:rPr>
        <w:fldChar w:fldCharType="begin"/>
      </w:r>
      <w:r w:rsidR="000F33FE">
        <w:rPr>
          <w:lang w:val="en-US"/>
        </w:rPr>
        <w:instrText xml:space="preserve"> REF _Ref134456639 \h </w:instrText>
      </w:r>
      <w:r w:rsidR="000F33FE">
        <w:rPr>
          <w:lang w:val="en-US"/>
        </w:rPr>
        <w:fldChar w:fldCharType="separate"/>
      </w:r>
      <w:r w:rsidR="00687C33">
        <w:rPr>
          <w:b/>
          <w:bCs/>
          <w:lang w:val="en-US"/>
        </w:rPr>
        <w:t>Error! Reference source not found.</w:t>
      </w:r>
      <w:r w:rsidR="000F33FE">
        <w:rPr>
          <w:lang w:val="en-US"/>
        </w:rPr>
        <w:fldChar w:fldCharType="end"/>
      </w:r>
      <w:r>
        <w:rPr>
          <w:lang w:val="en-US"/>
        </w:rPr>
        <w:fldChar w:fldCharType="begin"/>
      </w:r>
      <w:r>
        <w:rPr>
          <w:lang w:val="en-US"/>
        </w:rPr>
        <w:instrText xml:space="preserve"> REF _Ref134009168 \h </w:instrText>
      </w:r>
      <w:r w:rsidR="00687C33">
        <w:rPr>
          <w:lang w:val="en-US"/>
        </w:rPr>
        <w:fldChar w:fldCharType="separate"/>
      </w:r>
      <w:r w:rsidR="00687C33">
        <w:rPr>
          <w:b/>
          <w:bCs/>
          <w:lang w:val="en-US"/>
        </w:rPr>
        <w:t>Error! Reference source not found.</w:t>
      </w:r>
      <w:r>
        <w:rPr>
          <w:lang w:val="en-US"/>
        </w:rPr>
        <w:fldChar w:fldCharType="end"/>
      </w:r>
      <w:r>
        <w:rPr>
          <w:lang w:val="en-US"/>
        </w:rPr>
        <w:t>), some use in patients weighing &lt;60 kg was included.</w:t>
      </w:r>
    </w:p>
  </w:footnote>
  <w:footnote w:id="6">
    <w:p w14:paraId="32F9F731" w14:textId="77777777" w:rsidR="003F3A38" w:rsidRDefault="003F3A38" w:rsidP="001212BA">
      <w:pPr>
        <w:pStyle w:val="FootnoteText"/>
      </w:pPr>
      <w:r>
        <w:rPr>
          <w:rStyle w:val="FootnoteReference"/>
        </w:rPr>
        <w:footnoteRef/>
      </w:r>
      <w:r>
        <w:t xml:space="preserve"> </w:t>
      </w:r>
      <w:r w:rsidRPr="009B4840">
        <w:t>The number of vials was determined based on the average dose</w:t>
      </w:r>
      <w:r>
        <w:t xml:space="preserve"> where 17% of patients were assumed to weigh ≥30−&lt;40 kg; 33% ≥40−&lt;60 kg and 50% ≥60 kg.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4B76" w14:textId="77777777" w:rsidR="000D02AC" w:rsidRDefault="000D0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E9B5" w14:textId="291F7681" w:rsidR="002C1848" w:rsidRPr="002032B0" w:rsidRDefault="002032B0" w:rsidP="000D02AC">
    <w:pPr>
      <w:pStyle w:val="Header"/>
      <w:ind w:left="360"/>
      <w:rPr>
        <w:rFonts w:asciiTheme="minorHAnsi" w:hAnsiTheme="minorHAnsi"/>
        <w:i/>
      </w:rPr>
    </w:pPr>
    <w:bookmarkStart w:id="75" w:name="_Hlk76375146"/>
    <w:r w:rsidRPr="002032B0">
      <w:rPr>
        <w:rFonts w:asciiTheme="minorHAnsi" w:hAnsiTheme="minorHAnsi"/>
        <w:i/>
      </w:rPr>
      <w:t>Public Summary Document</w:t>
    </w:r>
    <w:r w:rsidR="002C1848" w:rsidRPr="002032B0">
      <w:rPr>
        <w:rFonts w:asciiTheme="minorHAnsi" w:hAnsiTheme="minorHAnsi"/>
        <w:i/>
      </w:rPr>
      <w:t xml:space="preserve"> – </w:t>
    </w:r>
    <w:r w:rsidR="00BA71BE" w:rsidRPr="002032B0">
      <w:rPr>
        <w:rFonts w:asciiTheme="minorHAnsi" w:hAnsiTheme="minorHAnsi"/>
        <w:i/>
      </w:rPr>
      <w:t>July</w:t>
    </w:r>
    <w:r w:rsidR="002C1848" w:rsidRPr="002032B0">
      <w:rPr>
        <w:rFonts w:asciiTheme="minorHAnsi" w:hAnsiTheme="minorHAnsi"/>
        <w:i/>
      </w:rPr>
      <w:t xml:space="preserve"> 2023 PBAC Meeting</w:t>
    </w:r>
  </w:p>
  <w:bookmarkEnd w:id="75"/>
  <w:p w14:paraId="0CFF3CD5" w14:textId="77777777" w:rsidR="003F3A38" w:rsidRPr="008C7ECB" w:rsidRDefault="003F3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4591" w14:textId="77777777" w:rsidR="000D02AC" w:rsidRDefault="000D0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9970B2"/>
    <w:multiLevelType w:val="hybridMultilevel"/>
    <w:tmpl w:val="63123A02"/>
    <w:lvl w:ilvl="0" w:tplc="3CFA99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A753C4"/>
    <w:multiLevelType w:val="hybridMultilevel"/>
    <w:tmpl w:val="87AC57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B6274A"/>
    <w:multiLevelType w:val="hybridMultilevel"/>
    <w:tmpl w:val="A65EE8A6"/>
    <w:lvl w:ilvl="0" w:tplc="B058CB90">
      <w:start w:val="1"/>
      <w:numFmt w:val="decimal"/>
      <w:lvlText w:val="%1."/>
      <w:lvlJc w:val="left"/>
      <w:pPr>
        <w:ind w:left="1778" w:hanging="360"/>
      </w:pPr>
      <w:rPr>
        <w:rFonts w:hint="default"/>
        <w:i/>
        <w:iCs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BB1F01"/>
    <w:multiLevelType w:val="hybridMultilevel"/>
    <w:tmpl w:val="33D49C9E"/>
    <w:lvl w:ilvl="0" w:tplc="04C6749C">
      <w:start w:val="1"/>
      <w:numFmt w:val="bullet"/>
      <w:pStyle w:val="ListParagraph"/>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122CD"/>
    <w:multiLevelType w:val="hybridMultilevel"/>
    <w:tmpl w:val="7080696A"/>
    <w:lvl w:ilvl="0" w:tplc="0C090001">
      <w:start w:val="1"/>
      <w:numFmt w:val="bullet"/>
      <w:lvlText w:val=""/>
      <w:lvlJc w:val="left"/>
      <w:pPr>
        <w:ind w:left="1547" w:hanging="360"/>
      </w:pPr>
      <w:rPr>
        <w:rFonts w:ascii="Symbol" w:hAnsi="Symbol" w:hint="default"/>
      </w:rPr>
    </w:lvl>
    <w:lvl w:ilvl="1" w:tplc="0C090003" w:tentative="1">
      <w:start w:val="1"/>
      <w:numFmt w:val="bullet"/>
      <w:lvlText w:val="o"/>
      <w:lvlJc w:val="left"/>
      <w:pPr>
        <w:ind w:left="2267" w:hanging="360"/>
      </w:pPr>
      <w:rPr>
        <w:rFonts w:ascii="Courier New" w:hAnsi="Courier New" w:cs="Courier New" w:hint="default"/>
      </w:rPr>
    </w:lvl>
    <w:lvl w:ilvl="2" w:tplc="0C090005" w:tentative="1">
      <w:start w:val="1"/>
      <w:numFmt w:val="bullet"/>
      <w:lvlText w:val=""/>
      <w:lvlJc w:val="left"/>
      <w:pPr>
        <w:ind w:left="2987" w:hanging="360"/>
      </w:pPr>
      <w:rPr>
        <w:rFonts w:ascii="Wingdings" w:hAnsi="Wingdings" w:hint="default"/>
      </w:rPr>
    </w:lvl>
    <w:lvl w:ilvl="3" w:tplc="0C090001" w:tentative="1">
      <w:start w:val="1"/>
      <w:numFmt w:val="bullet"/>
      <w:lvlText w:val=""/>
      <w:lvlJc w:val="left"/>
      <w:pPr>
        <w:ind w:left="3707" w:hanging="360"/>
      </w:pPr>
      <w:rPr>
        <w:rFonts w:ascii="Symbol" w:hAnsi="Symbol" w:hint="default"/>
      </w:rPr>
    </w:lvl>
    <w:lvl w:ilvl="4" w:tplc="0C090003" w:tentative="1">
      <w:start w:val="1"/>
      <w:numFmt w:val="bullet"/>
      <w:lvlText w:val="o"/>
      <w:lvlJc w:val="left"/>
      <w:pPr>
        <w:ind w:left="4427" w:hanging="360"/>
      </w:pPr>
      <w:rPr>
        <w:rFonts w:ascii="Courier New" w:hAnsi="Courier New" w:cs="Courier New" w:hint="default"/>
      </w:rPr>
    </w:lvl>
    <w:lvl w:ilvl="5" w:tplc="0C090005" w:tentative="1">
      <w:start w:val="1"/>
      <w:numFmt w:val="bullet"/>
      <w:lvlText w:val=""/>
      <w:lvlJc w:val="left"/>
      <w:pPr>
        <w:ind w:left="5147" w:hanging="360"/>
      </w:pPr>
      <w:rPr>
        <w:rFonts w:ascii="Wingdings" w:hAnsi="Wingdings" w:hint="default"/>
      </w:rPr>
    </w:lvl>
    <w:lvl w:ilvl="6" w:tplc="0C090001" w:tentative="1">
      <w:start w:val="1"/>
      <w:numFmt w:val="bullet"/>
      <w:lvlText w:val=""/>
      <w:lvlJc w:val="left"/>
      <w:pPr>
        <w:ind w:left="5867" w:hanging="360"/>
      </w:pPr>
      <w:rPr>
        <w:rFonts w:ascii="Symbol" w:hAnsi="Symbol" w:hint="default"/>
      </w:rPr>
    </w:lvl>
    <w:lvl w:ilvl="7" w:tplc="0C090003" w:tentative="1">
      <w:start w:val="1"/>
      <w:numFmt w:val="bullet"/>
      <w:lvlText w:val="o"/>
      <w:lvlJc w:val="left"/>
      <w:pPr>
        <w:ind w:left="6587" w:hanging="360"/>
      </w:pPr>
      <w:rPr>
        <w:rFonts w:ascii="Courier New" w:hAnsi="Courier New" w:cs="Courier New" w:hint="default"/>
      </w:rPr>
    </w:lvl>
    <w:lvl w:ilvl="8" w:tplc="0C090005" w:tentative="1">
      <w:start w:val="1"/>
      <w:numFmt w:val="bullet"/>
      <w:lvlText w:val=""/>
      <w:lvlJc w:val="left"/>
      <w:pPr>
        <w:ind w:left="7307" w:hanging="360"/>
      </w:pPr>
      <w:rPr>
        <w:rFonts w:ascii="Wingdings" w:hAnsi="Wingdings" w:hint="default"/>
      </w:rPr>
    </w:lvl>
  </w:abstractNum>
  <w:abstractNum w:abstractNumId="14" w15:restartNumberingAfterBreak="0">
    <w:nsid w:val="4B9B4AD8"/>
    <w:multiLevelType w:val="hybridMultilevel"/>
    <w:tmpl w:val="110A31C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10747B"/>
    <w:multiLevelType w:val="hybridMultilevel"/>
    <w:tmpl w:val="5C4E78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EC272B"/>
    <w:multiLevelType w:val="hybridMultilevel"/>
    <w:tmpl w:val="72F0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23494328">
    <w:abstractNumId w:val="22"/>
  </w:num>
  <w:num w:numId="2" w16cid:durableId="1477988263">
    <w:abstractNumId w:val="11"/>
  </w:num>
  <w:num w:numId="3" w16cid:durableId="141895348">
    <w:abstractNumId w:val="12"/>
  </w:num>
  <w:num w:numId="4" w16cid:durableId="284233821">
    <w:abstractNumId w:val="0"/>
  </w:num>
  <w:num w:numId="5" w16cid:durableId="1201698345">
    <w:abstractNumId w:val="22"/>
  </w:num>
  <w:num w:numId="6" w16cid:durableId="921718313">
    <w:abstractNumId w:val="23"/>
  </w:num>
  <w:num w:numId="7" w16cid:durableId="1584417614">
    <w:abstractNumId w:val="18"/>
  </w:num>
  <w:num w:numId="8" w16cid:durableId="1545632707">
    <w:abstractNumId w:val="10"/>
  </w:num>
  <w:num w:numId="9" w16cid:durableId="1775131670">
    <w:abstractNumId w:val="9"/>
  </w:num>
  <w:num w:numId="10" w16cid:durableId="2120249864">
    <w:abstractNumId w:val="3"/>
  </w:num>
  <w:num w:numId="11" w16cid:durableId="1629749358">
    <w:abstractNumId w:val="21"/>
  </w:num>
  <w:num w:numId="12" w16cid:durableId="1377895048">
    <w:abstractNumId w:val="14"/>
  </w:num>
  <w:num w:numId="13" w16cid:durableId="2000110258">
    <w:abstractNumId w:val="13"/>
  </w:num>
  <w:num w:numId="14" w16cid:durableId="1360929061">
    <w:abstractNumId w:val="4"/>
  </w:num>
  <w:num w:numId="15" w16cid:durableId="1720086937">
    <w:abstractNumId w:val="6"/>
  </w:num>
  <w:num w:numId="16" w16cid:durableId="1845628574">
    <w:abstractNumId w:val="19"/>
  </w:num>
  <w:num w:numId="17" w16cid:durableId="1364330355">
    <w:abstractNumId w:val="15"/>
  </w:num>
  <w:num w:numId="18" w16cid:durableId="308484321">
    <w:abstractNumId w:val="16"/>
  </w:num>
  <w:num w:numId="19" w16cid:durableId="897518209">
    <w:abstractNumId w:val="2"/>
  </w:num>
  <w:num w:numId="20" w16cid:durableId="443235218">
    <w:abstractNumId w:val="1"/>
  </w:num>
  <w:num w:numId="21" w16cid:durableId="1706565865">
    <w:abstractNumId w:val="7"/>
  </w:num>
  <w:num w:numId="22" w16cid:durableId="2112040613">
    <w:abstractNumId w:val="8"/>
  </w:num>
  <w:num w:numId="23" w16cid:durableId="127555984">
    <w:abstractNumId w:val="5"/>
  </w:num>
  <w:num w:numId="24" w16cid:durableId="8100935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1590388">
    <w:abstractNumId w:val="20"/>
  </w:num>
  <w:num w:numId="26" w16cid:durableId="1371951992">
    <w:abstractNumId w:val="22"/>
  </w:num>
  <w:num w:numId="27" w16cid:durableId="1910074833">
    <w:abstractNumId w:val="22"/>
  </w:num>
  <w:num w:numId="28" w16cid:durableId="88043760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9B7"/>
    <w:rsid w:val="000056B9"/>
    <w:rsid w:val="00005920"/>
    <w:rsid w:val="0000639A"/>
    <w:rsid w:val="00013247"/>
    <w:rsid w:val="00015886"/>
    <w:rsid w:val="000162EF"/>
    <w:rsid w:val="000207C9"/>
    <w:rsid w:val="0002225F"/>
    <w:rsid w:val="00023763"/>
    <w:rsid w:val="00024EB5"/>
    <w:rsid w:val="0002501C"/>
    <w:rsid w:val="000257F6"/>
    <w:rsid w:val="000274B8"/>
    <w:rsid w:val="00033863"/>
    <w:rsid w:val="00035DC0"/>
    <w:rsid w:val="00036381"/>
    <w:rsid w:val="00036829"/>
    <w:rsid w:val="00036C76"/>
    <w:rsid w:val="00040895"/>
    <w:rsid w:val="000410A0"/>
    <w:rsid w:val="00042C4B"/>
    <w:rsid w:val="000435EE"/>
    <w:rsid w:val="00043C37"/>
    <w:rsid w:val="00045017"/>
    <w:rsid w:val="00045A2B"/>
    <w:rsid w:val="0004698F"/>
    <w:rsid w:val="000469C1"/>
    <w:rsid w:val="00046D64"/>
    <w:rsid w:val="000508C2"/>
    <w:rsid w:val="000539D0"/>
    <w:rsid w:val="00054621"/>
    <w:rsid w:val="000546D7"/>
    <w:rsid w:val="00054A8D"/>
    <w:rsid w:val="00054CBA"/>
    <w:rsid w:val="00055C3B"/>
    <w:rsid w:val="00056ECF"/>
    <w:rsid w:val="00057B0F"/>
    <w:rsid w:val="000604DF"/>
    <w:rsid w:val="00062324"/>
    <w:rsid w:val="00063757"/>
    <w:rsid w:val="000644EE"/>
    <w:rsid w:val="000653B5"/>
    <w:rsid w:val="00066360"/>
    <w:rsid w:val="00066AF8"/>
    <w:rsid w:val="00071248"/>
    <w:rsid w:val="00071F3B"/>
    <w:rsid w:val="000720B9"/>
    <w:rsid w:val="000737F7"/>
    <w:rsid w:val="0007672F"/>
    <w:rsid w:val="00076B54"/>
    <w:rsid w:val="0007746E"/>
    <w:rsid w:val="000774F0"/>
    <w:rsid w:val="000802FB"/>
    <w:rsid w:val="00080909"/>
    <w:rsid w:val="000812CA"/>
    <w:rsid w:val="00081E63"/>
    <w:rsid w:val="0008258D"/>
    <w:rsid w:val="0008349B"/>
    <w:rsid w:val="00083E99"/>
    <w:rsid w:val="000849CA"/>
    <w:rsid w:val="00084FA8"/>
    <w:rsid w:val="000856C5"/>
    <w:rsid w:val="00085C31"/>
    <w:rsid w:val="000902D9"/>
    <w:rsid w:val="00090C7E"/>
    <w:rsid w:val="000911AC"/>
    <w:rsid w:val="00092600"/>
    <w:rsid w:val="0009262B"/>
    <w:rsid w:val="00093310"/>
    <w:rsid w:val="00093906"/>
    <w:rsid w:val="0009445C"/>
    <w:rsid w:val="00095200"/>
    <w:rsid w:val="00095FE5"/>
    <w:rsid w:val="00096284"/>
    <w:rsid w:val="000976E4"/>
    <w:rsid w:val="000A0501"/>
    <w:rsid w:val="000A0958"/>
    <w:rsid w:val="000A1BC0"/>
    <w:rsid w:val="000A2F9E"/>
    <w:rsid w:val="000A313F"/>
    <w:rsid w:val="000A3E47"/>
    <w:rsid w:val="000A42EC"/>
    <w:rsid w:val="000A522B"/>
    <w:rsid w:val="000A6039"/>
    <w:rsid w:val="000A7453"/>
    <w:rsid w:val="000A7D08"/>
    <w:rsid w:val="000B0121"/>
    <w:rsid w:val="000B0670"/>
    <w:rsid w:val="000B0C68"/>
    <w:rsid w:val="000B0E75"/>
    <w:rsid w:val="000B1FD5"/>
    <w:rsid w:val="000B2DCB"/>
    <w:rsid w:val="000B46E5"/>
    <w:rsid w:val="000B5CE0"/>
    <w:rsid w:val="000B6961"/>
    <w:rsid w:val="000B6CAC"/>
    <w:rsid w:val="000B7612"/>
    <w:rsid w:val="000B78AE"/>
    <w:rsid w:val="000C3DF9"/>
    <w:rsid w:val="000C40B3"/>
    <w:rsid w:val="000C4CF2"/>
    <w:rsid w:val="000C6713"/>
    <w:rsid w:val="000D02AB"/>
    <w:rsid w:val="000D02AC"/>
    <w:rsid w:val="000D1BFC"/>
    <w:rsid w:val="000D1D5D"/>
    <w:rsid w:val="000D281A"/>
    <w:rsid w:val="000D2848"/>
    <w:rsid w:val="000D326A"/>
    <w:rsid w:val="000D32E1"/>
    <w:rsid w:val="000D3DBA"/>
    <w:rsid w:val="000D51FB"/>
    <w:rsid w:val="000E0640"/>
    <w:rsid w:val="000E135D"/>
    <w:rsid w:val="000E6516"/>
    <w:rsid w:val="000F00BA"/>
    <w:rsid w:val="000F316A"/>
    <w:rsid w:val="000F33FE"/>
    <w:rsid w:val="000F3C74"/>
    <w:rsid w:val="000F3DD1"/>
    <w:rsid w:val="000F4BB8"/>
    <w:rsid w:val="000F4FA9"/>
    <w:rsid w:val="000F53FB"/>
    <w:rsid w:val="000F7127"/>
    <w:rsid w:val="000F7B54"/>
    <w:rsid w:val="001000B3"/>
    <w:rsid w:val="00100D12"/>
    <w:rsid w:val="00100F8A"/>
    <w:rsid w:val="0010452E"/>
    <w:rsid w:val="00104D5D"/>
    <w:rsid w:val="001054F6"/>
    <w:rsid w:val="00105AE2"/>
    <w:rsid w:val="001060C6"/>
    <w:rsid w:val="00106B80"/>
    <w:rsid w:val="0011032E"/>
    <w:rsid w:val="0011348B"/>
    <w:rsid w:val="0011530F"/>
    <w:rsid w:val="00115982"/>
    <w:rsid w:val="00116C53"/>
    <w:rsid w:val="001205D1"/>
    <w:rsid w:val="001212BA"/>
    <w:rsid w:val="00121799"/>
    <w:rsid w:val="001222FC"/>
    <w:rsid w:val="00123902"/>
    <w:rsid w:val="0012444E"/>
    <w:rsid w:val="00124A51"/>
    <w:rsid w:val="00126621"/>
    <w:rsid w:val="00126B1D"/>
    <w:rsid w:val="001301E9"/>
    <w:rsid w:val="00131D82"/>
    <w:rsid w:val="00132B22"/>
    <w:rsid w:val="0013315B"/>
    <w:rsid w:val="00133D36"/>
    <w:rsid w:val="00137645"/>
    <w:rsid w:val="0014015A"/>
    <w:rsid w:val="00140E99"/>
    <w:rsid w:val="00142364"/>
    <w:rsid w:val="00143F67"/>
    <w:rsid w:val="001441AD"/>
    <w:rsid w:val="00145234"/>
    <w:rsid w:val="00145540"/>
    <w:rsid w:val="001456B0"/>
    <w:rsid w:val="001501AC"/>
    <w:rsid w:val="00154705"/>
    <w:rsid w:val="001547AB"/>
    <w:rsid w:val="00154D04"/>
    <w:rsid w:val="00154D3E"/>
    <w:rsid w:val="00155FC0"/>
    <w:rsid w:val="00156F8F"/>
    <w:rsid w:val="00157130"/>
    <w:rsid w:val="001576B1"/>
    <w:rsid w:val="0016047B"/>
    <w:rsid w:val="00160A4C"/>
    <w:rsid w:val="00162913"/>
    <w:rsid w:val="00163EFF"/>
    <w:rsid w:val="00163F66"/>
    <w:rsid w:val="0016478E"/>
    <w:rsid w:val="00164E71"/>
    <w:rsid w:val="00165EC4"/>
    <w:rsid w:val="001661FB"/>
    <w:rsid w:val="001671A0"/>
    <w:rsid w:val="0016767F"/>
    <w:rsid w:val="001676F7"/>
    <w:rsid w:val="00170EE5"/>
    <w:rsid w:val="001728CD"/>
    <w:rsid w:val="0017302A"/>
    <w:rsid w:val="00173565"/>
    <w:rsid w:val="00173B07"/>
    <w:rsid w:val="00173FAD"/>
    <w:rsid w:val="001751FA"/>
    <w:rsid w:val="00175C9A"/>
    <w:rsid w:val="00181C10"/>
    <w:rsid w:val="00181D9C"/>
    <w:rsid w:val="00182366"/>
    <w:rsid w:val="001837FF"/>
    <w:rsid w:val="00184B0E"/>
    <w:rsid w:val="00184FDC"/>
    <w:rsid w:val="00186F96"/>
    <w:rsid w:val="0018752F"/>
    <w:rsid w:val="00191EAD"/>
    <w:rsid w:val="00193838"/>
    <w:rsid w:val="00194A05"/>
    <w:rsid w:val="00194AD8"/>
    <w:rsid w:val="00195222"/>
    <w:rsid w:val="00195452"/>
    <w:rsid w:val="00195FDB"/>
    <w:rsid w:val="00196776"/>
    <w:rsid w:val="001975D8"/>
    <w:rsid w:val="001A178E"/>
    <w:rsid w:val="001A43FA"/>
    <w:rsid w:val="001A47C5"/>
    <w:rsid w:val="001A59FB"/>
    <w:rsid w:val="001A5E9E"/>
    <w:rsid w:val="001A6354"/>
    <w:rsid w:val="001A6366"/>
    <w:rsid w:val="001A7AE8"/>
    <w:rsid w:val="001B1F24"/>
    <w:rsid w:val="001B204E"/>
    <w:rsid w:val="001B2372"/>
    <w:rsid w:val="001B3443"/>
    <w:rsid w:val="001B344C"/>
    <w:rsid w:val="001B4D20"/>
    <w:rsid w:val="001B7F84"/>
    <w:rsid w:val="001C2A9B"/>
    <w:rsid w:val="001C3DD6"/>
    <w:rsid w:val="001C4299"/>
    <w:rsid w:val="001C4874"/>
    <w:rsid w:val="001C5F94"/>
    <w:rsid w:val="001C6E66"/>
    <w:rsid w:val="001D1100"/>
    <w:rsid w:val="001D1391"/>
    <w:rsid w:val="001D25D7"/>
    <w:rsid w:val="001D4C66"/>
    <w:rsid w:val="001D50B2"/>
    <w:rsid w:val="001D559C"/>
    <w:rsid w:val="001D71F4"/>
    <w:rsid w:val="001D7353"/>
    <w:rsid w:val="001D7645"/>
    <w:rsid w:val="001E05CD"/>
    <w:rsid w:val="001E1291"/>
    <w:rsid w:val="001E1E86"/>
    <w:rsid w:val="001E238E"/>
    <w:rsid w:val="001E2483"/>
    <w:rsid w:val="001E2B1E"/>
    <w:rsid w:val="001E2CFF"/>
    <w:rsid w:val="001E2F24"/>
    <w:rsid w:val="001E30D4"/>
    <w:rsid w:val="001E34DF"/>
    <w:rsid w:val="001E3785"/>
    <w:rsid w:val="001E52EB"/>
    <w:rsid w:val="001E61D2"/>
    <w:rsid w:val="001E740C"/>
    <w:rsid w:val="001F1235"/>
    <w:rsid w:val="001F1CB3"/>
    <w:rsid w:val="001F38B5"/>
    <w:rsid w:val="001F4081"/>
    <w:rsid w:val="001F536E"/>
    <w:rsid w:val="001F7361"/>
    <w:rsid w:val="002011B0"/>
    <w:rsid w:val="00201F15"/>
    <w:rsid w:val="00203181"/>
    <w:rsid w:val="002032B0"/>
    <w:rsid w:val="00203783"/>
    <w:rsid w:val="0020385F"/>
    <w:rsid w:val="0020577C"/>
    <w:rsid w:val="0020619D"/>
    <w:rsid w:val="00206894"/>
    <w:rsid w:val="002068A0"/>
    <w:rsid w:val="00207021"/>
    <w:rsid w:val="0020732F"/>
    <w:rsid w:val="00207C81"/>
    <w:rsid w:val="00207D00"/>
    <w:rsid w:val="002105C1"/>
    <w:rsid w:val="002116FD"/>
    <w:rsid w:val="00213EF5"/>
    <w:rsid w:val="00216BF5"/>
    <w:rsid w:val="00221507"/>
    <w:rsid w:val="00223B49"/>
    <w:rsid w:val="00223D5A"/>
    <w:rsid w:val="00224DD4"/>
    <w:rsid w:val="00226FDD"/>
    <w:rsid w:val="002278A0"/>
    <w:rsid w:val="002309CC"/>
    <w:rsid w:val="00231664"/>
    <w:rsid w:val="00231BA9"/>
    <w:rsid w:val="0023209F"/>
    <w:rsid w:val="00233C01"/>
    <w:rsid w:val="0023413C"/>
    <w:rsid w:val="002346F0"/>
    <w:rsid w:val="00235964"/>
    <w:rsid w:val="0023629D"/>
    <w:rsid w:val="00237255"/>
    <w:rsid w:val="002424AF"/>
    <w:rsid w:val="002439DC"/>
    <w:rsid w:val="002441D2"/>
    <w:rsid w:val="002441EF"/>
    <w:rsid w:val="00244587"/>
    <w:rsid w:val="00244DC8"/>
    <w:rsid w:val="002458BA"/>
    <w:rsid w:val="00245CE9"/>
    <w:rsid w:val="0024636C"/>
    <w:rsid w:val="00247925"/>
    <w:rsid w:val="0025027D"/>
    <w:rsid w:val="00251006"/>
    <w:rsid w:val="00251745"/>
    <w:rsid w:val="002524D5"/>
    <w:rsid w:val="002536ED"/>
    <w:rsid w:val="00253B1D"/>
    <w:rsid w:val="00254DCF"/>
    <w:rsid w:val="00255124"/>
    <w:rsid w:val="0025534B"/>
    <w:rsid w:val="00255BB7"/>
    <w:rsid w:val="00257541"/>
    <w:rsid w:val="00257A39"/>
    <w:rsid w:val="00257AC4"/>
    <w:rsid w:val="00257BBE"/>
    <w:rsid w:val="002609D7"/>
    <w:rsid w:val="00261EEF"/>
    <w:rsid w:val="00262A1A"/>
    <w:rsid w:val="00262A87"/>
    <w:rsid w:val="00264D26"/>
    <w:rsid w:val="002650E2"/>
    <w:rsid w:val="002665D7"/>
    <w:rsid w:val="00267642"/>
    <w:rsid w:val="00267AEA"/>
    <w:rsid w:val="002700E6"/>
    <w:rsid w:val="0027036D"/>
    <w:rsid w:val="0027294B"/>
    <w:rsid w:val="00273498"/>
    <w:rsid w:val="00273EB4"/>
    <w:rsid w:val="00274682"/>
    <w:rsid w:val="00275158"/>
    <w:rsid w:val="00275C5A"/>
    <w:rsid w:val="002804EB"/>
    <w:rsid w:val="00281014"/>
    <w:rsid w:val="00285BCE"/>
    <w:rsid w:val="0028665D"/>
    <w:rsid w:val="002A14AB"/>
    <w:rsid w:val="002A231F"/>
    <w:rsid w:val="002A2ADE"/>
    <w:rsid w:val="002A2F50"/>
    <w:rsid w:val="002A7943"/>
    <w:rsid w:val="002B0381"/>
    <w:rsid w:val="002B05A1"/>
    <w:rsid w:val="002B09A4"/>
    <w:rsid w:val="002B1C1F"/>
    <w:rsid w:val="002B20B8"/>
    <w:rsid w:val="002B432F"/>
    <w:rsid w:val="002B62B3"/>
    <w:rsid w:val="002B6754"/>
    <w:rsid w:val="002B6CCE"/>
    <w:rsid w:val="002C1848"/>
    <w:rsid w:val="002C2510"/>
    <w:rsid w:val="002C2775"/>
    <w:rsid w:val="002C27C1"/>
    <w:rsid w:val="002C36E3"/>
    <w:rsid w:val="002C5099"/>
    <w:rsid w:val="002C5889"/>
    <w:rsid w:val="002C62D6"/>
    <w:rsid w:val="002C71CE"/>
    <w:rsid w:val="002D08F8"/>
    <w:rsid w:val="002D2E39"/>
    <w:rsid w:val="002D577C"/>
    <w:rsid w:val="002D7832"/>
    <w:rsid w:val="002E1071"/>
    <w:rsid w:val="002E15B9"/>
    <w:rsid w:val="002E2158"/>
    <w:rsid w:val="002E4F02"/>
    <w:rsid w:val="002E7722"/>
    <w:rsid w:val="002F07BA"/>
    <w:rsid w:val="002F0C7A"/>
    <w:rsid w:val="002F0DA9"/>
    <w:rsid w:val="002F1014"/>
    <w:rsid w:val="002F1E3B"/>
    <w:rsid w:val="002F4988"/>
    <w:rsid w:val="002F643C"/>
    <w:rsid w:val="002F71C0"/>
    <w:rsid w:val="002F74F1"/>
    <w:rsid w:val="00301017"/>
    <w:rsid w:val="0030155F"/>
    <w:rsid w:val="0030587B"/>
    <w:rsid w:val="00306D98"/>
    <w:rsid w:val="0030786C"/>
    <w:rsid w:val="00307F10"/>
    <w:rsid w:val="0031031A"/>
    <w:rsid w:val="00310981"/>
    <w:rsid w:val="00311D9B"/>
    <w:rsid w:val="003124D9"/>
    <w:rsid w:val="00312594"/>
    <w:rsid w:val="00313741"/>
    <w:rsid w:val="00314D92"/>
    <w:rsid w:val="00315022"/>
    <w:rsid w:val="00315498"/>
    <w:rsid w:val="00316474"/>
    <w:rsid w:val="00316B88"/>
    <w:rsid w:val="00322107"/>
    <w:rsid w:val="00322355"/>
    <w:rsid w:val="00322846"/>
    <w:rsid w:val="00326DA7"/>
    <w:rsid w:val="003270E4"/>
    <w:rsid w:val="00330DAA"/>
    <w:rsid w:val="00330F5C"/>
    <w:rsid w:val="00335A3E"/>
    <w:rsid w:val="003366C9"/>
    <w:rsid w:val="003371B0"/>
    <w:rsid w:val="00340DF1"/>
    <w:rsid w:val="00342305"/>
    <w:rsid w:val="003426A9"/>
    <w:rsid w:val="00346D5F"/>
    <w:rsid w:val="0035112F"/>
    <w:rsid w:val="003517F9"/>
    <w:rsid w:val="00351BA9"/>
    <w:rsid w:val="00354F64"/>
    <w:rsid w:val="0035620E"/>
    <w:rsid w:val="0035661B"/>
    <w:rsid w:val="003575BE"/>
    <w:rsid w:val="00360345"/>
    <w:rsid w:val="00361A05"/>
    <w:rsid w:val="003624C4"/>
    <w:rsid w:val="00363B00"/>
    <w:rsid w:val="003654AC"/>
    <w:rsid w:val="00365EEC"/>
    <w:rsid w:val="003668BA"/>
    <w:rsid w:val="003710CF"/>
    <w:rsid w:val="00372E5E"/>
    <w:rsid w:val="0037358A"/>
    <w:rsid w:val="003750F6"/>
    <w:rsid w:val="003760FC"/>
    <w:rsid w:val="0038365C"/>
    <w:rsid w:val="0038369B"/>
    <w:rsid w:val="00383B78"/>
    <w:rsid w:val="00385A9D"/>
    <w:rsid w:val="00387121"/>
    <w:rsid w:val="003902B1"/>
    <w:rsid w:val="0039179C"/>
    <w:rsid w:val="00392916"/>
    <w:rsid w:val="00395DF5"/>
    <w:rsid w:val="00396245"/>
    <w:rsid w:val="00396896"/>
    <w:rsid w:val="00396FD0"/>
    <w:rsid w:val="003978CC"/>
    <w:rsid w:val="003A108A"/>
    <w:rsid w:val="003A109A"/>
    <w:rsid w:val="003A1A7A"/>
    <w:rsid w:val="003A2392"/>
    <w:rsid w:val="003A2831"/>
    <w:rsid w:val="003A3CB6"/>
    <w:rsid w:val="003A3ED1"/>
    <w:rsid w:val="003A44DB"/>
    <w:rsid w:val="003A4C14"/>
    <w:rsid w:val="003A78D7"/>
    <w:rsid w:val="003B0710"/>
    <w:rsid w:val="003B3971"/>
    <w:rsid w:val="003B55D1"/>
    <w:rsid w:val="003B5B61"/>
    <w:rsid w:val="003B76A1"/>
    <w:rsid w:val="003C1654"/>
    <w:rsid w:val="003C19E8"/>
    <w:rsid w:val="003C5542"/>
    <w:rsid w:val="003C7C15"/>
    <w:rsid w:val="003C7D19"/>
    <w:rsid w:val="003C7D2F"/>
    <w:rsid w:val="003D0873"/>
    <w:rsid w:val="003D0C5A"/>
    <w:rsid w:val="003D1828"/>
    <w:rsid w:val="003D1DE4"/>
    <w:rsid w:val="003D1E9A"/>
    <w:rsid w:val="003D2422"/>
    <w:rsid w:val="003D270F"/>
    <w:rsid w:val="003D2AB4"/>
    <w:rsid w:val="003D39A1"/>
    <w:rsid w:val="003D3FBF"/>
    <w:rsid w:val="003D4A30"/>
    <w:rsid w:val="003D7452"/>
    <w:rsid w:val="003D79BB"/>
    <w:rsid w:val="003D7C98"/>
    <w:rsid w:val="003D7D9D"/>
    <w:rsid w:val="003E0543"/>
    <w:rsid w:val="003E5603"/>
    <w:rsid w:val="003E5CDA"/>
    <w:rsid w:val="003E749E"/>
    <w:rsid w:val="003F2BD9"/>
    <w:rsid w:val="003F3A38"/>
    <w:rsid w:val="003F4156"/>
    <w:rsid w:val="003F5ADF"/>
    <w:rsid w:val="00400104"/>
    <w:rsid w:val="00400B29"/>
    <w:rsid w:val="00402812"/>
    <w:rsid w:val="0040504B"/>
    <w:rsid w:val="004059F4"/>
    <w:rsid w:val="00407FE5"/>
    <w:rsid w:val="004101B0"/>
    <w:rsid w:val="00410326"/>
    <w:rsid w:val="00410708"/>
    <w:rsid w:val="00410EC7"/>
    <w:rsid w:val="00411B39"/>
    <w:rsid w:val="004127A7"/>
    <w:rsid w:val="00413A1E"/>
    <w:rsid w:val="00414476"/>
    <w:rsid w:val="00414C2E"/>
    <w:rsid w:val="004151CF"/>
    <w:rsid w:val="00416364"/>
    <w:rsid w:val="0042047F"/>
    <w:rsid w:val="00420AA6"/>
    <w:rsid w:val="00420B9F"/>
    <w:rsid w:val="0042192C"/>
    <w:rsid w:val="00422260"/>
    <w:rsid w:val="00422818"/>
    <w:rsid w:val="00422AE4"/>
    <w:rsid w:val="0042413F"/>
    <w:rsid w:val="00430D00"/>
    <w:rsid w:val="004319F8"/>
    <w:rsid w:val="00431E55"/>
    <w:rsid w:val="004321F6"/>
    <w:rsid w:val="00433044"/>
    <w:rsid w:val="00434088"/>
    <w:rsid w:val="00434904"/>
    <w:rsid w:val="00436838"/>
    <w:rsid w:val="004375B9"/>
    <w:rsid w:val="00441A80"/>
    <w:rsid w:val="00441BDA"/>
    <w:rsid w:val="004428D0"/>
    <w:rsid w:val="004437A3"/>
    <w:rsid w:val="00444185"/>
    <w:rsid w:val="004443A7"/>
    <w:rsid w:val="0044442C"/>
    <w:rsid w:val="00445941"/>
    <w:rsid w:val="004464EB"/>
    <w:rsid w:val="00447D26"/>
    <w:rsid w:val="00447DFC"/>
    <w:rsid w:val="00447F51"/>
    <w:rsid w:val="004535A0"/>
    <w:rsid w:val="004545CA"/>
    <w:rsid w:val="00455D45"/>
    <w:rsid w:val="00457460"/>
    <w:rsid w:val="00463852"/>
    <w:rsid w:val="00463DFC"/>
    <w:rsid w:val="00464595"/>
    <w:rsid w:val="004658B5"/>
    <w:rsid w:val="00471EA5"/>
    <w:rsid w:val="00472313"/>
    <w:rsid w:val="00472A79"/>
    <w:rsid w:val="00473F19"/>
    <w:rsid w:val="00475E22"/>
    <w:rsid w:val="0048088E"/>
    <w:rsid w:val="00480F2B"/>
    <w:rsid w:val="00482720"/>
    <w:rsid w:val="004835E7"/>
    <w:rsid w:val="00484B11"/>
    <w:rsid w:val="004853A9"/>
    <w:rsid w:val="004859E1"/>
    <w:rsid w:val="004867E2"/>
    <w:rsid w:val="004876FB"/>
    <w:rsid w:val="00490B17"/>
    <w:rsid w:val="00491317"/>
    <w:rsid w:val="00491B3A"/>
    <w:rsid w:val="0049258B"/>
    <w:rsid w:val="00492CFD"/>
    <w:rsid w:val="00494056"/>
    <w:rsid w:val="00494207"/>
    <w:rsid w:val="00494DD5"/>
    <w:rsid w:val="004962D2"/>
    <w:rsid w:val="004A0887"/>
    <w:rsid w:val="004A0DA1"/>
    <w:rsid w:val="004A13D6"/>
    <w:rsid w:val="004A433B"/>
    <w:rsid w:val="004A52E9"/>
    <w:rsid w:val="004A5544"/>
    <w:rsid w:val="004A6040"/>
    <w:rsid w:val="004A6383"/>
    <w:rsid w:val="004A6597"/>
    <w:rsid w:val="004A7848"/>
    <w:rsid w:val="004A793B"/>
    <w:rsid w:val="004B1CB4"/>
    <w:rsid w:val="004B2F18"/>
    <w:rsid w:val="004B3DDB"/>
    <w:rsid w:val="004B412D"/>
    <w:rsid w:val="004B44FD"/>
    <w:rsid w:val="004B5B31"/>
    <w:rsid w:val="004B5CFC"/>
    <w:rsid w:val="004B6F79"/>
    <w:rsid w:val="004B774D"/>
    <w:rsid w:val="004C108B"/>
    <w:rsid w:val="004C2326"/>
    <w:rsid w:val="004C2AC2"/>
    <w:rsid w:val="004C4AED"/>
    <w:rsid w:val="004C5E74"/>
    <w:rsid w:val="004C67CE"/>
    <w:rsid w:val="004C7A9D"/>
    <w:rsid w:val="004D070C"/>
    <w:rsid w:val="004D18B5"/>
    <w:rsid w:val="004D2C2D"/>
    <w:rsid w:val="004D5415"/>
    <w:rsid w:val="004D69B5"/>
    <w:rsid w:val="004D6C60"/>
    <w:rsid w:val="004D7227"/>
    <w:rsid w:val="004D7B5E"/>
    <w:rsid w:val="004E012E"/>
    <w:rsid w:val="004E0E7F"/>
    <w:rsid w:val="004E0EB8"/>
    <w:rsid w:val="004E18E9"/>
    <w:rsid w:val="004E2ADC"/>
    <w:rsid w:val="004E43B2"/>
    <w:rsid w:val="004F1D02"/>
    <w:rsid w:val="004F2679"/>
    <w:rsid w:val="004F2F21"/>
    <w:rsid w:val="004F35F6"/>
    <w:rsid w:val="004F3D5B"/>
    <w:rsid w:val="004F3DE5"/>
    <w:rsid w:val="004F613B"/>
    <w:rsid w:val="004F6913"/>
    <w:rsid w:val="004F7865"/>
    <w:rsid w:val="0050174E"/>
    <w:rsid w:val="00501854"/>
    <w:rsid w:val="0050219B"/>
    <w:rsid w:val="00503F17"/>
    <w:rsid w:val="00503F3A"/>
    <w:rsid w:val="005046D1"/>
    <w:rsid w:val="0050510E"/>
    <w:rsid w:val="00506928"/>
    <w:rsid w:val="005077EF"/>
    <w:rsid w:val="00511AD5"/>
    <w:rsid w:val="00511DC7"/>
    <w:rsid w:val="005142C5"/>
    <w:rsid w:val="0051501B"/>
    <w:rsid w:val="005152B5"/>
    <w:rsid w:val="005155F1"/>
    <w:rsid w:val="00515886"/>
    <w:rsid w:val="0052123C"/>
    <w:rsid w:val="00521319"/>
    <w:rsid w:val="005226EA"/>
    <w:rsid w:val="00522BC8"/>
    <w:rsid w:val="00522EF4"/>
    <w:rsid w:val="00522FB1"/>
    <w:rsid w:val="00523C28"/>
    <w:rsid w:val="005307DE"/>
    <w:rsid w:val="0053176B"/>
    <w:rsid w:val="00533927"/>
    <w:rsid w:val="00533F42"/>
    <w:rsid w:val="005341B3"/>
    <w:rsid w:val="00536F42"/>
    <w:rsid w:val="00537182"/>
    <w:rsid w:val="00540444"/>
    <w:rsid w:val="00541B3C"/>
    <w:rsid w:val="00541EDD"/>
    <w:rsid w:val="00542743"/>
    <w:rsid w:val="00542C2D"/>
    <w:rsid w:val="005478BD"/>
    <w:rsid w:val="005479E3"/>
    <w:rsid w:val="00551985"/>
    <w:rsid w:val="00551D20"/>
    <w:rsid w:val="00552BD3"/>
    <w:rsid w:val="005532A0"/>
    <w:rsid w:val="00553C91"/>
    <w:rsid w:val="00553CDC"/>
    <w:rsid w:val="00555109"/>
    <w:rsid w:val="00556B35"/>
    <w:rsid w:val="0055741A"/>
    <w:rsid w:val="005611B7"/>
    <w:rsid w:val="005618D4"/>
    <w:rsid w:val="00564867"/>
    <w:rsid w:val="00565C79"/>
    <w:rsid w:val="00565DF0"/>
    <w:rsid w:val="0056696F"/>
    <w:rsid w:val="00572269"/>
    <w:rsid w:val="0057244A"/>
    <w:rsid w:val="00572F26"/>
    <w:rsid w:val="005750C5"/>
    <w:rsid w:val="005752DE"/>
    <w:rsid w:val="005753E4"/>
    <w:rsid w:val="005754FB"/>
    <w:rsid w:val="00575AA1"/>
    <w:rsid w:val="00575D60"/>
    <w:rsid w:val="00575D8D"/>
    <w:rsid w:val="005766C3"/>
    <w:rsid w:val="00576972"/>
    <w:rsid w:val="00577248"/>
    <w:rsid w:val="00583699"/>
    <w:rsid w:val="00585CDD"/>
    <w:rsid w:val="00587058"/>
    <w:rsid w:val="00591957"/>
    <w:rsid w:val="00593253"/>
    <w:rsid w:val="005949C2"/>
    <w:rsid w:val="005954B4"/>
    <w:rsid w:val="00597BF9"/>
    <w:rsid w:val="005A0C11"/>
    <w:rsid w:val="005A309A"/>
    <w:rsid w:val="005A30B6"/>
    <w:rsid w:val="005A373D"/>
    <w:rsid w:val="005B0B58"/>
    <w:rsid w:val="005B1B90"/>
    <w:rsid w:val="005B4E53"/>
    <w:rsid w:val="005B50CC"/>
    <w:rsid w:val="005B5857"/>
    <w:rsid w:val="005B6D71"/>
    <w:rsid w:val="005C0D7A"/>
    <w:rsid w:val="005C19C4"/>
    <w:rsid w:val="005C1B83"/>
    <w:rsid w:val="005C25FF"/>
    <w:rsid w:val="005C2D55"/>
    <w:rsid w:val="005C321D"/>
    <w:rsid w:val="005C346B"/>
    <w:rsid w:val="005C5ABC"/>
    <w:rsid w:val="005D044D"/>
    <w:rsid w:val="005D0ABD"/>
    <w:rsid w:val="005D18AD"/>
    <w:rsid w:val="005D26B4"/>
    <w:rsid w:val="005D3B6F"/>
    <w:rsid w:val="005D6FE5"/>
    <w:rsid w:val="005D77AB"/>
    <w:rsid w:val="005E1995"/>
    <w:rsid w:val="005E3644"/>
    <w:rsid w:val="005E3D92"/>
    <w:rsid w:val="005E6CBC"/>
    <w:rsid w:val="005E72FF"/>
    <w:rsid w:val="005E73C0"/>
    <w:rsid w:val="005F07ED"/>
    <w:rsid w:val="005F2706"/>
    <w:rsid w:val="005F6A8F"/>
    <w:rsid w:val="005F6BB7"/>
    <w:rsid w:val="005F7588"/>
    <w:rsid w:val="00603DB9"/>
    <w:rsid w:val="00606FBA"/>
    <w:rsid w:val="00607669"/>
    <w:rsid w:val="006076F4"/>
    <w:rsid w:val="00607AFD"/>
    <w:rsid w:val="00611B12"/>
    <w:rsid w:val="00612F97"/>
    <w:rsid w:val="0061345D"/>
    <w:rsid w:val="00613CDC"/>
    <w:rsid w:val="006146DF"/>
    <w:rsid w:val="0061549B"/>
    <w:rsid w:val="00616802"/>
    <w:rsid w:val="00617E12"/>
    <w:rsid w:val="00620C25"/>
    <w:rsid w:val="00621477"/>
    <w:rsid w:val="00621ADA"/>
    <w:rsid w:val="00623F7B"/>
    <w:rsid w:val="00624BD4"/>
    <w:rsid w:val="00627D7B"/>
    <w:rsid w:val="0063158F"/>
    <w:rsid w:val="00631D6B"/>
    <w:rsid w:val="00632183"/>
    <w:rsid w:val="006330A1"/>
    <w:rsid w:val="0063479F"/>
    <w:rsid w:val="006353F0"/>
    <w:rsid w:val="006357B5"/>
    <w:rsid w:val="00635C85"/>
    <w:rsid w:val="006362B0"/>
    <w:rsid w:val="006364A1"/>
    <w:rsid w:val="0063678E"/>
    <w:rsid w:val="00637BFD"/>
    <w:rsid w:val="00637C5C"/>
    <w:rsid w:val="00641C4E"/>
    <w:rsid w:val="00641FB3"/>
    <w:rsid w:val="00642418"/>
    <w:rsid w:val="006427B2"/>
    <w:rsid w:val="0064434C"/>
    <w:rsid w:val="00645F97"/>
    <w:rsid w:val="00646787"/>
    <w:rsid w:val="006471CC"/>
    <w:rsid w:val="006472FE"/>
    <w:rsid w:val="00647A29"/>
    <w:rsid w:val="00647A7D"/>
    <w:rsid w:val="0065079F"/>
    <w:rsid w:val="006510D2"/>
    <w:rsid w:val="00652A28"/>
    <w:rsid w:val="0065305D"/>
    <w:rsid w:val="0065379F"/>
    <w:rsid w:val="00656188"/>
    <w:rsid w:val="0065715A"/>
    <w:rsid w:val="006610F1"/>
    <w:rsid w:val="00661BD8"/>
    <w:rsid w:val="00661C6B"/>
    <w:rsid w:val="00662D3E"/>
    <w:rsid w:val="00664112"/>
    <w:rsid w:val="0066420B"/>
    <w:rsid w:val="00667BE3"/>
    <w:rsid w:val="00671004"/>
    <w:rsid w:val="00671AFB"/>
    <w:rsid w:val="00672646"/>
    <w:rsid w:val="00674E42"/>
    <w:rsid w:val="00676563"/>
    <w:rsid w:val="006813F8"/>
    <w:rsid w:val="00682112"/>
    <w:rsid w:val="00682635"/>
    <w:rsid w:val="00682BA6"/>
    <w:rsid w:val="00684A5C"/>
    <w:rsid w:val="0068689F"/>
    <w:rsid w:val="00686957"/>
    <w:rsid w:val="006872BA"/>
    <w:rsid w:val="00687C33"/>
    <w:rsid w:val="00690795"/>
    <w:rsid w:val="00691648"/>
    <w:rsid w:val="006917D7"/>
    <w:rsid w:val="0069434C"/>
    <w:rsid w:val="00694F44"/>
    <w:rsid w:val="00696EF9"/>
    <w:rsid w:val="00696F51"/>
    <w:rsid w:val="006979A5"/>
    <w:rsid w:val="006A016F"/>
    <w:rsid w:val="006A0DF7"/>
    <w:rsid w:val="006A4321"/>
    <w:rsid w:val="006A43D9"/>
    <w:rsid w:val="006A465D"/>
    <w:rsid w:val="006A6B99"/>
    <w:rsid w:val="006A7E5F"/>
    <w:rsid w:val="006B05E8"/>
    <w:rsid w:val="006B0B94"/>
    <w:rsid w:val="006B261B"/>
    <w:rsid w:val="006B2C90"/>
    <w:rsid w:val="006B2DA5"/>
    <w:rsid w:val="006B35E6"/>
    <w:rsid w:val="006B465A"/>
    <w:rsid w:val="006B6DD0"/>
    <w:rsid w:val="006B77CF"/>
    <w:rsid w:val="006C0399"/>
    <w:rsid w:val="006C1730"/>
    <w:rsid w:val="006C2A8E"/>
    <w:rsid w:val="006C3165"/>
    <w:rsid w:val="006C3255"/>
    <w:rsid w:val="006C3F26"/>
    <w:rsid w:val="006C53E9"/>
    <w:rsid w:val="006C6F08"/>
    <w:rsid w:val="006D0D17"/>
    <w:rsid w:val="006D3C7D"/>
    <w:rsid w:val="006D4659"/>
    <w:rsid w:val="006D5D5F"/>
    <w:rsid w:val="006D68FB"/>
    <w:rsid w:val="006E2868"/>
    <w:rsid w:val="006E3546"/>
    <w:rsid w:val="006F09CC"/>
    <w:rsid w:val="006F300C"/>
    <w:rsid w:val="006F306C"/>
    <w:rsid w:val="006F63A5"/>
    <w:rsid w:val="0070142B"/>
    <w:rsid w:val="0070276E"/>
    <w:rsid w:val="00702F8F"/>
    <w:rsid w:val="00704DE5"/>
    <w:rsid w:val="00706940"/>
    <w:rsid w:val="007079FC"/>
    <w:rsid w:val="00711A36"/>
    <w:rsid w:val="007125D3"/>
    <w:rsid w:val="0071441A"/>
    <w:rsid w:val="00714C26"/>
    <w:rsid w:val="0071529C"/>
    <w:rsid w:val="007170DA"/>
    <w:rsid w:val="007172AD"/>
    <w:rsid w:val="00717546"/>
    <w:rsid w:val="007179B1"/>
    <w:rsid w:val="00720801"/>
    <w:rsid w:val="00722B1B"/>
    <w:rsid w:val="0072416F"/>
    <w:rsid w:val="007267FF"/>
    <w:rsid w:val="00727C94"/>
    <w:rsid w:val="00730A96"/>
    <w:rsid w:val="00731B0A"/>
    <w:rsid w:val="00731EAE"/>
    <w:rsid w:val="00733073"/>
    <w:rsid w:val="00734D4E"/>
    <w:rsid w:val="00735033"/>
    <w:rsid w:val="00735328"/>
    <w:rsid w:val="0073685B"/>
    <w:rsid w:val="0074042B"/>
    <w:rsid w:val="0074336F"/>
    <w:rsid w:val="0074360E"/>
    <w:rsid w:val="007449BF"/>
    <w:rsid w:val="00745F51"/>
    <w:rsid w:val="007463FE"/>
    <w:rsid w:val="00746BC0"/>
    <w:rsid w:val="00751019"/>
    <w:rsid w:val="007510B4"/>
    <w:rsid w:val="00752142"/>
    <w:rsid w:val="007523F9"/>
    <w:rsid w:val="007532E9"/>
    <w:rsid w:val="0075357E"/>
    <w:rsid w:val="00753B29"/>
    <w:rsid w:val="007560DF"/>
    <w:rsid w:val="007573E8"/>
    <w:rsid w:val="0076067E"/>
    <w:rsid w:val="00760C4E"/>
    <w:rsid w:val="00760F9E"/>
    <w:rsid w:val="007616E6"/>
    <w:rsid w:val="007627BE"/>
    <w:rsid w:val="007629A1"/>
    <w:rsid w:val="007646E2"/>
    <w:rsid w:val="00764F03"/>
    <w:rsid w:val="00765B1A"/>
    <w:rsid w:val="00765DC1"/>
    <w:rsid w:val="00770100"/>
    <w:rsid w:val="007708CA"/>
    <w:rsid w:val="00773EA7"/>
    <w:rsid w:val="007748C8"/>
    <w:rsid w:val="00775D43"/>
    <w:rsid w:val="00776C47"/>
    <w:rsid w:val="00777335"/>
    <w:rsid w:val="007823B8"/>
    <w:rsid w:val="007843F2"/>
    <w:rsid w:val="007846FA"/>
    <w:rsid w:val="00785A9F"/>
    <w:rsid w:val="00787599"/>
    <w:rsid w:val="007925DF"/>
    <w:rsid w:val="0079331E"/>
    <w:rsid w:val="007A08AA"/>
    <w:rsid w:val="007A0A12"/>
    <w:rsid w:val="007A125A"/>
    <w:rsid w:val="007A132D"/>
    <w:rsid w:val="007A1345"/>
    <w:rsid w:val="007A2DDB"/>
    <w:rsid w:val="007A58F4"/>
    <w:rsid w:val="007A6627"/>
    <w:rsid w:val="007A6F89"/>
    <w:rsid w:val="007A70BA"/>
    <w:rsid w:val="007B0D68"/>
    <w:rsid w:val="007B0F51"/>
    <w:rsid w:val="007B251D"/>
    <w:rsid w:val="007B3533"/>
    <w:rsid w:val="007B4F58"/>
    <w:rsid w:val="007B528D"/>
    <w:rsid w:val="007B63CA"/>
    <w:rsid w:val="007B77D1"/>
    <w:rsid w:val="007B7F23"/>
    <w:rsid w:val="007C07C7"/>
    <w:rsid w:val="007C1CD9"/>
    <w:rsid w:val="007C2827"/>
    <w:rsid w:val="007C32EF"/>
    <w:rsid w:val="007C361D"/>
    <w:rsid w:val="007C4B84"/>
    <w:rsid w:val="007C70FF"/>
    <w:rsid w:val="007C7B4C"/>
    <w:rsid w:val="007C7C25"/>
    <w:rsid w:val="007C7CD6"/>
    <w:rsid w:val="007D004F"/>
    <w:rsid w:val="007D01BD"/>
    <w:rsid w:val="007D035F"/>
    <w:rsid w:val="007D06B2"/>
    <w:rsid w:val="007D0B38"/>
    <w:rsid w:val="007D1A21"/>
    <w:rsid w:val="007D5440"/>
    <w:rsid w:val="007D6619"/>
    <w:rsid w:val="007D69EB"/>
    <w:rsid w:val="007E128F"/>
    <w:rsid w:val="007E2411"/>
    <w:rsid w:val="007E2D25"/>
    <w:rsid w:val="007E57B3"/>
    <w:rsid w:val="007E64FB"/>
    <w:rsid w:val="007E6F6D"/>
    <w:rsid w:val="007F1017"/>
    <w:rsid w:val="007F25FB"/>
    <w:rsid w:val="007F4A3F"/>
    <w:rsid w:val="007F4A61"/>
    <w:rsid w:val="007F5255"/>
    <w:rsid w:val="007F566A"/>
    <w:rsid w:val="007F56CC"/>
    <w:rsid w:val="007F61C2"/>
    <w:rsid w:val="00805142"/>
    <w:rsid w:val="00805FCE"/>
    <w:rsid w:val="00807A8B"/>
    <w:rsid w:val="00811383"/>
    <w:rsid w:val="00812149"/>
    <w:rsid w:val="00812CAC"/>
    <w:rsid w:val="00816361"/>
    <w:rsid w:val="00816605"/>
    <w:rsid w:val="008166EF"/>
    <w:rsid w:val="00816FEF"/>
    <w:rsid w:val="00820A8C"/>
    <w:rsid w:val="008215FB"/>
    <w:rsid w:val="00821ACB"/>
    <w:rsid w:val="00821E84"/>
    <w:rsid w:val="008220CC"/>
    <w:rsid w:val="00823174"/>
    <w:rsid w:val="00823B8E"/>
    <w:rsid w:val="00824A13"/>
    <w:rsid w:val="00825751"/>
    <w:rsid w:val="008264EB"/>
    <w:rsid w:val="008268CE"/>
    <w:rsid w:val="00827C23"/>
    <w:rsid w:val="0083044C"/>
    <w:rsid w:val="00833B05"/>
    <w:rsid w:val="00835568"/>
    <w:rsid w:val="008362B4"/>
    <w:rsid w:val="00840CA2"/>
    <w:rsid w:val="0084208B"/>
    <w:rsid w:val="0084374F"/>
    <w:rsid w:val="00844A22"/>
    <w:rsid w:val="00845FEF"/>
    <w:rsid w:val="00847703"/>
    <w:rsid w:val="00847DF5"/>
    <w:rsid w:val="00850144"/>
    <w:rsid w:val="008506AE"/>
    <w:rsid w:val="00851C0B"/>
    <w:rsid w:val="0085309D"/>
    <w:rsid w:val="00853ACD"/>
    <w:rsid w:val="00856897"/>
    <w:rsid w:val="00856E9A"/>
    <w:rsid w:val="0086075D"/>
    <w:rsid w:val="00862502"/>
    <w:rsid w:val="00862CC1"/>
    <w:rsid w:val="00862D64"/>
    <w:rsid w:val="008642A7"/>
    <w:rsid w:val="00864667"/>
    <w:rsid w:val="008660D4"/>
    <w:rsid w:val="00867438"/>
    <w:rsid w:val="00871FA9"/>
    <w:rsid w:val="008728E9"/>
    <w:rsid w:val="00882874"/>
    <w:rsid w:val="00882E3C"/>
    <w:rsid w:val="0088308A"/>
    <w:rsid w:val="00883787"/>
    <w:rsid w:val="00883BDB"/>
    <w:rsid w:val="00884D14"/>
    <w:rsid w:val="008855E4"/>
    <w:rsid w:val="00886CD2"/>
    <w:rsid w:val="0089171C"/>
    <w:rsid w:val="00891E6F"/>
    <w:rsid w:val="0089275D"/>
    <w:rsid w:val="00892A36"/>
    <w:rsid w:val="00893239"/>
    <w:rsid w:val="00894489"/>
    <w:rsid w:val="00894CD6"/>
    <w:rsid w:val="008963A5"/>
    <w:rsid w:val="00896D5D"/>
    <w:rsid w:val="008A14F7"/>
    <w:rsid w:val="008A3158"/>
    <w:rsid w:val="008A3363"/>
    <w:rsid w:val="008A3371"/>
    <w:rsid w:val="008A3C3E"/>
    <w:rsid w:val="008A55E4"/>
    <w:rsid w:val="008A5CC4"/>
    <w:rsid w:val="008A6ADB"/>
    <w:rsid w:val="008A70EE"/>
    <w:rsid w:val="008A79DE"/>
    <w:rsid w:val="008B1757"/>
    <w:rsid w:val="008B1C33"/>
    <w:rsid w:val="008B363F"/>
    <w:rsid w:val="008B4B6F"/>
    <w:rsid w:val="008B5C08"/>
    <w:rsid w:val="008B7992"/>
    <w:rsid w:val="008B7D7E"/>
    <w:rsid w:val="008C0D58"/>
    <w:rsid w:val="008C511B"/>
    <w:rsid w:val="008C5610"/>
    <w:rsid w:val="008C5739"/>
    <w:rsid w:val="008C7282"/>
    <w:rsid w:val="008C7ECB"/>
    <w:rsid w:val="008D3B86"/>
    <w:rsid w:val="008D43FD"/>
    <w:rsid w:val="008D4755"/>
    <w:rsid w:val="008D4C3D"/>
    <w:rsid w:val="008D743C"/>
    <w:rsid w:val="008E0D3C"/>
    <w:rsid w:val="008E1B9E"/>
    <w:rsid w:val="008E55AB"/>
    <w:rsid w:val="008E72BC"/>
    <w:rsid w:val="008F120A"/>
    <w:rsid w:val="008F1904"/>
    <w:rsid w:val="008F27E0"/>
    <w:rsid w:val="008F48EB"/>
    <w:rsid w:val="008F4B20"/>
    <w:rsid w:val="008F4F0B"/>
    <w:rsid w:val="009046C4"/>
    <w:rsid w:val="009062A5"/>
    <w:rsid w:val="00907699"/>
    <w:rsid w:val="00910FA7"/>
    <w:rsid w:val="00911272"/>
    <w:rsid w:val="00911339"/>
    <w:rsid w:val="00911783"/>
    <w:rsid w:val="00911B76"/>
    <w:rsid w:val="009135D6"/>
    <w:rsid w:val="00914C77"/>
    <w:rsid w:val="00915F29"/>
    <w:rsid w:val="00920673"/>
    <w:rsid w:val="00921ACB"/>
    <w:rsid w:val="0092369B"/>
    <w:rsid w:val="00924479"/>
    <w:rsid w:val="009244F1"/>
    <w:rsid w:val="00926EE5"/>
    <w:rsid w:val="00934988"/>
    <w:rsid w:val="00935972"/>
    <w:rsid w:val="00936F11"/>
    <w:rsid w:val="00937089"/>
    <w:rsid w:val="00937E4A"/>
    <w:rsid w:val="00944F8A"/>
    <w:rsid w:val="009510A2"/>
    <w:rsid w:val="00953257"/>
    <w:rsid w:val="00953F58"/>
    <w:rsid w:val="0095474C"/>
    <w:rsid w:val="0095783D"/>
    <w:rsid w:val="00957D92"/>
    <w:rsid w:val="00960D2F"/>
    <w:rsid w:val="0096287D"/>
    <w:rsid w:val="00962CB9"/>
    <w:rsid w:val="00964312"/>
    <w:rsid w:val="00964DDB"/>
    <w:rsid w:val="00965B8A"/>
    <w:rsid w:val="00965D8F"/>
    <w:rsid w:val="0097071F"/>
    <w:rsid w:val="009717AC"/>
    <w:rsid w:val="009740BC"/>
    <w:rsid w:val="009751C1"/>
    <w:rsid w:val="00980BCD"/>
    <w:rsid w:val="009811F1"/>
    <w:rsid w:val="00981D6D"/>
    <w:rsid w:val="0098279B"/>
    <w:rsid w:val="00983E57"/>
    <w:rsid w:val="00985DE2"/>
    <w:rsid w:val="0098675D"/>
    <w:rsid w:val="00987BA4"/>
    <w:rsid w:val="0099015E"/>
    <w:rsid w:val="009920CA"/>
    <w:rsid w:val="009926E0"/>
    <w:rsid w:val="00994215"/>
    <w:rsid w:val="0099451E"/>
    <w:rsid w:val="00996B1A"/>
    <w:rsid w:val="009A17D4"/>
    <w:rsid w:val="009A18F6"/>
    <w:rsid w:val="009A2DCC"/>
    <w:rsid w:val="009A5ABC"/>
    <w:rsid w:val="009A5E45"/>
    <w:rsid w:val="009A7F10"/>
    <w:rsid w:val="009B30B8"/>
    <w:rsid w:val="009B3E07"/>
    <w:rsid w:val="009B3E26"/>
    <w:rsid w:val="009B4840"/>
    <w:rsid w:val="009B5F9A"/>
    <w:rsid w:val="009B6A42"/>
    <w:rsid w:val="009C1271"/>
    <w:rsid w:val="009C3592"/>
    <w:rsid w:val="009C3706"/>
    <w:rsid w:val="009C3A3A"/>
    <w:rsid w:val="009C3D68"/>
    <w:rsid w:val="009C6CEA"/>
    <w:rsid w:val="009C7B85"/>
    <w:rsid w:val="009D0254"/>
    <w:rsid w:val="009D1A64"/>
    <w:rsid w:val="009D4989"/>
    <w:rsid w:val="009D5B91"/>
    <w:rsid w:val="009D792E"/>
    <w:rsid w:val="009E0DFE"/>
    <w:rsid w:val="009E177E"/>
    <w:rsid w:val="009E31F6"/>
    <w:rsid w:val="009E3C00"/>
    <w:rsid w:val="009E4C07"/>
    <w:rsid w:val="009E5886"/>
    <w:rsid w:val="009E777F"/>
    <w:rsid w:val="009F2EB2"/>
    <w:rsid w:val="009F3F4B"/>
    <w:rsid w:val="009F4383"/>
    <w:rsid w:val="009F6120"/>
    <w:rsid w:val="009F70C7"/>
    <w:rsid w:val="00A00D76"/>
    <w:rsid w:val="00A01184"/>
    <w:rsid w:val="00A01449"/>
    <w:rsid w:val="00A01A8D"/>
    <w:rsid w:val="00A02294"/>
    <w:rsid w:val="00A037C2"/>
    <w:rsid w:val="00A03D43"/>
    <w:rsid w:val="00A03E31"/>
    <w:rsid w:val="00A04380"/>
    <w:rsid w:val="00A04786"/>
    <w:rsid w:val="00A05472"/>
    <w:rsid w:val="00A05C32"/>
    <w:rsid w:val="00A0653F"/>
    <w:rsid w:val="00A06619"/>
    <w:rsid w:val="00A10B1E"/>
    <w:rsid w:val="00A11CD0"/>
    <w:rsid w:val="00A12286"/>
    <w:rsid w:val="00A13948"/>
    <w:rsid w:val="00A14235"/>
    <w:rsid w:val="00A1555B"/>
    <w:rsid w:val="00A155C5"/>
    <w:rsid w:val="00A16AD8"/>
    <w:rsid w:val="00A17FBA"/>
    <w:rsid w:val="00A2021E"/>
    <w:rsid w:val="00A20231"/>
    <w:rsid w:val="00A210EE"/>
    <w:rsid w:val="00A21C95"/>
    <w:rsid w:val="00A21CF3"/>
    <w:rsid w:val="00A24813"/>
    <w:rsid w:val="00A27AEC"/>
    <w:rsid w:val="00A320DB"/>
    <w:rsid w:val="00A35D16"/>
    <w:rsid w:val="00A37BCD"/>
    <w:rsid w:val="00A41689"/>
    <w:rsid w:val="00A42592"/>
    <w:rsid w:val="00A43C59"/>
    <w:rsid w:val="00A47559"/>
    <w:rsid w:val="00A50A98"/>
    <w:rsid w:val="00A50BA4"/>
    <w:rsid w:val="00A50ECD"/>
    <w:rsid w:val="00A518F3"/>
    <w:rsid w:val="00A51DF4"/>
    <w:rsid w:val="00A52729"/>
    <w:rsid w:val="00A532CB"/>
    <w:rsid w:val="00A53675"/>
    <w:rsid w:val="00A564D7"/>
    <w:rsid w:val="00A56B6A"/>
    <w:rsid w:val="00A578DC"/>
    <w:rsid w:val="00A640E2"/>
    <w:rsid w:val="00A64D65"/>
    <w:rsid w:val="00A6725B"/>
    <w:rsid w:val="00A70605"/>
    <w:rsid w:val="00A73134"/>
    <w:rsid w:val="00A7365A"/>
    <w:rsid w:val="00A76001"/>
    <w:rsid w:val="00A777B2"/>
    <w:rsid w:val="00A825D4"/>
    <w:rsid w:val="00A828F6"/>
    <w:rsid w:val="00A82B73"/>
    <w:rsid w:val="00A86E8B"/>
    <w:rsid w:val="00A87164"/>
    <w:rsid w:val="00A871A9"/>
    <w:rsid w:val="00A93072"/>
    <w:rsid w:val="00A931A4"/>
    <w:rsid w:val="00A938BD"/>
    <w:rsid w:val="00A93953"/>
    <w:rsid w:val="00A93E52"/>
    <w:rsid w:val="00A959D8"/>
    <w:rsid w:val="00A9661B"/>
    <w:rsid w:val="00A96964"/>
    <w:rsid w:val="00A9768C"/>
    <w:rsid w:val="00AA0B21"/>
    <w:rsid w:val="00AA113D"/>
    <w:rsid w:val="00AA464B"/>
    <w:rsid w:val="00AA6BD5"/>
    <w:rsid w:val="00AA6BD8"/>
    <w:rsid w:val="00AA6C7D"/>
    <w:rsid w:val="00AA752A"/>
    <w:rsid w:val="00AA7FD6"/>
    <w:rsid w:val="00AB042A"/>
    <w:rsid w:val="00AB11AD"/>
    <w:rsid w:val="00AB19EF"/>
    <w:rsid w:val="00AB2495"/>
    <w:rsid w:val="00AB2D34"/>
    <w:rsid w:val="00AB3430"/>
    <w:rsid w:val="00AB37B9"/>
    <w:rsid w:val="00AB4AD1"/>
    <w:rsid w:val="00AB55FD"/>
    <w:rsid w:val="00AB5E07"/>
    <w:rsid w:val="00AB7676"/>
    <w:rsid w:val="00AB7CFA"/>
    <w:rsid w:val="00AC0930"/>
    <w:rsid w:val="00AC5B42"/>
    <w:rsid w:val="00AC5B48"/>
    <w:rsid w:val="00AD1450"/>
    <w:rsid w:val="00AD15E8"/>
    <w:rsid w:val="00AD1F24"/>
    <w:rsid w:val="00AD2B6E"/>
    <w:rsid w:val="00AD356D"/>
    <w:rsid w:val="00AD3724"/>
    <w:rsid w:val="00AD5863"/>
    <w:rsid w:val="00AD5D10"/>
    <w:rsid w:val="00AD6502"/>
    <w:rsid w:val="00AD6C9F"/>
    <w:rsid w:val="00AE0695"/>
    <w:rsid w:val="00AE3E7E"/>
    <w:rsid w:val="00AE7E53"/>
    <w:rsid w:val="00AF1315"/>
    <w:rsid w:val="00AF19BF"/>
    <w:rsid w:val="00AF2CED"/>
    <w:rsid w:val="00AF2DC3"/>
    <w:rsid w:val="00AF3ED5"/>
    <w:rsid w:val="00AF6FDE"/>
    <w:rsid w:val="00B00083"/>
    <w:rsid w:val="00B01B0F"/>
    <w:rsid w:val="00B033E5"/>
    <w:rsid w:val="00B03A63"/>
    <w:rsid w:val="00B129A4"/>
    <w:rsid w:val="00B201A4"/>
    <w:rsid w:val="00B201D1"/>
    <w:rsid w:val="00B20E8D"/>
    <w:rsid w:val="00B213A6"/>
    <w:rsid w:val="00B226AB"/>
    <w:rsid w:val="00B22BF0"/>
    <w:rsid w:val="00B235B0"/>
    <w:rsid w:val="00B235C7"/>
    <w:rsid w:val="00B24DF6"/>
    <w:rsid w:val="00B25B67"/>
    <w:rsid w:val="00B27A61"/>
    <w:rsid w:val="00B3148C"/>
    <w:rsid w:val="00B31BF5"/>
    <w:rsid w:val="00B32EB9"/>
    <w:rsid w:val="00B34C85"/>
    <w:rsid w:val="00B34FE2"/>
    <w:rsid w:val="00B35166"/>
    <w:rsid w:val="00B357D8"/>
    <w:rsid w:val="00B360F4"/>
    <w:rsid w:val="00B36A00"/>
    <w:rsid w:val="00B3792B"/>
    <w:rsid w:val="00B37BFC"/>
    <w:rsid w:val="00B40358"/>
    <w:rsid w:val="00B41614"/>
    <w:rsid w:val="00B42851"/>
    <w:rsid w:val="00B42F80"/>
    <w:rsid w:val="00B435CB"/>
    <w:rsid w:val="00B43A24"/>
    <w:rsid w:val="00B45E6F"/>
    <w:rsid w:val="00B465EC"/>
    <w:rsid w:val="00B4785E"/>
    <w:rsid w:val="00B47F63"/>
    <w:rsid w:val="00B505C8"/>
    <w:rsid w:val="00B50DB8"/>
    <w:rsid w:val="00B53654"/>
    <w:rsid w:val="00B53905"/>
    <w:rsid w:val="00B546DB"/>
    <w:rsid w:val="00B54B5B"/>
    <w:rsid w:val="00B5562E"/>
    <w:rsid w:val="00B55862"/>
    <w:rsid w:val="00B55D65"/>
    <w:rsid w:val="00B56305"/>
    <w:rsid w:val="00B57000"/>
    <w:rsid w:val="00B60080"/>
    <w:rsid w:val="00B60939"/>
    <w:rsid w:val="00B60AFD"/>
    <w:rsid w:val="00B62715"/>
    <w:rsid w:val="00B6466C"/>
    <w:rsid w:val="00B65611"/>
    <w:rsid w:val="00B70E8E"/>
    <w:rsid w:val="00B71F2D"/>
    <w:rsid w:val="00B72F3C"/>
    <w:rsid w:val="00B738CC"/>
    <w:rsid w:val="00B76C92"/>
    <w:rsid w:val="00B76EF6"/>
    <w:rsid w:val="00B80EFD"/>
    <w:rsid w:val="00B818A4"/>
    <w:rsid w:val="00B83739"/>
    <w:rsid w:val="00B83D74"/>
    <w:rsid w:val="00B84117"/>
    <w:rsid w:val="00B858F0"/>
    <w:rsid w:val="00B85AA2"/>
    <w:rsid w:val="00B8649C"/>
    <w:rsid w:val="00B8695D"/>
    <w:rsid w:val="00B86FA2"/>
    <w:rsid w:val="00B87F0A"/>
    <w:rsid w:val="00B924B5"/>
    <w:rsid w:val="00B92D0B"/>
    <w:rsid w:val="00B944A4"/>
    <w:rsid w:val="00B94945"/>
    <w:rsid w:val="00B94DD6"/>
    <w:rsid w:val="00B96197"/>
    <w:rsid w:val="00BA1682"/>
    <w:rsid w:val="00BA1AEB"/>
    <w:rsid w:val="00BA322D"/>
    <w:rsid w:val="00BA5609"/>
    <w:rsid w:val="00BA5910"/>
    <w:rsid w:val="00BA63FA"/>
    <w:rsid w:val="00BA71BE"/>
    <w:rsid w:val="00BA7E8F"/>
    <w:rsid w:val="00BB00B3"/>
    <w:rsid w:val="00BB0BDD"/>
    <w:rsid w:val="00BB176C"/>
    <w:rsid w:val="00BB2018"/>
    <w:rsid w:val="00BB2A73"/>
    <w:rsid w:val="00BB3A45"/>
    <w:rsid w:val="00BB4ACC"/>
    <w:rsid w:val="00BB62A9"/>
    <w:rsid w:val="00BB703E"/>
    <w:rsid w:val="00BB732D"/>
    <w:rsid w:val="00BB7405"/>
    <w:rsid w:val="00BC0FD5"/>
    <w:rsid w:val="00BC3631"/>
    <w:rsid w:val="00BC591F"/>
    <w:rsid w:val="00BC5ED8"/>
    <w:rsid w:val="00BC7D6D"/>
    <w:rsid w:val="00BD2108"/>
    <w:rsid w:val="00BD2665"/>
    <w:rsid w:val="00BD2783"/>
    <w:rsid w:val="00BD294B"/>
    <w:rsid w:val="00BD68A3"/>
    <w:rsid w:val="00BD6938"/>
    <w:rsid w:val="00BD6CF3"/>
    <w:rsid w:val="00BD7F72"/>
    <w:rsid w:val="00BE0ECA"/>
    <w:rsid w:val="00BE2180"/>
    <w:rsid w:val="00BE21F2"/>
    <w:rsid w:val="00BE4275"/>
    <w:rsid w:val="00BE7A88"/>
    <w:rsid w:val="00BF06AE"/>
    <w:rsid w:val="00BF0F95"/>
    <w:rsid w:val="00BF12AE"/>
    <w:rsid w:val="00BF1BB8"/>
    <w:rsid w:val="00BF2433"/>
    <w:rsid w:val="00BF2E6E"/>
    <w:rsid w:val="00BF61C9"/>
    <w:rsid w:val="00BF6C94"/>
    <w:rsid w:val="00C00424"/>
    <w:rsid w:val="00C00BB0"/>
    <w:rsid w:val="00C0532E"/>
    <w:rsid w:val="00C1179F"/>
    <w:rsid w:val="00C127B9"/>
    <w:rsid w:val="00C128FA"/>
    <w:rsid w:val="00C12C14"/>
    <w:rsid w:val="00C14B3B"/>
    <w:rsid w:val="00C15F04"/>
    <w:rsid w:val="00C179B3"/>
    <w:rsid w:val="00C17E3F"/>
    <w:rsid w:val="00C200AA"/>
    <w:rsid w:val="00C201FD"/>
    <w:rsid w:val="00C206BD"/>
    <w:rsid w:val="00C22632"/>
    <w:rsid w:val="00C237ED"/>
    <w:rsid w:val="00C24632"/>
    <w:rsid w:val="00C25418"/>
    <w:rsid w:val="00C25D9C"/>
    <w:rsid w:val="00C2778B"/>
    <w:rsid w:val="00C31649"/>
    <w:rsid w:val="00C32EF1"/>
    <w:rsid w:val="00C3434C"/>
    <w:rsid w:val="00C355E8"/>
    <w:rsid w:val="00C40385"/>
    <w:rsid w:val="00C4065D"/>
    <w:rsid w:val="00C41768"/>
    <w:rsid w:val="00C41936"/>
    <w:rsid w:val="00C42283"/>
    <w:rsid w:val="00C46CCC"/>
    <w:rsid w:val="00C475AA"/>
    <w:rsid w:val="00C52579"/>
    <w:rsid w:val="00C527C7"/>
    <w:rsid w:val="00C53C98"/>
    <w:rsid w:val="00C56DBC"/>
    <w:rsid w:val="00C56FCF"/>
    <w:rsid w:val="00C57B6C"/>
    <w:rsid w:val="00C57CB7"/>
    <w:rsid w:val="00C611B0"/>
    <w:rsid w:val="00C61A59"/>
    <w:rsid w:val="00C628A6"/>
    <w:rsid w:val="00C64344"/>
    <w:rsid w:val="00C65108"/>
    <w:rsid w:val="00C65576"/>
    <w:rsid w:val="00C66165"/>
    <w:rsid w:val="00C67B8E"/>
    <w:rsid w:val="00C7060A"/>
    <w:rsid w:val="00C7151A"/>
    <w:rsid w:val="00C717E3"/>
    <w:rsid w:val="00C71F60"/>
    <w:rsid w:val="00C72241"/>
    <w:rsid w:val="00C750C8"/>
    <w:rsid w:val="00C7560F"/>
    <w:rsid w:val="00C76BF2"/>
    <w:rsid w:val="00C80A0E"/>
    <w:rsid w:val="00C8213F"/>
    <w:rsid w:val="00C8303F"/>
    <w:rsid w:val="00C84EB7"/>
    <w:rsid w:val="00C85154"/>
    <w:rsid w:val="00C857F0"/>
    <w:rsid w:val="00C85A70"/>
    <w:rsid w:val="00C867C9"/>
    <w:rsid w:val="00C8797A"/>
    <w:rsid w:val="00C900B8"/>
    <w:rsid w:val="00C90197"/>
    <w:rsid w:val="00C90A2F"/>
    <w:rsid w:val="00C90C71"/>
    <w:rsid w:val="00C91FD1"/>
    <w:rsid w:val="00C931CF"/>
    <w:rsid w:val="00C938CF"/>
    <w:rsid w:val="00C93D6F"/>
    <w:rsid w:val="00C94053"/>
    <w:rsid w:val="00C95D5A"/>
    <w:rsid w:val="00C9624D"/>
    <w:rsid w:val="00C969DA"/>
    <w:rsid w:val="00CA2C77"/>
    <w:rsid w:val="00CA444F"/>
    <w:rsid w:val="00CA4C79"/>
    <w:rsid w:val="00CA5218"/>
    <w:rsid w:val="00CA5245"/>
    <w:rsid w:val="00CA5CC2"/>
    <w:rsid w:val="00CA625A"/>
    <w:rsid w:val="00CA71F4"/>
    <w:rsid w:val="00CA7B09"/>
    <w:rsid w:val="00CB019C"/>
    <w:rsid w:val="00CB034C"/>
    <w:rsid w:val="00CB0771"/>
    <w:rsid w:val="00CB12A5"/>
    <w:rsid w:val="00CB1CAC"/>
    <w:rsid w:val="00CB2F2A"/>
    <w:rsid w:val="00CB4896"/>
    <w:rsid w:val="00CB51D9"/>
    <w:rsid w:val="00CB5B1A"/>
    <w:rsid w:val="00CB6B22"/>
    <w:rsid w:val="00CB7C30"/>
    <w:rsid w:val="00CB7F5F"/>
    <w:rsid w:val="00CC1B39"/>
    <w:rsid w:val="00CC1BFA"/>
    <w:rsid w:val="00CC2E9F"/>
    <w:rsid w:val="00CC35EA"/>
    <w:rsid w:val="00CC3848"/>
    <w:rsid w:val="00CC6D5E"/>
    <w:rsid w:val="00CC7272"/>
    <w:rsid w:val="00CC78C7"/>
    <w:rsid w:val="00CD0200"/>
    <w:rsid w:val="00CD3F77"/>
    <w:rsid w:val="00CD6ADC"/>
    <w:rsid w:val="00CD7193"/>
    <w:rsid w:val="00CE38C8"/>
    <w:rsid w:val="00CE524F"/>
    <w:rsid w:val="00CE56F9"/>
    <w:rsid w:val="00CE58CC"/>
    <w:rsid w:val="00CE6274"/>
    <w:rsid w:val="00CE69E1"/>
    <w:rsid w:val="00CE77B6"/>
    <w:rsid w:val="00CF1AA1"/>
    <w:rsid w:val="00CF2B8D"/>
    <w:rsid w:val="00CF33DD"/>
    <w:rsid w:val="00CF3A1B"/>
    <w:rsid w:val="00CF3F7C"/>
    <w:rsid w:val="00CF456B"/>
    <w:rsid w:val="00CF5A22"/>
    <w:rsid w:val="00CF77C1"/>
    <w:rsid w:val="00D0262E"/>
    <w:rsid w:val="00D03679"/>
    <w:rsid w:val="00D05E3D"/>
    <w:rsid w:val="00D06139"/>
    <w:rsid w:val="00D110BD"/>
    <w:rsid w:val="00D13675"/>
    <w:rsid w:val="00D141E1"/>
    <w:rsid w:val="00D14DA9"/>
    <w:rsid w:val="00D1511B"/>
    <w:rsid w:val="00D15314"/>
    <w:rsid w:val="00D159A6"/>
    <w:rsid w:val="00D15B48"/>
    <w:rsid w:val="00D17D6C"/>
    <w:rsid w:val="00D2155B"/>
    <w:rsid w:val="00D23D11"/>
    <w:rsid w:val="00D244B6"/>
    <w:rsid w:val="00D244EA"/>
    <w:rsid w:val="00D244FC"/>
    <w:rsid w:val="00D2754D"/>
    <w:rsid w:val="00D27B26"/>
    <w:rsid w:val="00D27B27"/>
    <w:rsid w:val="00D30D5B"/>
    <w:rsid w:val="00D31AB6"/>
    <w:rsid w:val="00D33BE9"/>
    <w:rsid w:val="00D33F93"/>
    <w:rsid w:val="00D35013"/>
    <w:rsid w:val="00D357FF"/>
    <w:rsid w:val="00D36199"/>
    <w:rsid w:val="00D424C7"/>
    <w:rsid w:val="00D43454"/>
    <w:rsid w:val="00D43B2A"/>
    <w:rsid w:val="00D43CF1"/>
    <w:rsid w:val="00D43D83"/>
    <w:rsid w:val="00D444DC"/>
    <w:rsid w:val="00D47575"/>
    <w:rsid w:val="00D5243B"/>
    <w:rsid w:val="00D533EC"/>
    <w:rsid w:val="00D55B59"/>
    <w:rsid w:val="00D56047"/>
    <w:rsid w:val="00D56A95"/>
    <w:rsid w:val="00D60296"/>
    <w:rsid w:val="00D6076E"/>
    <w:rsid w:val="00D6293E"/>
    <w:rsid w:val="00D67844"/>
    <w:rsid w:val="00D70F16"/>
    <w:rsid w:val="00D7199D"/>
    <w:rsid w:val="00D72617"/>
    <w:rsid w:val="00D72F57"/>
    <w:rsid w:val="00D76A44"/>
    <w:rsid w:val="00D815EF"/>
    <w:rsid w:val="00D81949"/>
    <w:rsid w:val="00D81F26"/>
    <w:rsid w:val="00D822E2"/>
    <w:rsid w:val="00D843F2"/>
    <w:rsid w:val="00D86231"/>
    <w:rsid w:val="00D878DD"/>
    <w:rsid w:val="00D879BE"/>
    <w:rsid w:val="00D912AB"/>
    <w:rsid w:val="00D91923"/>
    <w:rsid w:val="00D93753"/>
    <w:rsid w:val="00D9419E"/>
    <w:rsid w:val="00D9448A"/>
    <w:rsid w:val="00DA3167"/>
    <w:rsid w:val="00DA33AD"/>
    <w:rsid w:val="00DA4DC3"/>
    <w:rsid w:val="00DA5559"/>
    <w:rsid w:val="00DA77A5"/>
    <w:rsid w:val="00DB0E36"/>
    <w:rsid w:val="00DB148C"/>
    <w:rsid w:val="00DB3DBF"/>
    <w:rsid w:val="00DB484F"/>
    <w:rsid w:val="00DB6EE5"/>
    <w:rsid w:val="00DC04F6"/>
    <w:rsid w:val="00DC0690"/>
    <w:rsid w:val="00DC1D65"/>
    <w:rsid w:val="00DC3C57"/>
    <w:rsid w:val="00DC5501"/>
    <w:rsid w:val="00DC5DE4"/>
    <w:rsid w:val="00DC671C"/>
    <w:rsid w:val="00DC7154"/>
    <w:rsid w:val="00DC7E8A"/>
    <w:rsid w:val="00DC7FA5"/>
    <w:rsid w:val="00DD0F78"/>
    <w:rsid w:val="00DD1D89"/>
    <w:rsid w:val="00DD273C"/>
    <w:rsid w:val="00DD3F28"/>
    <w:rsid w:val="00DD4446"/>
    <w:rsid w:val="00DD4537"/>
    <w:rsid w:val="00DD4E15"/>
    <w:rsid w:val="00DD67AF"/>
    <w:rsid w:val="00DE13F7"/>
    <w:rsid w:val="00DE2304"/>
    <w:rsid w:val="00DE3138"/>
    <w:rsid w:val="00DE37F8"/>
    <w:rsid w:val="00DE4273"/>
    <w:rsid w:val="00DE4FCB"/>
    <w:rsid w:val="00DE5D07"/>
    <w:rsid w:val="00DE72A7"/>
    <w:rsid w:val="00DE7832"/>
    <w:rsid w:val="00DF0D11"/>
    <w:rsid w:val="00DF18FC"/>
    <w:rsid w:val="00DF194E"/>
    <w:rsid w:val="00DF5D2B"/>
    <w:rsid w:val="00DF6341"/>
    <w:rsid w:val="00DF6BDA"/>
    <w:rsid w:val="00E000A7"/>
    <w:rsid w:val="00E00E8E"/>
    <w:rsid w:val="00E03CDB"/>
    <w:rsid w:val="00E05465"/>
    <w:rsid w:val="00E05630"/>
    <w:rsid w:val="00E06DBB"/>
    <w:rsid w:val="00E10149"/>
    <w:rsid w:val="00E1107D"/>
    <w:rsid w:val="00E11340"/>
    <w:rsid w:val="00E122A1"/>
    <w:rsid w:val="00E13DBC"/>
    <w:rsid w:val="00E16372"/>
    <w:rsid w:val="00E167FD"/>
    <w:rsid w:val="00E16AD8"/>
    <w:rsid w:val="00E17FFA"/>
    <w:rsid w:val="00E20E4D"/>
    <w:rsid w:val="00E20ED6"/>
    <w:rsid w:val="00E21358"/>
    <w:rsid w:val="00E2170A"/>
    <w:rsid w:val="00E2249B"/>
    <w:rsid w:val="00E22A0D"/>
    <w:rsid w:val="00E244F6"/>
    <w:rsid w:val="00E258DB"/>
    <w:rsid w:val="00E2771E"/>
    <w:rsid w:val="00E311EF"/>
    <w:rsid w:val="00E31605"/>
    <w:rsid w:val="00E32180"/>
    <w:rsid w:val="00E322F0"/>
    <w:rsid w:val="00E32653"/>
    <w:rsid w:val="00E34948"/>
    <w:rsid w:val="00E34BFF"/>
    <w:rsid w:val="00E37569"/>
    <w:rsid w:val="00E401B2"/>
    <w:rsid w:val="00E41E30"/>
    <w:rsid w:val="00E42F73"/>
    <w:rsid w:val="00E43D70"/>
    <w:rsid w:val="00E4618C"/>
    <w:rsid w:val="00E466F3"/>
    <w:rsid w:val="00E47B2C"/>
    <w:rsid w:val="00E51560"/>
    <w:rsid w:val="00E51821"/>
    <w:rsid w:val="00E53749"/>
    <w:rsid w:val="00E53FC8"/>
    <w:rsid w:val="00E54347"/>
    <w:rsid w:val="00E55424"/>
    <w:rsid w:val="00E55915"/>
    <w:rsid w:val="00E55BB5"/>
    <w:rsid w:val="00E611DF"/>
    <w:rsid w:val="00E62315"/>
    <w:rsid w:val="00E65E79"/>
    <w:rsid w:val="00E66BA2"/>
    <w:rsid w:val="00E67416"/>
    <w:rsid w:val="00E67A94"/>
    <w:rsid w:val="00E70D46"/>
    <w:rsid w:val="00E718B6"/>
    <w:rsid w:val="00E723BA"/>
    <w:rsid w:val="00E73581"/>
    <w:rsid w:val="00E736A0"/>
    <w:rsid w:val="00E74434"/>
    <w:rsid w:val="00E8302B"/>
    <w:rsid w:val="00E833F7"/>
    <w:rsid w:val="00E83BDF"/>
    <w:rsid w:val="00E86FCC"/>
    <w:rsid w:val="00E87A1D"/>
    <w:rsid w:val="00E9094A"/>
    <w:rsid w:val="00E9175F"/>
    <w:rsid w:val="00E91D35"/>
    <w:rsid w:val="00E926A5"/>
    <w:rsid w:val="00E962CC"/>
    <w:rsid w:val="00EA17C3"/>
    <w:rsid w:val="00EA2CAA"/>
    <w:rsid w:val="00EA3864"/>
    <w:rsid w:val="00EA7F1C"/>
    <w:rsid w:val="00EB14C0"/>
    <w:rsid w:val="00EB15B6"/>
    <w:rsid w:val="00EB18CB"/>
    <w:rsid w:val="00EB3D06"/>
    <w:rsid w:val="00EB4916"/>
    <w:rsid w:val="00EC00C9"/>
    <w:rsid w:val="00EC0551"/>
    <w:rsid w:val="00EC0DD9"/>
    <w:rsid w:val="00EC2649"/>
    <w:rsid w:val="00EC31ED"/>
    <w:rsid w:val="00EC5836"/>
    <w:rsid w:val="00EC688C"/>
    <w:rsid w:val="00ED12E3"/>
    <w:rsid w:val="00ED4A83"/>
    <w:rsid w:val="00ED4B04"/>
    <w:rsid w:val="00ED5154"/>
    <w:rsid w:val="00ED56D5"/>
    <w:rsid w:val="00ED57EA"/>
    <w:rsid w:val="00ED5BD4"/>
    <w:rsid w:val="00EE07D3"/>
    <w:rsid w:val="00EE1996"/>
    <w:rsid w:val="00EE1C01"/>
    <w:rsid w:val="00EE22AF"/>
    <w:rsid w:val="00EE690B"/>
    <w:rsid w:val="00EF003A"/>
    <w:rsid w:val="00EF0171"/>
    <w:rsid w:val="00EF1B25"/>
    <w:rsid w:val="00EF1DA0"/>
    <w:rsid w:val="00EF4294"/>
    <w:rsid w:val="00EF4747"/>
    <w:rsid w:val="00EF4BF8"/>
    <w:rsid w:val="00EF5AB3"/>
    <w:rsid w:val="00EF7C47"/>
    <w:rsid w:val="00F02253"/>
    <w:rsid w:val="00F02D9D"/>
    <w:rsid w:val="00F03553"/>
    <w:rsid w:val="00F03C2E"/>
    <w:rsid w:val="00F04A66"/>
    <w:rsid w:val="00F04B4B"/>
    <w:rsid w:val="00F0516C"/>
    <w:rsid w:val="00F054F2"/>
    <w:rsid w:val="00F067A2"/>
    <w:rsid w:val="00F07B9E"/>
    <w:rsid w:val="00F1116F"/>
    <w:rsid w:val="00F1263A"/>
    <w:rsid w:val="00F13033"/>
    <w:rsid w:val="00F139C5"/>
    <w:rsid w:val="00F15B77"/>
    <w:rsid w:val="00F15F8B"/>
    <w:rsid w:val="00F1694D"/>
    <w:rsid w:val="00F17AA6"/>
    <w:rsid w:val="00F21236"/>
    <w:rsid w:val="00F21C5B"/>
    <w:rsid w:val="00F239DF"/>
    <w:rsid w:val="00F24837"/>
    <w:rsid w:val="00F2575F"/>
    <w:rsid w:val="00F27565"/>
    <w:rsid w:val="00F310D4"/>
    <w:rsid w:val="00F31D5A"/>
    <w:rsid w:val="00F329F0"/>
    <w:rsid w:val="00F33975"/>
    <w:rsid w:val="00F33DE9"/>
    <w:rsid w:val="00F35BD2"/>
    <w:rsid w:val="00F35E6D"/>
    <w:rsid w:val="00F3619A"/>
    <w:rsid w:val="00F40AAA"/>
    <w:rsid w:val="00F40BA7"/>
    <w:rsid w:val="00F40F9D"/>
    <w:rsid w:val="00F41ACD"/>
    <w:rsid w:val="00F45FDB"/>
    <w:rsid w:val="00F46CB6"/>
    <w:rsid w:val="00F4756D"/>
    <w:rsid w:val="00F47DE8"/>
    <w:rsid w:val="00F505D2"/>
    <w:rsid w:val="00F542C1"/>
    <w:rsid w:val="00F550E3"/>
    <w:rsid w:val="00F55E73"/>
    <w:rsid w:val="00F55EDA"/>
    <w:rsid w:val="00F569AA"/>
    <w:rsid w:val="00F56C80"/>
    <w:rsid w:val="00F60092"/>
    <w:rsid w:val="00F600EF"/>
    <w:rsid w:val="00F61C18"/>
    <w:rsid w:val="00F65F4B"/>
    <w:rsid w:val="00F67A69"/>
    <w:rsid w:val="00F70BFF"/>
    <w:rsid w:val="00F70C9D"/>
    <w:rsid w:val="00F73E08"/>
    <w:rsid w:val="00F74CD9"/>
    <w:rsid w:val="00F76EB4"/>
    <w:rsid w:val="00F80A7B"/>
    <w:rsid w:val="00F80E5D"/>
    <w:rsid w:val="00F81E78"/>
    <w:rsid w:val="00F8298D"/>
    <w:rsid w:val="00F82E1C"/>
    <w:rsid w:val="00F83916"/>
    <w:rsid w:val="00F8432B"/>
    <w:rsid w:val="00F85144"/>
    <w:rsid w:val="00F851CE"/>
    <w:rsid w:val="00F87176"/>
    <w:rsid w:val="00F91219"/>
    <w:rsid w:val="00F92444"/>
    <w:rsid w:val="00F9393E"/>
    <w:rsid w:val="00F96FD0"/>
    <w:rsid w:val="00F97A78"/>
    <w:rsid w:val="00FA0B20"/>
    <w:rsid w:val="00FA24E7"/>
    <w:rsid w:val="00FA5EE6"/>
    <w:rsid w:val="00FA5FFA"/>
    <w:rsid w:val="00FA7956"/>
    <w:rsid w:val="00FB0824"/>
    <w:rsid w:val="00FB2FCB"/>
    <w:rsid w:val="00FB4C9C"/>
    <w:rsid w:val="00FB7C55"/>
    <w:rsid w:val="00FC083A"/>
    <w:rsid w:val="00FC1074"/>
    <w:rsid w:val="00FC15B3"/>
    <w:rsid w:val="00FC1884"/>
    <w:rsid w:val="00FC1A41"/>
    <w:rsid w:val="00FC371D"/>
    <w:rsid w:val="00FC5F0B"/>
    <w:rsid w:val="00FC7CBD"/>
    <w:rsid w:val="00FD1F5F"/>
    <w:rsid w:val="00FD2100"/>
    <w:rsid w:val="00FD40CC"/>
    <w:rsid w:val="00FD436C"/>
    <w:rsid w:val="00FD446D"/>
    <w:rsid w:val="00FD4F2C"/>
    <w:rsid w:val="00FD6394"/>
    <w:rsid w:val="00FD6D9F"/>
    <w:rsid w:val="00FE0E6C"/>
    <w:rsid w:val="00FE1CDC"/>
    <w:rsid w:val="00FE21FD"/>
    <w:rsid w:val="00FE70C3"/>
    <w:rsid w:val="00FF1A8B"/>
    <w:rsid w:val="00FF1C77"/>
    <w:rsid w:val="00FF2AD9"/>
    <w:rsid w:val="00FF2FAF"/>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29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Bayer Caption1,IB Caption1,Medical Caption1,Bayer Caption2,IB Caption2,Medical Caption2,Bayer Caption3,IB Caption3,Medical Caption3,Bayer Caption4,IB Caption4,Medical Caption4,Bayer Caption5,Caption2,c"/>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Bayer Caption Char,IB Caption Char,Medical Caption Char,Bayer Caption1 Char,IB Caption1 Char,Medical Caption1 Char,Bayer Caption2 Char,IB Caption2 Char,Medical Caption2 Char,Bayer Caption3 Char,IB Caption3 Char,Medical Caption3 Char,c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_CC_Bullet,Bullet1,Bullet List,Section 5,Bullets Points,BulletList 1,Bulletlist1,BulletList1,L"/>
    <w:basedOn w:val="Normal"/>
    <w:next w:val="ListBullet"/>
    <w:link w:val="ListParagraphChar"/>
    <w:uiPriority w:val="34"/>
    <w:qFormat/>
    <w:rsid w:val="002032B0"/>
    <w:pPr>
      <w:numPr>
        <w:numId w:val="8"/>
      </w:numPr>
      <w:spacing w:after="120"/>
      <w:ind w:left="1080"/>
    </w:pPr>
    <w:rPr>
      <w:rFonts w:asciiTheme="minorHAnsi" w:hAnsiTheme="minorHAnsi"/>
      <w:snapToGrid w:val="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Char,_CC_Bullet Char,Bullet1 Char,L Char"/>
    <w:basedOn w:val="DefaultParagraphFont"/>
    <w:link w:val="ListParagraph"/>
    <w:uiPriority w:val="34"/>
    <w:qFormat/>
    <w:locked/>
    <w:rsid w:val="002032B0"/>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HTAtableplain,PBAC table,MSD Table Grid,Legemiddelverket 3,Dossier table,Summary Table,Tabellengitternetz 9pt"/>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InstructionalText">
    <w:name w:val="Instructional Text"/>
    <w:basedOn w:val="Normal"/>
    <w:link w:val="InstructionalTextChar"/>
    <w:uiPriority w:val="3"/>
    <w:qFormat/>
    <w:rsid w:val="00E167FD"/>
    <w:pPr>
      <w:spacing w:after="240"/>
    </w:pPr>
    <w:rPr>
      <w:rFonts w:asciiTheme="minorHAnsi" w:eastAsiaTheme="minorHAnsi" w:hAnsiTheme="minorHAnsi" w:cstheme="minorHAnsi"/>
      <w:color w:val="3366FF"/>
      <w:szCs w:val="22"/>
      <w:lang w:eastAsia="en-US"/>
    </w:rPr>
  </w:style>
  <w:style w:type="character" w:customStyle="1" w:styleId="InstructionalTextChar">
    <w:name w:val="Instructional Text Char"/>
    <w:basedOn w:val="DefaultParagraphFont"/>
    <w:link w:val="InstructionalText"/>
    <w:uiPriority w:val="3"/>
    <w:rsid w:val="00E167FD"/>
    <w:rPr>
      <w:rFonts w:asciiTheme="minorHAnsi" w:eastAsiaTheme="minorHAnsi" w:hAnsiTheme="minorHAnsi" w:cstheme="minorHAnsi"/>
      <w:color w:val="3366FF"/>
      <w:sz w:val="24"/>
      <w:szCs w:val="22"/>
      <w:lang w:eastAsia="en-US"/>
    </w:rPr>
  </w:style>
  <w:style w:type="paragraph" w:customStyle="1" w:styleId="Tableheadingrow">
    <w:name w:val="Table heading row"/>
    <w:qFormat/>
    <w:rsid w:val="009244F1"/>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9244F1"/>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9244F1"/>
    <w:rPr>
      <w:rFonts w:ascii="Arial Narrow" w:eastAsiaTheme="majorEastAsia" w:hAnsi="Arial Narrow" w:cstheme="majorBidi"/>
      <w:b/>
      <w:bCs/>
      <w:szCs w:val="24"/>
    </w:rPr>
  </w:style>
  <w:style w:type="paragraph" w:customStyle="1" w:styleId="01BODYTEXT">
    <w:name w:val="01. BODY TEXT"/>
    <w:link w:val="01BODYTEXTChar"/>
    <w:uiPriority w:val="99"/>
    <w:qFormat/>
    <w:rsid w:val="009244F1"/>
    <w:pPr>
      <w:spacing w:before="240"/>
    </w:pPr>
    <w:rPr>
      <w:rFonts w:ascii="Arial" w:eastAsia="Calibri" w:hAnsi="Arial"/>
      <w:sz w:val="22"/>
      <w:szCs w:val="22"/>
      <w:lang w:eastAsia="en-US"/>
    </w:rPr>
  </w:style>
  <w:style w:type="character" w:customStyle="1" w:styleId="01BODYTEXTChar">
    <w:name w:val="01. BODY TEXT Char"/>
    <w:basedOn w:val="DefaultParagraphFont"/>
    <w:link w:val="01BODYTEXT"/>
    <w:uiPriority w:val="99"/>
    <w:rsid w:val="009244F1"/>
    <w:rPr>
      <w:rFonts w:ascii="Arial" w:eastAsia="Calibri" w:hAnsi="Arial"/>
      <w:sz w:val="22"/>
      <w:szCs w:val="22"/>
      <w:lang w:eastAsia="en-US"/>
    </w:rPr>
  </w:style>
  <w:style w:type="paragraph" w:customStyle="1" w:styleId="PBACTabletext">
    <w:name w:val="PBAC Table text"/>
    <w:basedOn w:val="Normal"/>
    <w:link w:val="PBACTabletextChar"/>
    <w:qFormat/>
    <w:rsid w:val="00154705"/>
    <w:pPr>
      <w:spacing w:after="80"/>
      <w:jc w:val="left"/>
    </w:pPr>
    <w:rPr>
      <w:rFonts w:ascii="Arial Narrow" w:eastAsiaTheme="minorHAnsi" w:hAnsi="Arial Narrow"/>
      <w:sz w:val="20"/>
      <w:szCs w:val="20"/>
      <w:lang w:eastAsia="en-US"/>
    </w:rPr>
  </w:style>
  <w:style w:type="character" w:customStyle="1" w:styleId="PBACTabletextChar">
    <w:name w:val="PBAC Table text Char"/>
    <w:basedOn w:val="DefaultParagraphFont"/>
    <w:link w:val="PBACTabletext"/>
    <w:rsid w:val="00154705"/>
    <w:rPr>
      <w:rFonts w:ascii="Arial Narrow" w:eastAsiaTheme="minorHAnsi" w:hAnsi="Arial Narrow" w:cs="Arial"/>
      <w:lang w:eastAsia="en-US"/>
    </w:rPr>
  </w:style>
  <w:style w:type="paragraph" w:customStyle="1" w:styleId="Dash">
    <w:name w:val="Dash"/>
    <w:basedOn w:val="bullet"/>
    <w:rsid w:val="00154705"/>
    <w:pPr>
      <w:numPr>
        <w:numId w:val="9"/>
      </w:numPr>
      <w:spacing w:after="40"/>
      <w:ind w:left="714" w:hanging="357"/>
      <w:jc w:val="left"/>
    </w:pPr>
    <w:rPr>
      <w:rFonts w:asciiTheme="minorHAnsi" w:eastAsiaTheme="minorHAnsi" w:hAnsiTheme="minorHAnsi"/>
      <w:i w:val="0"/>
    </w:rPr>
  </w:style>
  <w:style w:type="paragraph" w:customStyle="1" w:styleId="PBACTableText0">
    <w:name w:val="PBAC Table Text"/>
    <w:basedOn w:val="Normal"/>
    <w:link w:val="PBACTableTextChar0"/>
    <w:qFormat/>
    <w:rsid w:val="001E3785"/>
    <w:pPr>
      <w:spacing w:before="40" w:after="40"/>
      <w:jc w:val="left"/>
    </w:pPr>
    <w:rPr>
      <w:rFonts w:ascii="Arial Narrow" w:hAnsi="Arial Narrow" w:cs="Times New Roman"/>
      <w:sz w:val="20"/>
      <w:szCs w:val="20"/>
      <w:lang w:eastAsia="en-US"/>
    </w:rPr>
  </w:style>
  <w:style w:type="character" w:customStyle="1" w:styleId="PBACTableTextChar0">
    <w:name w:val="PBAC Table Text Char"/>
    <w:basedOn w:val="DefaultParagraphFont"/>
    <w:link w:val="PBACTableText0"/>
    <w:rsid w:val="001E3785"/>
    <w:rPr>
      <w:rFonts w:ascii="Arial Narrow" w:hAnsi="Arial Narrow"/>
      <w:lang w:eastAsia="en-US"/>
    </w:rPr>
  </w:style>
  <w:style w:type="paragraph" w:styleId="FootnoteText">
    <w:name w:val="footnote text"/>
    <w:basedOn w:val="Normal"/>
    <w:link w:val="FootnoteTextChar"/>
    <w:semiHidden/>
    <w:unhideWhenUsed/>
    <w:rsid w:val="00EF7C47"/>
    <w:rPr>
      <w:sz w:val="20"/>
      <w:szCs w:val="20"/>
    </w:rPr>
  </w:style>
  <w:style w:type="character" w:customStyle="1" w:styleId="FootnoteTextChar">
    <w:name w:val="Footnote Text Char"/>
    <w:basedOn w:val="DefaultParagraphFont"/>
    <w:link w:val="FootnoteText"/>
    <w:semiHidden/>
    <w:rsid w:val="00EF7C47"/>
    <w:rPr>
      <w:rFonts w:ascii="Calibri" w:hAnsi="Calibri" w:cs="Arial"/>
    </w:rPr>
  </w:style>
  <w:style w:type="character" w:styleId="FootnoteReference">
    <w:name w:val="footnote reference"/>
    <w:basedOn w:val="DefaultParagraphFont"/>
    <w:semiHidden/>
    <w:unhideWhenUsed/>
    <w:rsid w:val="00EF7C47"/>
    <w:rPr>
      <w:vertAlign w:val="superscript"/>
    </w:rPr>
  </w:style>
  <w:style w:type="paragraph" w:customStyle="1" w:styleId="PBACcaption">
    <w:name w:val="PBAC caption"/>
    <w:basedOn w:val="Normal"/>
    <w:link w:val="PBACcaptionChar"/>
    <w:qFormat/>
    <w:rsid w:val="00AB55FD"/>
    <w:pPr>
      <w:jc w:val="left"/>
    </w:pPr>
    <w:rPr>
      <w:rFonts w:ascii="Arial Narrow" w:eastAsiaTheme="minorHAnsi" w:hAnsi="Arial Narrow"/>
      <w:b/>
      <w:sz w:val="22"/>
      <w:szCs w:val="22"/>
      <w:lang w:eastAsia="en-US"/>
    </w:rPr>
  </w:style>
  <w:style w:type="character" w:customStyle="1" w:styleId="PBACcaptionChar">
    <w:name w:val="PBAC caption Char"/>
    <w:basedOn w:val="DefaultParagraphFont"/>
    <w:link w:val="PBACcaption"/>
    <w:rsid w:val="00AB55FD"/>
    <w:rPr>
      <w:rFonts w:ascii="Arial Narrow" w:eastAsiaTheme="minorHAnsi" w:hAnsi="Arial Narrow" w:cs="Arial"/>
      <w:b/>
      <w:sz w:val="22"/>
      <w:szCs w:val="22"/>
      <w:lang w:eastAsia="en-US"/>
    </w:rPr>
  </w:style>
  <w:style w:type="paragraph" w:customStyle="1" w:styleId="TableTextCA">
    <w:name w:val="Table Text CA"/>
    <w:basedOn w:val="Normal"/>
    <w:rsid w:val="00AB55FD"/>
    <w:pPr>
      <w:spacing w:before="40" w:after="40"/>
      <w:jc w:val="center"/>
    </w:pPr>
    <w:rPr>
      <w:rFonts w:ascii="Arial Narrow" w:eastAsiaTheme="minorHAnsi" w:hAnsi="Arial Narrow" w:cstheme="minorBidi"/>
      <w:sz w:val="20"/>
      <w:szCs w:val="22"/>
      <w:lang w:eastAsia="en-US"/>
    </w:rPr>
  </w:style>
  <w:style w:type="paragraph" w:customStyle="1" w:styleId="PBACTblFignote">
    <w:name w:val="PBAC Tbl/Fig note"/>
    <w:qFormat/>
    <w:rsid w:val="005D6FE5"/>
    <w:pPr>
      <w:keepNext/>
      <w:keepLines/>
      <w:spacing w:after="360"/>
      <w:contextualSpacing/>
      <w:textboxTightWrap w:val="allLines"/>
    </w:pPr>
    <w:rPr>
      <w:rFonts w:ascii="Arial Narrow" w:hAnsi="Arial Narrow" w:cs="Arial"/>
      <w:sz w:val="18"/>
      <w:szCs w:val="24"/>
      <w:lang w:eastAsia="en-GB"/>
    </w:rPr>
  </w:style>
  <w:style w:type="paragraph" w:customStyle="1" w:styleId="Tablefootnote">
    <w:name w:val="Table footnote"/>
    <w:basedOn w:val="Normal"/>
    <w:link w:val="TablefootnoteChar"/>
    <w:uiPriority w:val="99"/>
    <w:qFormat/>
    <w:rsid w:val="009B30B8"/>
    <w:pPr>
      <w:keepNext/>
      <w:keepLines/>
      <w:spacing w:after="240"/>
      <w:jc w:val="left"/>
    </w:pPr>
    <w:rPr>
      <w:rFonts w:ascii="Arial Narrow" w:hAnsi="Arial Narrow" w:cs="Times New Roman"/>
      <w:sz w:val="16"/>
      <w:szCs w:val="22"/>
      <w:lang w:eastAsia="en-US"/>
    </w:rPr>
  </w:style>
  <w:style w:type="character" w:customStyle="1" w:styleId="TablefootnoteChar">
    <w:name w:val="Table footnote Char"/>
    <w:link w:val="Tablefootnote"/>
    <w:uiPriority w:val="99"/>
    <w:rsid w:val="009B30B8"/>
    <w:rPr>
      <w:rFonts w:ascii="Arial Narrow" w:hAnsi="Arial Narrow"/>
      <w:sz w:val="16"/>
      <w:szCs w:val="22"/>
      <w:lang w:eastAsia="en-US"/>
    </w:rPr>
  </w:style>
  <w:style w:type="paragraph" w:customStyle="1" w:styleId="Bodytextbullet">
    <w:name w:val="Body text bullet"/>
    <w:basedOn w:val="BodyText"/>
    <w:link w:val="BodytextbulletChar"/>
    <w:uiPriority w:val="2"/>
    <w:qFormat/>
    <w:rsid w:val="00422818"/>
    <w:pPr>
      <w:spacing w:line="276" w:lineRule="auto"/>
    </w:pPr>
    <w:rPr>
      <w:rFonts w:asciiTheme="minorHAnsi" w:eastAsiaTheme="minorHAnsi" w:hAnsiTheme="minorHAnsi"/>
      <w:sz w:val="22"/>
      <w:szCs w:val="22"/>
      <w:lang w:eastAsia="en-US"/>
    </w:rPr>
  </w:style>
  <w:style w:type="character" w:customStyle="1" w:styleId="BodytextbulletChar">
    <w:name w:val="Body text bullet Char"/>
    <w:basedOn w:val="DefaultParagraphFont"/>
    <w:link w:val="Bodytextbullet"/>
    <w:uiPriority w:val="2"/>
    <w:rsid w:val="00422818"/>
    <w:rPr>
      <w:rFonts w:asciiTheme="minorHAnsi" w:eastAsiaTheme="minorHAnsi" w:hAnsiTheme="minorHAnsi" w:cs="Arial"/>
      <w:sz w:val="22"/>
      <w:szCs w:val="22"/>
      <w:lang w:eastAsia="en-US"/>
    </w:rPr>
  </w:style>
  <w:style w:type="paragraph" w:customStyle="1" w:styleId="Tabletextleft">
    <w:name w:val="Table text left"/>
    <w:basedOn w:val="Normal"/>
    <w:link w:val="TabletextleftChar"/>
    <w:qFormat/>
    <w:rsid w:val="00422818"/>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422818"/>
    <w:rPr>
      <w:rFonts w:asciiTheme="minorHAnsi" w:hAnsiTheme="minorHAnsi"/>
      <w:sz w:val="18"/>
    </w:rPr>
  </w:style>
  <w:style w:type="paragraph" w:customStyle="1" w:styleId="Tableheadingleft">
    <w:name w:val="Table heading left"/>
    <w:basedOn w:val="Normal"/>
    <w:next w:val="Tabletextleft"/>
    <w:qFormat/>
    <w:rsid w:val="00422818"/>
    <w:pPr>
      <w:spacing w:before="40" w:after="40"/>
      <w:jc w:val="left"/>
    </w:pPr>
    <w:rPr>
      <w:rFonts w:asciiTheme="minorHAnsi" w:eastAsiaTheme="minorHAnsi" w:hAnsiTheme="minorHAnsi" w:cs="Tahoma"/>
      <w:b/>
      <w:sz w:val="18"/>
      <w:szCs w:val="18"/>
      <w:lang w:val="de-DE" w:eastAsia="en-US"/>
    </w:rPr>
  </w:style>
  <w:style w:type="paragraph" w:customStyle="1" w:styleId="TableFigNotes">
    <w:name w:val="TableFigNotes"/>
    <w:basedOn w:val="Normal"/>
    <w:uiPriority w:val="4"/>
    <w:rsid w:val="00422818"/>
    <w:pPr>
      <w:keepNext/>
      <w:keepLines/>
      <w:jc w:val="left"/>
    </w:pPr>
    <w:rPr>
      <w:rFonts w:cs="Tahoma"/>
      <w:color w:val="000000"/>
      <w:sz w:val="16"/>
      <w:szCs w:val="18"/>
      <w:lang w:val="en-US"/>
    </w:rPr>
  </w:style>
  <w:style w:type="paragraph" w:customStyle="1" w:styleId="TableFigNotes18">
    <w:name w:val="TableFigNotes+18"/>
    <w:basedOn w:val="BodyText"/>
    <w:next w:val="BodyText"/>
    <w:link w:val="TableFigNotes18Char"/>
    <w:uiPriority w:val="4"/>
    <w:qFormat/>
    <w:rsid w:val="00422818"/>
    <w:pPr>
      <w:keepLines/>
      <w:spacing w:after="360" w:line="276" w:lineRule="auto"/>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422818"/>
    <w:rPr>
      <w:rFonts w:asciiTheme="minorHAnsi" w:eastAsiaTheme="minorHAnsi" w:hAnsiTheme="minorHAnsi" w:cs="Tahoma"/>
      <w:color w:val="000000"/>
      <w:sz w:val="16"/>
      <w:szCs w:val="18"/>
    </w:rPr>
  </w:style>
  <w:style w:type="character" w:customStyle="1" w:styleId="ui-provider">
    <w:name w:val="ui-provider"/>
    <w:basedOn w:val="DefaultParagraphFont"/>
    <w:rsid w:val="00422818"/>
  </w:style>
  <w:style w:type="paragraph" w:customStyle="1" w:styleId="3-SubsectionHeading">
    <w:name w:val="3-Subsection Heading"/>
    <w:basedOn w:val="Heading2"/>
    <w:next w:val="Normal"/>
    <w:link w:val="3-SubsectionHeadingChar"/>
    <w:qFormat/>
    <w:rsid w:val="002C1848"/>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2C1848"/>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63555544">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9647381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665621264">
      <w:bodyDiv w:val="1"/>
      <w:marLeft w:val="0"/>
      <w:marRight w:val="0"/>
      <w:marTop w:val="0"/>
      <w:marBottom w:val="0"/>
      <w:divBdr>
        <w:top w:val="none" w:sz="0" w:space="0" w:color="auto"/>
        <w:left w:val="none" w:sz="0" w:space="0" w:color="auto"/>
        <w:bottom w:val="none" w:sz="0" w:space="0" w:color="auto"/>
        <w:right w:val="none" w:sz="0" w:space="0" w:color="auto"/>
      </w:divBdr>
    </w:div>
    <w:div w:id="191935993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24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E658-C2BA-45E8-B4C9-C4929DC7F4D9}">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12471</Words>
  <Characters>69001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2023-10-22T22:18:00Z</dcterms:created>
  <dcterms:modified xsi:type="dcterms:W3CDTF">2023-10-23T05:02:00Z</dcterms:modified>
</cp:coreProperties>
</file>