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32F19653" w:rsidR="00B60939" w:rsidRPr="00E74297" w:rsidRDefault="003D20F2" w:rsidP="00D569CA">
      <w:pPr>
        <w:pStyle w:val="1-MainHeading"/>
        <w:ind w:left="851" w:hanging="851"/>
      </w:pPr>
      <w:bookmarkStart w:id="0" w:name="_Toc135207373"/>
      <w:r w:rsidRPr="00E74297">
        <w:t>6.05</w:t>
      </w:r>
      <w:r w:rsidR="00163F66" w:rsidRPr="00E74297">
        <w:tab/>
      </w:r>
      <w:r w:rsidR="003648E4" w:rsidRPr="00E74297">
        <w:rPr>
          <w:caps/>
        </w:rPr>
        <w:t xml:space="preserve">Sacituzumab </w:t>
      </w:r>
      <w:r w:rsidR="009A2CC2" w:rsidRPr="00E74297">
        <w:rPr>
          <w:caps/>
        </w:rPr>
        <w:t>govitecan</w:t>
      </w:r>
      <w:r w:rsidR="00163F66" w:rsidRPr="00E74297">
        <w:t>,</w:t>
      </w:r>
      <w:r w:rsidR="00163F66" w:rsidRPr="00E74297">
        <w:br/>
      </w:r>
      <w:r w:rsidR="00EE5201" w:rsidRPr="00E74297">
        <w:t>Powder for injection 180 mg</w:t>
      </w:r>
      <w:r w:rsidR="00163F66" w:rsidRPr="00E74297">
        <w:t>,</w:t>
      </w:r>
      <w:r w:rsidR="00163F66" w:rsidRPr="00E74297">
        <w:br/>
      </w:r>
      <w:r w:rsidR="009A2CC2" w:rsidRPr="00E74297">
        <w:t>Trodelvy</w:t>
      </w:r>
      <w:r w:rsidR="00B60939" w:rsidRPr="00E74297">
        <w:rPr>
          <w:vertAlign w:val="superscript"/>
        </w:rPr>
        <w:t>®</w:t>
      </w:r>
      <w:r w:rsidR="004A6040" w:rsidRPr="00E74297">
        <w:t>,</w:t>
      </w:r>
      <w:r w:rsidR="004A6040" w:rsidRPr="00E74297">
        <w:br/>
      </w:r>
      <w:r w:rsidRPr="00E74297">
        <w:t xml:space="preserve">Gilead Sciences </w:t>
      </w:r>
      <w:r w:rsidR="00EE5201" w:rsidRPr="00E74297">
        <w:t>PTY LIMITED</w:t>
      </w:r>
      <w:bookmarkEnd w:id="0"/>
      <w:r w:rsidR="00652FE9">
        <w:t>.</w:t>
      </w:r>
    </w:p>
    <w:p w14:paraId="11C00795" w14:textId="3DFB6D23" w:rsidR="00B50DB8" w:rsidRPr="00E74297" w:rsidRDefault="00B50DB8" w:rsidP="005B6CF9">
      <w:pPr>
        <w:pStyle w:val="2-SectionHeading"/>
      </w:pPr>
      <w:bookmarkStart w:id="1" w:name="_Toc135207375"/>
      <w:r w:rsidRPr="00E74297">
        <w:t xml:space="preserve">Purpose of </w:t>
      </w:r>
      <w:r w:rsidR="00CD7193" w:rsidRPr="00E74297">
        <w:t>s</w:t>
      </w:r>
      <w:r w:rsidR="00BB3A45" w:rsidRPr="00E74297">
        <w:t>ubmission</w:t>
      </w:r>
      <w:bookmarkEnd w:id="1"/>
    </w:p>
    <w:p w14:paraId="36DBE320" w14:textId="1B27F9B1" w:rsidR="000E337C" w:rsidRPr="00E74297" w:rsidRDefault="00DD76FD" w:rsidP="00DD76FD">
      <w:pPr>
        <w:pStyle w:val="3-BodyText"/>
      </w:pPr>
      <w:r w:rsidRPr="00E74297">
        <w:t xml:space="preserve">The </w:t>
      </w:r>
      <w:r w:rsidR="00CE2ED5" w:rsidRPr="00E74297">
        <w:t>C</w:t>
      </w:r>
      <w:r w:rsidRPr="00E74297">
        <w:t xml:space="preserve">ategory 2 submission requested Section 100 (efficient funding of chemotherapy) listing for </w:t>
      </w:r>
      <w:r w:rsidR="00CE2ED5" w:rsidRPr="00E74297">
        <w:t>s</w:t>
      </w:r>
      <w:r w:rsidRPr="00E74297">
        <w:t>acituzumab govitecan (SG) for the treatment of adult patients with unresectable locally advanced or metastatic hormone receptor positive (HR+), human epidermal growth factor receptor 2 (HER2) negative (HR+/HER2-) breast cancer, who have previously received at least two systemic therapies, one of which may have been in the neoadjuvant/adjuvant setting.</w:t>
      </w:r>
    </w:p>
    <w:p w14:paraId="30528FE3" w14:textId="7F4C8D76" w:rsidR="00DD76FD" w:rsidRPr="00E74297" w:rsidRDefault="00DD76FD" w:rsidP="00DD76FD">
      <w:pPr>
        <w:pStyle w:val="3-BodyText"/>
      </w:pPr>
      <w:r w:rsidRPr="00E74297">
        <w:t>Listing was requested on the basis of a cost-effectiveness analysis versus treatment of physician’s choice (TPC) consisting of eribulin, capecitabine, gemcitabine, vinorelbine. The key components of the clinical issue addressed by the submission are summarised below.</w:t>
      </w:r>
    </w:p>
    <w:p w14:paraId="6A66D280" w14:textId="61D2C87E" w:rsidR="00DD76FD" w:rsidRPr="00E74297" w:rsidRDefault="00DD76FD" w:rsidP="00DD76FD">
      <w:pPr>
        <w:pStyle w:val="TableFigureHeading"/>
        <w:rPr>
          <w:rStyle w:val="CommentReference"/>
          <w:b/>
          <w:szCs w:val="24"/>
        </w:rPr>
      </w:pPr>
      <w:r w:rsidRPr="00E74297">
        <w:t xml:space="preserve">Table </w:t>
      </w:r>
      <w:fldSimple w:instr=" SEQ Table \* ARABIC " w:fldLock="1">
        <w:r w:rsidR="00AE1DC7" w:rsidRPr="00E74297">
          <w:t>1</w:t>
        </w:r>
      </w:fldSimple>
      <w:r w:rsidRPr="00E74297">
        <w:t>:</w:t>
      </w:r>
      <w:r w:rsidRPr="00E74297">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351"/>
      </w:tblGrid>
      <w:tr w:rsidR="00DD76FD" w:rsidRPr="00E74297" w14:paraId="1DC3455F" w14:textId="77777777" w:rsidTr="00863348">
        <w:trPr>
          <w:cantSplit/>
          <w:tblHeader/>
        </w:trPr>
        <w:tc>
          <w:tcPr>
            <w:tcW w:w="924" w:type="pct"/>
            <w:shd w:val="clear" w:color="auto" w:fill="auto"/>
          </w:tcPr>
          <w:p w14:paraId="05A66CF1" w14:textId="77777777" w:rsidR="00DD76FD" w:rsidRPr="00E74297" w:rsidRDefault="00DD76FD" w:rsidP="00863348">
            <w:pPr>
              <w:pStyle w:val="In-tableHeading"/>
              <w:rPr>
                <w:szCs w:val="20"/>
                <w:lang w:val="en-AU"/>
              </w:rPr>
            </w:pPr>
            <w:r w:rsidRPr="00E74297">
              <w:rPr>
                <w:lang w:val="en-AU"/>
              </w:rPr>
              <w:t>Component</w:t>
            </w:r>
          </w:p>
        </w:tc>
        <w:tc>
          <w:tcPr>
            <w:tcW w:w="4076" w:type="pct"/>
            <w:shd w:val="clear" w:color="auto" w:fill="auto"/>
          </w:tcPr>
          <w:p w14:paraId="5CAE175D" w14:textId="77777777" w:rsidR="00DD76FD" w:rsidRPr="00E74297" w:rsidRDefault="00DD76FD" w:rsidP="00863348">
            <w:pPr>
              <w:pStyle w:val="In-tableHeading"/>
              <w:rPr>
                <w:szCs w:val="20"/>
                <w:lang w:val="en-AU"/>
              </w:rPr>
            </w:pPr>
            <w:r w:rsidRPr="00E74297">
              <w:rPr>
                <w:szCs w:val="20"/>
                <w:lang w:val="en-AU"/>
              </w:rPr>
              <w:t>Description</w:t>
            </w:r>
          </w:p>
        </w:tc>
      </w:tr>
      <w:tr w:rsidR="00DD76FD" w:rsidRPr="00E74297" w14:paraId="30BEDB56" w14:textId="77777777" w:rsidTr="00863348">
        <w:trPr>
          <w:cantSplit/>
        </w:trPr>
        <w:tc>
          <w:tcPr>
            <w:tcW w:w="924" w:type="pct"/>
            <w:shd w:val="clear" w:color="auto" w:fill="auto"/>
          </w:tcPr>
          <w:p w14:paraId="67490748" w14:textId="77777777" w:rsidR="00DD76FD" w:rsidRPr="00E74297" w:rsidRDefault="00DD76FD" w:rsidP="00863348">
            <w:pPr>
              <w:pStyle w:val="TableText0"/>
            </w:pPr>
            <w:r w:rsidRPr="00E74297">
              <w:t>Population</w:t>
            </w:r>
          </w:p>
        </w:tc>
        <w:tc>
          <w:tcPr>
            <w:tcW w:w="4076" w:type="pct"/>
            <w:shd w:val="clear" w:color="auto" w:fill="auto"/>
            <w:vAlign w:val="center"/>
          </w:tcPr>
          <w:p w14:paraId="77A930B7" w14:textId="77777777" w:rsidR="00DD76FD" w:rsidRPr="00E74297" w:rsidRDefault="00DD76FD" w:rsidP="00863348">
            <w:pPr>
              <w:pStyle w:val="TableText0"/>
              <w:rPr>
                <w:szCs w:val="20"/>
              </w:rPr>
            </w:pPr>
            <w:r w:rsidRPr="00E74297">
              <w:rPr>
                <w:rFonts w:cstheme="minorHAnsi"/>
                <w:szCs w:val="20"/>
              </w:rPr>
              <w:t>Treatment of patients with unresectable locally advanced or metastatic hormone receptive positive (HR+), human epidermal growth factor receptor 2 negative (HER2-) breast cancer, who have previously received at least 2 systemic therapies, one of which may have been in the neoadjuvant/adjuvant setting</w:t>
            </w:r>
          </w:p>
        </w:tc>
      </w:tr>
      <w:tr w:rsidR="00DD76FD" w:rsidRPr="00E74297" w14:paraId="31760943" w14:textId="77777777" w:rsidTr="00863348">
        <w:trPr>
          <w:cantSplit/>
        </w:trPr>
        <w:tc>
          <w:tcPr>
            <w:tcW w:w="924" w:type="pct"/>
            <w:shd w:val="clear" w:color="auto" w:fill="auto"/>
          </w:tcPr>
          <w:p w14:paraId="24F139A7" w14:textId="77777777" w:rsidR="00DD76FD" w:rsidRPr="00E74297" w:rsidRDefault="00DD76FD" w:rsidP="00863348">
            <w:pPr>
              <w:pStyle w:val="TableText0"/>
            </w:pPr>
            <w:r w:rsidRPr="00E74297">
              <w:t>Intervention</w:t>
            </w:r>
          </w:p>
        </w:tc>
        <w:tc>
          <w:tcPr>
            <w:tcW w:w="4076" w:type="pct"/>
            <w:shd w:val="clear" w:color="auto" w:fill="auto"/>
          </w:tcPr>
          <w:p w14:paraId="553D731D" w14:textId="77777777" w:rsidR="00DD76FD" w:rsidRPr="00E74297" w:rsidRDefault="00DD76FD" w:rsidP="00863348">
            <w:pPr>
              <w:pStyle w:val="TableText0"/>
              <w:rPr>
                <w:szCs w:val="20"/>
              </w:rPr>
            </w:pPr>
            <w:r w:rsidRPr="00E74297">
              <w:rPr>
                <w:rFonts w:cstheme="minorHAnsi"/>
                <w:szCs w:val="20"/>
              </w:rPr>
              <w:t>Sacituzumab govitecan (SG; TRODELVY®)</w:t>
            </w:r>
          </w:p>
        </w:tc>
      </w:tr>
      <w:tr w:rsidR="00DD76FD" w:rsidRPr="00E74297" w14:paraId="3DA08576" w14:textId="77777777" w:rsidTr="00863348">
        <w:trPr>
          <w:cantSplit/>
        </w:trPr>
        <w:tc>
          <w:tcPr>
            <w:tcW w:w="924" w:type="pct"/>
            <w:shd w:val="clear" w:color="auto" w:fill="auto"/>
          </w:tcPr>
          <w:p w14:paraId="184E0E22" w14:textId="77777777" w:rsidR="00DD76FD" w:rsidRPr="00E74297" w:rsidRDefault="00DD76FD" w:rsidP="00863348">
            <w:pPr>
              <w:pStyle w:val="TableText0"/>
            </w:pPr>
            <w:r w:rsidRPr="00E74297">
              <w:t>Comparator</w:t>
            </w:r>
          </w:p>
        </w:tc>
        <w:tc>
          <w:tcPr>
            <w:tcW w:w="4076" w:type="pct"/>
            <w:shd w:val="clear" w:color="auto" w:fill="auto"/>
          </w:tcPr>
          <w:p w14:paraId="0580EA13" w14:textId="20EBB2BA" w:rsidR="00DD76FD" w:rsidRPr="00E74297" w:rsidRDefault="00DD76FD" w:rsidP="00863348">
            <w:pPr>
              <w:pStyle w:val="TableText0"/>
              <w:rPr>
                <w:szCs w:val="20"/>
              </w:rPr>
            </w:pPr>
            <w:r w:rsidRPr="00E74297">
              <w:rPr>
                <w:rFonts w:cstheme="minorHAnsi"/>
                <w:szCs w:val="20"/>
              </w:rPr>
              <w:t>Single-agent treatment of physician’s choice (TPC), consisting of eribulin, capecitabine, gemcitabine or vinorelbine</w:t>
            </w:r>
            <w:r w:rsidR="00AE057C" w:rsidRPr="00E74297">
              <w:rPr>
                <w:rFonts w:cstheme="minorHAnsi"/>
                <w:szCs w:val="20"/>
              </w:rPr>
              <w:t>.</w:t>
            </w:r>
          </w:p>
        </w:tc>
      </w:tr>
      <w:tr w:rsidR="00DD76FD" w:rsidRPr="00E74297" w14:paraId="6ECC6576" w14:textId="77777777" w:rsidTr="00863348">
        <w:trPr>
          <w:cantSplit/>
        </w:trPr>
        <w:tc>
          <w:tcPr>
            <w:tcW w:w="924" w:type="pct"/>
            <w:shd w:val="clear" w:color="auto" w:fill="auto"/>
          </w:tcPr>
          <w:p w14:paraId="522CE04D" w14:textId="77777777" w:rsidR="00DD76FD" w:rsidRPr="00E74297" w:rsidRDefault="00DD76FD" w:rsidP="00863348">
            <w:pPr>
              <w:pStyle w:val="TableText0"/>
            </w:pPr>
            <w:r w:rsidRPr="00E74297">
              <w:t>Outcomes</w:t>
            </w:r>
          </w:p>
        </w:tc>
        <w:tc>
          <w:tcPr>
            <w:tcW w:w="4076" w:type="pct"/>
            <w:shd w:val="clear" w:color="auto" w:fill="auto"/>
          </w:tcPr>
          <w:p w14:paraId="541CA018" w14:textId="77777777" w:rsidR="000E337C" w:rsidRPr="00E74297" w:rsidRDefault="00DD76FD" w:rsidP="005B6CF9">
            <w:pPr>
              <w:pStyle w:val="Tablenormal0"/>
              <w:numPr>
                <w:ilvl w:val="0"/>
                <w:numId w:val="7"/>
              </w:numPr>
              <w:spacing w:before="0" w:after="0" w:line="240" w:lineRule="auto"/>
              <w:ind w:left="452"/>
              <w:rPr>
                <w:rFonts w:ascii="Arial Narrow" w:hAnsi="Arial Narrow" w:cstheme="minorHAnsi"/>
                <w:bCs/>
                <w:sz w:val="20"/>
                <w:szCs w:val="20"/>
              </w:rPr>
            </w:pPr>
            <w:r w:rsidRPr="00E74297">
              <w:rPr>
                <w:rFonts w:ascii="Arial Narrow" w:hAnsi="Arial Narrow" w:cstheme="minorHAnsi"/>
                <w:bCs/>
                <w:sz w:val="20"/>
                <w:szCs w:val="20"/>
                <w:lang w:bidi="en-US"/>
              </w:rPr>
              <w:t>Overall survival</w:t>
            </w:r>
          </w:p>
          <w:p w14:paraId="6D50CD3D" w14:textId="77777777" w:rsidR="000E337C" w:rsidRPr="00E74297" w:rsidRDefault="00DD76FD" w:rsidP="005B6CF9">
            <w:pPr>
              <w:pStyle w:val="Tablenormal0"/>
              <w:numPr>
                <w:ilvl w:val="0"/>
                <w:numId w:val="7"/>
              </w:numPr>
              <w:spacing w:before="0" w:after="0" w:line="240" w:lineRule="auto"/>
              <w:ind w:left="452"/>
              <w:rPr>
                <w:rFonts w:ascii="Arial Narrow" w:hAnsi="Arial Narrow" w:cstheme="minorHAnsi"/>
                <w:bCs/>
                <w:sz w:val="20"/>
                <w:szCs w:val="20"/>
              </w:rPr>
            </w:pPr>
            <w:r w:rsidRPr="00E74297">
              <w:rPr>
                <w:rFonts w:ascii="Arial Narrow" w:hAnsi="Arial Narrow" w:cstheme="minorHAnsi"/>
                <w:bCs/>
                <w:sz w:val="20"/>
                <w:szCs w:val="20"/>
                <w:lang w:bidi="en-US"/>
              </w:rPr>
              <w:t>Progression-free survival</w:t>
            </w:r>
          </w:p>
          <w:p w14:paraId="2A420ACB" w14:textId="77777777" w:rsidR="000E337C" w:rsidRPr="00E74297" w:rsidRDefault="00DD76FD" w:rsidP="005B6CF9">
            <w:pPr>
              <w:pStyle w:val="Tablenormal0"/>
              <w:numPr>
                <w:ilvl w:val="0"/>
                <w:numId w:val="7"/>
              </w:numPr>
              <w:spacing w:before="0" w:after="0" w:line="240" w:lineRule="auto"/>
              <w:ind w:left="452"/>
              <w:rPr>
                <w:rFonts w:ascii="Arial Narrow" w:hAnsi="Arial Narrow" w:cstheme="minorHAnsi"/>
                <w:bCs/>
                <w:sz w:val="20"/>
                <w:szCs w:val="20"/>
              </w:rPr>
            </w:pPr>
            <w:r w:rsidRPr="00E74297">
              <w:rPr>
                <w:rFonts w:ascii="Arial Narrow" w:hAnsi="Arial Narrow" w:cstheme="minorHAnsi"/>
                <w:bCs/>
                <w:sz w:val="20"/>
                <w:szCs w:val="20"/>
              </w:rPr>
              <w:t>Objective response rate</w:t>
            </w:r>
          </w:p>
          <w:p w14:paraId="47CBBFE7" w14:textId="77777777" w:rsidR="000E337C" w:rsidRPr="00E74297" w:rsidRDefault="00DD76FD" w:rsidP="005B6CF9">
            <w:pPr>
              <w:pStyle w:val="Tablenormal0"/>
              <w:numPr>
                <w:ilvl w:val="0"/>
                <w:numId w:val="7"/>
              </w:numPr>
              <w:spacing w:before="0" w:after="0" w:line="240" w:lineRule="auto"/>
              <w:ind w:left="452"/>
              <w:rPr>
                <w:rFonts w:ascii="Arial Narrow" w:hAnsi="Arial Narrow" w:cstheme="minorHAnsi"/>
                <w:bCs/>
                <w:sz w:val="20"/>
                <w:szCs w:val="20"/>
              </w:rPr>
            </w:pPr>
            <w:r w:rsidRPr="00E74297">
              <w:rPr>
                <w:rFonts w:ascii="Arial Narrow" w:hAnsi="Arial Narrow" w:cstheme="minorHAnsi"/>
                <w:bCs/>
                <w:sz w:val="20"/>
                <w:szCs w:val="20"/>
              </w:rPr>
              <w:t>Duration of response</w:t>
            </w:r>
          </w:p>
          <w:p w14:paraId="520E41A8" w14:textId="77777777" w:rsidR="000E337C" w:rsidRPr="00E74297" w:rsidRDefault="00DD76FD" w:rsidP="005B6CF9">
            <w:pPr>
              <w:pStyle w:val="Tablenormal0"/>
              <w:numPr>
                <w:ilvl w:val="0"/>
                <w:numId w:val="7"/>
              </w:numPr>
              <w:spacing w:before="0" w:after="0" w:line="240" w:lineRule="auto"/>
              <w:ind w:left="452"/>
              <w:rPr>
                <w:rFonts w:ascii="Arial Narrow" w:hAnsi="Arial Narrow" w:cstheme="minorHAnsi"/>
                <w:bCs/>
                <w:sz w:val="20"/>
                <w:szCs w:val="20"/>
              </w:rPr>
            </w:pPr>
            <w:r w:rsidRPr="00E74297">
              <w:rPr>
                <w:rFonts w:ascii="Arial Narrow" w:hAnsi="Arial Narrow" w:cstheme="minorHAnsi"/>
                <w:bCs/>
                <w:sz w:val="20"/>
                <w:szCs w:val="20"/>
              </w:rPr>
              <w:t>Time to progression</w:t>
            </w:r>
          </w:p>
          <w:p w14:paraId="123B0F37" w14:textId="77777777" w:rsidR="000E337C" w:rsidRPr="00E74297" w:rsidRDefault="00DD76FD" w:rsidP="005B6CF9">
            <w:pPr>
              <w:pStyle w:val="Tablenormal0"/>
              <w:numPr>
                <w:ilvl w:val="0"/>
                <w:numId w:val="7"/>
              </w:numPr>
              <w:spacing w:before="0" w:after="0" w:line="240" w:lineRule="auto"/>
              <w:ind w:left="452"/>
              <w:rPr>
                <w:rFonts w:ascii="Arial Narrow" w:hAnsi="Arial Narrow" w:cstheme="minorHAnsi"/>
                <w:bCs/>
                <w:sz w:val="20"/>
                <w:szCs w:val="20"/>
              </w:rPr>
            </w:pPr>
            <w:r w:rsidRPr="00E74297">
              <w:rPr>
                <w:rFonts w:ascii="Arial Narrow" w:hAnsi="Arial Narrow" w:cstheme="minorHAnsi"/>
                <w:bCs/>
                <w:sz w:val="20"/>
                <w:szCs w:val="20"/>
                <w:lang w:bidi="en-US"/>
              </w:rPr>
              <w:t>Quality of life</w:t>
            </w:r>
          </w:p>
          <w:p w14:paraId="13B0557D" w14:textId="07F9B901" w:rsidR="00DD76FD" w:rsidRPr="00E74297" w:rsidRDefault="00DD76FD" w:rsidP="005B6CF9">
            <w:pPr>
              <w:pStyle w:val="Tablenormal0"/>
              <w:numPr>
                <w:ilvl w:val="0"/>
                <w:numId w:val="7"/>
              </w:numPr>
              <w:spacing w:before="0" w:after="0" w:line="240" w:lineRule="auto"/>
              <w:ind w:left="452"/>
              <w:rPr>
                <w:rFonts w:ascii="Arial Narrow" w:hAnsi="Arial Narrow" w:cstheme="minorHAnsi"/>
                <w:bCs/>
                <w:sz w:val="20"/>
                <w:szCs w:val="20"/>
              </w:rPr>
            </w:pPr>
            <w:r w:rsidRPr="00E74297">
              <w:rPr>
                <w:rFonts w:ascii="Arial Narrow" w:hAnsi="Arial Narrow" w:cstheme="minorHAnsi"/>
                <w:sz w:val="20"/>
                <w:szCs w:val="20"/>
                <w:lang w:bidi="en-US"/>
              </w:rPr>
              <w:t>Safety</w:t>
            </w:r>
          </w:p>
        </w:tc>
      </w:tr>
      <w:tr w:rsidR="00DD76FD" w:rsidRPr="00E74297" w14:paraId="508D1D2C" w14:textId="77777777" w:rsidTr="00863348">
        <w:trPr>
          <w:cantSplit/>
        </w:trPr>
        <w:tc>
          <w:tcPr>
            <w:tcW w:w="924" w:type="pct"/>
            <w:shd w:val="clear" w:color="auto" w:fill="auto"/>
          </w:tcPr>
          <w:p w14:paraId="325D63E4" w14:textId="77777777" w:rsidR="00DD76FD" w:rsidRPr="00E74297" w:rsidRDefault="00DD76FD" w:rsidP="00863348">
            <w:pPr>
              <w:pStyle w:val="TableText0"/>
            </w:pPr>
            <w:r w:rsidRPr="00E74297">
              <w:t>Clinical claim</w:t>
            </w:r>
          </w:p>
        </w:tc>
        <w:tc>
          <w:tcPr>
            <w:tcW w:w="4076" w:type="pct"/>
            <w:shd w:val="clear" w:color="auto" w:fill="auto"/>
          </w:tcPr>
          <w:p w14:paraId="43CDFDC4" w14:textId="77777777" w:rsidR="00DD76FD" w:rsidRPr="00E74297" w:rsidRDefault="00DD76FD" w:rsidP="00863348">
            <w:pPr>
              <w:pStyle w:val="TableText0"/>
              <w:rPr>
                <w:rFonts w:eastAsia="Times New Roman" w:cs="Arial"/>
                <w:bCs w:val="0"/>
                <w:snapToGrid w:val="0"/>
                <w:color w:val="0066FF"/>
                <w:szCs w:val="20"/>
              </w:rPr>
            </w:pPr>
            <w:r w:rsidRPr="00E74297">
              <w:rPr>
                <w:rFonts w:cstheme="minorHAnsi"/>
                <w:iCs/>
                <w:szCs w:val="20"/>
              </w:rPr>
              <w:t>Sacituzumab govitecan is superior in terms of efficacy with a known and manageable safety profile compared to TPC.</w:t>
            </w:r>
          </w:p>
        </w:tc>
      </w:tr>
    </w:tbl>
    <w:p w14:paraId="50A4FA13" w14:textId="77777777" w:rsidR="00DD76FD" w:rsidRPr="00E74297" w:rsidRDefault="00DD76FD" w:rsidP="00DD76FD">
      <w:pPr>
        <w:pStyle w:val="FooterTableFigure"/>
        <w:rPr>
          <w:sz w:val="20"/>
        </w:rPr>
      </w:pPr>
      <w:r w:rsidRPr="00E74297">
        <w:t>Source: Table 1.1-1, p11 of the submission.</w:t>
      </w:r>
    </w:p>
    <w:p w14:paraId="641A839E" w14:textId="77777777" w:rsidR="00DD76FD" w:rsidRPr="00E74297" w:rsidRDefault="00DD76FD" w:rsidP="00DD76FD">
      <w:pPr>
        <w:pStyle w:val="2-SectionHeading"/>
        <w:numPr>
          <w:ilvl w:val="0"/>
          <w:numId w:val="1"/>
        </w:numPr>
      </w:pPr>
      <w:bookmarkStart w:id="2" w:name="_Toc132638493"/>
      <w:bookmarkStart w:id="3" w:name="_Toc135207376"/>
      <w:r w:rsidRPr="00E74297">
        <w:t>Background</w:t>
      </w:r>
      <w:bookmarkEnd w:id="2"/>
      <w:bookmarkEnd w:id="3"/>
    </w:p>
    <w:p w14:paraId="683820A2" w14:textId="77777777" w:rsidR="00DD76FD" w:rsidRPr="00E74297" w:rsidRDefault="00DD76FD" w:rsidP="00DD76FD">
      <w:pPr>
        <w:pStyle w:val="4-SubsectionHeading"/>
      </w:pPr>
      <w:bookmarkStart w:id="4" w:name="_Toc22897638"/>
      <w:bookmarkStart w:id="5" w:name="_Toc129765509"/>
      <w:bookmarkStart w:id="6" w:name="_Toc132638494"/>
      <w:bookmarkStart w:id="7" w:name="_Toc135207377"/>
      <w:bookmarkStart w:id="8" w:name="_Toc22897639"/>
      <w:r w:rsidRPr="00E74297">
        <w:t>Registration status</w:t>
      </w:r>
      <w:bookmarkEnd w:id="4"/>
      <w:bookmarkEnd w:id="5"/>
      <w:bookmarkEnd w:id="6"/>
      <w:bookmarkEnd w:id="7"/>
    </w:p>
    <w:p w14:paraId="2CF10023" w14:textId="77777777" w:rsidR="000E337C" w:rsidRPr="00E74297" w:rsidRDefault="00EA3DAF" w:rsidP="00D61A44">
      <w:pPr>
        <w:pStyle w:val="3-BodyText"/>
      </w:pPr>
      <w:r w:rsidRPr="00E74297">
        <w:t xml:space="preserve">The TGA evaluation </w:t>
      </w:r>
      <w:r w:rsidR="003A6FC7" w:rsidRPr="00E74297">
        <w:t>has been</w:t>
      </w:r>
      <w:r w:rsidRPr="00E74297">
        <w:t xml:space="preserve"> carried out under the Project Orbis (Type B) Priority Pathway</w:t>
      </w:r>
      <w:r w:rsidR="00571CF9" w:rsidRPr="00E74297">
        <w:t>.</w:t>
      </w:r>
      <w:r w:rsidRPr="00E74297">
        <w:t xml:space="preserve"> The TGA Delegate’s Overview was available at the time of </w:t>
      </w:r>
      <w:r w:rsidR="003A6FC7" w:rsidRPr="00E74297">
        <w:t xml:space="preserve">PBAC </w:t>
      </w:r>
      <w:r w:rsidRPr="00E74297">
        <w:t>consideration.</w:t>
      </w:r>
    </w:p>
    <w:p w14:paraId="13BAB1E1" w14:textId="4BAD4994" w:rsidR="000C50BD" w:rsidRPr="00E74297" w:rsidRDefault="000C50BD" w:rsidP="000C50BD">
      <w:pPr>
        <w:pStyle w:val="3-BodyText"/>
      </w:pPr>
      <w:r w:rsidRPr="00E74297">
        <w:lastRenderedPageBreak/>
        <w:t xml:space="preserve">The Delegate’s Overview noted that while a decision was yet to be made, the Delegate was inclined to approve the registration of SG for </w:t>
      </w:r>
      <w:r w:rsidR="003E1BD4" w:rsidRPr="00E74297">
        <w:t>the treatment of adult patients with unresectable locally advanced or metastatic HR+/HER2- breast cancer who have received endocrine-based therapy and at least two additional systemic therapies in the metastatic setting</w:t>
      </w:r>
      <w:r w:rsidRPr="00E74297">
        <w:t xml:space="preserve"> (Delegate’s Overview May 2023, </w:t>
      </w:r>
      <w:r w:rsidR="003A6FC7" w:rsidRPr="00E74297">
        <w:t>s</w:t>
      </w:r>
      <w:r w:rsidRPr="00E74297">
        <w:t xml:space="preserve">acituzumab </w:t>
      </w:r>
      <w:r w:rsidR="003A6FC7" w:rsidRPr="00E74297">
        <w:t>g</w:t>
      </w:r>
      <w:r w:rsidRPr="00E74297">
        <w:t>ovitecan,). However, the Delegate’s Overview noted several outstanding issues which included:</w:t>
      </w:r>
    </w:p>
    <w:p w14:paraId="7C46CDF1" w14:textId="51EC9D50" w:rsidR="000C50BD" w:rsidRPr="00E74297" w:rsidRDefault="003E1BD4" w:rsidP="005B6CF9">
      <w:pPr>
        <w:pStyle w:val="3-BodyText"/>
        <w:numPr>
          <w:ilvl w:val="0"/>
          <w:numId w:val="10"/>
        </w:numPr>
      </w:pPr>
      <w:r w:rsidRPr="00E74297">
        <w:t xml:space="preserve">The </w:t>
      </w:r>
      <w:r w:rsidR="000C50BD" w:rsidRPr="00E74297">
        <w:t>applicability of the TROPiCS-02 population to the proposed Australian population in terms of age and race ;</w:t>
      </w:r>
    </w:p>
    <w:p w14:paraId="43578226" w14:textId="7D5BEB23" w:rsidR="000C50BD" w:rsidRPr="00E74297" w:rsidRDefault="003E1BD4" w:rsidP="005B6CF9">
      <w:pPr>
        <w:pStyle w:val="3-BodyText"/>
        <w:numPr>
          <w:ilvl w:val="0"/>
          <w:numId w:val="10"/>
        </w:numPr>
      </w:pPr>
      <w:r w:rsidRPr="00E74297">
        <w:t>W</w:t>
      </w:r>
      <w:r w:rsidR="000C50BD" w:rsidRPr="00E74297">
        <w:t>hether the proposed TGA indication would exclude locally advanced breast cancer patients. The proposed indication states that patients must have received at least two additional therapies in the metastatic setting ;</w:t>
      </w:r>
    </w:p>
    <w:p w14:paraId="0F28BF5A" w14:textId="4A589F31" w:rsidR="000C50BD" w:rsidRPr="00E74297" w:rsidRDefault="003E1BD4" w:rsidP="005B6CF9">
      <w:pPr>
        <w:pStyle w:val="3-BodyText"/>
        <w:numPr>
          <w:ilvl w:val="0"/>
          <w:numId w:val="10"/>
        </w:numPr>
      </w:pPr>
      <w:r w:rsidRPr="00E74297">
        <w:t>T</w:t>
      </w:r>
      <w:r w:rsidR="000C50BD" w:rsidRPr="00E74297">
        <w:t>he number of patients in TROPiCS-02 with the PIK3CA mutation ; and</w:t>
      </w:r>
    </w:p>
    <w:p w14:paraId="5C58AF2D" w14:textId="44DFEFD8" w:rsidR="000C50BD" w:rsidRPr="00E74297" w:rsidRDefault="003E1BD4" w:rsidP="005B6CF9">
      <w:pPr>
        <w:pStyle w:val="3-BodyText"/>
        <w:numPr>
          <w:ilvl w:val="0"/>
          <w:numId w:val="10"/>
        </w:numPr>
      </w:pPr>
      <w:r w:rsidRPr="00E74297">
        <w:t>T</w:t>
      </w:r>
      <w:r w:rsidR="000C50BD" w:rsidRPr="00E74297">
        <w:t xml:space="preserve">he appropriateness of time to deterioration for quality of life (QoL) measures given the risk of bias and confounding associated with this outcome </w:t>
      </w:r>
      <w:r w:rsidRPr="00E74297">
        <w:t>.</w:t>
      </w:r>
    </w:p>
    <w:p w14:paraId="4A272D0D" w14:textId="4C360F90" w:rsidR="00EA3DAF" w:rsidRPr="00E74297" w:rsidRDefault="00EA3DAF" w:rsidP="00EA3DAF">
      <w:pPr>
        <w:pStyle w:val="3-BodyText"/>
      </w:pPr>
      <w:bookmarkStart w:id="9" w:name="_Toc107902078"/>
      <w:bookmarkStart w:id="10" w:name="_Toc129765510"/>
      <w:bookmarkStart w:id="11" w:name="_Toc132638495"/>
      <w:bookmarkStart w:id="12" w:name="_Toc135207378"/>
      <w:bookmarkEnd w:id="8"/>
      <w:bookmarkEnd w:id="9"/>
      <w:r w:rsidRPr="00E74297">
        <w:t xml:space="preserve">The </w:t>
      </w:r>
      <w:r w:rsidR="00402FDA" w:rsidRPr="00E74297">
        <w:t>Pre-Sub-Committee Response (</w:t>
      </w:r>
      <w:r w:rsidRPr="00E74297">
        <w:t>PSCR</w:t>
      </w:r>
      <w:r w:rsidR="00402FDA" w:rsidRPr="00E74297">
        <w:t>)</w:t>
      </w:r>
      <w:r w:rsidRPr="00E74297">
        <w:t xml:space="preserve"> stated that the TGA proposed indication had been updated to include the treatment of adult patients with unresectable locally advanced or metastatic hormone receptor (HR)-positive, human epidermal growth factor receptor 2 (HER2)-negative (IHC 0, IHC 1+ or IHC 2+/ISH–) breast cancer who have received endocrine-based therapy and at least two additional systemic therapies in the locally advanced or metastatic setting.</w:t>
      </w:r>
    </w:p>
    <w:p w14:paraId="289DE897" w14:textId="77777777" w:rsidR="00F452C5" w:rsidRPr="00E74297" w:rsidRDefault="00F452C5" w:rsidP="00F452C5">
      <w:pPr>
        <w:ind w:firstLine="720"/>
        <w:rPr>
          <w:i/>
          <w:iCs/>
        </w:rPr>
      </w:pPr>
      <w:bookmarkStart w:id="13" w:name="_Hlk76375324"/>
      <w:r w:rsidRPr="00E74297">
        <w:rPr>
          <w:i/>
          <w:iCs/>
        </w:rPr>
        <w:t>For more detail on PBAC’s view, see section 7 PBAC outcome.</w:t>
      </w:r>
    </w:p>
    <w:bookmarkEnd w:id="13"/>
    <w:p w14:paraId="3C8A754F" w14:textId="676AADF0" w:rsidR="00DD76FD" w:rsidRPr="00E74297" w:rsidRDefault="00DD76FD" w:rsidP="00DD76FD">
      <w:pPr>
        <w:pStyle w:val="2-SectionHeading"/>
        <w:numPr>
          <w:ilvl w:val="0"/>
          <w:numId w:val="1"/>
        </w:numPr>
      </w:pPr>
      <w:r w:rsidRPr="00E74297">
        <w:t>Requested listing</w:t>
      </w:r>
      <w:bookmarkEnd w:id="10"/>
      <w:bookmarkEnd w:id="11"/>
      <w:bookmarkEnd w:id="12"/>
    </w:p>
    <w:p w14:paraId="029FB80B" w14:textId="6AB80C3B" w:rsidR="001F1BF3" w:rsidRPr="00E74297" w:rsidRDefault="001F1BF3" w:rsidP="001F1BF3">
      <w:pPr>
        <w:pStyle w:val="3-BodyText"/>
        <w:rPr>
          <w:rFonts w:eastAsiaTheme="minorHAnsi"/>
          <w:lang w:eastAsia="en-US"/>
        </w:rPr>
      </w:pPr>
      <w:r w:rsidRPr="00E74297">
        <w:t xml:space="preserve">The requested restrictions, with suggested additions in </w:t>
      </w:r>
      <w:r w:rsidRPr="00E74297">
        <w:rPr>
          <w:iCs/>
        </w:rPr>
        <w:t>italics</w:t>
      </w:r>
      <w:r w:rsidRPr="00E74297">
        <w:t xml:space="preserve"> and deletions in strikethrough, are shown below.</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971"/>
        <w:gridCol w:w="2978"/>
        <w:gridCol w:w="1514"/>
        <w:gridCol w:w="2027"/>
      </w:tblGrid>
      <w:tr w:rsidR="005323FE" w:rsidRPr="00E74297" w14:paraId="4AC5A38B" w14:textId="77777777" w:rsidTr="001F1BF3">
        <w:trPr>
          <w:trHeight w:val="20"/>
        </w:trPr>
        <w:tc>
          <w:tcPr>
            <w:tcW w:w="1405" w:type="pct"/>
            <w:gridSpan w:val="2"/>
            <w:vAlign w:val="center"/>
          </w:tcPr>
          <w:p w14:paraId="5C2481CA" w14:textId="77777777" w:rsidR="005323FE" w:rsidRPr="00E74297" w:rsidRDefault="005323FE" w:rsidP="00FD2C45">
            <w:pPr>
              <w:jc w:val="left"/>
              <w:rPr>
                <w:rFonts w:ascii="Arial Narrow" w:eastAsiaTheme="majorEastAsia" w:hAnsi="Arial Narrow" w:cs="Times New Roman"/>
                <w:b/>
                <w:sz w:val="20"/>
              </w:rPr>
            </w:pPr>
            <w:bookmarkStart w:id="14" w:name="_Hlk104809082"/>
            <w:r w:rsidRPr="00E74297">
              <w:rPr>
                <w:rFonts w:ascii="Arial Narrow" w:eastAsiaTheme="majorEastAsia" w:hAnsi="Arial Narrow" w:cs="Times New Roman"/>
                <w:b/>
                <w:sz w:val="20"/>
              </w:rPr>
              <w:t>MEDICINAL PRODUCT</w:t>
            </w:r>
          </w:p>
          <w:p w14:paraId="7F9406B5" w14:textId="77777777" w:rsidR="005323FE" w:rsidRPr="00E74297" w:rsidRDefault="005323FE" w:rsidP="00FD2C45">
            <w:pPr>
              <w:jc w:val="left"/>
              <w:rPr>
                <w:rFonts w:ascii="Arial Narrow" w:eastAsiaTheme="majorEastAsia" w:hAnsi="Arial Narrow" w:cs="Times New Roman"/>
                <w:b/>
                <w:sz w:val="20"/>
              </w:rPr>
            </w:pPr>
            <w:r w:rsidRPr="00E74297">
              <w:rPr>
                <w:rFonts w:ascii="Arial Narrow" w:eastAsiaTheme="majorEastAsia" w:hAnsi="Arial Narrow" w:cs="Times New Roman"/>
                <w:b/>
                <w:sz w:val="20"/>
              </w:rPr>
              <w:t>Form</w:t>
            </w:r>
          </w:p>
        </w:tc>
        <w:tc>
          <w:tcPr>
            <w:tcW w:w="1642" w:type="pct"/>
            <w:vAlign w:val="center"/>
          </w:tcPr>
          <w:p w14:paraId="6CD25645" w14:textId="77777777" w:rsidR="005323FE" w:rsidRPr="00E74297" w:rsidRDefault="005323FE" w:rsidP="00FD2C45">
            <w:pPr>
              <w:jc w:val="center"/>
              <w:rPr>
                <w:rFonts w:ascii="Arial Narrow" w:eastAsiaTheme="majorEastAsia" w:hAnsi="Arial Narrow" w:cs="Times New Roman"/>
                <w:b/>
                <w:sz w:val="20"/>
              </w:rPr>
            </w:pPr>
            <w:r w:rsidRPr="00E74297">
              <w:rPr>
                <w:rFonts w:ascii="Arial Narrow" w:eastAsiaTheme="majorEastAsia" w:hAnsi="Arial Narrow" w:cs="Times New Roman"/>
                <w:b/>
                <w:sz w:val="20"/>
              </w:rPr>
              <w:t>Dispensed Price Max Amount</w:t>
            </w:r>
          </w:p>
        </w:tc>
        <w:tc>
          <w:tcPr>
            <w:tcW w:w="835" w:type="pct"/>
            <w:vAlign w:val="center"/>
          </w:tcPr>
          <w:p w14:paraId="5C449378" w14:textId="77777777" w:rsidR="005323FE" w:rsidRPr="00E74297" w:rsidRDefault="005323FE" w:rsidP="00FD2C45">
            <w:pPr>
              <w:jc w:val="center"/>
              <w:rPr>
                <w:rFonts w:ascii="Arial Narrow" w:eastAsiaTheme="majorEastAsia" w:hAnsi="Arial Narrow" w:cs="Times New Roman"/>
                <w:b/>
                <w:sz w:val="20"/>
              </w:rPr>
            </w:pPr>
            <w:r w:rsidRPr="00E74297">
              <w:rPr>
                <w:rFonts w:ascii="Arial Narrow" w:eastAsiaTheme="majorEastAsia" w:hAnsi="Arial Narrow" w:cs="Times New Roman"/>
                <w:b/>
                <w:sz w:val="20"/>
              </w:rPr>
              <w:t>Max. Amount</w:t>
            </w:r>
          </w:p>
        </w:tc>
        <w:tc>
          <w:tcPr>
            <w:tcW w:w="1118" w:type="pct"/>
            <w:vAlign w:val="center"/>
          </w:tcPr>
          <w:p w14:paraId="4DDA4CEB" w14:textId="77777777" w:rsidR="005323FE" w:rsidRPr="00E74297" w:rsidRDefault="005323FE" w:rsidP="00FD2C45">
            <w:pPr>
              <w:jc w:val="center"/>
              <w:rPr>
                <w:rFonts w:ascii="Arial Narrow" w:eastAsiaTheme="majorEastAsia" w:hAnsi="Arial Narrow" w:cs="Times New Roman"/>
                <w:b/>
                <w:sz w:val="20"/>
              </w:rPr>
            </w:pPr>
            <w:r w:rsidRPr="00E74297">
              <w:rPr>
                <w:rFonts w:ascii="Arial Narrow" w:eastAsiaTheme="majorEastAsia" w:hAnsi="Arial Narrow" w:cs="Times New Roman"/>
                <w:b/>
                <w:sz w:val="20"/>
              </w:rPr>
              <w:t>№.of Rpts</w:t>
            </w:r>
          </w:p>
        </w:tc>
      </w:tr>
      <w:tr w:rsidR="005323FE" w:rsidRPr="00E74297" w14:paraId="0A184A87" w14:textId="77777777" w:rsidTr="001F1BF3">
        <w:trPr>
          <w:trHeight w:val="20"/>
        </w:trPr>
        <w:tc>
          <w:tcPr>
            <w:tcW w:w="1405" w:type="pct"/>
            <w:gridSpan w:val="2"/>
            <w:vAlign w:val="center"/>
          </w:tcPr>
          <w:p w14:paraId="1B1FF2FA" w14:textId="559ECBAC" w:rsidR="005323FE" w:rsidRPr="00E74297" w:rsidRDefault="005323FE" w:rsidP="00FD2C45">
            <w:pPr>
              <w:jc w:val="left"/>
              <w:rPr>
                <w:rFonts w:ascii="Arial Narrow" w:eastAsiaTheme="majorEastAsia" w:hAnsi="Arial Narrow" w:cstheme="majorBidi"/>
                <w:bCs/>
                <w:sz w:val="20"/>
              </w:rPr>
            </w:pPr>
            <w:r w:rsidRPr="00E74297">
              <w:rPr>
                <w:rFonts w:ascii="Arial Narrow" w:eastAsiaTheme="majorEastAsia" w:hAnsi="Arial Narrow" w:cstheme="majorBidi"/>
                <w:bCs/>
                <w:sz w:val="20"/>
              </w:rPr>
              <w:t>SACITIZUMAB GOVITECAN</w:t>
            </w:r>
          </w:p>
          <w:p w14:paraId="33B90E61" w14:textId="3871EA14" w:rsidR="005323FE" w:rsidRPr="00E74297" w:rsidRDefault="006A53F0" w:rsidP="00FD2C45">
            <w:pPr>
              <w:jc w:val="left"/>
              <w:rPr>
                <w:rFonts w:ascii="Arial Narrow" w:eastAsiaTheme="majorEastAsia" w:hAnsi="Arial Narrow" w:cstheme="majorBidi"/>
                <w:bCs/>
                <w:sz w:val="20"/>
              </w:rPr>
            </w:pPr>
            <w:r w:rsidRPr="00E74297">
              <w:rPr>
                <w:rFonts w:ascii="Arial Narrow" w:eastAsiaTheme="majorEastAsia" w:hAnsi="Arial Narrow" w:cstheme="majorBidi"/>
                <w:bCs/>
                <w:sz w:val="20"/>
              </w:rPr>
              <w:t>Injection</w:t>
            </w:r>
            <w:r w:rsidR="005323FE" w:rsidRPr="00E74297">
              <w:rPr>
                <w:rFonts w:ascii="Arial Narrow" w:eastAsiaTheme="majorEastAsia" w:hAnsi="Arial Narrow" w:cstheme="majorBidi"/>
                <w:bCs/>
                <w:sz w:val="20"/>
              </w:rPr>
              <w:t xml:space="preserve"> </w:t>
            </w:r>
          </w:p>
        </w:tc>
        <w:tc>
          <w:tcPr>
            <w:tcW w:w="1642" w:type="pct"/>
            <w:vAlign w:val="center"/>
          </w:tcPr>
          <w:p w14:paraId="5D69637F" w14:textId="77777777" w:rsidR="005323FE" w:rsidRPr="00E74297" w:rsidRDefault="005323FE" w:rsidP="00FD2C45">
            <w:pPr>
              <w:jc w:val="center"/>
              <w:rPr>
                <w:rFonts w:ascii="Arial Narrow" w:eastAsiaTheme="majorEastAsia" w:hAnsi="Arial Narrow" w:cstheme="majorBidi"/>
                <w:bCs/>
                <w:sz w:val="20"/>
                <w:u w:val="single"/>
              </w:rPr>
            </w:pPr>
            <w:r w:rsidRPr="00E74297">
              <w:rPr>
                <w:rFonts w:ascii="Arial Narrow" w:eastAsiaTheme="majorEastAsia" w:hAnsi="Arial Narrow" w:cstheme="majorBidi"/>
                <w:bCs/>
                <w:sz w:val="20"/>
                <w:u w:val="single"/>
              </w:rPr>
              <w:t>Published price</w:t>
            </w:r>
          </w:p>
          <w:p w14:paraId="2F1AEB2F" w14:textId="77777777" w:rsidR="005323FE" w:rsidRPr="00E74297" w:rsidRDefault="005323FE" w:rsidP="00FD2C45">
            <w:pPr>
              <w:jc w:val="center"/>
              <w:rPr>
                <w:rFonts w:ascii="Arial Narrow" w:eastAsiaTheme="majorEastAsia" w:hAnsi="Arial Narrow" w:cstheme="majorBidi"/>
                <w:bCs/>
                <w:sz w:val="20"/>
              </w:rPr>
            </w:pPr>
            <w:r w:rsidRPr="00E74297">
              <w:rPr>
                <w:rFonts w:ascii="Arial Narrow" w:eastAsiaTheme="majorEastAsia" w:hAnsi="Arial Narrow" w:cstheme="majorBidi"/>
                <w:bCs/>
                <w:sz w:val="20"/>
              </w:rPr>
              <w:t>$13,448.38 (public)</w:t>
            </w:r>
          </w:p>
          <w:p w14:paraId="36BD4111" w14:textId="77777777" w:rsidR="005323FE" w:rsidRPr="00E74297" w:rsidRDefault="005323FE" w:rsidP="00FD2C45">
            <w:pPr>
              <w:jc w:val="center"/>
              <w:rPr>
                <w:rFonts w:ascii="Arial Narrow" w:eastAsiaTheme="majorEastAsia" w:hAnsi="Arial Narrow" w:cstheme="majorBidi"/>
                <w:bCs/>
                <w:sz w:val="20"/>
              </w:rPr>
            </w:pPr>
            <w:r w:rsidRPr="00E74297">
              <w:rPr>
                <w:rFonts w:ascii="Arial Narrow" w:eastAsiaTheme="majorEastAsia" w:hAnsi="Arial Narrow" w:cstheme="majorBidi"/>
                <w:bCs/>
                <w:sz w:val="20"/>
              </w:rPr>
              <w:t>$13,667.07 (private)</w:t>
            </w:r>
          </w:p>
          <w:p w14:paraId="1575FE99" w14:textId="77777777" w:rsidR="005323FE" w:rsidRPr="00E74297" w:rsidRDefault="005323FE" w:rsidP="00FD2C45">
            <w:pPr>
              <w:jc w:val="center"/>
              <w:rPr>
                <w:rFonts w:ascii="Arial Narrow" w:eastAsiaTheme="majorEastAsia" w:hAnsi="Arial Narrow" w:cstheme="majorBidi"/>
                <w:bCs/>
                <w:sz w:val="20"/>
                <w:u w:val="single"/>
              </w:rPr>
            </w:pPr>
            <w:r w:rsidRPr="00E74297">
              <w:rPr>
                <w:rFonts w:ascii="Arial Narrow" w:eastAsiaTheme="majorEastAsia" w:hAnsi="Arial Narrow" w:cstheme="majorBidi"/>
                <w:bCs/>
                <w:sz w:val="20"/>
                <w:u w:val="single"/>
              </w:rPr>
              <w:t>Effective price</w:t>
            </w:r>
          </w:p>
          <w:p w14:paraId="6AB4E9C1" w14:textId="78656450" w:rsidR="005323FE" w:rsidRPr="00E74297" w:rsidRDefault="005323FE" w:rsidP="00FD2C45">
            <w:pPr>
              <w:jc w:val="center"/>
              <w:rPr>
                <w:rFonts w:ascii="Arial Narrow" w:eastAsiaTheme="majorEastAsia" w:hAnsi="Arial Narrow" w:cstheme="majorBidi"/>
                <w:bCs/>
                <w:sz w:val="20"/>
              </w:rPr>
            </w:pPr>
            <w:r w:rsidRPr="00E74297">
              <w:rPr>
                <w:rFonts w:ascii="Arial Narrow" w:eastAsiaTheme="majorEastAsia" w:hAnsi="Arial Narrow" w:cstheme="majorBidi"/>
                <w:bCs/>
                <w:sz w:val="20"/>
              </w:rPr>
              <w:t>$</w:t>
            </w:r>
            <w:r w:rsidR="006F55C1" w:rsidRPr="006F55C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E74297">
              <w:rPr>
                <w:rFonts w:ascii="Arial Narrow" w:eastAsiaTheme="majorEastAsia" w:hAnsi="Arial Narrow" w:cstheme="majorBidi"/>
                <w:bCs/>
                <w:sz w:val="20"/>
              </w:rPr>
              <w:t xml:space="preserve"> (public)</w:t>
            </w:r>
          </w:p>
          <w:p w14:paraId="39787777" w14:textId="49C46A25" w:rsidR="005323FE" w:rsidRPr="00E74297" w:rsidRDefault="005323FE" w:rsidP="00FD2C45">
            <w:pPr>
              <w:jc w:val="center"/>
              <w:rPr>
                <w:rFonts w:ascii="Arial Narrow" w:eastAsiaTheme="majorEastAsia" w:hAnsi="Arial Narrow" w:cstheme="majorBidi"/>
                <w:bCs/>
                <w:sz w:val="20"/>
              </w:rPr>
            </w:pPr>
            <w:r w:rsidRPr="00E74297">
              <w:rPr>
                <w:rFonts w:ascii="Arial Narrow" w:eastAsiaTheme="majorEastAsia" w:hAnsi="Arial Narrow" w:cstheme="majorBidi"/>
                <w:bCs/>
                <w:sz w:val="20"/>
              </w:rPr>
              <w:t>$</w:t>
            </w:r>
            <w:r w:rsidR="006F55C1" w:rsidRPr="006F55C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E74297">
              <w:rPr>
                <w:rFonts w:ascii="Arial Narrow" w:eastAsiaTheme="majorEastAsia" w:hAnsi="Arial Narrow" w:cstheme="majorBidi"/>
                <w:bCs/>
                <w:sz w:val="20"/>
              </w:rPr>
              <w:t xml:space="preserve"> (private)</w:t>
            </w:r>
          </w:p>
        </w:tc>
        <w:tc>
          <w:tcPr>
            <w:tcW w:w="835" w:type="pct"/>
            <w:vAlign w:val="center"/>
          </w:tcPr>
          <w:p w14:paraId="5D8BEEB7" w14:textId="052DE5E6" w:rsidR="005323FE" w:rsidRPr="00E74297" w:rsidRDefault="005323FE" w:rsidP="00FD2C45">
            <w:pPr>
              <w:jc w:val="center"/>
              <w:rPr>
                <w:rFonts w:ascii="Arial Narrow" w:eastAsiaTheme="majorEastAsia" w:hAnsi="Arial Narrow" w:cstheme="majorBidi"/>
                <w:bCs/>
                <w:sz w:val="20"/>
              </w:rPr>
            </w:pPr>
            <w:r w:rsidRPr="00E74297">
              <w:rPr>
                <w:rFonts w:ascii="Arial Narrow" w:eastAsiaTheme="majorEastAsia" w:hAnsi="Arial Narrow" w:cstheme="majorBidi"/>
                <w:bCs/>
                <w:strike/>
                <w:sz w:val="20"/>
              </w:rPr>
              <w:t>1,620</w:t>
            </w:r>
            <w:r w:rsidRPr="00E74297">
              <w:rPr>
                <w:rFonts w:ascii="Arial Narrow" w:eastAsiaTheme="majorEastAsia" w:hAnsi="Arial Narrow" w:cstheme="majorBidi"/>
                <w:bCs/>
                <w:sz w:val="20"/>
              </w:rPr>
              <w:t xml:space="preserve"> </w:t>
            </w:r>
            <w:r w:rsidR="006A53F0" w:rsidRPr="00E74297">
              <w:rPr>
                <w:rFonts w:ascii="Arial Narrow" w:eastAsiaTheme="majorEastAsia" w:hAnsi="Arial Narrow" w:cstheme="majorBidi"/>
                <w:bCs/>
                <w:sz w:val="20"/>
              </w:rPr>
              <w:t xml:space="preserve">1,200 </w:t>
            </w:r>
            <w:r w:rsidRPr="00E74297">
              <w:rPr>
                <w:rFonts w:ascii="Arial Narrow" w:eastAsiaTheme="majorEastAsia" w:hAnsi="Arial Narrow" w:cstheme="majorBidi"/>
                <w:bCs/>
                <w:sz w:val="20"/>
              </w:rPr>
              <w:t>mg</w:t>
            </w:r>
          </w:p>
        </w:tc>
        <w:tc>
          <w:tcPr>
            <w:tcW w:w="1118" w:type="pct"/>
            <w:vAlign w:val="center"/>
          </w:tcPr>
          <w:p w14:paraId="5C51BE31" w14:textId="77777777" w:rsidR="005323FE" w:rsidRPr="00E74297" w:rsidRDefault="005323FE" w:rsidP="00FD2C45">
            <w:pPr>
              <w:jc w:val="center"/>
              <w:rPr>
                <w:rFonts w:ascii="Arial Narrow" w:eastAsiaTheme="majorEastAsia" w:hAnsi="Arial Narrow" w:cstheme="majorBidi"/>
                <w:bCs/>
                <w:sz w:val="20"/>
              </w:rPr>
            </w:pPr>
            <w:r w:rsidRPr="00E74297">
              <w:rPr>
                <w:rFonts w:ascii="Arial Narrow" w:eastAsiaTheme="majorEastAsia" w:hAnsi="Arial Narrow" w:cstheme="majorBidi"/>
                <w:bCs/>
                <w:sz w:val="20"/>
              </w:rPr>
              <w:t>7 initial</w:t>
            </w:r>
          </w:p>
          <w:p w14:paraId="46FA443A" w14:textId="77777777" w:rsidR="005323FE" w:rsidRPr="00E74297" w:rsidRDefault="005323FE" w:rsidP="00FD2C45">
            <w:pPr>
              <w:jc w:val="center"/>
              <w:rPr>
                <w:rFonts w:ascii="Arial Narrow" w:eastAsiaTheme="majorEastAsia" w:hAnsi="Arial Narrow" w:cstheme="majorBidi"/>
                <w:bCs/>
                <w:sz w:val="20"/>
              </w:rPr>
            </w:pPr>
            <w:r w:rsidRPr="00E74297">
              <w:rPr>
                <w:rFonts w:ascii="Arial Narrow" w:eastAsiaTheme="majorEastAsia" w:hAnsi="Arial Narrow" w:cstheme="majorBidi"/>
                <w:bCs/>
                <w:sz w:val="20"/>
              </w:rPr>
              <w:t>13 continuing</w:t>
            </w:r>
          </w:p>
        </w:tc>
      </w:tr>
      <w:tr w:rsidR="005323FE" w:rsidRPr="00E74297" w14:paraId="6AC913DE" w14:textId="77777777" w:rsidTr="001F1BF3">
        <w:trPr>
          <w:trHeight w:val="20"/>
        </w:trPr>
        <w:tc>
          <w:tcPr>
            <w:tcW w:w="5000" w:type="pct"/>
            <w:gridSpan w:val="5"/>
            <w:vAlign w:val="center"/>
          </w:tcPr>
          <w:p w14:paraId="60EFCE45" w14:textId="77777777" w:rsidR="005323FE" w:rsidRPr="00E74297" w:rsidRDefault="005323FE" w:rsidP="00FD2C45">
            <w:pPr>
              <w:rPr>
                <w:b/>
              </w:rPr>
            </w:pPr>
            <w:r w:rsidRPr="00E74297">
              <w:rPr>
                <w:rFonts w:ascii="Arial Narrow" w:eastAsiaTheme="majorEastAsia" w:hAnsi="Arial Narrow" w:cs="Times New Roman"/>
                <w:b/>
                <w:sz w:val="20"/>
              </w:rPr>
              <w:t>Available brands</w:t>
            </w:r>
            <w:r w:rsidRPr="00E74297">
              <w:rPr>
                <w:b/>
              </w:rPr>
              <w:t xml:space="preserve"> </w:t>
            </w:r>
          </w:p>
        </w:tc>
      </w:tr>
      <w:tr w:rsidR="005323FE" w:rsidRPr="00E74297" w14:paraId="454CB115" w14:textId="77777777" w:rsidTr="001F1BF3">
        <w:trPr>
          <w:trHeight w:val="20"/>
        </w:trPr>
        <w:tc>
          <w:tcPr>
            <w:tcW w:w="5000" w:type="pct"/>
            <w:gridSpan w:val="5"/>
            <w:vAlign w:val="center"/>
          </w:tcPr>
          <w:p w14:paraId="3F0C0D95" w14:textId="77777777" w:rsidR="005323FE" w:rsidRPr="00E74297" w:rsidRDefault="005323FE" w:rsidP="00FD2C45">
            <w:pPr>
              <w:jc w:val="left"/>
              <w:rPr>
                <w:rFonts w:ascii="Arial Narrow" w:eastAsiaTheme="majorEastAsia" w:hAnsi="Arial Narrow" w:cstheme="majorBidi"/>
                <w:bCs/>
                <w:sz w:val="20"/>
              </w:rPr>
            </w:pPr>
            <w:r w:rsidRPr="00E74297">
              <w:rPr>
                <w:rFonts w:ascii="Arial Narrow" w:eastAsiaTheme="majorEastAsia" w:hAnsi="Arial Narrow" w:cstheme="majorBidi"/>
                <w:bCs/>
                <w:sz w:val="20"/>
              </w:rPr>
              <w:t>Trodelvy</w:t>
            </w:r>
          </w:p>
          <w:p w14:paraId="4C71D030" w14:textId="3BE2A76F" w:rsidR="005323FE" w:rsidRPr="00E74297" w:rsidRDefault="006A53F0" w:rsidP="00FD2C45">
            <w:pPr>
              <w:jc w:val="left"/>
              <w:rPr>
                <w:rFonts w:ascii="Arial Narrow" w:eastAsiaTheme="majorEastAsia" w:hAnsi="Arial Narrow" w:cstheme="majorBidi"/>
                <w:bCs/>
                <w:sz w:val="20"/>
              </w:rPr>
            </w:pPr>
            <w:r w:rsidRPr="00E74297">
              <w:rPr>
                <w:rFonts w:ascii="Arial Narrow" w:hAnsi="Arial Narrow"/>
                <w:sz w:val="20"/>
                <w:szCs w:val="20"/>
              </w:rPr>
              <w:t>(sacituzumab govitecan 180 mg injection, 1 vial)</w:t>
            </w:r>
          </w:p>
        </w:tc>
      </w:tr>
      <w:tr w:rsidR="006A53F0" w:rsidRPr="00E74297" w14:paraId="0E3AFD22" w14:textId="77777777" w:rsidTr="001F1BF3">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DF36A1F" w14:textId="77777777" w:rsidR="006A53F0" w:rsidRPr="00E74297" w:rsidRDefault="006A53F0">
            <w:pPr>
              <w:rPr>
                <w:rFonts w:ascii="Arial Narrow" w:hAnsi="Arial Narrow"/>
                <w:sz w:val="20"/>
                <w:szCs w:val="20"/>
              </w:rPr>
            </w:pPr>
          </w:p>
        </w:tc>
      </w:tr>
      <w:tr w:rsidR="006A53F0" w:rsidRPr="00E74297" w14:paraId="11CAB016" w14:textId="77777777" w:rsidTr="001F1BF3">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80DBAFA" w14:textId="77777777" w:rsidR="006A53F0" w:rsidRPr="00E74297" w:rsidRDefault="006A53F0">
            <w:pPr>
              <w:rPr>
                <w:rFonts w:ascii="Arial Narrow" w:hAnsi="Arial Narrow"/>
                <w:sz w:val="20"/>
                <w:szCs w:val="20"/>
              </w:rPr>
            </w:pPr>
            <w:r w:rsidRPr="00E74297">
              <w:rPr>
                <w:rFonts w:ascii="Arial Narrow" w:hAnsi="Arial Narrow"/>
                <w:b/>
                <w:sz w:val="20"/>
                <w:szCs w:val="20"/>
              </w:rPr>
              <w:t xml:space="preserve">Restriction Summary [new] / Treatment of Concept: [new] </w:t>
            </w:r>
          </w:p>
        </w:tc>
      </w:tr>
      <w:tr w:rsidR="006A53F0" w:rsidRPr="00E74297" w14:paraId="3B4B3809" w14:textId="77777777" w:rsidTr="001F1BF3">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CE5145E" w14:textId="77777777" w:rsidR="006A53F0" w:rsidRPr="00E74297" w:rsidRDefault="006A53F0">
            <w:pPr>
              <w:rPr>
                <w:rFonts w:ascii="Arial Narrow" w:hAnsi="Arial Narrow"/>
                <w:sz w:val="20"/>
                <w:szCs w:val="20"/>
              </w:rPr>
            </w:pPr>
            <w:r w:rsidRPr="00E74297">
              <w:rPr>
                <w:rFonts w:ascii="Arial Narrow" w:hAnsi="Arial Narrow"/>
                <w:b/>
                <w:sz w:val="20"/>
                <w:szCs w:val="20"/>
              </w:rPr>
              <w:t xml:space="preserve">Category / Program: </w:t>
            </w:r>
            <w:r w:rsidRPr="00E74297">
              <w:rPr>
                <w:rFonts w:ascii="Arial Narrow" w:hAnsi="Arial Narrow"/>
                <w:sz w:val="20"/>
                <w:szCs w:val="20"/>
              </w:rPr>
              <w:t xml:space="preserve">Section 100 – Efficient Funding of Chemotherapy Public/Private hospitals </w:t>
            </w:r>
          </w:p>
        </w:tc>
      </w:tr>
      <w:tr w:rsidR="006A53F0" w:rsidRPr="00E74297" w14:paraId="26E2D27E" w14:textId="77777777" w:rsidTr="001F1BF3">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6DF7D9D" w14:textId="77777777" w:rsidR="006A53F0" w:rsidRPr="00E74297" w:rsidRDefault="006A53F0">
            <w:pPr>
              <w:rPr>
                <w:rFonts w:ascii="Arial Narrow" w:hAnsi="Arial Narrow"/>
                <w:b/>
                <w:sz w:val="20"/>
                <w:szCs w:val="20"/>
              </w:rPr>
            </w:pPr>
            <w:r w:rsidRPr="00E74297">
              <w:rPr>
                <w:rFonts w:ascii="Arial Narrow" w:hAnsi="Arial Narrow"/>
                <w:b/>
                <w:sz w:val="20"/>
                <w:szCs w:val="20"/>
              </w:rPr>
              <w:t xml:space="preserve">Prescriber type: </w:t>
            </w:r>
            <w:r w:rsidRPr="00E74297">
              <w:rPr>
                <w:rFonts w:ascii="Arial Narrow" w:hAnsi="Arial Narrow"/>
                <w:sz w:val="20"/>
                <w:szCs w:val="20"/>
              </w:rPr>
              <w:fldChar w:fldCharType="begin" w:fldLock="1">
                <w:ffData>
                  <w:name w:val=""/>
                  <w:enabled/>
                  <w:calcOnExit w:val="0"/>
                  <w:checkBox>
                    <w:sizeAuto/>
                    <w:default w:val="1"/>
                  </w:checkBox>
                </w:ffData>
              </w:fldChar>
            </w:r>
            <w:r w:rsidRPr="00E74297">
              <w:rPr>
                <w:rFonts w:ascii="Arial Narrow" w:hAnsi="Arial Narrow"/>
                <w:sz w:val="20"/>
                <w:szCs w:val="20"/>
              </w:rPr>
              <w:instrText xml:space="preserve"> FORMCHECKBOX </w:instrText>
            </w:r>
            <w:r w:rsidR="00CE4721">
              <w:rPr>
                <w:rFonts w:ascii="Arial Narrow" w:hAnsi="Arial Narrow"/>
                <w:sz w:val="20"/>
                <w:szCs w:val="20"/>
              </w:rPr>
            </w:r>
            <w:r w:rsidR="00CE4721">
              <w:rPr>
                <w:rFonts w:ascii="Arial Narrow" w:hAnsi="Arial Narrow"/>
                <w:sz w:val="20"/>
                <w:szCs w:val="20"/>
              </w:rPr>
              <w:fldChar w:fldCharType="separate"/>
            </w:r>
            <w:r w:rsidRPr="00E74297">
              <w:rPr>
                <w:rFonts w:ascii="Arial Narrow" w:hAnsi="Arial Narrow"/>
                <w:sz w:val="20"/>
                <w:szCs w:val="20"/>
              </w:rPr>
              <w:fldChar w:fldCharType="end"/>
            </w:r>
            <w:r w:rsidRPr="00E74297">
              <w:rPr>
                <w:rFonts w:ascii="Arial Narrow" w:hAnsi="Arial Narrow"/>
                <w:sz w:val="20"/>
                <w:szCs w:val="20"/>
              </w:rPr>
              <w:t xml:space="preserve">Medical Practitioners </w:t>
            </w:r>
          </w:p>
        </w:tc>
      </w:tr>
      <w:tr w:rsidR="006A53F0" w:rsidRPr="00E74297" w14:paraId="253A344C" w14:textId="77777777" w:rsidTr="001F1BF3">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4B0FF2D" w14:textId="7D3C1C0A" w:rsidR="006A53F0" w:rsidRPr="00E74297" w:rsidRDefault="006A53F0">
            <w:pPr>
              <w:rPr>
                <w:rFonts w:ascii="Arial Narrow" w:eastAsia="Calibri" w:hAnsi="Arial Narrow"/>
                <w:sz w:val="20"/>
                <w:szCs w:val="20"/>
              </w:rPr>
            </w:pPr>
            <w:r w:rsidRPr="00E74297">
              <w:rPr>
                <w:rFonts w:ascii="Arial Narrow" w:hAnsi="Arial Narrow"/>
                <w:b/>
                <w:sz w:val="20"/>
                <w:szCs w:val="20"/>
              </w:rPr>
              <w:t xml:space="preserve">Restriction type: </w:t>
            </w:r>
            <w:r w:rsidRPr="00E74297">
              <w:rPr>
                <w:rFonts w:ascii="Arial Narrow" w:eastAsia="Calibri" w:hAnsi="Arial Narrow"/>
                <w:sz w:val="20"/>
                <w:szCs w:val="20"/>
              </w:rPr>
              <w:fldChar w:fldCharType="begin" w:fldLock="1">
                <w:ffData>
                  <w:name w:val=""/>
                  <w:enabled/>
                  <w:calcOnExit w:val="0"/>
                  <w:checkBox>
                    <w:sizeAuto/>
                    <w:default w:val="1"/>
                  </w:checkBox>
                </w:ffData>
              </w:fldChar>
            </w:r>
            <w:r w:rsidRPr="00E74297">
              <w:rPr>
                <w:rFonts w:ascii="Arial Narrow" w:eastAsia="Calibri" w:hAnsi="Arial Narrow"/>
                <w:sz w:val="20"/>
                <w:szCs w:val="20"/>
              </w:rPr>
              <w:instrText xml:space="preserve"> FORMCHECKBOX </w:instrText>
            </w:r>
            <w:r w:rsidR="00CE4721">
              <w:rPr>
                <w:rFonts w:ascii="Arial Narrow" w:eastAsia="Calibri" w:hAnsi="Arial Narrow"/>
                <w:sz w:val="20"/>
                <w:szCs w:val="20"/>
              </w:rPr>
            </w:r>
            <w:r w:rsidR="00CE4721">
              <w:rPr>
                <w:rFonts w:ascii="Arial Narrow" w:eastAsia="Calibri" w:hAnsi="Arial Narrow"/>
                <w:sz w:val="20"/>
                <w:szCs w:val="20"/>
              </w:rPr>
              <w:fldChar w:fldCharType="separate"/>
            </w:r>
            <w:r w:rsidRPr="00E74297">
              <w:rPr>
                <w:rFonts w:ascii="Arial Narrow" w:eastAsia="Calibri" w:hAnsi="Arial Narrow"/>
                <w:sz w:val="20"/>
                <w:szCs w:val="20"/>
              </w:rPr>
              <w:fldChar w:fldCharType="end"/>
            </w:r>
            <w:r w:rsidRPr="00E74297">
              <w:rPr>
                <w:rFonts w:ascii="Arial Narrow" w:eastAsia="Calibri" w:hAnsi="Arial Narrow"/>
                <w:sz w:val="20"/>
                <w:szCs w:val="20"/>
              </w:rPr>
              <w:t>Authority Required (STREAMLINED)</w:t>
            </w:r>
            <w:r w:rsidR="000F4A53" w:rsidRPr="00E74297">
              <w:rPr>
                <w:rFonts w:ascii="Arial Narrow" w:eastAsia="Calibri" w:hAnsi="Arial Narrow"/>
                <w:sz w:val="20"/>
                <w:szCs w:val="20"/>
              </w:rPr>
              <w:t xml:space="preserve"> </w:t>
            </w:r>
          </w:p>
        </w:tc>
      </w:tr>
      <w:tr w:rsidR="006A53F0" w:rsidRPr="00E74297" w14:paraId="0EE18AF1" w14:textId="77777777" w:rsidTr="001F1BF3">
        <w:tblPrEx>
          <w:tblLook w:val="04A0" w:firstRow="1" w:lastRow="0" w:firstColumn="1" w:lastColumn="0" w:noHBand="0" w:noVBand="1"/>
        </w:tblPrEx>
        <w:trPr>
          <w:trHeight w:val="20"/>
        </w:trPr>
        <w:tc>
          <w:tcPr>
            <w:tcW w:w="318" w:type="pct"/>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extDirection w:val="btLr"/>
            <w:vAlign w:val="center"/>
            <w:hideMark/>
          </w:tcPr>
          <w:p w14:paraId="44F4FE02" w14:textId="77777777" w:rsidR="006A53F0" w:rsidRPr="00E74297" w:rsidRDefault="006A53F0">
            <w:pPr>
              <w:ind w:right="113"/>
              <w:jc w:val="center"/>
              <w:rPr>
                <w:rFonts w:ascii="Arial Narrow" w:eastAsia="Times New Roman" w:hAnsi="Arial Narrow" w:cs="Times New Roman"/>
                <w:sz w:val="20"/>
                <w:szCs w:val="20"/>
              </w:rPr>
            </w:pPr>
            <w:r w:rsidRPr="00E74297">
              <w:rPr>
                <w:rFonts w:ascii="Arial Narrow" w:eastAsia="Times New Roman" w:hAnsi="Arial Narrow"/>
                <w:sz w:val="20"/>
                <w:szCs w:val="20"/>
              </w:rPr>
              <w:t>Prescribing rule level</w:t>
            </w:r>
          </w:p>
        </w:tc>
        <w:tc>
          <w:tcPr>
            <w:tcW w:w="4682" w:type="pct"/>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7B110E2" w14:textId="77777777" w:rsidR="006A53F0" w:rsidRPr="00E74297" w:rsidRDefault="006A53F0">
            <w:pPr>
              <w:rPr>
                <w:rFonts w:ascii="Arial Narrow" w:eastAsia="Times New Roman" w:hAnsi="Arial Narrow"/>
                <w:sz w:val="20"/>
                <w:szCs w:val="20"/>
              </w:rPr>
            </w:pPr>
            <w:r w:rsidRPr="00E74297">
              <w:rPr>
                <w:rFonts w:ascii="Arial Narrow" w:eastAsia="Times New Roman" w:hAnsi="Arial Narrow"/>
                <w:b/>
                <w:bCs/>
                <w:sz w:val="20"/>
                <w:szCs w:val="20"/>
              </w:rPr>
              <w:t xml:space="preserve">Administrative Advice: </w:t>
            </w:r>
            <w:r w:rsidRPr="00E74297">
              <w:rPr>
                <w:rFonts w:ascii="Arial Narrow" w:hAnsi="Arial Narrow"/>
                <w:sz w:val="20"/>
                <w:szCs w:val="20"/>
              </w:rPr>
              <w:t>Special Pricing Arrangements apply.</w:t>
            </w:r>
          </w:p>
        </w:tc>
      </w:tr>
      <w:tr w:rsidR="006A53F0" w:rsidRPr="00E74297" w14:paraId="1BEAC816" w14:textId="77777777" w:rsidTr="001F1BF3">
        <w:tblPrEx>
          <w:tblLook w:val="04A0" w:firstRow="1" w:lastRow="0" w:firstColumn="1" w:lastColumn="0" w:noHBand="0" w:noVBand="1"/>
        </w:tblPrEx>
        <w:trPr>
          <w:trHeight w:val="20"/>
        </w:trPr>
        <w:tc>
          <w:tcPr>
            <w:tcW w:w="318" w:type="pct"/>
            <w:vMerge/>
            <w:tcBorders>
              <w:top w:val="single" w:sz="4" w:space="0" w:color="auto"/>
              <w:left w:val="single" w:sz="4" w:space="0" w:color="auto"/>
              <w:bottom w:val="single" w:sz="4" w:space="0" w:color="auto"/>
              <w:right w:val="single" w:sz="4" w:space="0" w:color="auto"/>
            </w:tcBorders>
            <w:vAlign w:val="center"/>
            <w:hideMark/>
          </w:tcPr>
          <w:p w14:paraId="7D9BF50C" w14:textId="77777777" w:rsidR="006A53F0" w:rsidRPr="00E74297" w:rsidRDefault="006A53F0">
            <w:pPr>
              <w:jc w:val="left"/>
              <w:rPr>
                <w:rFonts w:ascii="Arial Narrow" w:eastAsia="Times New Roman" w:hAnsi="Arial Narrow" w:cs="Times New Roman"/>
                <w:sz w:val="20"/>
                <w:szCs w:val="20"/>
              </w:rPr>
            </w:pPr>
          </w:p>
        </w:tc>
        <w:tc>
          <w:tcPr>
            <w:tcW w:w="4682" w:type="pct"/>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58B37F" w14:textId="77777777" w:rsidR="006A53F0" w:rsidRPr="00E74297" w:rsidRDefault="006A53F0">
            <w:pPr>
              <w:pStyle w:val="TableText0"/>
              <w:keepNext w:val="0"/>
              <w:spacing w:line="254" w:lineRule="auto"/>
              <w:rPr>
                <w:bCs w:val="0"/>
                <w:strike/>
                <w:szCs w:val="20"/>
                <w:lang w:eastAsia="en-US"/>
              </w:rPr>
            </w:pPr>
            <w:r w:rsidRPr="00E74297">
              <w:rPr>
                <w:rFonts w:eastAsia="Times New Roman"/>
                <w:b/>
                <w:strike/>
                <w:szCs w:val="20"/>
                <w:lang w:eastAsia="en-US"/>
              </w:rPr>
              <w:t>Administrative Advice:</w:t>
            </w:r>
            <w:r w:rsidRPr="00E74297">
              <w:rPr>
                <w:rFonts w:eastAsia="Times New Roman"/>
                <w:b/>
                <w:bCs w:val="0"/>
                <w:strike/>
                <w:szCs w:val="20"/>
                <w:lang w:eastAsia="en-US"/>
              </w:rPr>
              <w:t xml:space="preserve"> </w:t>
            </w:r>
            <w:r w:rsidRPr="00E74297">
              <w:rPr>
                <w:bCs w:val="0"/>
                <w:strike/>
                <w:szCs w:val="20"/>
                <w:lang w:eastAsia="en-US"/>
              </w:rPr>
              <w:t>No increase in the maximum quantity or number of units may be authorised.</w:t>
            </w:r>
          </w:p>
        </w:tc>
      </w:tr>
      <w:tr w:rsidR="006A53F0" w:rsidRPr="00E74297" w14:paraId="1D47C5D0" w14:textId="77777777" w:rsidTr="001F1BF3">
        <w:tblPrEx>
          <w:tblLook w:val="04A0" w:firstRow="1" w:lastRow="0" w:firstColumn="1" w:lastColumn="0" w:noHBand="0" w:noVBand="1"/>
        </w:tblPrEx>
        <w:trPr>
          <w:trHeight w:val="20"/>
        </w:trPr>
        <w:tc>
          <w:tcPr>
            <w:tcW w:w="318" w:type="pct"/>
            <w:vMerge/>
            <w:tcBorders>
              <w:top w:val="single" w:sz="4" w:space="0" w:color="auto"/>
              <w:left w:val="single" w:sz="4" w:space="0" w:color="auto"/>
              <w:bottom w:val="single" w:sz="4" w:space="0" w:color="auto"/>
              <w:right w:val="single" w:sz="4" w:space="0" w:color="auto"/>
            </w:tcBorders>
            <w:vAlign w:val="center"/>
            <w:hideMark/>
          </w:tcPr>
          <w:p w14:paraId="190AA945" w14:textId="77777777" w:rsidR="006A53F0" w:rsidRPr="00E74297" w:rsidRDefault="006A53F0">
            <w:pPr>
              <w:jc w:val="left"/>
              <w:rPr>
                <w:rFonts w:ascii="Arial Narrow" w:eastAsia="Times New Roman" w:hAnsi="Arial Narrow" w:cs="Times New Roman"/>
                <w:sz w:val="20"/>
                <w:szCs w:val="20"/>
              </w:rPr>
            </w:pPr>
          </w:p>
        </w:tc>
        <w:tc>
          <w:tcPr>
            <w:tcW w:w="4682" w:type="pct"/>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DF78F77" w14:textId="77777777" w:rsidR="006A53F0" w:rsidRPr="00E74297" w:rsidRDefault="006A53F0">
            <w:pPr>
              <w:rPr>
                <w:rFonts w:ascii="Arial Narrow" w:eastAsia="Times New Roman" w:hAnsi="Arial Narrow"/>
                <w:b/>
                <w:bCs/>
                <w:sz w:val="20"/>
                <w:szCs w:val="20"/>
              </w:rPr>
            </w:pPr>
            <w:r w:rsidRPr="00E74297">
              <w:rPr>
                <w:rFonts w:ascii="Arial Narrow" w:eastAsia="Times New Roman" w:hAnsi="Arial Narrow"/>
                <w:b/>
                <w:bCs/>
                <w:sz w:val="20"/>
                <w:szCs w:val="20"/>
              </w:rPr>
              <w:t>Administrative Advice</w:t>
            </w:r>
            <w:r w:rsidRPr="00E74297">
              <w:rPr>
                <w:rFonts w:ascii="Arial Narrow" w:eastAsiaTheme="majorEastAsia" w:hAnsi="Arial Narrow" w:cstheme="majorBidi"/>
                <w:b/>
                <w:bCs/>
                <w:sz w:val="20"/>
                <w:szCs w:val="20"/>
              </w:rPr>
              <w:t xml:space="preserve">: </w:t>
            </w:r>
            <w:r w:rsidRPr="00E74297">
              <w:rPr>
                <w:rFonts w:ascii="Arial Narrow" w:eastAsiaTheme="majorEastAsia" w:hAnsi="Arial Narrow" w:cstheme="majorBidi"/>
                <w:sz w:val="20"/>
                <w:szCs w:val="20"/>
              </w:rPr>
              <w:t>No increase in the maximum number of repeats may be authorised.</w:t>
            </w:r>
          </w:p>
        </w:tc>
      </w:tr>
      <w:tr w:rsidR="001F1BF3" w:rsidRPr="00E74297" w14:paraId="51FF250C" w14:textId="77777777" w:rsidTr="001F1BF3">
        <w:tblPrEx>
          <w:tblLook w:val="04A0" w:firstRow="1" w:lastRow="0" w:firstColumn="1" w:lastColumn="0" w:noHBand="0" w:noVBand="1"/>
        </w:tblPrEx>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227F56E" w14:textId="6805CDCF" w:rsidR="001F1BF3" w:rsidRPr="00E74297" w:rsidRDefault="001F1BF3">
            <w:pPr>
              <w:rPr>
                <w:rFonts w:ascii="Arial Narrow" w:eastAsia="Times New Roman" w:hAnsi="Arial Narrow"/>
                <w:b/>
                <w:bCs/>
                <w:sz w:val="20"/>
                <w:szCs w:val="20"/>
              </w:rPr>
            </w:pPr>
            <w:r w:rsidRPr="00E74297">
              <w:rPr>
                <w:rFonts w:ascii="Arial Narrow" w:eastAsiaTheme="majorEastAsia" w:hAnsi="Arial Narrow" w:cstheme="majorBidi"/>
                <w:b/>
                <w:bCs/>
                <w:i/>
                <w:iCs/>
                <w:sz w:val="20"/>
                <w:szCs w:val="20"/>
              </w:rPr>
              <w:t>Caution</w:t>
            </w:r>
            <w:r w:rsidRPr="00E74297">
              <w:rPr>
                <w:rFonts w:ascii="Arial Narrow" w:eastAsiaTheme="majorEastAsia" w:hAnsi="Arial Narrow" w:cstheme="majorBidi"/>
                <w:i/>
                <w:iCs/>
                <w:sz w:val="20"/>
                <w:szCs w:val="20"/>
              </w:rPr>
              <w:t>: This medicine contains a cytotoxic component and causes chemotherapy-like toxicity, in particular, it can cause severe or life-threatening neutropenia and severe diarrhoea. For further information, refer to the Product Information.</w:t>
            </w:r>
          </w:p>
        </w:tc>
      </w:tr>
      <w:tr w:rsidR="006A53F0" w:rsidRPr="00E74297" w14:paraId="7138E6AB" w14:textId="77777777" w:rsidTr="001F1BF3">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45B64DA" w14:textId="77777777" w:rsidR="006A53F0" w:rsidRPr="00E74297" w:rsidRDefault="006A53F0">
            <w:pPr>
              <w:rPr>
                <w:rFonts w:ascii="Arial Narrow" w:eastAsia="Times New Roman" w:hAnsi="Arial Narrow"/>
                <w:b/>
                <w:bCs/>
                <w:i/>
                <w:iCs/>
                <w:sz w:val="20"/>
                <w:szCs w:val="20"/>
              </w:rPr>
            </w:pPr>
            <w:r w:rsidRPr="00E74297">
              <w:rPr>
                <w:rFonts w:ascii="Arial Narrow" w:eastAsia="Times New Roman" w:hAnsi="Arial Narrow"/>
                <w:b/>
                <w:bCs/>
                <w:i/>
                <w:iCs/>
                <w:sz w:val="20"/>
                <w:szCs w:val="20"/>
              </w:rPr>
              <w:t xml:space="preserve">Severity: </w:t>
            </w:r>
            <w:r w:rsidRPr="00E74297">
              <w:rPr>
                <w:rFonts w:ascii="Arial Narrow" w:eastAsiaTheme="majorEastAsia" w:hAnsi="Arial Narrow" w:cstheme="majorBidi"/>
                <w:i/>
                <w:iCs/>
                <w:sz w:val="20"/>
                <w:szCs w:val="20"/>
              </w:rPr>
              <w:t>Unresectable locally advanced or metastatic</w:t>
            </w:r>
          </w:p>
        </w:tc>
      </w:tr>
      <w:tr w:rsidR="006A53F0" w:rsidRPr="00E74297" w14:paraId="0ACDCF72" w14:textId="77777777" w:rsidTr="001F1BF3">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47BC1FD" w14:textId="77777777" w:rsidR="006A53F0" w:rsidRPr="00E74297" w:rsidRDefault="006A53F0">
            <w:pPr>
              <w:rPr>
                <w:rFonts w:ascii="Arial Narrow" w:eastAsia="Times New Roman" w:hAnsi="Arial Narrow"/>
                <w:b/>
                <w:bCs/>
                <w:i/>
                <w:iCs/>
                <w:sz w:val="20"/>
                <w:szCs w:val="20"/>
              </w:rPr>
            </w:pPr>
            <w:r w:rsidRPr="00E74297">
              <w:rPr>
                <w:rFonts w:ascii="Arial Narrow" w:eastAsia="Times New Roman" w:hAnsi="Arial Narrow"/>
                <w:b/>
                <w:bCs/>
                <w:i/>
                <w:iCs/>
                <w:sz w:val="20"/>
                <w:szCs w:val="20"/>
              </w:rPr>
              <w:t xml:space="preserve">Condition: </w:t>
            </w:r>
            <w:r w:rsidRPr="00E74297">
              <w:rPr>
                <w:rFonts w:ascii="Arial Narrow" w:eastAsiaTheme="majorEastAsia" w:hAnsi="Arial Narrow" w:cstheme="majorBidi"/>
                <w:i/>
                <w:iCs/>
                <w:sz w:val="20"/>
                <w:szCs w:val="20"/>
              </w:rPr>
              <w:t>Breast cancer</w:t>
            </w:r>
          </w:p>
        </w:tc>
      </w:tr>
      <w:tr w:rsidR="006A53F0" w:rsidRPr="00E74297" w14:paraId="282C4083" w14:textId="77777777" w:rsidTr="001F1BF3">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E1E36E2" w14:textId="77777777" w:rsidR="006A53F0" w:rsidRPr="00E74297" w:rsidRDefault="006A53F0">
            <w:pPr>
              <w:rPr>
                <w:rFonts w:ascii="Arial Narrow" w:eastAsia="Times New Roman" w:hAnsi="Arial Narrow" w:cs="Times New Roman"/>
                <w:sz w:val="20"/>
                <w:szCs w:val="20"/>
              </w:rPr>
            </w:pPr>
            <w:r w:rsidRPr="00E74297">
              <w:rPr>
                <w:rFonts w:ascii="Arial Narrow" w:eastAsia="Times New Roman" w:hAnsi="Arial Narrow"/>
                <w:b/>
                <w:bCs/>
                <w:sz w:val="20"/>
                <w:szCs w:val="20"/>
              </w:rPr>
              <w:t>Indication:</w:t>
            </w:r>
            <w:r w:rsidRPr="00E74297">
              <w:rPr>
                <w:rFonts w:ascii="Arial Narrow" w:eastAsia="Times New Roman" w:hAnsi="Arial Narrow"/>
                <w:sz w:val="20"/>
                <w:szCs w:val="20"/>
              </w:rPr>
              <w:t xml:space="preserve"> </w:t>
            </w:r>
            <w:r w:rsidRPr="00E74297">
              <w:rPr>
                <w:rFonts w:ascii="Arial Narrow" w:eastAsiaTheme="majorEastAsia" w:hAnsi="Arial Narrow" w:cstheme="majorBidi"/>
                <w:sz w:val="20"/>
                <w:szCs w:val="20"/>
              </w:rPr>
              <w:t>Unresectable locally advanced or metastatic breast cancer</w:t>
            </w:r>
          </w:p>
        </w:tc>
      </w:tr>
      <w:tr w:rsidR="0016587F" w:rsidRPr="00E74297" w14:paraId="60300B7F" w14:textId="77777777" w:rsidTr="001F1BF3">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2DFD661" w14:textId="77777777" w:rsidR="0016587F" w:rsidRPr="00E74297" w:rsidRDefault="0016587F">
            <w:pPr>
              <w:rPr>
                <w:rFonts w:ascii="Arial Narrow" w:eastAsia="Times New Roman" w:hAnsi="Arial Narrow"/>
                <w:b/>
                <w:bCs/>
                <w:sz w:val="20"/>
                <w:szCs w:val="20"/>
              </w:rPr>
            </w:pPr>
          </w:p>
        </w:tc>
      </w:tr>
      <w:tr w:rsidR="006A53F0" w:rsidRPr="00E74297" w14:paraId="34909751" w14:textId="77777777" w:rsidTr="001F1BF3">
        <w:tblPrEx>
          <w:tblLook w:val="04A0" w:firstRow="1" w:lastRow="0" w:firstColumn="1" w:lastColumn="0" w:noHBand="0" w:noVBand="1"/>
        </w:tblPrEx>
        <w:trPr>
          <w:cantSplit/>
          <w:trHeight w:val="180"/>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D3BA75E" w14:textId="77777777" w:rsidR="006A53F0" w:rsidRPr="00E74297" w:rsidRDefault="006A53F0">
            <w:pPr>
              <w:pStyle w:val="TableText0"/>
              <w:keepNext w:val="0"/>
              <w:spacing w:line="254" w:lineRule="auto"/>
              <w:rPr>
                <w:b/>
                <w:szCs w:val="20"/>
                <w:lang w:eastAsia="en-US"/>
              </w:rPr>
            </w:pPr>
            <w:r w:rsidRPr="00E74297">
              <w:rPr>
                <w:b/>
                <w:szCs w:val="20"/>
                <w:lang w:eastAsia="en-US"/>
              </w:rPr>
              <w:t xml:space="preserve">Treatment phase: </w:t>
            </w:r>
            <w:r w:rsidRPr="00E74297">
              <w:rPr>
                <w:bCs w:val="0"/>
                <w:szCs w:val="20"/>
                <w:lang w:eastAsia="en-US"/>
              </w:rPr>
              <w:t xml:space="preserve">Initial </w:t>
            </w:r>
            <w:r w:rsidRPr="00E74297">
              <w:rPr>
                <w:bCs w:val="0"/>
                <w:i/>
                <w:iCs/>
                <w:szCs w:val="20"/>
                <w:lang w:eastAsia="en-US"/>
              </w:rPr>
              <w:t>treatment</w:t>
            </w:r>
          </w:p>
        </w:tc>
      </w:tr>
      <w:tr w:rsidR="006A53F0" w:rsidRPr="00E74297" w14:paraId="4F01909B"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613C1E0" w14:textId="77777777" w:rsidR="006A53F0" w:rsidRPr="00E74297" w:rsidRDefault="006A53F0">
            <w:pPr>
              <w:pStyle w:val="TableText0"/>
              <w:keepNext w:val="0"/>
              <w:spacing w:line="254" w:lineRule="auto"/>
              <w:rPr>
                <w:b/>
                <w:szCs w:val="20"/>
                <w:lang w:eastAsia="en-US"/>
              </w:rPr>
            </w:pPr>
            <w:r w:rsidRPr="00E74297">
              <w:rPr>
                <w:b/>
                <w:szCs w:val="20"/>
                <w:lang w:eastAsia="en-US"/>
              </w:rPr>
              <w:t>Clinical criteria:</w:t>
            </w:r>
          </w:p>
        </w:tc>
      </w:tr>
      <w:tr w:rsidR="006A53F0" w:rsidRPr="00E74297" w14:paraId="5E57F362"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706ECF" w14:textId="6E231426" w:rsidR="006A53F0" w:rsidRPr="00E74297" w:rsidRDefault="006A53F0">
            <w:pPr>
              <w:pStyle w:val="TableText0"/>
              <w:keepNext w:val="0"/>
              <w:spacing w:line="254" w:lineRule="auto"/>
              <w:rPr>
                <w:b/>
                <w:szCs w:val="20"/>
                <w:lang w:eastAsia="en-US"/>
              </w:rPr>
            </w:pPr>
            <w:r w:rsidRPr="00E74297">
              <w:rPr>
                <w:szCs w:val="20"/>
                <w:lang w:eastAsia="en-US"/>
              </w:rPr>
              <w:t xml:space="preserve">Patient must have </w:t>
            </w:r>
            <w:r w:rsidR="00EF6AE7" w:rsidRPr="00E74297">
              <w:rPr>
                <w:i/>
                <w:iCs/>
                <w:szCs w:val="20"/>
                <w:lang w:eastAsia="en-US"/>
              </w:rPr>
              <w:t>developed progressive disease</w:t>
            </w:r>
            <w:r w:rsidR="00EF6AE7" w:rsidRPr="00E74297">
              <w:rPr>
                <w:szCs w:val="20"/>
                <w:lang w:eastAsia="en-US"/>
              </w:rPr>
              <w:t xml:space="preserve"> </w:t>
            </w:r>
            <w:r w:rsidRPr="00E74297">
              <w:rPr>
                <w:strike/>
                <w:szCs w:val="20"/>
                <w:lang w:eastAsia="en-US"/>
              </w:rPr>
              <w:t>progressed</w:t>
            </w:r>
            <w:r w:rsidRPr="00E74297">
              <w:rPr>
                <w:szCs w:val="20"/>
                <w:lang w:eastAsia="en-US"/>
              </w:rPr>
              <w:t xml:space="preserve"> after </w:t>
            </w:r>
            <w:r w:rsidRPr="00E74297">
              <w:rPr>
                <w:strike/>
                <w:szCs w:val="20"/>
                <w:lang w:eastAsia="en-US"/>
              </w:rPr>
              <w:t>receiving treatment with</w:t>
            </w:r>
            <w:r w:rsidRPr="00E74297">
              <w:rPr>
                <w:szCs w:val="20"/>
                <w:lang w:eastAsia="en-US"/>
              </w:rPr>
              <w:t xml:space="preserve"> at least two prior </w:t>
            </w:r>
            <w:r w:rsidRPr="00E74297">
              <w:rPr>
                <w:strike/>
                <w:szCs w:val="20"/>
                <w:lang w:eastAsia="en-US"/>
              </w:rPr>
              <w:t>systemic therapies</w:t>
            </w:r>
            <w:r w:rsidR="0016587F" w:rsidRPr="00E74297">
              <w:rPr>
                <w:strike/>
                <w:szCs w:val="20"/>
                <w:lang w:eastAsia="en-US"/>
              </w:rPr>
              <w:t xml:space="preserve"> </w:t>
            </w:r>
            <w:r w:rsidR="0016587F" w:rsidRPr="00E74297">
              <w:rPr>
                <w:i/>
                <w:iCs/>
                <w:szCs w:val="20"/>
                <w:lang w:eastAsia="en-US"/>
              </w:rPr>
              <w:t>chemotherap</w:t>
            </w:r>
            <w:r w:rsidR="00EF6AE7" w:rsidRPr="00E74297">
              <w:rPr>
                <w:i/>
                <w:iCs/>
                <w:szCs w:val="20"/>
                <w:lang w:eastAsia="en-US"/>
              </w:rPr>
              <w:t>eutic</w:t>
            </w:r>
            <w:r w:rsidR="0016587F" w:rsidRPr="00E74297">
              <w:rPr>
                <w:i/>
                <w:iCs/>
                <w:szCs w:val="20"/>
                <w:lang w:eastAsia="en-US"/>
              </w:rPr>
              <w:t xml:space="preserve"> regimens</w:t>
            </w:r>
            <w:r w:rsidR="00EF6AE7" w:rsidRPr="00E74297">
              <w:rPr>
                <w:i/>
                <w:iCs/>
                <w:szCs w:val="20"/>
                <w:lang w:eastAsia="en-US"/>
              </w:rPr>
              <w:t xml:space="preserve"> in the</w:t>
            </w:r>
            <w:r w:rsidR="00EF6AE7" w:rsidRPr="00E74297">
              <w:rPr>
                <w:szCs w:val="20"/>
                <w:lang w:eastAsia="en-US"/>
              </w:rPr>
              <w:t xml:space="preserve"> </w:t>
            </w:r>
            <w:r w:rsidR="0016587F" w:rsidRPr="00E74297">
              <w:rPr>
                <w:i/>
                <w:iCs/>
                <w:szCs w:val="20"/>
                <w:lang w:eastAsia="en-US"/>
              </w:rPr>
              <w:t xml:space="preserve">unresectable, locally advanced, or metastatic </w:t>
            </w:r>
            <w:r w:rsidR="00EF6AE7" w:rsidRPr="00E74297">
              <w:rPr>
                <w:i/>
                <w:iCs/>
                <w:szCs w:val="20"/>
                <w:lang w:eastAsia="en-US"/>
              </w:rPr>
              <w:t xml:space="preserve">setting. </w:t>
            </w:r>
          </w:p>
        </w:tc>
      </w:tr>
      <w:tr w:rsidR="001F1BF3" w:rsidRPr="00E74297" w14:paraId="1DA586A5"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E903748" w14:textId="77777777" w:rsidR="001F1BF3" w:rsidRPr="00E74297" w:rsidRDefault="001F1BF3" w:rsidP="00D715FD">
            <w:pPr>
              <w:pStyle w:val="TableText0"/>
              <w:keepNext w:val="0"/>
              <w:spacing w:line="254" w:lineRule="auto"/>
              <w:rPr>
                <w:b/>
                <w:szCs w:val="20"/>
                <w:lang w:eastAsia="en-US"/>
              </w:rPr>
            </w:pPr>
            <w:r w:rsidRPr="00E74297">
              <w:rPr>
                <w:b/>
                <w:szCs w:val="20"/>
                <w:lang w:eastAsia="en-US"/>
              </w:rPr>
              <w:t>AND</w:t>
            </w:r>
          </w:p>
        </w:tc>
      </w:tr>
      <w:tr w:rsidR="001F1BF3" w:rsidRPr="00E74297" w14:paraId="7F1D379F"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2B3856" w14:textId="77777777" w:rsidR="001F1BF3" w:rsidRPr="00E74297" w:rsidRDefault="001F1BF3" w:rsidP="00D715FD">
            <w:pPr>
              <w:pStyle w:val="TableText0"/>
              <w:keepNext w:val="0"/>
              <w:spacing w:line="254" w:lineRule="auto"/>
              <w:rPr>
                <w:b/>
                <w:szCs w:val="20"/>
                <w:lang w:eastAsia="en-US"/>
              </w:rPr>
            </w:pPr>
            <w:r w:rsidRPr="00E74297">
              <w:rPr>
                <w:b/>
                <w:szCs w:val="20"/>
                <w:lang w:eastAsia="en-US"/>
              </w:rPr>
              <w:t>Clinical criteria:</w:t>
            </w:r>
          </w:p>
        </w:tc>
      </w:tr>
      <w:tr w:rsidR="006A53F0" w:rsidRPr="00E74297" w14:paraId="3F514769"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14641A6" w14:textId="77777777" w:rsidR="006A53F0" w:rsidRPr="00E74297" w:rsidRDefault="006A53F0">
            <w:pPr>
              <w:pStyle w:val="TableText0"/>
              <w:keepNext w:val="0"/>
              <w:spacing w:line="254" w:lineRule="auto"/>
              <w:rPr>
                <w:b/>
                <w:szCs w:val="20"/>
                <w:lang w:eastAsia="en-US"/>
              </w:rPr>
            </w:pPr>
            <w:r w:rsidRPr="00E74297">
              <w:rPr>
                <w:szCs w:val="20"/>
                <w:lang w:eastAsia="en-US"/>
              </w:rPr>
              <w:t>The condition must be hormone receptor positive</w:t>
            </w:r>
          </w:p>
        </w:tc>
      </w:tr>
      <w:tr w:rsidR="006A53F0" w:rsidRPr="00E74297" w14:paraId="79BE0CBD"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1E06CE2" w14:textId="77777777" w:rsidR="006A53F0" w:rsidRPr="00E74297" w:rsidRDefault="006A53F0">
            <w:pPr>
              <w:pStyle w:val="TableText0"/>
              <w:keepNext w:val="0"/>
              <w:spacing w:line="254" w:lineRule="auto"/>
              <w:rPr>
                <w:b/>
                <w:szCs w:val="20"/>
                <w:lang w:eastAsia="en-US"/>
              </w:rPr>
            </w:pPr>
            <w:r w:rsidRPr="00E74297">
              <w:rPr>
                <w:b/>
                <w:szCs w:val="20"/>
                <w:lang w:eastAsia="en-US"/>
              </w:rPr>
              <w:t>AND</w:t>
            </w:r>
          </w:p>
        </w:tc>
      </w:tr>
      <w:tr w:rsidR="006A53F0" w:rsidRPr="00E74297" w14:paraId="3CC8DA4B"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3EBEBFA" w14:textId="77777777" w:rsidR="006A53F0" w:rsidRPr="00E74297" w:rsidRDefault="006A53F0">
            <w:pPr>
              <w:pStyle w:val="TableText0"/>
              <w:keepNext w:val="0"/>
              <w:spacing w:line="254" w:lineRule="auto"/>
              <w:rPr>
                <w:b/>
                <w:szCs w:val="20"/>
                <w:lang w:eastAsia="en-US"/>
              </w:rPr>
            </w:pPr>
            <w:r w:rsidRPr="00E74297">
              <w:rPr>
                <w:b/>
                <w:szCs w:val="20"/>
                <w:lang w:eastAsia="en-US"/>
              </w:rPr>
              <w:t>Clinical criteria:</w:t>
            </w:r>
          </w:p>
        </w:tc>
      </w:tr>
      <w:tr w:rsidR="006A53F0" w:rsidRPr="00E74297" w14:paraId="583DF546"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FAE995B" w14:textId="08B22185" w:rsidR="006A53F0" w:rsidRPr="00E74297" w:rsidRDefault="006A53F0">
            <w:pPr>
              <w:pStyle w:val="TableText0"/>
              <w:keepNext w:val="0"/>
              <w:spacing w:line="254" w:lineRule="auto"/>
              <w:rPr>
                <w:b/>
                <w:szCs w:val="20"/>
                <w:lang w:eastAsia="en-US"/>
              </w:rPr>
            </w:pPr>
            <w:r w:rsidRPr="00E74297">
              <w:rPr>
                <w:szCs w:val="20"/>
                <w:lang w:eastAsia="en-US"/>
              </w:rPr>
              <w:t xml:space="preserve">The condition must be human epidermal growth factor receptor 2 (HER2) negative </w:t>
            </w:r>
            <w:r w:rsidRPr="00E74297">
              <w:rPr>
                <w:strike/>
                <w:szCs w:val="20"/>
                <w:lang w:eastAsia="en-US"/>
              </w:rPr>
              <w:t>defined as</w:t>
            </w:r>
            <w:r w:rsidRPr="00E74297">
              <w:rPr>
                <w:i/>
                <w:iCs/>
                <w:strike/>
                <w:szCs w:val="20"/>
                <w:lang w:eastAsia="en-US"/>
              </w:rPr>
              <w:t xml:space="preserve">: </w:t>
            </w:r>
            <w:r w:rsidRPr="00E74297">
              <w:rPr>
                <w:strike/>
                <w:szCs w:val="20"/>
                <w:lang w:eastAsia="en-US"/>
              </w:rPr>
              <w:t>immunohistochemical (IHC) test score of 0 and 1+; and IHC test score of 2+ and negative on in situ hybridization (ISH) test)</w:t>
            </w:r>
          </w:p>
        </w:tc>
      </w:tr>
      <w:tr w:rsidR="006A53F0" w:rsidRPr="00E74297" w14:paraId="4948A5EB"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08A256" w14:textId="77777777" w:rsidR="006A53F0" w:rsidRPr="00E74297" w:rsidRDefault="006A53F0">
            <w:pPr>
              <w:pStyle w:val="TableText0"/>
              <w:keepNext w:val="0"/>
              <w:spacing w:line="254" w:lineRule="auto"/>
              <w:rPr>
                <w:b/>
                <w:szCs w:val="20"/>
                <w:lang w:eastAsia="en-US"/>
              </w:rPr>
            </w:pPr>
            <w:r w:rsidRPr="00E74297">
              <w:rPr>
                <w:b/>
                <w:szCs w:val="20"/>
                <w:lang w:eastAsia="en-US"/>
              </w:rPr>
              <w:t>AND</w:t>
            </w:r>
          </w:p>
        </w:tc>
      </w:tr>
      <w:tr w:rsidR="006A53F0" w:rsidRPr="00E74297" w14:paraId="09F59F2A"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37E93B6" w14:textId="77777777" w:rsidR="006A53F0" w:rsidRPr="00E74297" w:rsidRDefault="006A53F0">
            <w:pPr>
              <w:pStyle w:val="TableText0"/>
              <w:keepNext w:val="0"/>
              <w:spacing w:line="254" w:lineRule="auto"/>
              <w:rPr>
                <w:b/>
                <w:szCs w:val="20"/>
                <w:lang w:eastAsia="en-US"/>
              </w:rPr>
            </w:pPr>
            <w:r w:rsidRPr="00E74297">
              <w:rPr>
                <w:b/>
                <w:szCs w:val="20"/>
                <w:lang w:eastAsia="en-US"/>
              </w:rPr>
              <w:t>Clinical criteria:</w:t>
            </w:r>
          </w:p>
        </w:tc>
      </w:tr>
      <w:tr w:rsidR="006A53F0" w:rsidRPr="00E74297" w14:paraId="7911744F"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C537739" w14:textId="77777777" w:rsidR="006A53F0" w:rsidRPr="00E74297" w:rsidRDefault="006A53F0">
            <w:pPr>
              <w:pStyle w:val="TableText0"/>
              <w:keepNext w:val="0"/>
              <w:spacing w:line="254" w:lineRule="auto"/>
              <w:rPr>
                <w:b/>
                <w:szCs w:val="20"/>
                <w:lang w:eastAsia="en-US"/>
              </w:rPr>
            </w:pPr>
            <w:r w:rsidRPr="00E74297">
              <w:rPr>
                <w:szCs w:val="20"/>
                <w:lang w:eastAsia="en-US"/>
              </w:rPr>
              <w:t>The condition must be inoperable</w:t>
            </w:r>
          </w:p>
        </w:tc>
      </w:tr>
      <w:tr w:rsidR="006A53F0" w:rsidRPr="00E74297" w14:paraId="1990D436"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3482F6" w14:textId="77777777" w:rsidR="006A53F0" w:rsidRPr="00E74297" w:rsidRDefault="006A53F0">
            <w:pPr>
              <w:pStyle w:val="TableText0"/>
              <w:keepNext w:val="0"/>
              <w:spacing w:line="254" w:lineRule="auto"/>
              <w:rPr>
                <w:b/>
                <w:szCs w:val="20"/>
                <w:lang w:eastAsia="en-US"/>
              </w:rPr>
            </w:pPr>
            <w:r w:rsidRPr="00E74297">
              <w:rPr>
                <w:b/>
                <w:szCs w:val="20"/>
                <w:lang w:eastAsia="en-US"/>
              </w:rPr>
              <w:t>AND</w:t>
            </w:r>
          </w:p>
        </w:tc>
      </w:tr>
      <w:tr w:rsidR="006A53F0" w:rsidRPr="00E74297" w14:paraId="60C51B2A"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CEFCCD" w14:textId="77777777" w:rsidR="006A53F0" w:rsidRPr="00E74297" w:rsidRDefault="006A53F0">
            <w:pPr>
              <w:pStyle w:val="TableText0"/>
              <w:keepNext w:val="0"/>
              <w:spacing w:line="254" w:lineRule="auto"/>
              <w:rPr>
                <w:b/>
                <w:szCs w:val="20"/>
                <w:lang w:eastAsia="en-US"/>
              </w:rPr>
            </w:pPr>
            <w:r w:rsidRPr="00E74297">
              <w:rPr>
                <w:b/>
                <w:szCs w:val="20"/>
                <w:lang w:eastAsia="en-US"/>
              </w:rPr>
              <w:t>Clinical criteria:</w:t>
            </w:r>
          </w:p>
        </w:tc>
      </w:tr>
      <w:tr w:rsidR="006A53F0" w:rsidRPr="00E74297" w14:paraId="6B202AA5"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E1D0A47" w14:textId="77777777" w:rsidR="006A53F0" w:rsidRPr="00E74297" w:rsidRDefault="006A53F0">
            <w:pPr>
              <w:pStyle w:val="TableText0"/>
              <w:keepNext w:val="0"/>
              <w:spacing w:line="254" w:lineRule="auto"/>
              <w:rPr>
                <w:b/>
                <w:szCs w:val="20"/>
                <w:lang w:eastAsia="en-US"/>
              </w:rPr>
            </w:pPr>
            <w:r w:rsidRPr="00E74297">
              <w:rPr>
                <w:szCs w:val="20"/>
                <w:lang w:eastAsia="en-US"/>
              </w:rPr>
              <w:t>The treatment must be the sole PBS-subsidised therapy for this PBS indication</w:t>
            </w:r>
          </w:p>
        </w:tc>
      </w:tr>
      <w:tr w:rsidR="006A53F0" w:rsidRPr="00E74297" w14:paraId="726C2B38"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BA8AD0" w14:textId="77777777" w:rsidR="006A53F0" w:rsidRPr="00E74297" w:rsidRDefault="006A53F0">
            <w:pPr>
              <w:pStyle w:val="TableText0"/>
              <w:keepNext w:val="0"/>
              <w:spacing w:line="254" w:lineRule="auto"/>
              <w:rPr>
                <w:b/>
                <w:szCs w:val="20"/>
                <w:lang w:eastAsia="en-US"/>
              </w:rPr>
            </w:pPr>
            <w:r w:rsidRPr="00E74297">
              <w:rPr>
                <w:b/>
                <w:szCs w:val="20"/>
                <w:lang w:eastAsia="en-US"/>
              </w:rPr>
              <w:t>AND</w:t>
            </w:r>
          </w:p>
        </w:tc>
      </w:tr>
      <w:tr w:rsidR="006A53F0" w:rsidRPr="00E74297" w14:paraId="072E52D4"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6B6A03E" w14:textId="77777777" w:rsidR="006A53F0" w:rsidRPr="00E74297" w:rsidRDefault="006A53F0">
            <w:pPr>
              <w:pStyle w:val="TableText0"/>
              <w:keepNext w:val="0"/>
              <w:spacing w:line="254" w:lineRule="auto"/>
              <w:rPr>
                <w:b/>
                <w:szCs w:val="20"/>
                <w:lang w:eastAsia="en-US"/>
              </w:rPr>
            </w:pPr>
            <w:r w:rsidRPr="00E74297">
              <w:rPr>
                <w:b/>
                <w:szCs w:val="20"/>
                <w:lang w:eastAsia="en-US"/>
              </w:rPr>
              <w:t>Clinical criteria:</w:t>
            </w:r>
          </w:p>
        </w:tc>
      </w:tr>
      <w:tr w:rsidR="006A53F0" w:rsidRPr="00E74297" w14:paraId="50ACB08D" w14:textId="77777777" w:rsidTr="001F1BF3">
        <w:tblPrEx>
          <w:tblLook w:val="04A0" w:firstRow="1" w:lastRow="0" w:firstColumn="1" w:lastColumn="0" w:noHBand="0" w:noVBand="1"/>
        </w:tblPrEx>
        <w:trPr>
          <w:cantSplit/>
          <w:trHeight w:val="166"/>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719B7CB" w14:textId="77777777" w:rsidR="006A53F0" w:rsidRPr="00E74297" w:rsidRDefault="006A53F0">
            <w:pPr>
              <w:pStyle w:val="TableText0"/>
              <w:keepNext w:val="0"/>
              <w:spacing w:line="254" w:lineRule="auto"/>
              <w:rPr>
                <w:b/>
                <w:szCs w:val="20"/>
                <w:lang w:eastAsia="en-US"/>
              </w:rPr>
            </w:pPr>
            <w:r w:rsidRPr="00E74297">
              <w:rPr>
                <w:szCs w:val="20"/>
                <w:lang w:eastAsia="en-US"/>
              </w:rPr>
              <w:t xml:space="preserve">Patient must have a World Health Organisation (WHO) Eastern Cooperative Oncology Group (ECOG) performance status score of </w:t>
            </w:r>
            <w:r w:rsidRPr="00E74297">
              <w:rPr>
                <w:strike/>
                <w:szCs w:val="20"/>
                <w:lang w:eastAsia="en-US"/>
              </w:rPr>
              <w:t xml:space="preserve">1 or less </w:t>
            </w:r>
            <w:r w:rsidRPr="00E74297">
              <w:rPr>
                <w:i/>
                <w:iCs/>
                <w:szCs w:val="20"/>
                <w:lang w:eastAsia="en-US"/>
              </w:rPr>
              <w:t>no higher than 1 prior to treatment initiation</w:t>
            </w:r>
          </w:p>
        </w:tc>
      </w:tr>
      <w:tr w:rsidR="006A53F0" w:rsidRPr="00E74297" w14:paraId="4551C5E2" w14:textId="77777777" w:rsidTr="001F1BF3">
        <w:tblPrEx>
          <w:tblLook w:val="04A0" w:firstRow="1" w:lastRow="0" w:firstColumn="1" w:lastColumn="0" w:noHBand="0" w:noVBand="1"/>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4575482" w14:textId="77777777" w:rsidR="006A53F0" w:rsidRPr="00E74297" w:rsidRDefault="006A53F0">
            <w:pPr>
              <w:keepNext/>
              <w:rPr>
                <w:rFonts w:ascii="Arial Narrow" w:hAnsi="Arial Narrow"/>
                <w:color w:val="FF0000"/>
                <w:sz w:val="20"/>
                <w:szCs w:val="20"/>
              </w:rPr>
            </w:pPr>
          </w:p>
        </w:tc>
      </w:tr>
      <w:tr w:rsidR="006A53F0" w:rsidRPr="00E74297" w14:paraId="25108E23" w14:textId="77777777" w:rsidTr="001F1BF3">
        <w:tblPrEx>
          <w:tblLook w:val="04A0" w:firstRow="1" w:lastRow="0" w:firstColumn="1" w:lastColumn="0" w:noHBand="0" w:noVBand="1"/>
        </w:tblPrEx>
        <w:trPr>
          <w:cantSplit/>
          <w:trHeight w:val="208"/>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39AF8D" w14:textId="3F637923" w:rsidR="006A53F0" w:rsidRPr="00E74297" w:rsidRDefault="006A53F0">
            <w:pPr>
              <w:pStyle w:val="TableText0"/>
              <w:keepLines/>
              <w:spacing w:line="254" w:lineRule="auto"/>
              <w:rPr>
                <w:lang w:eastAsia="en-US"/>
              </w:rPr>
            </w:pPr>
            <w:r w:rsidRPr="00E74297">
              <w:rPr>
                <w:b/>
                <w:lang w:eastAsia="en-US"/>
              </w:rPr>
              <w:t>Treatment Phase:</w:t>
            </w:r>
            <w:r w:rsidRPr="00E74297">
              <w:rPr>
                <w:lang w:eastAsia="en-US"/>
              </w:rPr>
              <w:t xml:space="preserve"> Continuing</w:t>
            </w:r>
            <w:r w:rsidR="0016587F" w:rsidRPr="00E74297">
              <w:rPr>
                <w:lang w:eastAsia="en-US"/>
              </w:rPr>
              <w:t xml:space="preserve"> </w:t>
            </w:r>
            <w:r w:rsidR="0016587F" w:rsidRPr="00E74297">
              <w:rPr>
                <w:i/>
                <w:iCs/>
                <w:lang w:eastAsia="en-US"/>
              </w:rPr>
              <w:t>treatment</w:t>
            </w:r>
          </w:p>
        </w:tc>
      </w:tr>
      <w:tr w:rsidR="006A53F0" w:rsidRPr="00E74297" w14:paraId="58F8D21D" w14:textId="77777777" w:rsidTr="001F1BF3">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4EC5153" w14:textId="77777777" w:rsidR="006A53F0" w:rsidRPr="00E74297" w:rsidRDefault="006A53F0">
            <w:pPr>
              <w:pStyle w:val="TableText0"/>
              <w:keepLines/>
              <w:spacing w:line="254" w:lineRule="auto"/>
              <w:rPr>
                <w:lang w:eastAsia="en-US"/>
              </w:rPr>
            </w:pPr>
            <w:r w:rsidRPr="00E74297">
              <w:rPr>
                <w:b/>
                <w:lang w:eastAsia="en-US"/>
              </w:rPr>
              <w:t>Clinical criteria:</w:t>
            </w:r>
          </w:p>
        </w:tc>
      </w:tr>
      <w:tr w:rsidR="006A53F0" w:rsidRPr="00E74297" w14:paraId="4742A7F6" w14:textId="77777777" w:rsidTr="001F1BF3">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D497CB9" w14:textId="77777777" w:rsidR="006A53F0" w:rsidRPr="00E74297" w:rsidRDefault="006A53F0">
            <w:pPr>
              <w:pStyle w:val="TableText0"/>
              <w:keepLines/>
              <w:spacing w:line="254" w:lineRule="auto"/>
              <w:rPr>
                <w:lang w:eastAsia="en-US"/>
              </w:rPr>
            </w:pPr>
            <w:r w:rsidRPr="00E74297">
              <w:rPr>
                <w:lang w:eastAsia="en-US"/>
              </w:rPr>
              <w:t>Patient must have previously received PBS-subsidised treatment with this drug for this condition,</w:t>
            </w:r>
          </w:p>
        </w:tc>
      </w:tr>
      <w:tr w:rsidR="006A53F0" w:rsidRPr="00E74297" w14:paraId="7618FEF6" w14:textId="77777777" w:rsidTr="001F1BF3">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13E8249" w14:textId="77777777" w:rsidR="006A53F0" w:rsidRPr="00E74297" w:rsidRDefault="006A53F0">
            <w:pPr>
              <w:pStyle w:val="TableText0"/>
              <w:keepLines/>
              <w:spacing w:line="254" w:lineRule="auto"/>
              <w:rPr>
                <w:lang w:eastAsia="en-US"/>
              </w:rPr>
            </w:pPr>
            <w:r w:rsidRPr="00E74297">
              <w:rPr>
                <w:b/>
                <w:lang w:eastAsia="en-US"/>
              </w:rPr>
              <w:t>AND</w:t>
            </w:r>
          </w:p>
        </w:tc>
      </w:tr>
      <w:tr w:rsidR="006A53F0" w:rsidRPr="00E74297" w14:paraId="2A75628A" w14:textId="77777777" w:rsidTr="001F1BF3">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871D22" w14:textId="77777777" w:rsidR="006A53F0" w:rsidRPr="00E74297" w:rsidRDefault="006A53F0">
            <w:pPr>
              <w:pStyle w:val="TableText0"/>
              <w:keepLines/>
              <w:spacing w:line="254" w:lineRule="auto"/>
              <w:rPr>
                <w:lang w:eastAsia="en-US"/>
              </w:rPr>
            </w:pPr>
            <w:r w:rsidRPr="00E74297">
              <w:rPr>
                <w:b/>
                <w:lang w:eastAsia="en-US"/>
              </w:rPr>
              <w:t>Clinical criteria:</w:t>
            </w:r>
          </w:p>
        </w:tc>
      </w:tr>
      <w:tr w:rsidR="006A53F0" w:rsidRPr="00E74297" w14:paraId="0B06D8DA" w14:textId="77777777" w:rsidTr="001F1BF3">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E165D52" w14:textId="77777777" w:rsidR="006A53F0" w:rsidRPr="00E74297" w:rsidRDefault="006A53F0">
            <w:pPr>
              <w:pStyle w:val="TableText0"/>
              <w:keepLines/>
              <w:spacing w:line="254" w:lineRule="auto"/>
              <w:rPr>
                <w:lang w:eastAsia="en-US"/>
              </w:rPr>
            </w:pPr>
            <w:r w:rsidRPr="00E74297">
              <w:rPr>
                <w:lang w:eastAsia="en-US"/>
              </w:rPr>
              <w:t>Patient must not have developed disease progression while being treated with this drug for this condition</w:t>
            </w:r>
          </w:p>
        </w:tc>
      </w:tr>
      <w:tr w:rsidR="006A53F0" w:rsidRPr="00E74297" w14:paraId="242DED37" w14:textId="77777777" w:rsidTr="001F1BF3">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790127" w14:textId="77777777" w:rsidR="006A53F0" w:rsidRPr="00E74297" w:rsidRDefault="006A53F0">
            <w:pPr>
              <w:pStyle w:val="TableText0"/>
              <w:keepLines/>
              <w:spacing w:line="254" w:lineRule="auto"/>
              <w:rPr>
                <w:lang w:eastAsia="en-US"/>
              </w:rPr>
            </w:pPr>
            <w:r w:rsidRPr="00E74297">
              <w:rPr>
                <w:b/>
                <w:lang w:eastAsia="en-US"/>
              </w:rPr>
              <w:t>AND</w:t>
            </w:r>
          </w:p>
        </w:tc>
      </w:tr>
      <w:tr w:rsidR="006A53F0" w:rsidRPr="00E74297" w14:paraId="2E01CB31" w14:textId="77777777" w:rsidTr="001F1BF3">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8442C2" w14:textId="77777777" w:rsidR="006A53F0" w:rsidRPr="00E74297" w:rsidRDefault="006A53F0">
            <w:pPr>
              <w:pStyle w:val="TableText0"/>
              <w:keepLines/>
              <w:spacing w:line="254" w:lineRule="auto"/>
              <w:rPr>
                <w:lang w:eastAsia="en-US"/>
              </w:rPr>
            </w:pPr>
            <w:r w:rsidRPr="00E74297">
              <w:rPr>
                <w:b/>
                <w:lang w:eastAsia="en-US"/>
              </w:rPr>
              <w:t>Clinical criteria:</w:t>
            </w:r>
          </w:p>
        </w:tc>
      </w:tr>
      <w:tr w:rsidR="006A53F0" w:rsidRPr="00E74297" w14:paraId="2EFF99C8" w14:textId="77777777" w:rsidTr="001F1BF3">
        <w:tblPrEx>
          <w:tblLook w:val="04A0" w:firstRow="1" w:lastRow="0" w:firstColumn="1" w:lastColumn="0" w:noHBand="0" w:noVBand="1"/>
        </w:tblPrEx>
        <w:trPr>
          <w:cantSplit/>
          <w:trHeight w:val="203"/>
        </w:trPr>
        <w:tc>
          <w:tcPr>
            <w:tcW w:w="5000" w:type="pct"/>
            <w:gridSpan w:val="5"/>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39730D" w14:textId="77777777" w:rsidR="006A53F0" w:rsidRPr="00E74297" w:rsidRDefault="006A53F0">
            <w:pPr>
              <w:pStyle w:val="TableText0"/>
              <w:keepLines/>
              <w:spacing w:line="254" w:lineRule="auto"/>
              <w:rPr>
                <w:lang w:eastAsia="en-US"/>
              </w:rPr>
            </w:pPr>
            <w:r w:rsidRPr="00E74297">
              <w:rPr>
                <w:lang w:eastAsia="en-US"/>
              </w:rPr>
              <w:t>The treatment must be the sole PBS-subsidised therapy for this PBS indication</w:t>
            </w:r>
          </w:p>
        </w:tc>
      </w:tr>
    </w:tbl>
    <w:p w14:paraId="04934549" w14:textId="77777777" w:rsidR="00DD76FD" w:rsidRPr="00057A97" w:rsidRDefault="00DD76FD" w:rsidP="00DD76FD">
      <w:pPr>
        <w:rPr>
          <w:sz w:val="12"/>
          <w:szCs w:val="12"/>
        </w:rPr>
      </w:pPr>
    </w:p>
    <w:bookmarkEnd w:id="14"/>
    <w:p w14:paraId="27BB0C60" w14:textId="10B09ADD" w:rsidR="00DD76FD" w:rsidRPr="00E74297" w:rsidRDefault="00DD76FD" w:rsidP="006C43BE">
      <w:pPr>
        <w:pStyle w:val="3-BodyText"/>
        <w:rPr>
          <w:color w:val="0066FF"/>
        </w:rPr>
      </w:pPr>
      <w:r w:rsidRPr="00E74297">
        <w:t xml:space="preserve">The </w:t>
      </w:r>
      <w:r w:rsidR="00454C58" w:rsidRPr="00E74297">
        <w:t xml:space="preserve">submission requested a </w:t>
      </w:r>
      <w:r w:rsidRPr="00E74297">
        <w:t xml:space="preserve">published </w:t>
      </w:r>
      <w:r w:rsidR="00A872EE" w:rsidRPr="00E74297">
        <w:t>ex-manufacturer price (</w:t>
      </w:r>
      <w:r w:rsidRPr="00E74297">
        <w:t>EMP</w:t>
      </w:r>
      <w:r w:rsidR="00A872EE" w:rsidRPr="00E74297">
        <w:t>)</w:t>
      </w:r>
      <w:r w:rsidR="00A9412E" w:rsidRPr="00E74297">
        <w:t xml:space="preserve"> per </w:t>
      </w:r>
      <w:r w:rsidR="00A872EE" w:rsidRPr="00E74297">
        <w:t xml:space="preserve">180 mg </w:t>
      </w:r>
      <w:r w:rsidR="00A9412E" w:rsidRPr="00E74297">
        <w:t>vial</w:t>
      </w:r>
      <w:r w:rsidRPr="00E74297">
        <w:t xml:space="preserve"> </w:t>
      </w:r>
      <w:r w:rsidR="00454C58" w:rsidRPr="00E74297">
        <w:t>of</w:t>
      </w:r>
      <w:r w:rsidRPr="00E74297">
        <w:t xml:space="preserve"> $1,484.59</w:t>
      </w:r>
      <w:r w:rsidR="00A9412E" w:rsidRPr="00E74297">
        <w:t xml:space="preserve"> (published </w:t>
      </w:r>
      <w:r w:rsidR="00A22EC1" w:rsidRPr="00E74297">
        <w:t xml:space="preserve">dispensed price for </w:t>
      </w:r>
      <w:r w:rsidR="008703A0" w:rsidRPr="00E74297">
        <w:t>maximum amount [DPMA]</w:t>
      </w:r>
      <w:r w:rsidR="00D14CAA" w:rsidRPr="00E74297">
        <w:t xml:space="preserve"> </w:t>
      </w:r>
      <w:r w:rsidR="00A872EE" w:rsidRPr="00E74297">
        <w:t>[1,620 mg]</w:t>
      </w:r>
      <w:r w:rsidR="00A9412E" w:rsidRPr="00E74297">
        <w:t>: private</w:t>
      </w:r>
      <w:r w:rsidR="00A872EE" w:rsidRPr="00E74297">
        <w:t xml:space="preserve"> hospital</w:t>
      </w:r>
      <w:r w:rsidR="00A9412E" w:rsidRPr="00E74297">
        <w:t>: $13,677.07, public</w:t>
      </w:r>
      <w:r w:rsidR="00A872EE" w:rsidRPr="00E74297">
        <w:t xml:space="preserve"> hospital</w:t>
      </w:r>
      <w:r w:rsidR="00A9412E" w:rsidRPr="00E74297">
        <w:t>: $13,448.38)</w:t>
      </w:r>
      <w:r w:rsidRPr="00E74297">
        <w:t xml:space="preserve"> with an effective EMP of $</w:t>
      </w:r>
      <w:r w:rsidR="006F55C1" w:rsidRPr="00CE4721">
        <w:rPr>
          <w:color w:val="000000"/>
          <w:w w:val="15"/>
          <w:shd w:val="solid" w:color="000000" w:fill="000000"/>
          <w:fitText w:val="-20" w:id="-1168282624"/>
          <w14:textFill>
            <w14:solidFill>
              <w14:srgbClr w14:val="000000">
                <w14:alpha w14:val="100000"/>
              </w14:srgbClr>
            </w14:solidFill>
          </w14:textFill>
        </w:rPr>
        <w:t xml:space="preserve">|  </w:t>
      </w:r>
      <w:r w:rsidR="006F55C1" w:rsidRPr="00CE4721">
        <w:rPr>
          <w:color w:val="000000"/>
          <w:spacing w:val="-69"/>
          <w:w w:val="15"/>
          <w:shd w:val="solid" w:color="000000" w:fill="000000"/>
          <w:fitText w:val="-20" w:id="-1168282624"/>
          <w14:textFill>
            <w14:solidFill>
              <w14:srgbClr w14:val="000000">
                <w14:alpha w14:val="100000"/>
              </w14:srgbClr>
            </w14:solidFill>
          </w14:textFill>
        </w:rPr>
        <w:t>|</w:t>
      </w:r>
      <w:r w:rsidR="00A872EE" w:rsidRPr="00E74297">
        <w:t xml:space="preserve"> (effective DPMA: private hospital: $</w:t>
      </w:r>
      <w:r w:rsidR="006F55C1" w:rsidRPr="00CE4721">
        <w:rPr>
          <w:color w:val="000000"/>
          <w:w w:val="15"/>
          <w:shd w:val="solid" w:color="000000" w:fill="000000"/>
          <w:fitText w:val="-20" w:id="-1168282623"/>
          <w14:textFill>
            <w14:solidFill>
              <w14:srgbClr w14:val="000000">
                <w14:alpha w14:val="100000"/>
              </w14:srgbClr>
            </w14:solidFill>
          </w14:textFill>
        </w:rPr>
        <w:t xml:space="preserve">|  </w:t>
      </w:r>
      <w:r w:rsidR="006F55C1" w:rsidRPr="00CE4721">
        <w:rPr>
          <w:color w:val="000000"/>
          <w:spacing w:val="-69"/>
          <w:w w:val="15"/>
          <w:shd w:val="solid" w:color="000000" w:fill="000000"/>
          <w:fitText w:val="-20" w:id="-1168282623"/>
          <w14:textFill>
            <w14:solidFill>
              <w14:srgbClr w14:val="000000">
                <w14:alpha w14:val="100000"/>
              </w14:srgbClr>
            </w14:solidFill>
          </w14:textFill>
        </w:rPr>
        <w:t>|</w:t>
      </w:r>
      <w:r w:rsidR="00A872EE" w:rsidRPr="00E74297">
        <w:t>, public hospital: $</w:t>
      </w:r>
      <w:r w:rsidR="006F55C1" w:rsidRPr="00CE4721">
        <w:rPr>
          <w:color w:val="000000"/>
          <w:w w:val="15"/>
          <w:shd w:val="solid" w:color="000000" w:fill="000000"/>
          <w:fitText w:val="-20" w:id="-1168282622"/>
          <w14:textFill>
            <w14:solidFill>
              <w14:srgbClr w14:val="000000">
                <w14:alpha w14:val="100000"/>
              </w14:srgbClr>
            </w14:solidFill>
          </w14:textFill>
        </w:rPr>
        <w:t xml:space="preserve">|  </w:t>
      </w:r>
      <w:r w:rsidR="006F55C1" w:rsidRPr="00CE4721">
        <w:rPr>
          <w:color w:val="000000"/>
          <w:spacing w:val="-69"/>
          <w:w w:val="15"/>
          <w:shd w:val="solid" w:color="000000" w:fill="000000"/>
          <w:fitText w:val="-20" w:id="-1168282622"/>
          <w14:textFill>
            <w14:solidFill>
              <w14:srgbClr w14:val="000000">
                <w14:alpha w14:val="100000"/>
              </w14:srgbClr>
            </w14:solidFill>
          </w14:textFill>
        </w:rPr>
        <w:t>|</w:t>
      </w:r>
      <w:r w:rsidR="00A872EE" w:rsidRPr="00E74297">
        <w:t>)</w:t>
      </w:r>
      <w:r w:rsidRPr="00E74297">
        <w:t>. This</w:t>
      </w:r>
      <w:r w:rsidR="00057A97">
        <w:t xml:space="preserve"> </w:t>
      </w:r>
      <w:r w:rsidRPr="00E74297">
        <w:t xml:space="preserve">is equivalent to the price for SG for </w:t>
      </w:r>
      <w:r w:rsidR="00662DBF" w:rsidRPr="00E74297">
        <w:t xml:space="preserve">metastatic triple negative </w:t>
      </w:r>
      <w:r w:rsidR="00186C9A" w:rsidRPr="00E74297">
        <w:t>breast cancer</w:t>
      </w:r>
      <w:r w:rsidR="00662DBF" w:rsidRPr="00E74297">
        <w:t xml:space="preserve"> (</w:t>
      </w:r>
      <w:r w:rsidRPr="00E74297">
        <w:t>mTNBC</w:t>
      </w:r>
      <w:r w:rsidR="00662DBF" w:rsidRPr="00E74297">
        <w:t>)</w:t>
      </w:r>
      <w:r w:rsidRPr="00E74297">
        <w:t>.</w:t>
      </w:r>
    </w:p>
    <w:p w14:paraId="1D3E87CA" w14:textId="17B77F12" w:rsidR="00EC066B" w:rsidRPr="00E74297" w:rsidRDefault="00DD76FD" w:rsidP="00620021">
      <w:pPr>
        <w:pStyle w:val="3-BodyText"/>
      </w:pPr>
      <w:r w:rsidRPr="00E74297">
        <w:lastRenderedPageBreak/>
        <w:t xml:space="preserve">The submission stated that the requested maximum amount and number of repeats allows patients to be appropriately treated, based on the characteristics of the </w:t>
      </w:r>
      <w:r w:rsidR="003D20F2" w:rsidRPr="00E74297">
        <w:t>TROPiCS-02</w:t>
      </w:r>
      <w:r w:rsidRPr="00E74297">
        <w:t xml:space="preserve"> trial. </w:t>
      </w:r>
      <w:r w:rsidR="00ED0D0E" w:rsidRPr="00E74297">
        <w:t>In TROPiCS-02 t</w:t>
      </w:r>
      <w:r w:rsidRPr="00E74297">
        <w:t xml:space="preserve">he mean patient weight </w:t>
      </w:r>
      <w:r w:rsidR="00ED0D0E" w:rsidRPr="00E74297">
        <w:t>was</w:t>
      </w:r>
      <w:r w:rsidRPr="00E74297">
        <w:t xml:space="preserve"> 68.3</w:t>
      </w:r>
      <w:r w:rsidR="000375C7" w:rsidRPr="00E74297">
        <w:t xml:space="preserve"> </w:t>
      </w:r>
      <w:r w:rsidRPr="00E74297">
        <w:t>kg and the maximum reported weight was 160.1</w:t>
      </w:r>
      <w:r w:rsidR="000375C7" w:rsidRPr="00E74297">
        <w:t xml:space="preserve"> </w:t>
      </w:r>
      <w:r w:rsidRPr="00E74297">
        <w:t>kg.</w:t>
      </w:r>
      <w:r w:rsidR="001B084F" w:rsidRPr="00E74297">
        <w:t xml:space="preserve"> </w:t>
      </w:r>
      <w:r w:rsidR="00D127C6" w:rsidRPr="00E74297">
        <w:t>Based on the currently approved dosage regimen for SG (10</w:t>
      </w:r>
      <w:r w:rsidR="000375C7" w:rsidRPr="00E74297">
        <w:t xml:space="preserve"> </w:t>
      </w:r>
      <w:r w:rsidR="00D127C6" w:rsidRPr="00E74297">
        <w:t>mg/kg) the</w:t>
      </w:r>
      <w:r w:rsidR="004E0E56" w:rsidRPr="00E74297">
        <w:t xml:space="preserve"> requested maximum amount of </w:t>
      </w:r>
      <w:r w:rsidR="00D127C6" w:rsidRPr="00E74297">
        <w:t>9</w:t>
      </w:r>
      <w:r w:rsidR="004E0E56" w:rsidRPr="00E74297">
        <w:t xml:space="preserve"> vials (</w:t>
      </w:r>
      <w:r w:rsidR="00D127C6" w:rsidRPr="00E74297">
        <w:t>1620</w:t>
      </w:r>
      <w:r w:rsidR="004E0E56" w:rsidRPr="00E74297">
        <w:t xml:space="preserve"> mg) would be sufficient for a patient weighing up to </w:t>
      </w:r>
      <w:r w:rsidR="00D127C6" w:rsidRPr="00E74297">
        <w:t>162 kg (10 mg/kg).</w:t>
      </w:r>
      <w:r w:rsidR="00EC1FD0" w:rsidRPr="00E74297">
        <w:t xml:space="preserve"> </w:t>
      </w:r>
      <w:r w:rsidRPr="00E74297">
        <w:t xml:space="preserve">For SG in mTNBC </w:t>
      </w:r>
      <w:r w:rsidR="00C8691E" w:rsidRPr="00E74297">
        <w:t xml:space="preserve">PBAC considered that </w:t>
      </w:r>
      <w:r w:rsidRPr="00E74297">
        <w:t>a maximum amount of 1200</w:t>
      </w:r>
      <w:r w:rsidR="000375C7" w:rsidRPr="00E74297">
        <w:t xml:space="preserve"> </w:t>
      </w:r>
      <w:r w:rsidRPr="00E74297">
        <w:t>mg based on a patient weight of 120</w:t>
      </w:r>
      <w:r w:rsidR="00994F84">
        <w:t> </w:t>
      </w:r>
      <w:r w:rsidRPr="00E74297">
        <w:t>kg</w:t>
      </w:r>
      <w:r w:rsidR="00C8691E" w:rsidRPr="00E74297">
        <w:t xml:space="preserve"> was appropriate and would not commonly be required as patients may be more likely to be frail at the stage of disease</w:t>
      </w:r>
      <w:r w:rsidRPr="00E74297">
        <w:t xml:space="preserve"> (para 3.2, </w:t>
      </w:r>
      <w:r w:rsidR="00327FBE" w:rsidRPr="00E74297">
        <w:t>SG</w:t>
      </w:r>
      <w:r w:rsidRPr="00E74297">
        <w:t xml:space="preserve"> </w:t>
      </w:r>
      <w:r w:rsidR="004815F7" w:rsidRPr="00E74297">
        <w:t>Public Summary Document [</w:t>
      </w:r>
      <w:r w:rsidR="00FD2C45" w:rsidRPr="00E74297">
        <w:t>PSD</w:t>
      </w:r>
      <w:r w:rsidR="004815F7" w:rsidRPr="00E74297">
        <w:t>]</w:t>
      </w:r>
      <w:r w:rsidRPr="00E74297">
        <w:t>, March</w:t>
      </w:r>
      <w:r w:rsidR="00057A97">
        <w:t> </w:t>
      </w:r>
      <w:r w:rsidRPr="00E74297">
        <w:t>2022</w:t>
      </w:r>
      <w:r w:rsidR="000575A1" w:rsidRPr="00E74297">
        <w:t xml:space="preserve"> PBAC Meeting</w:t>
      </w:r>
      <w:r w:rsidRPr="00E74297">
        <w:t>)</w:t>
      </w:r>
      <w:r w:rsidR="00C8691E" w:rsidRPr="00E74297">
        <w:t>.</w:t>
      </w:r>
    </w:p>
    <w:p w14:paraId="550DE1CF" w14:textId="536A6F7E" w:rsidR="000E337C" w:rsidRPr="00E74297" w:rsidRDefault="009E0A36" w:rsidP="00814794">
      <w:pPr>
        <w:pStyle w:val="3-BodyText"/>
        <w:rPr>
          <w:rFonts w:ascii="Calibri" w:hAnsi="Calibri" w:cs="Calibri"/>
          <w:iCs/>
          <w:color w:val="242424"/>
          <w:shd w:val="clear" w:color="auto" w:fill="FFFFFF"/>
        </w:rPr>
      </w:pPr>
      <w:r w:rsidRPr="00E74297">
        <w:rPr>
          <w:rFonts w:ascii="Calibri" w:hAnsi="Calibri" w:cs="Calibri"/>
          <w:color w:val="242424"/>
          <w:shd w:val="clear" w:color="auto" w:fill="FFFFFF"/>
        </w:rPr>
        <w:t xml:space="preserve">The ESC noted that </w:t>
      </w:r>
      <w:r w:rsidR="000F1151" w:rsidRPr="00E74297">
        <w:rPr>
          <w:rFonts w:ascii="Calibri" w:hAnsi="Calibri" w:cs="Calibri"/>
          <w:color w:val="242424"/>
          <w:shd w:val="clear" w:color="auto" w:fill="FFFFFF"/>
        </w:rPr>
        <w:t xml:space="preserve">the requested PBS listing </w:t>
      </w:r>
      <w:r w:rsidR="00FD2C45" w:rsidRPr="00E74297">
        <w:rPr>
          <w:rFonts w:ascii="Calibri" w:hAnsi="Calibri" w:cs="Calibri"/>
          <w:color w:val="242424"/>
          <w:shd w:val="clear" w:color="auto" w:fill="FFFFFF"/>
        </w:rPr>
        <w:t xml:space="preserve">(and proposed TGA indication) </w:t>
      </w:r>
      <w:r w:rsidR="000F1151" w:rsidRPr="00E74297">
        <w:rPr>
          <w:rFonts w:ascii="Calibri" w:hAnsi="Calibri" w:cs="Calibri"/>
          <w:color w:val="242424"/>
          <w:shd w:val="clear" w:color="auto" w:fill="FFFFFF"/>
        </w:rPr>
        <w:t>include</w:t>
      </w:r>
      <w:r w:rsidRPr="00E74297">
        <w:rPr>
          <w:rFonts w:ascii="Calibri" w:hAnsi="Calibri" w:cs="Calibri"/>
          <w:color w:val="242424"/>
          <w:shd w:val="clear" w:color="auto" w:fill="FFFFFF"/>
        </w:rPr>
        <w:t>s</w:t>
      </w:r>
      <w:r w:rsidR="000F1151" w:rsidRPr="00E74297">
        <w:rPr>
          <w:rFonts w:ascii="Calibri" w:hAnsi="Calibri" w:cs="Calibri"/>
          <w:color w:val="242424"/>
          <w:shd w:val="clear" w:color="auto" w:fill="FFFFFF"/>
        </w:rPr>
        <w:t xml:space="preserve"> unresectable locally advanced as well as metastatic disease</w:t>
      </w:r>
      <w:r w:rsidR="00FD2C45" w:rsidRPr="00E74297">
        <w:rPr>
          <w:rFonts w:ascii="Calibri" w:hAnsi="Calibri" w:cs="Calibri"/>
          <w:color w:val="242424"/>
          <w:shd w:val="clear" w:color="auto" w:fill="FFFFFF"/>
        </w:rPr>
        <w:t xml:space="preserve">. However, </w:t>
      </w:r>
      <w:r w:rsidR="000F1151" w:rsidRPr="00E74297">
        <w:rPr>
          <w:rFonts w:ascii="Calibri" w:hAnsi="Calibri" w:cs="Calibri"/>
          <w:color w:val="242424"/>
          <w:shd w:val="clear" w:color="auto" w:fill="FFFFFF"/>
        </w:rPr>
        <w:t>in the key trial TROPiCS-02, only 2</w:t>
      </w:r>
      <w:r w:rsidR="00FE3D1A" w:rsidRPr="00E74297">
        <w:rPr>
          <w:rFonts w:ascii="Calibri" w:hAnsi="Calibri" w:cs="Calibri"/>
          <w:color w:val="242424"/>
          <w:shd w:val="clear" w:color="auto" w:fill="FFFFFF"/>
        </w:rPr>
        <w:t>/543</w:t>
      </w:r>
      <w:r w:rsidR="000F1151" w:rsidRPr="00E74297">
        <w:rPr>
          <w:rFonts w:ascii="Calibri" w:hAnsi="Calibri" w:cs="Calibri"/>
          <w:color w:val="242424"/>
          <w:shd w:val="clear" w:color="auto" w:fill="FFFFFF"/>
        </w:rPr>
        <w:t xml:space="preserve"> patients (0.4%) were classified as M0 in the TNM staging system.</w:t>
      </w:r>
      <w:r w:rsidR="00057A97">
        <w:rPr>
          <w:rFonts w:ascii="Calibri" w:hAnsi="Calibri" w:cs="Calibri"/>
          <w:color w:val="242424"/>
          <w:shd w:val="clear" w:color="auto" w:fill="FFFFFF"/>
        </w:rPr>
        <w:t xml:space="preserve"> </w:t>
      </w:r>
      <w:r w:rsidR="000F1151" w:rsidRPr="00E74297">
        <w:rPr>
          <w:rFonts w:ascii="Calibri" w:hAnsi="Calibri" w:cs="Calibri"/>
          <w:iCs/>
          <w:color w:val="242424"/>
          <w:shd w:val="clear" w:color="auto" w:fill="FFFFFF"/>
        </w:rPr>
        <w:t xml:space="preserve">Therefore, there is very little evidence for the treatment of locally advanced HR+/HER2- breast cancer with SG. </w:t>
      </w:r>
      <w:r w:rsidR="00FE3D1A" w:rsidRPr="00E74297">
        <w:rPr>
          <w:rFonts w:ascii="Calibri" w:hAnsi="Calibri" w:cs="Calibri"/>
          <w:iCs/>
          <w:color w:val="242424"/>
          <w:shd w:val="clear" w:color="auto" w:fill="FFFFFF"/>
        </w:rPr>
        <w:t xml:space="preserve">The PBAC noted that there was little evidence for treatment of patients with locally advanced disease, however considered that it </w:t>
      </w:r>
      <w:r w:rsidR="00B467DF" w:rsidRPr="00E74297">
        <w:rPr>
          <w:rFonts w:ascii="Calibri" w:hAnsi="Calibri" w:cs="Calibri"/>
          <w:iCs/>
          <w:color w:val="242424"/>
          <w:shd w:val="clear" w:color="auto" w:fill="FFFFFF"/>
        </w:rPr>
        <w:t xml:space="preserve">may </w:t>
      </w:r>
      <w:r w:rsidR="00FE3D1A" w:rsidRPr="00E74297">
        <w:rPr>
          <w:rFonts w:ascii="Calibri" w:hAnsi="Calibri" w:cs="Calibri"/>
          <w:iCs/>
          <w:color w:val="242424"/>
          <w:shd w:val="clear" w:color="auto" w:fill="FFFFFF"/>
        </w:rPr>
        <w:t>be appropriate for the small number of patients in this category to be included in the restriction, consistent with the TNBC restriction.</w:t>
      </w:r>
    </w:p>
    <w:p w14:paraId="67598C6B" w14:textId="77777777" w:rsidR="000E337C" w:rsidRPr="00E74297" w:rsidRDefault="00FE3D1A" w:rsidP="001252BE">
      <w:pPr>
        <w:pStyle w:val="3-BodyText"/>
        <w:rPr>
          <w:bCs/>
        </w:rPr>
      </w:pPr>
      <w:r w:rsidRPr="00E74297">
        <w:rPr>
          <w:bCs/>
        </w:rPr>
        <w:t>T</w:t>
      </w:r>
      <w:r w:rsidR="00814794" w:rsidRPr="00E74297">
        <w:rPr>
          <w:bCs/>
        </w:rPr>
        <w:t xml:space="preserve">he requested PBS listing requires patients to have received ‘at least two prior systemic therapies, one of which may have been in the neoadjuvant/adjuvant setting’. </w:t>
      </w:r>
      <w:r w:rsidR="009E0A36" w:rsidRPr="00E74297">
        <w:rPr>
          <w:bCs/>
        </w:rPr>
        <w:t xml:space="preserve">The ESC considered that this </w:t>
      </w:r>
      <w:r w:rsidR="00A736A9" w:rsidRPr="00E74297">
        <w:rPr>
          <w:bCs/>
        </w:rPr>
        <w:t>i</w:t>
      </w:r>
      <w:r w:rsidR="009E0A36" w:rsidRPr="00E74297">
        <w:rPr>
          <w:bCs/>
        </w:rPr>
        <w:t xml:space="preserve">s not consistent with the eligibility </w:t>
      </w:r>
      <w:r w:rsidR="00814794" w:rsidRPr="00E74297">
        <w:rPr>
          <w:bCs/>
        </w:rPr>
        <w:t xml:space="preserve">criteria </w:t>
      </w:r>
      <w:r w:rsidR="009E0A36" w:rsidRPr="00E74297">
        <w:rPr>
          <w:bCs/>
        </w:rPr>
        <w:t>of the pivotal TROPiCS-02 trial</w:t>
      </w:r>
      <w:r w:rsidR="003B6C32" w:rsidRPr="00E74297">
        <w:rPr>
          <w:bCs/>
        </w:rPr>
        <w:t>, the proposed TGA indication,</w:t>
      </w:r>
      <w:r w:rsidR="009E0A36" w:rsidRPr="00E74297">
        <w:rPr>
          <w:bCs/>
        </w:rPr>
        <w:t xml:space="preserve"> or</w:t>
      </w:r>
      <w:r w:rsidR="00814794" w:rsidRPr="00E74297">
        <w:rPr>
          <w:bCs/>
        </w:rPr>
        <w:t xml:space="preserve"> the</w:t>
      </w:r>
      <w:r w:rsidR="009E0A36" w:rsidRPr="00E74297">
        <w:rPr>
          <w:bCs/>
        </w:rPr>
        <w:t xml:space="preserve"> National Comprehensive Cancer Network (NCCN) guidelines</w:t>
      </w:r>
      <w:r w:rsidR="00FD7FAD" w:rsidRPr="00E74297">
        <w:rPr>
          <w:bCs/>
        </w:rPr>
        <w:t xml:space="preserve">. The </w:t>
      </w:r>
      <w:r w:rsidR="00515935" w:rsidRPr="00E74297">
        <w:rPr>
          <w:bCs/>
        </w:rPr>
        <w:t xml:space="preserve">PBAC noted that the </w:t>
      </w:r>
      <w:r w:rsidR="00FD7FAD" w:rsidRPr="00E74297">
        <w:rPr>
          <w:bCs/>
        </w:rPr>
        <w:t xml:space="preserve">TROPiCS-02 trial included patients who had received </w:t>
      </w:r>
      <w:r w:rsidR="001252BE" w:rsidRPr="00E74297">
        <w:rPr>
          <w:bCs/>
        </w:rPr>
        <w:t>a</w:t>
      </w:r>
      <w:r w:rsidR="00AF3FD4" w:rsidRPr="00E74297">
        <w:rPr>
          <w:bCs/>
        </w:rPr>
        <w:t xml:space="preserve"> median</w:t>
      </w:r>
      <w:r w:rsidR="001252BE" w:rsidRPr="00E74297">
        <w:rPr>
          <w:bCs/>
        </w:rPr>
        <w:t xml:space="preserve"> of 7</w:t>
      </w:r>
      <w:r w:rsidR="00AF3FD4" w:rsidRPr="00E74297">
        <w:rPr>
          <w:bCs/>
        </w:rPr>
        <w:t xml:space="preserve"> </w:t>
      </w:r>
      <w:r w:rsidR="001252BE" w:rsidRPr="00E74297">
        <w:rPr>
          <w:bCs/>
        </w:rPr>
        <w:t xml:space="preserve">previous systemic anti-cancer regimens, including </w:t>
      </w:r>
      <w:r w:rsidR="00FD7FAD" w:rsidRPr="00E74297">
        <w:rPr>
          <w:bCs/>
        </w:rPr>
        <w:t>an endocrine-based therapy, a CDK4/6 inhibitor</w:t>
      </w:r>
      <w:r w:rsidR="00105D51" w:rsidRPr="00E74297">
        <w:rPr>
          <w:bCs/>
        </w:rPr>
        <w:t>, a taxane</w:t>
      </w:r>
      <w:r w:rsidR="00FD7FAD" w:rsidRPr="00E74297">
        <w:rPr>
          <w:bCs/>
        </w:rPr>
        <w:t xml:space="preserve"> and </w:t>
      </w:r>
      <w:r w:rsidR="000604FB" w:rsidRPr="00E74297">
        <w:rPr>
          <w:bCs/>
        </w:rPr>
        <w:t xml:space="preserve">had been treated with </w:t>
      </w:r>
      <w:r w:rsidR="00AF3FD4" w:rsidRPr="00E74297">
        <w:rPr>
          <w:bCs/>
        </w:rPr>
        <w:t>1-9</w:t>
      </w:r>
      <w:r w:rsidR="00893342" w:rsidRPr="00E74297">
        <w:rPr>
          <w:bCs/>
        </w:rPr>
        <w:t xml:space="preserve"> </w:t>
      </w:r>
      <w:r w:rsidR="00FD7FAD" w:rsidRPr="00E74297">
        <w:rPr>
          <w:bCs/>
        </w:rPr>
        <w:t>prior lines of chemotherapy</w:t>
      </w:r>
      <w:r w:rsidR="00515935" w:rsidRPr="00E74297">
        <w:rPr>
          <w:bCs/>
        </w:rPr>
        <w:t xml:space="preserve">. </w:t>
      </w:r>
      <w:r w:rsidR="009E0A36" w:rsidRPr="00E74297">
        <w:rPr>
          <w:bCs/>
        </w:rPr>
        <w:t>The ESC considered that the magnitude of benefit in the proposed PBS population is uncertain given patients included in TROPiCS-02 were more heavily pre-treated, with a median of 4 prior lines of chemotherapy</w:t>
      </w:r>
      <w:r w:rsidR="0031007C" w:rsidRPr="00E74297">
        <w:rPr>
          <w:bCs/>
        </w:rPr>
        <w:t xml:space="preserve"> and a median of 3 prior chemotherapy regimens in the metastatic setting.</w:t>
      </w:r>
    </w:p>
    <w:p w14:paraId="1A5E3B6B" w14:textId="48C2E8CB" w:rsidR="00486F0B" w:rsidRPr="00E74297" w:rsidRDefault="00515935" w:rsidP="003B308C">
      <w:pPr>
        <w:pStyle w:val="3-BodyText"/>
        <w:rPr>
          <w:bCs/>
        </w:rPr>
      </w:pPr>
      <w:bookmarkStart w:id="15" w:name="_Ref137799943"/>
      <w:r w:rsidRPr="00E74297">
        <w:rPr>
          <w:bCs/>
        </w:rPr>
        <w:t>T</w:t>
      </w:r>
      <w:r w:rsidR="003B308C" w:rsidRPr="00E74297">
        <w:rPr>
          <w:bCs/>
        </w:rPr>
        <w:t>h</w:t>
      </w:r>
      <w:r w:rsidR="00EC1FD0" w:rsidRPr="00E74297">
        <w:rPr>
          <w:bCs/>
        </w:rPr>
        <w:t>e PBAC considered th</w:t>
      </w:r>
      <w:r w:rsidR="003B308C" w:rsidRPr="00E74297">
        <w:rPr>
          <w:bCs/>
        </w:rPr>
        <w:t xml:space="preserve">ere was </w:t>
      </w:r>
      <w:r w:rsidR="008F2E57" w:rsidRPr="00E74297">
        <w:rPr>
          <w:bCs/>
        </w:rPr>
        <w:t>little</w:t>
      </w:r>
      <w:r w:rsidR="003B308C" w:rsidRPr="00E74297">
        <w:rPr>
          <w:bCs/>
        </w:rPr>
        <w:t xml:space="preserve"> </w:t>
      </w:r>
      <w:r w:rsidR="008F2E57" w:rsidRPr="00E74297">
        <w:rPr>
          <w:bCs/>
        </w:rPr>
        <w:t xml:space="preserve">clinical </w:t>
      </w:r>
      <w:r w:rsidR="003B308C" w:rsidRPr="00E74297">
        <w:rPr>
          <w:bCs/>
        </w:rPr>
        <w:t xml:space="preserve">evidence to support a </w:t>
      </w:r>
      <w:r w:rsidR="008F2E57" w:rsidRPr="00E74297">
        <w:rPr>
          <w:bCs/>
        </w:rPr>
        <w:t xml:space="preserve">PBS </w:t>
      </w:r>
      <w:r w:rsidR="003B308C" w:rsidRPr="00E74297">
        <w:rPr>
          <w:bCs/>
        </w:rPr>
        <w:t xml:space="preserve">listing for </w:t>
      </w:r>
      <w:r w:rsidR="00571CF9" w:rsidRPr="00E74297">
        <w:rPr>
          <w:bCs/>
        </w:rPr>
        <w:t>SG</w:t>
      </w:r>
      <w:r w:rsidR="003B308C" w:rsidRPr="00E74297">
        <w:rPr>
          <w:bCs/>
        </w:rPr>
        <w:t xml:space="preserve"> in </w:t>
      </w:r>
      <w:r w:rsidR="008F2E57" w:rsidRPr="00E74297">
        <w:rPr>
          <w:bCs/>
        </w:rPr>
        <w:t>the</w:t>
      </w:r>
      <w:r w:rsidR="00CD599E" w:rsidRPr="00E74297">
        <w:rPr>
          <w:bCs/>
        </w:rPr>
        <w:t xml:space="preserve"> </w:t>
      </w:r>
      <w:r w:rsidR="00343E3C" w:rsidRPr="00E74297">
        <w:rPr>
          <w:bCs/>
        </w:rPr>
        <w:t>second- or third-line</w:t>
      </w:r>
      <w:r w:rsidR="00CD599E" w:rsidRPr="00E74297">
        <w:rPr>
          <w:bCs/>
        </w:rPr>
        <w:t xml:space="preserve"> </w:t>
      </w:r>
      <w:r w:rsidR="00C41E44" w:rsidRPr="00E74297">
        <w:rPr>
          <w:rStyle w:val="normaltextrun"/>
          <w:rFonts w:cs="Calibri"/>
          <w:color w:val="000000"/>
          <w:shd w:val="clear" w:color="auto" w:fill="FFFFFF"/>
        </w:rPr>
        <w:t xml:space="preserve">HR+/HER2- </w:t>
      </w:r>
      <w:r w:rsidR="000C02D1" w:rsidRPr="00E74297">
        <w:rPr>
          <w:rStyle w:val="normaltextrun"/>
          <w:rFonts w:cs="Calibri"/>
          <w:color w:val="000000"/>
          <w:shd w:val="clear" w:color="auto" w:fill="FFFFFF"/>
        </w:rPr>
        <w:t>metastatic breast cancer (</w:t>
      </w:r>
      <w:r w:rsidR="00C41E44" w:rsidRPr="00E74297">
        <w:rPr>
          <w:rStyle w:val="normaltextrun"/>
          <w:rFonts w:cs="Calibri"/>
          <w:color w:val="000000"/>
          <w:shd w:val="clear" w:color="auto" w:fill="FFFFFF"/>
        </w:rPr>
        <w:t>mBC</w:t>
      </w:r>
      <w:r w:rsidR="000C02D1" w:rsidRPr="00E74297">
        <w:rPr>
          <w:rStyle w:val="normaltextrun"/>
          <w:rFonts w:cs="Calibri"/>
          <w:color w:val="000000"/>
          <w:shd w:val="clear" w:color="auto" w:fill="FFFFFF"/>
        </w:rPr>
        <w:t>)</w:t>
      </w:r>
      <w:r w:rsidR="00C41E44" w:rsidRPr="00E74297">
        <w:rPr>
          <w:bCs/>
        </w:rPr>
        <w:t xml:space="preserve"> </w:t>
      </w:r>
      <w:r w:rsidR="003B308C" w:rsidRPr="00E74297">
        <w:rPr>
          <w:bCs/>
        </w:rPr>
        <w:t>setting</w:t>
      </w:r>
      <w:r w:rsidR="00EC1FD0" w:rsidRPr="00E74297">
        <w:rPr>
          <w:bCs/>
        </w:rPr>
        <w:t xml:space="preserve"> as proposed</w:t>
      </w:r>
      <w:r w:rsidR="003B308C" w:rsidRPr="00E74297">
        <w:rPr>
          <w:bCs/>
        </w:rPr>
        <w:t>. T</w:t>
      </w:r>
      <w:r w:rsidR="009065E8" w:rsidRPr="00E74297">
        <w:rPr>
          <w:bCs/>
        </w:rPr>
        <w:t>he</w:t>
      </w:r>
      <w:r w:rsidR="003B308C" w:rsidRPr="00E74297">
        <w:rPr>
          <w:bCs/>
        </w:rPr>
        <w:t xml:space="preserve"> </w:t>
      </w:r>
      <w:r w:rsidRPr="00E74297">
        <w:rPr>
          <w:bCs/>
        </w:rPr>
        <w:t>PBAC agreed with the ESC</w:t>
      </w:r>
      <w:r w:rsidR="003B308C" w:rsidRPr="00E74297">
        <w:rPr>
          <w:bCs/>
        </w:rPr>
        <w:t xml:space="preserve"> that the</w:t>
      </w:r>
      <w:r w:rsidR="009065E8" w:rsidRPr="00E74297">
        <w:rPr>
          <w:bCs/>
        </w:rPr>
        <w:t xml:space="preserve"> proposed listing of </w:t>
      </w:r>
      <w:r w:rsidR="00571CF9" w:rsidRPr="00E74297">
        <w:rPr>
          <w:bCs/>
        </w:rPr>
        <w:t>SG</w:t>
      </w:r>
      <w:r w:rsidR="009065E8" w:rsidRPr="00E74297">
        <w:rPr>
          <w:bCs/>
        </w:rPr>
        <w:t xml:space="preserve"> should reflect </w:t>
      </w:r>
      <w:r w:rsidR="003B308C" w:rsidRPr="00E74297">
        <w:rPr>
          <w:bCs/>
        </w:rPr>
        <w:t xml:space="preserve">the </w:t>
      </w:r>
      <w:r w:rsidR="00CD599E" w:rsidRPr="00E74297">
        <w:rPr>
          <w:rFonts w:cstheme="minorHAnsi"/>
          <w:bCs/>
        </w:rPr>
        <w:t>fourth</w:t>
      </w:r>
      <w:r w:rsidR="003B308C" w:rsidRPr="00E74297">
        <w:rPr>
          <w:bCs/>
        </w:rPr>
        <w:t xml:space="preserve"> </w:t>
      </w:r>
      <w:r w:rsidR="00C901BF" w:rsidRPr="00E74297">
        <w:rPr>
          <w:bCs/>
        </w:rPr>
        <w:t>or later line</w:t>
      </w:r>
      <w:r w:rsidR="003B308C" w:rsidRPr="00E74297">
        <w:rPr>
          <w:bCs/>
        </w:rPr>
        <w:t xml:space="preserve"> </w:t>
      </w:r>
      <w:r w:rsidR="00C41E44" w:rsidRPr="00E74297">
        <w:rPr>
          <w:bCs/>
        </w:rPr>
        <w:t xml:space="preserve">setting </w:t>
      </w:r>
      <w:r w:rsidR="003B308C" w:rsidRPr="00E74297">
        <w:rPr>
          <w:bCs/>
        </w:rPr>
        <w:t>of treatment</w:t>
      </w:r>
      <w:r w:rsidR="00C901BF" w:rsidRPr="00E74297">
        <w:rPr>
          <w:bCs/>
        </w:rPr>
        <w:t xml:space="preserve"> (including endocrine therapy)</w:t>
      </w:r>
      <w:r w:rsidR="003B308C" w:rsidRPr="00E74297">
        <w:rPr>
          <w:bCs/>
        </w:rPr>
        <w:t xml:space="preserve">, consistent with </w:t>
      </w:r>
      <w:r w:rsidR="009065E8" w:rsidRPr="00E74297">
        <w:rPr>
          <w:bCs/>
        </w:rPr>
        <w:t xml:space="preserve">the eligibility criteria of the TROPiCS-02 trial. </w:t>
      </w:r>
      <w:r w:rsidR="00486F0B" w:rsidRPr="00E74297">
        <w:rPr>
          <w:bCs/>
        </w:rPr>
        <w:t>The PBAC considered that the restriction should not specify a maximum number of prior systemic treatments as the small number of patients who have been treated with more than 4 prior chemotherapy regimens and remain fit for SG are likely to benefit from treatment with a different class of chemotherapy.</w:t>
      </w:r>
    </w:p>
    <w:p w14:paraId="76108470" w14:textId="77777777" w:rsidR="000E337C" w:rsidRPr="00E74297" w:rsidRDefault="00F137BC" w:rsidP="003B308C">
      <w:pPr>
        <w:pStyle w:val="3-BodyText"/>
        <w:rPr>
          <w:bCs/>
        </w:rPr>
      </w:pPr>
      <w:r w:rsidRPr="00E74297">
        <w:rPr>
          <w:bCs/>
        </w:rPr>
        <w:t xml:space="preserve">The PBAC considered that the restriction should </w:t>
      </w:r>
      <w:r w:rsidR="00D00380" w:rsidRPr="00E74297">
        <w:rPr>
          <w:bCs/>
        </w:rPr>
        <w:t xml:space="preserve">be consistent with the inclusion criteria of the TROPiCS 02 trial and specify </w:t>
      </w:r>
      <w:r w:rsidRPr="00E74297">
        <w:rPr>
          <w:bCs/>
        </w:rPr>
        <w:t xml:space="preserve">use </w:t>
      </w:r>
      <w:r w:rsidR="00AA43D6" w:rsidRPr="00E74297">
        <w:rPr>
          <w:bCs/>
        </w:rPr>
        <w:t xml:space="preserve">of </w:t>
      </w:r>
      <w:r w:rsidR="00D00380" w:rsidRPr="00E74297">
        <w:rPr>
          <w:bCs/>
        </w:rPr>
        <w:t>at least two prior chemotherapy regimens for metastatic disease</w:t>
      </w:r>
      <w:r w:rsidRPr="00E74297">
        <w:rPr>
          <w:bCs/>
        </w:rPr>
        <w:t>.</w:t>
      </w:r>
    </w:p>
    <w:p w14:paraId="3668E600" w14:textId="0DB25D11" w:rsidR="006A53F0" w:rsidRPr="00E74297" w:rsidRDefault="006A53F0" w:rsidP="006A53F0">
      <w:pPr>
        <w:pStyle w:val="3-BodyText"/>
        <w:rPr>
          <w:bCs/>
        </w:rPr>
      </w:pPr>
      <w:r w:rsidRPr="00E74297">
        <w:rPr>
          <w:bCs/>
        </w:rPr>
        <w:lastRenderedPageBreak/>
        <w:t xml:space="preserve">The PBS listing for SG in the mTNBC setting includes a caution </w:t>
      </w:r>
      <w:r w:rsidR="00327FBE" w:rsidRPr="00E74297">
        <w:rPr>
          <w:bCs/>
        </w:rPr>
        <w:t>regarding toxicity.</w:t>
      </w:r>
      <w:r w:rsidRPr="00E74297">
        <w:rPr>
          <w:bCs/>
        </w:rPr>
        <w:t xml:space="preserve"> The</w:t>
      </w:r>
      <w:r w:rsidR="00057A97">
        <w:rPr>
          <w:bCs/>
        </w:rPr>
        <w:t xml:space="preserve"> </w:t>
      </w:r>
      <w:r w:rsidRPr="00E74297">
        <w:rPr>
          <w:bCs/>
        </w:rPr>
        <w:t xml:space="preserve">PBAC considered this information should also be included as a caution in </w:t>
      </w:r>
      <w:r w:rsidR="00282491" w:rsidRPr="00E74297">
        <w:rPr>
          <w:bCs/>
        </w:rPr>
        <w:t xml:space="preserve">the </w:t>
      </w:r>
      <w:r w:rsidR="00282491" w:rsidRPr="00E74297">
        <w:t xml:space="preserve">HR+/HER2- </w:t>
      </w:r>
      <w:r w:rsidRPr="00E74297">
        <w:rPr>
          <w:bCs/>
        </w:rPr>
        <w:t>restriction.</w:t>
      </w:r>
    </w:p>
    <w:bookmarkEnd w:id="15"/>
    <w:p w14:paraId="40C04CB7" w14:textId="77777777" w:rsidR="000E337C" w:rsidRPr="00E74297" w:rsidRDefault="006A53F0" w:rsidP="006A53F0">
      <w:pPr>
        <w:pStyle w:val="3-BodyText"/>
        <w:rPr>
          <w:bCs/>
        </w:rPr>
      </w:pPr>
      <w:r w:rsidRPr="00E74297">
        <w:rPr>
          <w:bCs/>
        </w:rPr>
        <w:t>The submission requested a grandfather listing (transitioning from non-PBS to PBS-subsidised supply). The submission estimated that 60 patients from the patient access program would be eligible to receive PBS subsidised treatment should the PBAC recommend SG for listing on the PBS for patients with unresectable locally advanced or metastatic HR+/HER2- BC. The PBAC considered the proposed initial treatment restrictions could be amended to allow patients who have been treated with non-PBS subsidised supply to qualify for treatment, such that a separate grandfather listing is not required.</w:t>
      </w:r>
    </w:p>
    <w:p w14:paraId="391EB0E5" w14:textId="72B5BA7D" w:rsidR="00F452C5" w:rsidRPr="00E74297" w:rsidRDefault="00F452C5" w:rsidP="00F452C5">
      <w:pPr>
        <w:ind w:firstLine="720"/>
        <w:rPr>
          <w:i/>
          <w:iCs/>
        </w:rPr>
      </w:pPr>
      <w:r w:rsidRPr="00E74297">
        <w:rPr>
          <w:i/>
          <w:iCs/>
        </w:rPr>
        <w:t>For more detail on PBAC’s view, see section 7 PBAC outcome.</w:t>
      </w:r>
    </w:p>
    <w:p w14:paraId="07842F09" w14:textId="77777777" w:rsidR="00DD76FD" w:rsidRPr="00E74297" w:rsidDel="00195452" w:rsidRDefault="00DD76FD" w:rsidP="00DD76FD">
      <w:pPr>
        <w:pStyle w:val="2-SectionHeading"/>
        <w:numPr>
          <w:ilvl w:val="0"/>
          <w:numId w:val="1"/>
        </w:numPr>
      </w:pPr>
      <w:bookmarkStart w:id="16" w:name="_Toc132638496"/>
      <w:bookmarkStart w:id="17" w:name="_Toc135207379"/>
      <w:r w:rsidRPr="00E74297" w:rsidDel="00195452">
        <w:t>Population and disease</w:t>
      </w:r>
      <w:bookmarkEnd w:id="16"/>
      <w:bookmarkEnd w:id="17"/>
    </w:p>
    <w:p w14:paraId="73F74F53" w14:textId="77777777" w:rsidR="000E337C" w:rsidRPr="00E74297" w:rsidRDefault="00DD76FD" w:rsidP="00DD76FD">
      <w:pPr>
        <w:pStyle w:val="3-BodyText"/>
      </w:pPr>
      <w:bookmarkStart w:id="18" w:name="_Hlk132380537"/>
      <w:r w:rsidRPr="00E74297">
        <w:t xml:space="preserve">Breast cancer is the most diagnosed cancer in Australian women, accounting for 30% of all new cancer cases. In 2021, it was estimated that 20,030 new cases of breast cancer </w:t>
      </w:r>
      <w:r w:rsidR="00CB114A" w:rsidRPr="00E74297">
        <w:t>were</w:t>
      </w:r>
      <w:r w:rsidRPr="00E74297">
        <w:t xml:space="preserve"> diagnosed in Australia</w:t>
      </w:r>
      <w:r w:rsidRPr="00E74297">
        <w:rPr>
          <w:rStyle w:val="FootnoteReference"/>
        </w:rPr>
        <w:footnoteReference w:id="1"/>
      </w:r>
      <w:r w:rsidRPr="00E74297">
        <w:t xml:space="preserve">, </w:t>
      </w:r>
      <w:r w:rsidR="00CB114A" w:rsidRPr="00E74297">
        <w:t xml:space="preserve">approximately </w:t>
      </w:r>
      <w:r w:rsidRPr="00E74297">
        <w:t xml:space="preserve">70% of which </w:t>
      </w:r>
      <w:r w:rsidR="00CB114A" w:rsidRPr="00E74297">
        <w:t xml:space="preserve">were likely to </w:t>
      </w:r>
      <w:r w:rsidRPr="00E74297">
        <w:t>be HR+/HER2-</w:t>
      </w:r>
      <w:r w:rsidR="00317B70" w:rsidRPr="00E74297">
        <w:fldChar w:fldCharType="begin" w:fldLock="1"/>
      </w:r>
      <w:r w:rsidR="00317B70" w:rsidRPr="00E74297">
        <w:instrText xml:space="preserve"> NOTEREF _Ref134626230 \f \h </w:instrText>
      </w:r>
      <w:r w:rsidR="00317B70" w:rsidRPr="00E74297">
        <w:fldChar w:fldCharType="separate"/>
      </w:r>
      <w:r w:rsidR="00AE1DC7" w:rsidRPr="00E74297">
        <w:rPr>
          <w:rStyle w:val="FootnoteReference"/>
        </w:rPr>
        <w:t>3</w:t>
      </w:r>
      <w:r w:rsidR="00317B70" w:rsidRPr="00E74297">
        <w:fldChar w:fldCharType="end"/>
      </w:r>
      <w:r w:rsidRPr="00E74297">
        <w:t>. HR+ breast cancer is characterised by cancer cells that have receptors for oestrogen and/or progesterone</w:t>
      </w:r>
      <w:bookmarkStart w:id="19" w:name="_Ref134626230"/>
      <w:r w:rsidRPr="00E74297">
        <w:rPr>
          <w:rStyle w:val="FootnoteReference"/>
        </w:rPr>
        <w:footnoteReference w:id="2"/>
      </w:r>
      <w:bookmarkEnd w:id="19"/>
      <w:r w:rsidRPr="00E74297">
        <w:t>. Hormone therapies, such as tamoxifen or aromatase inhibitors, can block the effects of these hormones and slow down the growth of cancer cells. HER2- breast cancer lacks expression of the HER2 protein and it is less susceptible to treatment with HER2-</w:t>
      </w:r>
      <w:r w:rsidR="007C36CC" w:rsidRPr="00E74297">
        <w:t xml:space="preserve"> </w:t>
      </w:r>
      <w:r w:rsidRPr="00E74297">
        <w:t>targeted therapies.</w:t>
      </w:r>
    </w:p>
    <w:p w14:paraId="15F49821" w14:textId="2C4BD356" w:rsidR="00DD76FD" w:rsidRPr="00E74297" w:rsidRDefault="00DD76FD" w:rsidP="00DD76FD">
      <w:pPr>
        <w:pStyle w:val="3-BodyText"/>
      </w:pPr>
      <w:r w:rsidRPr="00E74297">
        <w:t>The stage grouping for breast cancer ranges from stage 0 (non-invasive, also known as carcinoma in situ) to stage IV (advanced or metastatic cancer that has spread to other parts of the body). Unresectable locally advanced and metastatic cancer is not curable, but it can be treated to slow its progression and manage symptoms, with the goal of extending the patient's life and improving their quality of life</w:t>
      </w:r>
      <w:r w:rsidRPr="00E74297">
        <w:rPr>
          <w:rStyle w:val="FootnoteReference"/>
        </w:rPr>
        <w:footnoteReference w:id="3"/>
      </w:r>
      <w:r w:rsidRPr="00E74297">
        <w:t>.</w:t>
      </w:r>
    </w:p>
    <w:p w14:paraId="4A700EB9" w14:textId="77777777" w:rsidR="000E337C" w:rsidRPr="00E74297" w:rsidRDefault="00571CF9" w:rsidP="00F452C5">
      <w:pPr>
        <w:pStyle w:val="3-BodyText"/>
      </w:pPr>
      <w:r w:rsidRPr="00E74297">
        <w:t>SG</w:t>
      </w:r>
      <w:r w:rsidR="00DD76FD" w:rsidRPr="00E74297">
        <w:t xml:space="preserve"> is a</w:t>
      </w:r>
      <w:r w:rsidR="00796A6D" w:rsidRPr="00E74297">
        <w:t>n</w:t>
      </w:r>
      <w:r w:rsidR="00DD76FD" w:rsidRPr="00E74297">
        <w:t xml:space="preserve"> ADC that is being evaluated in patients with various epithelial tumours, including HR+/HER2</w:t>
      </w:r>
      <w:r w:rsidR="00D260B5" w:rsidRPr="00E74297">
        <w:t>-</w:t>
      </w:r>
      <w:r w:rsidR="00DD76FD" w:rsidRPr="00E74297">
        <w:t xml:space="preserve"> metastatic breast cancer. </w:t>
      </w:r>
      <w:r w:rsidRPr="00E74297">
        <w:t>SG</w:t>
      </w:r>
      <w:r w:rsidR="00DD76FD" w:rsidRPr="00E74297">
        <w:t xml:space="preserve"> is directed to target the human trophoblast cell-surface antigen 2 (TROP-2) receptor, a protein frequently expressed in multiple types of epithelial (breast) tumours. TROP-2 expression is higher in HER2- breast tumours and is associated with poorer overall survival and disease-free survival. </w:t>
      </w:r>
      <w:r w:rsidRPr="00E74297">
        <w:t>SG</w:t>
      </w:r>
      <w:r w:rsidR="00DD76FD" w:rsidRPr="00E74297">
        <w:t xml:space="preserve"> combines the cytotoxicity </w:t>
      </w:r>
      <w:r w:rsidR="00796A6D" w:rsidRPr="00E74297">
        <w:t xml:space="preserve">of </w:t>
      </w:r>
      <w:r w:rsidR="00DD76FD" w:rsidRPr="00E74297">
        <w:t>the chemotherapy agent SN-38</w:t>
      </w:r>
      <w:r w:rsidR="009847B9" w:rsidRPr="00E74297">
        <w:t xml:space="preserve"> (the active metabolite of irinotecan)</w:t>
      </w:r>
      <w:r w:rsidR="00DD76FD" w:rsidRPr="00E74297">
        <w:t xml:space="preserve">, with antigen specific targeted therapy. SN-38 is a topoisomerase I inhibitor that acts to prevent re-ligation of topoisomerase I-induced </w:t>
      </w:r>
      <w:r w:rsidR="00DD76FD" w:rsidRPr="00E74297">
        <w:lastRenderedPageBreak/>
        <w:t>single strand breaks, creating genomic instability. SG can deliver cytotoxic chemotherapy to tumours and adjacent cancer cells in concentrations that are higher than those attainable with standard chemotherapy</w:t>
      </w:r>
      <w:r w:rsidR="00DD76FD" w:rsidRPr="00E74297">
        <w:rPr>
          <w:vertAlign w:val="superscript"/>
        </w:rPr>
        <w:footnoteReference w:id="4"/>
      </w:r>
      <w:r w:rsidR="00DD76FD" w:rsidRPr="00E74297">
        <w:t>.</w:t>
      </w:r>
    </w:p>
    <w:p w14:paraId="63EE5ED1" w14:textId="71AB0F1F" w:rsidR="00F452C5" w:rsidRPr="00E74297" w:rsidRDefault="00F452C5" w:rsidP="00F452C5">
      <w:pPr>
        <w:ind w:firstLine="720"/>
        <w:rPr>
          <w:i/>
          <w:iCs/>
        </w:rPr>
      </w:pPr>
      <w:r w:rsidRPr="00E74297">
        <w:rPr>
          <w:i/>
          <w:iCs/>
        </w:rPr>
        <w:t>For more detail on PBAC’s view, see section 7 PBAC outcome.</w:t>
      </w:r>
    </w:p>
    <w:p w14:paraId="2B739E1E" w14:textId="515B201E" w:rsidR="00DD76FD" w:rsidRPr="00E74297" w:rsidRDefault="00DD76FD" w:rsidP="00DD76FD">
      <w:pPr>
        <w:pStyle w:val="2-SectionHeading"/>
        <w:numPr>
          <w:ilvl w:val="0"/>
          <w:numId w:val="1"/>
        </w:numPr>
      </w:pPr>
      <w:bookmarkStart w:id="20" w:name="_Toc132638497"/>
      <w:bookmarkStart w:id="21" w:name="_Toc135207380"/>
      <w:bookmarkEnd w:id="18"/>
      <w:r w:rsidRPr="00E74297">
        <w:t>Comparator</w:t>
      </w:r>
      <w:bookmarkEnd w:id="20"/>
      <w:bookmarkEnd w:id="21"/>
    </w:p>
    <w:p w14:paraId="1DF1B765" w14:textId="21759F16" w:rsidR="000E337C" w:rsidRPr="00E74297" w:rsidRDefault="00DD76FD" w:rsidP="00C46B76">
      <w:pPr>
        <w:pStyle w:val="3-BodyText"/>
      </w:pPr>
      <w:bookmarkStart w:id="22" w:name="_Hlk132381808"/>
      <w:r w:rsidRPr="00E74297">
        <w:t xml:space="preserve">The proposed comparator for this submission is single-agent TPC, consisting of eribulin, capecitabine, gemcitabine, or vinorelbine, the most commonly used chemotherapy agents in the target population and the most likely to be replaced by SG in clinical practice. Although there are no specific guidelines for the treatment of HR+/HER2- advanced breast cancer in Australia, the </w:t>
      </w:r>
      <w:r w:rsidR="00587D37" w:rsidRPr="00E74297">
        <w:t>PBAC considered the proposed comparator</w:t>
      </w:r>
      <w:r w:rsidRPr="00E74297">
        <w:t xml:space="preserve"> </w:t>
      </w:r>
      <w:r w:rsidR="00587D37" w:rsidRPr="00E74297">
        <w:t xml:space="preserve">generally </w:t>
      </w:r>
      <w:r w:rsidRPr="00E74297">
        <w:t>align</w:t>
      </w:r>
      <w:r w:rsidR="00C901BF" w:rsidRPr="00E74297">
        <w:t>s</w:t>
      </w:r>
      <w:r w:rsidRPr="00E74297">
        <w:t xml:space="preserve"> with other PBS restrictions and the ESMO</w:t>
      </w:r>
      <w:r w:rsidRPr="00E74297">
        <w:rPr>
          <w:vertAlign w:val="superscript"/>
        </w:rPr>
        <w:footnoteReference w:id="5"/>
      </w:r>
      <w:r w:rsidRPr="00E74297">
        <w:t xml:space="preserve"> and NCCN</w:t>
      </w:r>
      <w:r w:rsidRPr="00E74297">
        <w:rPr>
          <w:vertAlign w:val="superscript"/>
        </w:rPr>
        <w:footnoteReference w:id="6"/>
      </w:r>
      <w:r w:rsidRPr="00E74297">
        <w:t xml:space="preserve"> guidelines</w:t>
      </w:r>
      <w:r w:rsidR="00587D37" w:rsidRPr="00E74297">
        <w:t>. The PBAC noted that there are other treatments that could also be considered in this setting and guidelines don’t refer to specific sequencing of treatments</w:t>
      </w:r>
      <w:r w:rsidR="00C46B76" w:rsidRPr="00E74297">
        <w:t>. R</w:t>
      </w:r>
      <w:r w:rsidR="00587D37" w:rsidRPr="00E74297">
        <w:t>ather</w:t>
      </w:r>
      <w:r w:rsidR="00C46B76" w:rsidRPr="00E74297">
        <w:t>,</w:t>
      </w:r>
      <w:r w:rsidR="00587D37" w:rsidRPr="00E74297">
        <w:t xml:space="preserve"> </w:t>
      </w:r>
      <w:r w:rsidR="002659B1" w:rsidRPr="00E74297">
        <w:t>clinicians</w:t>
      </w:r>
      <w:r w:rsidR="00587D37" w:rsidRPr="00E74297">
        <w:t xml:space="preserve"> consider the patient and tumour factors in selecting the </w:t>
      </w:r>
      <w:r w:rsidR="00C46B76" w:rsidRPr="00E74297">
        <w:t>appropriate treatment and</w:t>
      </w:r>
      <w:r w:rsidR="002C0E99" w:rsidRPr="00E74297">
        <w:t xml:space="preserve"> the general approach </w:t>
      </w:r>
      <w:r w:rsidR="00587D37" w:rsidRPr="00E74297">
        <w:t xml:space="preserve">in </w:t>
      </w:r>
      <w:r w:rsidR="00587D37" w:rsidRPr="00E74297">
        <w:rPr>
          <w:rStyle w:val="normaltextrun"/>
          <w:rFonts w:cs="Calibri"/>
          <w:color w:val="000000"/>
          <w:shd w:val="clear" w:color="auto" w:fill="FFFFFF"/>
        </w:rPr>
        <w:t>HR+/HER2- mBC</w:t>
      </w:r>
      <w:r w:rsidR="00587D37" w:rsidRPr="00E74297">
        <w:rPr>
          <w:bCs/>
        </w:rPr>
        <w:t xml:space="preserve"> </w:t>
      </w:r>
      <w:r w:rsidR="002C0E99" w:rsidRPr="00E74297">
        <w:t>is to treat with hormonal therapy in early line</w:t>
      </w:r>
      <w:r w:rsidR="00700191" w:rsidRPr="00E74297">
        <w:t>s</w:t>
      </w:r>
      <w:r w:rsidR="002C0E99" w:rsidRPr="00E74297">
        <w:t>, followed by low toxicity chemotherapy (e.g.</w:t>
      </w:r>
      <w:r w:rsidR="00B5220A">
        <w:t> </w:t>
      </w:r>
      <w:r w:rsidR="002C0E99" w:rsidRPr="00E74297">
        <w:t>capecitabine)</w:t>
      </w:r>
      <w:r w:rsidR="00FE3D1A" w:rsidRPr="00E74297">
        <w:t xml:space="preserve"> and then more toxic IV chemotherapy in later lines of therapy.</w:t>
      </w:r>
    </w:p>
    <w:p w14:paraId="17AF1B16" w14:textId="7694B805" w:rsidR="000E337C" w:rsidRPr="00E74297" w:rsidRDefault="00FE3D1A" w:rsidP="00D06CD4">
      <w:pPr>
        <w:pStyle w:val="3-BodyText"/>
      </w:pPr>
      <w:r w:rsidRPr="00E74297">
        <w:t>The PBAC agreed with the ESC</w:t>
      </w:r>
      <w:r w:rsidR="00C901BF" w:rsidRPr="00E74297">
        <w:t xml:space="preserve"> that the proposed treatment algorithm for </w:t>
      </w:r>
      <w:r w:rsidR="00571CF9" w:rsidRPr="00E74297">
        <w:t>SG</w:t>
      </w:r>
      <w:r w:rsidR="00C901BF" w:rsidRPr="00E74297">
        <w:t xml:space="preserve">, where it was proposed as </w:t>
      </w:r>
      <w:r w:rsidR="00343E3C" w:rsidRPr="00E74297">
        <w:t>second- or third-line</w:t>
      </w:r>
      <w:r w:rsidR="00C901BF" w:rsidRPr="00E74297">
        <w:t xml:space="preserve"> treatment, was not aligned with the proposed TGA indication or NCCN guidelines (see also </w:t>
      </w:r>
      <w:r w:rsidR="00402FDA" w:rsidRPr="00E74297">
        <w:t xml:space="preserve">paragraph </w:t>
      </w:r>
      <w:r w:rsidR="00402FDA" w:rsidRPr="00E74297">
        <w:fldChar w:fldCharType="begin" w:fldLock="1"/>
      </w:r>
      <w:r w:rsidR="00402FDA" w:rsidRPr="00E74297">
        <w:instrText xml:space="preserve"> REF _Ref137799943 \r \h </w:instrText>
      </w:r>
      <w:r w:rsidR="00D06CD4" w:rsidRPr="00E74297">
        <w:instrText xml:space="preserve"> \* MERGEFORMAT </w:instrText>
      </w:r>
      <w:r w:rsidR="00402FDA" w:rsidRPr="00E74297">
        <w:fldChar w:fldCharType="separate"/>
      </w:r>
      <w:r w:rsidR="00AE1DC7" w:rsidRPr="00E74297">
        <w:t>3.6</w:t>
      </w:r>
      <w:r w:rsidR="00402FDA" w:rsidRPr="00E74297">
        <w:fldChar w:fldCharType="end"/>
      </w:r>
      <w:r w:rsidR="00402FDA" w:rsidRPr="00E74297">
        <w:t>)</w:t>
      </w:r>
      <w:r w:rsidR="00C901BF" w:rsidRPr="00E74297">
        <w:t>.</w:t>
      </w:r>
    </w:p>
    <w:p w14:paraId="1D2088D5" w14:textId="699B064D" w:rsidR="00AA1679" w:rsidRPr="00A63084" w:rsidRDefault="00D06CD4" w:rsidP="00A63084">
      <w:pPr>
        <w:ind w:firstLine="720"/>
        <w:rPr>
          <w:i/>
          <w:iCs/>
        </w:rPr>
      </w:pPr>
      <w:r w:rsidRPr="00E74297">
        <w:rPr>
          <w:i/>
          <w:iCs/>
        </w:rPr>
        <w:t>For more detail on PBAC’s view, see section 7 PBAC outcome.</w:t>
      </w:r>
    </w:p>
    <w:p w14:paraId="5D562647" w14:textId="77777777" w:rsidR="00DD76FD" w:rsidRPr="00E74297" w:rsidRDefault="00DD76FD" w:rsidP="00DD76FD">
      <w:pPr>
        <w:pStyle w:val="2-SectionHeading"/>
        <w:numPr>
          <w:ilvl w:val="0"/>
          <w:numId w:val="1"/>
        </w:numPr>
      </w:pPr>
      <w:bookmarkStart w:id="23" w:name="_Toc132638498"/>
      <w:bookmarkStart w:id="24" w:name="_Toc135207381"/>
      <w:bookmarkStart w:id="25" w:name="_Toc22897640"/>
      <w:bookmarkEnd w:id="22"/>
      <w:r w:rsidRPr="00E74297">
        <w:t>Consideration of the evidence</w:t>
      </w:r>
      <w:bookmarkEnd w:id="23"/>
      <w:bookmarkEnd w:id="24"/>
    </w:p>
    <w:p w14:paraId="23F739E2" w14:textId="77777777" w:rsidR="00D06CD4" w:rsidRPr="00E74297" w:rsidRDefault="00D06CD4" w:rsidP="004459BC">
      <w:pPr>
        <w:pStyle w:val="4-SubsectionHeading"/>
      </w:pPr>
      <w:bookmarkStart w:id="26" w:name="_Hlk76375935"/>
      <w:bookmarkStart w:id="27" w:name="_Toc129765514"/>
      <w:bookmarkStart w:id="28" w:name="_Toc132638499"/>
      <w:bookmarkStart w:id="29" w:name="_Toc135207382"/>
      <w:bookmarkEnd w:id="25"/>
      <w:r w:rsidRPr="00E74297">
        <w:t>Sponsor hearing</w:t>
      </w:r>
    </w:p>
    <w:p w14:paraId="5655CAB1" w14:textId="387636C4" w:rsidR="000E337C" w:rsidRPr="00E74297" w:rsidRDefault="00D06CD4" w:rsidP="00D06CD4">
      <w:pPr>
        <w:widowControl w:val="0"/>
        <w:numPr>
          <w:ilvl w:val="1"/>
          <w:numId w:val="1"/>
        </w:numPr>
        <w:spacing w:after="120"/>
        <w:rPr>
          <w:rFonts w:asciiTheme="minorHAnsi" w:hAnsiTheme="minorHAnsi"/>
          <w:bCs/>
          <w:snapToGrid w:val="0"/>
        </w:rPr>
      </w:pPr>
      <w:bookmarkStart w:id="30" w:name="_Hlk76382586"/>
      <w:r w:rsidRPr="00E74297">
        <w:rPr>
          <w:rFonts w:asciiTheme="minorHAnsi" w:hAnsiTheme="minorHAnsi"/>
          <w:bCs/>
          <w:snapToGrid w:val="0"/>
        </w:rPr>
        <w:t xml:space="preserve">The sponsor requested a hearing for this item. The clinician </w:t>
      </w:r>
      <w:r w:rsidR="001C6E68" w:rsidRPr="00E74297">
        <w:rPr>
          <w:rFonts w:asciiTheme="minorHAnsi" w:hAnsiTheme="minorHAnsi"/>
          <w:bCs/>
          <w:snapToGrid w:val="0"/>
        </w:rPr>
        <w:t xml:space="preserve">described the high clinical need for effective treatment for patients with HR+/HER2- breast cancer, where treatment options are limited and associated with significant toxicity. The clinician noted that there is variability between patients in this setting, some of whom are young and some (around 40%) have more aggressive and endocrine resistant disease that progresses to chemotherapy faster. The clinician noted that with each subsequent chemotherapy there </w:t>
      </w:r>
      <w:r w:rsidR="00C46B76" w:rsidRPr="00E74297">
        <w:rPr>
          <w:rFonts w:asciiTheme="minorHAnsi" w:hAnsiTheme="minorHAnsi"/>
          <w:bCs/>
          <w:snapToGrid w:val="0"/>
        </w:rPr>
        <w:t xml:space="preserve">is </w:t>
      </w:r>
      <w:r w:rsidR="001C6E68" w:rsidRPr="00E74297">
        <w:rPr>
          <w:rFonts w:asciiTheme="minorHAnsi" w:hAnsiTheme="minorHAnsi"/>
          <w:bCs/>
          <w:snapToGrid w:val="0"/>
        </w:rPr>
        <w:t xml:space="preserve">likely to be less response, from 80-90% response in first line to approximately 20% response rate in third line. The clinician noted that </w:t>
      </w:r>
      <w:r w:rsidR="001C6E68" w:rsidRPr="00E74297">
        <w:rPr>
          <w:rFonts w:asciiTheme="minorHAnsi" w:hAnsiTheme="minorHAnsi"/>
          <w:bCs/>
          <w:snapToGrid w:val="0"/>
        </w:rPr>
        <w:lastRenderedPageBreak/>
        <w:t xml:space="preserve">experience with SG </w:t>
      </w:r>
      <w:r w:rsidR="002C0E99" w:rsidRPr="00E74297">
        <w:rPr>
          <w:rFonts w:asciiTheme="minorHAnsi" w:hAnsiTheme="minorHAnsi"/>
          <w:bCs/>
          <w:snapToGrid w:val="0"/>
        </w:rPr>
        <w:t>indicated</w:t>
      </w:r>
      <w:r w:rsidR="001C6E68" w:rsidRPr="00E74297">
        <w:rPr>
          <w:rFonts w:asciiTheme="minorHAnsi" w:hAnsiTheme="minorHAnsi"/>
          <w:bCs/>
          <w:snapToGrid w:val="0"/>
        </w:rPr>
        <w:t xml:space="preserve"> that there was a higher response rate than with chemotherapy and a longer benefit, with minimal toxicity and increased QoL. </w:t>
      </w:r>
      <w:r w:rsidR="002C0E99" w:rsidRPr="00E74297">
        <w:rPr>
          <w:rFonts w:asciiTheme="minorHAnsi" w:hAnsiTheme="minorHAnsi"/>
          <w:bCs/>
          <w:snapToGrid w:val="0"/>
        </w:rPr>
        <w:t>The</w:t>
      </w:r>
      <w:r w:rsidR="00B5220A">
        <w:rPr>
          <w:rFonts w:asciiTheme="minorHAnsi" w:hAnsiTheme="minorHAnsi"/>
          <w:bCs/>
          <w:snapToGrid w:val="0"/>
        </w:rPr>
        <w:t> </w:t>
      </w:r>
      <w:r w:rsidR="002C0E99" w:rsidRPr="00E74297">
        <w:rPr>
          <w:rFonts w:asciiTheme="minorHAnsi" w:hAnsiTheme="minorHAnsi"/>
          <w:bCs/>
          <w:snapToGrid w:val="0"/>
        </w:rPr>
        <w:t>clinician noted that improvement was experienced early in the TROP</w:t>
      </w:r>
      <w:r w:rsidR="00C46B76" w:rsidRPr="00E74297">
        <w:rPr>
          <w:rFonts w:asciiTheme="minorHAnsi" w:hAnsiTheme="minorHAnsi"/>
          <w:bCs/>
          <w:snapToGrid w:val="0"/>
        </w:rPr>
        <w:t>i</w:t>
      </w:r>
      <w:r w:rsidR="002C0E99" w:rsidRPr="00E74297">
        <w:rPr>
          <w:rFonts w:asciiTheme="minorHAnsi" w:hAnsiTheme="minorHAnsi"/>
          <w:bCs/>
          <w:snapToGrid w:val="0"/>
        </w:rPr>
        <w:t>C</w:t>
      </w:r>
      <w:r w:rsidR="00C46B76" w:rsidRPr="00E74297">
        <w:rPr>
          <w:rFonts w:asciiTheme="minorHAnsi" w:hAnsiTheme="minorHAnsi"/>
          <w:bCs/>
          <w:snapToGrid w:val="0"/>
        </w:rPr>
        <w:t>S-02</w:t>
      </w:r>
      <w:r w:rsidR="002C0E99" w:rsidRPr="00E74297">
        <w:rPr>
          <w:rFonts w:asciiTheme="minorHAnsi" w:hAnsiTheme="minorHAnsi"/>
          <w:bCs/>
          <w:snapToGrid w:val="0"/>
        </w:rPr>
        <w:t xml:space="preserve"> trial, which is particularly important for patients with a high burden of disease. The clinician considered that the treatment benefit is highest in earlier lines of treatment and that it would be preferable to treat patients with SG as early as possible once they are refractory to endocrine therapy.</w:t>
      </w:r>
    </w:p>
    <w:bookmarkEnd w:id="30"/>
    <w:p w14:paraId="6D6D7127" w14:textId="33AEDCB5" w:rsidR="00D06CD4" w:rsidRPr="00E74297" w:rsidRDefault="00D06CD4" w:rsidP="004459BC">
      <w:pPr>
        <w:pStyle w:val="4-SubsectionHeading"/>
      </w:pPr>
      <w:r w:rsidRPr="00E74297">
        <w:t>Consumer comments</w:t>
      </w:r>
    </w:p>
    <w:p w14:paraId="1A9AD304" w14:textId="27B8AE89" w:rsidR="00D06CD4" w:rsidRPr="00E74297" w:rsidRDefault="00D06CD4" w:rsidP="00CC490B">
      <w:pPr>
        <w:widowControl w:val="0"/>
        <w:numPr>
          <w:ilvl w:val="1"/>
          <w:numId w:val="1"/>
        </w:numPr>
        <w:spacing w:after="120"/>
        <w:rPr>
          <w:rFonts w:asciiTheme="minorHAnsi" w:hAnsiTheme="minorHAnsi"/>
          <w:bCs/>
          <w:snapToGrid w:val="0"/>
        </w:rPr>
      </w:pPr>
      <w:bookmarkStart w:id="31" w:name="_Hlk76382618"/>
      <w:r w:rsidRPr="00E74297">
        <w:rPr>
          <w:rFonts w:asciiTheme="minorHAnsi" w:hAnsiTheme="minorHAnsi"/>
          <w:bCs/>
          <w:snapToGrid w:val="0"/>
        </w:rPr>
        <w:t xml:space="preserve">The PBAC noted and welcomed the input from </w:t>
      </w:r>
      <w:r w:rsidR="00C46B76" w:rsidRPr="00E74297">
        <w:rPr>
          <w:rFonts w:asciiTheme="minorHAnsi" w:hAnsiTheme="minorHAnsi"/>
          <w:bCs/>
          <w:snapToGrid w:val="0"/>
        </w:rPr>
        <w:t>5 organisations</w:t>
      </w:r>
      <w:r w:rsidRPr="00E74297">
        <w:rPr>
          <w:rFonts w:asciiTheme="minorHAnsi" w:hAnsiTheme="minorHAnsi"/>
          <w:bCs/>
          <w:snapToGrid w:val="0"/>
        </w:rPr>
        <w:t xml:space="preserve"> via the Consumer Comments facility on the PBS website. </w:t>
      </w:r>
      <w:r w:rsidR="00C46B76" w:rsidRPr="00E74297">
        <w:rPr>
          <w:rFonts w:asciiTheme="minorHAnsi" w:hAnsiTheme="minorHAnsi"/>
          <w:bCs/>
          <w:snapToGrid w:val="0"/>
        </w:rPr>
        <w:t>Consumer groups (So Brave, BCNA and Pink Hope</w:t>
      </w:r>
      <w:r w:rsidR="00C403EF" w:rsidRPr="00E74297">
        <w:rPr>
          <w:rFonts w:asciiTheme="minorHAnsi" w:hAnsiTheme="minorHAnsi"/>
          <w:bCs/>
          <w:snapToGrid w:val="0"/>
        </w:rPr>
        <w:t xml:space="preserve">) </w:t>
      </w:r>
      <w:r w:rsidR="00E533C2" w:rsidRPr="00E74297">
        <w:rPr>
          <w:rFonts w:asciiTheme="minorHAnsi" w:hAnsiTheme="minorHAnsi"/>
          <w:bCs/>
          <w:snapToGrid w:val="0"/>
        </w:rPr>
        <w:t xml:space="preserve">noted the impact of breast cancer diagnosis and treatment on patient’s daily lives and mental health. These groups also </w:t>
      </w:r>
      <w:r w:rsidR="00C403EF" w:rsidRPr="00E74297">
        <w:rPr>
          <w:rFonts w:asciiTheme="minorHAnsi" w:hAnsiTheme="minorHAnsi"/>
          <w:bCs/>
          <w:snapToGrid w:val="0"/>
        </w:rPr>
        <w:t xml:space="preserve">noted the </w:t>
      </w:r>
      <w:r w:rsidR="00854742" w:rsidRPr="00E74297">
        <w:rPr>
          <w:rFonts w:asciiTheme="minorHAnsi" w:hAnsiTheme="minorHAnsi"/>
          <w:bCs/>
          <w:snapToGrid w:val="0"/>
        </w:rPr>
        <w:t xml:space="preserve">demonstrated improved progression-free survival and overall survival rates for patients treated with SG and reported that these gains are </w:t>
      </w:r>
      <w:r w:rsidR="00E533C2" w:rsidRPr="00E74297">
        <w:rPr>
          <w:rFonts w:asciiTheme="minorHAnsi" w:hAnsiTheme="minorHAnsi"/>
          <w:bCs/>
          <w:snapToGrid w:val="0"/>
        </w:rPr>
        <w:t>highly</w:t>
      </w:r>
      <w:r w:rsidR="00854742" w:rsidRPr="00E74297">
        <w:rPr>
          <w:rFonts w:asciiTheme="minorHAnsi" w:hAnsiTheme="minorHAnsi"/>
          <w:bCs/>
          <w:snapToGrid w:val="0"/>
        </w:rPr>
        <w:t xml:space="preserve"> valuable to patients with breast cancer, particularly those who are young, who are often caring for young families, and in paid employment or volunteer roles. Consumer groups noted that adverse events were associated with </w:t>
      </w:r>
      <w:r w:rsidR="00343E3C" w:rsidRPr="00E74297">
        <w:rPr>
          <w:rFonts w:asciiTheme="minorHAnsi" w:hAnsiTheme="minorHAnsi"/>
          <w:bCs/>
          <w:snapToGrid w:val="0"/>
        </w:rPr>
        <w:t>SG but</w:t>
      </w:r>
      <w:r w:rsidR="00854742" w:rsidRPr="00E74297">
        <w:rPr>
          <w:rFonts w:asciiTheme="minorHAnsi" w:hAnsiTheme="minorHAnsi"/>
          <w:bCs/>
          <w:snapToGrid w:val="0"/>
        </w:rPr>
        <w:t xml:space="preserve"> considered that these could be managed by their treatment team</w:t>
      </w:r>
      <w:r w:rsidR="00E533C2" w:rsidRPr="00E74297">
        <w:rPr>
          <w:rFonts w:asciiTheme="minorHAnsi" w:hAnsiTheme="minorHAnsi"/>
          <w:bCs/>
          <w:snapToGrid w:val="0"/>
        </w:rPr>
        <w:t xml:space="preserve"> and were tolerated by most patients. However, </w:t>
      </w:r>
      <w:r w:rsidR="002659B1" w:rsidRPr="00E74297">
        <w:rPr>
          <w:rFonts w:asciiTheme="minorHAnsi" w:hAnsiTheme="minorHAnsi"/>
          <w:bCs/>
          <w:snapToGrid w:val="0"/>
        </w:rPr>
        <w:t xml:space="preserve">they also noted that </w:t>
      </w:r>
      <w:r w:rsidR="00E533C2" w:rsidRPr="00E74297">
        <w:rPr>
          <w:rFonts w:asciiTheme="minorHAnsi" w:hAnsiTheme="minorHAnsi"/>
          <w:bCs/>
          <w:snapToGrid w:val="0"/>
        </w:rPr>
        <w:t>without listing on the PBS, the private cost of SG represents a significant financial barrier that currently prevents many Australians from accessing this treatment option.</w:t>
      </w:r>
    </w:p>
    <w:bookmarkEnd w:id="26"/>
    <w:bookmarkEnd w:id="31"/>
    <w:p w14:paraId="29708A79" w14:textId="77777777" w:rsidR="000E337C" w:rsidRPr="00E74297" w:rsidRDefault="00D06CD4" w:rsidP="008B7338">
      <w:pPr>
        <w:pStyle w:val="3-BodyText"/>
      </w:pPr>
      <w:r w:rsidRPr="00E74297">
        <w:t xml:space="preserve">The Medical Oncology Group of Australia (MOGA) also expressed its strong support for the </w:t>
      </w:r>
      <w:r w:rsidR="008B7338" w:rsidRPr="00E74297">
        <w:t>SG</w:t>
      </w:r>
      <w:r w:rsidRPr="00E74297">
        <w:t xml:space="preserve"> submission, categorising it as one of the therapies of “high priority for PBS listing”. The PBAC noted that the MOGA presented a European Society for Medical Oncology Magnitude of Clinical Benefit Scale (ESMO-MCBS) for </w:t>
      </w:r>
      <w:r w:rsidR="008B7338" w:rsidRPr="00E74297">
        <w:t>SG</w:t>
      </w:r>
      <w:r w:rsidRPr="00E74297">
        <w:t xml:space="preserve">, which was limited to </w:t>
      </w:r>
      <w:r w:rsidR="008B7338" w:rsidRPr="00E74297">
        <w:t>3</w:t>
      </w:r>
      <w:r w:rsidRPr="00E74297">
        <w:t xml:space="preserve"> (out of a maximum of 5, where 5 and 4 represent the grades with substantial improvement)</w:t>
      </w:r>
      <w:r w:rsidR="008B7338" w:rsidRPr="00E74297">
        <w:rPr>
          <w:rStyle w:val="FootnoteReference"/>
        </w:rPr>
        <w:footnoteReference w:id="7"/>
      </w:r>
      <w:r w:rsidRPr="00E74297">
        <w:t>.</w:t>
      </w:r>
    </w:p>
    <w:p w14:paraId="4D07482F" w14:textId="344DD852" w:rsidR="00DD76FD" w:rsidRPr="00E74297" w:rsidRDefault="00DD76FD" w:rsidP="00DD76FD">
      <w:pPr>
        <w:pStyle w:val="4-SubsectionHeading"/>
      </w:pPr>
      <w:r w:rsidRPr="00E74297">
        <w:t>Clinical trials</w:t>
      </w:r>
      <w:bookmarkEnd w:id="27"/>
      <w:bookmarkEnd w:id="28"/>
      <w:bookmarkEnd w:id="29"/>
    </w:p>
    <w:p w14:paraId="1F46E253" w14:textId="77777777" w:rsidR="000E337C" w:rsidRPr="00E74297" w:rsidRDefault="00DD76FD" w:rsidP="00DD76FD">
      <w:pPr>
        <w:pStyle w:val="3-BodyText"/>
      </w:pPr>
      <w:r w:rsidRPr="00E74297">
        <w:t xml:space="preserve">The submission was based on one head-to-head trial comparing SG to TPC (n= 543), </w:t>
      </w:r>
      <w:r w:rsidR="003D20F2" w:rsidRPr="00E74297">
        <w:t>TROPiCS-02</w:t>
      </w:r>
      <w:r w:rsidRPr="00E74297">
        <w:t>.</w:t>
      </w:r>
    </w:p>
    <w:p w14:paraId="7A9C8218" w14:textId="5D7CFEC6" w:rsidR="00DD76FD" w:rsidRPr="00E74297" w:rsidRDefault="00DD76FD" w:rsidP="00DD76FD">
      <w:pPr>
        <w:pStyle w:val="3-BodyText"/>
      </w:pPr>
      <w:r w:rsidRPr="00E74297">
        <w:t xml:space="preserve">Details of the trial associated publications presented in the submission are provided in </w:t>
      </w:r>
      <w:r w:rsidRPr="00E74297">
        <w:fldChar w:fldCharType="begin" w:fldLock="1"/>
      </w:r>
      <w:r w:rsidRPr="00E74297">
        <w:instrText xml:space="preserve"> REF _Ref104803956 \h  \* MERGEFORMAT </w:instrText>
      </w:r>
      <w:r w:rsidRPr="00E74297">
        <w:fldChar w:fldCharType="separate"/>
      </w:r>
      <w:r w:rsidR="00AE1DC7" w:rsidRPr="00E74297">
        <w:t>Table 2</w:t>
      </w:r>
      <w:r w:rsidRPr="00E74297">
        <w:fldChar w:fldCharType="end"/>
      </w:r>
      <w:r w:rsidRPr="00E74297">
        <w:t>.</w:t>
      </w:r>
    </w:p>
    <w:p w14:paraId="6137DC6F" w14:textId="42C9BF25" w:rsidR="00DD76FD" w:rsidRPr="00E74297" w:rsidRDefault="00DD76FD" w:rsidP="00D06CD4">
      <w:pPr>
        <w:pStyle w:val="TableFigureHeading"/>
        <w:keepLines/>
        <w:widowControl w:val="0"/>
        <w:rPr>
          <w:rStyle w:val="CommentReference"/>
          <w:b/>
          <w:szCs w:val="24"/>
        </w:rPr>
      </w:pPr>
      <w:bookmarkStart w:id="32" w:name="_Ref104803956"/>
      <w:r w:rsidRPr="00E74297">
        <w:lastRenderedPageBreak/>
        <w:t xml:space="preserve">Table </w:t>
      </w:r>
      <w:fldSimple w:instr=" SEQ Table \* ARABIC " w:fldLock="1">
        <w:r w:rsidR="00AE1DC7" w:rsidRPr="00E74297">
          <w:t>2</w:t>
        </w:r>
      </w:fldSimple>
      <w:bookmarkEnd w:id="32"/>
      <w:r w:rsidRPr="00E74297">
        <w:t>:</w:t>
      </w:r>
      <w:r w:rsidRPr="00E74297">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2"/>
        <w:gridCol w:w="6095"/>
        <w:gridCol w:w="1650"/>
      </w:tblGrid>
      <w:tr w:rsidR="00DD76FD" w:rsidRPr="00E74297" w14:paraId="38A7EDA3" w14:textId="77777777" w:rsidTr="004228DB">
        <w:trPr>
          <w:cantSplit/>
          <w:tblHeader/>
        </w:trPr>
        <w:tc>
          <w:tcPr>
            <w:tcW w:w="705" w:type="pct"/>
            <w:vAlign w:val="center"/>
          </w:tcPr>
          <w:p w14:paraId="37108922" w14:textId="77777777" w:rsidR="00DD76FD" w:rsidRPr="00E74297" w:rsidRDefault="00DD76FD" w:rsidP="00D06CD4">
            <w:pPr>
              <w:pStyle w:val="In-tableHeading"/>
              <w:keepLines/>
              <w:widowControl w:val="0"/>
              <w:jc w:val="center"/>
              <w:rPr>
                <w:szCs w:val="20"/>
                <w:lang w:val="en-AU"/>
              </w:rPr>
            </w:pPr>
            <w:r w:rsidRPr="00E74297">
              <w:rPr>
                <w:szCs w:val="20"/>
                <w:lang w:val="en-AU"/>
              </w:rPr>
              <w:t>Trial ID</w:t>
            </w:r>
          </w:p>
        </w:tc>
        <w:tc>
          <w:tcPr>
            <w:tcW w:w="3380" w:type="pct"/>
            <w:vAlign w:val="center"/>
          </w:tcPr>
          <w:p w14:paraId="1069AC08" w14:textId="77777777" w:rsidR="00DD76FD" w:rsidRPr="00E74297" w:rsidRDefault="00DD76FD" w:rsidP="00D06CD4">
            <w:pPr>
              <w:pStyle w:val="In-tableHeading"/>
              <w:keepLines/>
              <w:widowControl w:val="0"/>
              <w:rPr>
                <w:szCs w:val="20"/>
                <w:lang w:val="en-AU"/>
              </w:rPr>
            </w:pPr>
            <w:r w:rsidRPr="00E74297">
              <w:rPr>
                <w:szCs w:val="20"/>
                <w:lang w:val="en-AU"/>
              </w:rPr>
              <w:t>Protocol title/ Publication title</w:t>
            </w:r>
          </w:p>
        </w:tc>
        <w:tc>
          <w:tcPr>
            <w:tcW w:w="915" w:type="pct"/>
            <w:vAlign w:val="center"/>
          </w:tcPr>
          <w:p w14:paraId="40F957BE" w14:textId="77777777" w:rsidR="00DD76FD" w:rsidRPr="00E74297" w:rsidRDefault="00DD76FD" w:rsidP="00D06CD4">
            <w:pPr>
              <w:pStyle w:val="In-tableHeading"/>
              <w:keepLines/>
              <w:widowControl w:val="0"/>
              <w:rPr>
                <w:szCs w:val="20"/>
                <w:lang w:val="en-AU"/>
              </w:rPr>
            </w:pPr>
            <w:r w:rsidRPr="00E74297">
              <w:rPr>
                <w:szCs w:val="20"/>
                <w:lang w:val="en-AU"/>
              </w:rPr>
              <w:t>Publication citation</w:t>
            </w:r>
          </w:p>
        </w:tc>
      </w:tr>
      <w:tr w:rsidR="00DD76FD" w:rsidRPr="00E74297" w14:paraId="02FEE46B" w14:textId="77777777" w:rsidTr="004228DB">
        <w:trPr>
          <w:cantSplit/>
          <w:trHeight w:val="1907"/>
        </w:trPr>
        <w:tc>
          <w:tcPr>
            <w:tcW w:w="705" w:type="pct"/>
            <w:vAlign w:val="center"/>
          </w:tcPr>
          <w:p w14:paraId="1D546959" w14:textId="0DA58F39" w:rsidR="00DD76FD" w:rsidRPr="00E74297" w:rsidRDefault="003D20F2" w:rsidP="00D91E0E">
            <w:pPr>
              <w:pStyle w:val="TableText0"/>
              <w:keepLines/>
              <w:widowControl w:val="0"/>
              <w:rPr>
                <w:szCs w:val="20"/>
              </w:rPr>
            </w:pPr>
            <w:r w:rsidRPr="00E74297">
              <w:rPr>
                <w:szCs w:val="20"/>
              </w:rPr>
              <w:t>TROPiCS-02</w:t>
            </w:r>
          </w:p>
          <w:p w14:paraId="4A5A3AB9" w14:textId="77777777" w:rsidR="00DD76FD" w:rsidRPr="00E74297" w:rsidRDefault="00DD76FD" w:rsidP="00D91E0E">
            <w:pPr>
              <w:pStyle w:val="TableText0"/>
              <w:keepLines/>
              <w:widowControl w:val="0"/>
              <w:rPr>
                <w:szCs w:val="20"/>
              </w:rPr>
            </w:pPr>
            <w:r w:rsidRPr="00E74297">
              <w:rPr>
                <w:szCs w:val="20"/>
              </w:rPr>
              <w:t>(NCT03901339)</w:t>
            </w:r>
          </w:p>
          <w:p w14:paraId="028B9850" w14:textId="77777777" w:rsidR="00DD76FD" w:rsidRPr="00E74297" w:rsidRDefault="00DD76FD" w:rsidP="00D91E0E">
            <w:pPr>
              <w:pStyle w:val="TableText0"/>
              <w:keepLines/>
              <w:widowControl w:val="0"/>
              <w:rPr>
                <w:szCs w:val="20"/>
              </w:rPr>
            </w:pPr>
          </w:p>
          <w:p w14:paraId="405EE504" w14:textId="77777777" w:rsidR="00DD76FD" w:rsidRPr="00E74297" w:rsidRDefault="00DD76FD" w:rsidP="00D91E0E">
            <w:pPr>
              <w:pStyle w:val="TableText0"/>
              <w:keepLines/>
              <w:widowControl w:val="0"/>
              <w:rPr>
                <w:szCs w:val="20"/>
              </w:rPr>
            </w:pPr>
            <w:r w:rsidRPr="00E74297">
              <w:rPr>
                <w:szCs w:val="20"/>
              </w:rPr>
              <w:t>IMMU-132-09</w:t>
            </w:r>
          </w:p>
        </w:tc>
        <w:tc>
          <w:tcPr>
            <w:tcW w:w="3380" w:type="pct"/>
            <w:vAlign w:val="center"/>
          </w:tcPr>
          <w:p w14:paraId="1384ADE3" w14:textId="77777777" w:rsidR="00DD76FD" w:rsidRPr="00E74297" w:rsidRDefault="00DD76FD" w:rsidP="00D91E0E">
            <w:pPr>
              <w:pStyle w:val="TableText0"/>
              <w:keepLines/>
              <w:widowControl w:val="0"/>
              <w:rPr>
                <w:szCs w:val="20"/>
              </w:rPr>
            </w:pPr>
            <w:r w:rsidRPr="00E74297">
              <w:rPr>
                <w:szCs w:val="20"/>
              </w:rPr>
              <w:t>Rugo, H.S., Bardia, A., Marmé, F., Cortes, J., Schmid, P., Loirat, D., Trédan, O., Ciruelos, E., Dalenc, F., Pardo, P.G. and Jhaveri, K.L., 2022. Sacituzumab govitecan in hormone receptor–positive/human epidermal growth factor receptor 2–negative metastatic breast cancer.</w:t>
            </w:r>
          </w:p>
          <w:p w14:paraId="640FA95E" w14:textId="77777777" w:rsidR="00DD76FD" w:rsidRPr="00E74297" w:rsidRDefault="00DD76FD" w:rsidP="00D91E0E">
            <w:pPr>
              <w:pStyle w:val="TableText0"/>
              <w:keepLines/>
              <w:widowControl w:val="0"/>
              <w:rPr>
                <w:szCs w:val="20"/>
              </w:rPr>
            </w:pPr>
          </w:p>
          <w:p w14:paraId="47E15510" w14:textId="77777777" w:rsidR="00DD76FD" w:rsidRPr="00E74297" w:rsidRDefault="00DD76FD" w:rsidP="00D91E0E">
            <w:pPr>
              <w:keepNext/>
              <w:keepLines/>
              <w:widowControl w:val="0"/>
              <w:jc w:val="left"/>
              <w:rPr>
                <w:rFonts w:ascii="Arial Narrow" w:hAnsi="Arial Narrow" w:cstheme="minorHAnsi"/>
                <w:b/>
                <w:bCs/>
                <w:sz w:val="20"/>
                <w:szCs w:val="20"/>
              </w:rPr>
            </w:pPr>
            <w:r w:rsidRPr="00E74297">
              <w:rPr>
                <w:rFonts w:ascii="Arial Narrow" w:hAnsi="Arial Narrow" w:cstheme="minorHAnsi"/>
                <w:b/>
                <w:bCs/>
                <w:sz w:val="20"/>
                <w:szCs w:val="20"/>
              </w:rPr>
              <w:t>Clinical Study Report IMMU-132-09 Primary</w:t>
            </w:r>
          </w:p>
          <w:p w14:paraId="2A891F74" w14:textId="77777777" w:rsidR="00DD76FD" w:rsidRPr="00E74297" w:rsidRDefault="00DD76FD" w:rsidP="00D91E0E">
            <w:pPr>
              <w:keepNext/>
              <w:keepLines/>
              <w:widowControl w:val="0"/>
              <w:jc w:val="left"/>
              <w:rPr>
                <w:rFonts w:ascii="Arial Narrow" w:hAnsi="Arial Narrow" w:cstheme="minorHAnsi"/>
                <w:color w:val="000000"/>
                <w:sz w:val="20"/>
                <w:szCs w:val="20"/>
                <w:lang w:eastAsia="en-IN"/>
              </w:rPr>
            </w:pPr>
            <w:r w:rsidRPr="00E74297">
              <w:rPr>
                <w:rFonts w:ascii="Arial Narrow" w:hAnsi="Arial Narrow" w:cstheme="minorHAnsi"/>
                <w:color w:val="000000"/>
                <w:sz w:val="20"/>
                <w:szCs w:val="20"/>
                <w:lang w:eastAsia="en-IN"/>
              </w:rPr>
              <w:t>An open-label, randomized, multicenter, international Phase 3 study designed to compare the efficacy and safety of SG versus TPC in participants with metastatic or locally recurrent inoperable HR+/HER2− breast cancer who have failed at least two prior chemotherapy regimens</w:t>
            </w:r>
          </w:p>
          <w:p w14:paraId="69887A68" w14:textId="77777777" w:rsidR="00DD76FD" w:rsidRPr="00E74297" w:rsidRDefault="00DD76FD" w:rsidP="00D91E0E">
            <w:pPr>
              <w:keepNext/>
              <w:keepLines/>
              <w:widowControl w:val="0"/>
              <w:jc w:val="left"/>
              <w:rPr>
                <w:rFonts w:ascii="Arial Narrow" w:hAnsi="Arial Narrow" w:cstheme="minorHAnsi"/>
                <w:color w:val="000000"/>
                <w:sz w:val="20"/>
                <w:szCs w:val="20"/>
                <w:lang w:eastAsia="en-IN"/>
              </w:rPr>
            </w:pPr>
          </w:p>
          <w:p w14:paraId="33CCDCBF" w14:textId="77777777" w:rsidR="00DD76FD" w:rsidRPr="00E74297" w:rsidRDefault="00DD76FD" w:rsidP="00D91E0E">
            <w:pPr>
              <w:keepNext/>
              <w:keepLines/>
              <w:widowControl w:val="0"/>
              <w:jc w:val="left"/>
              <w:rPr>
                <w:rFonts w:ascii="Arial Narrow" w:hAnsi="Arial Narrow" w:cstheme="minorHAnsi"/>
                <w:b/>
                <w:bCs/>
                <w:sz w:val="20"/>
                <w:szCs w:val="20"/>
              </w:rPr>
            </w:pPr>
            <w:r w:rsidRPr="00E74297">
              <w:rPr>
                <w:rFonts w:ascii="Arial Narrow" w:hAnsi="Arial Narrow" w:cstheme="minorHAnsi"/>
                <w:b/>
                <w:bCs/>
                <w:sz w:val="20"/>
                <w:szCs w:val="20"/>
              </w:rPr>
              <w:t>Clinical Study Report IMMU-132-09 Interim Analysis 2 (IA2)</w:t>
            </w:r>
          </w:p>
          <w:p w14:paraId="553D539E" w14:textId="77777777" w:rsidR="00DD76FD" w:rsidRPr="00E74297" w:rsidRDefault="00DD76FD" w:rsidP="00D91E0E">
            <w:pPr>
              <w:keepNext/>
              <w:keepLines/>
              <w:widowControl w:val="0"/>
              <w:jc w:val="left"/>
              <w:rPr>
                <w:rFonts w:ascii="Arial Narrow" w:hAnsi="Arial Narrow" w:cstheme="minorHAnsi"/>
                <w:color w:val="000000"/>
                <w:sz w:val="20"/>
                <w:szCs w:val="20"/>
                <w:lang w:eastAsia="en-IN"/>
              </w:rPr>
            </w:pPr>
            <w:r w:rsidRPr="00E74297">
              <w:rPr>
                <w:rFonts w:ascii="Arial Narrow" w:hAnsi="Arial Narrow" w:cstheme="minorHAnsi"/>
                <w:color w:val="000000"/>
                <w:sz w:val="20"/>
                <w:szCs w:val="20"/>
                <w:lang w:eastAsia="en-IN"/>
              </w:rPr>
              <w:t>An open-label, randomized, multicenter, international Phase 3 study designed to compare the efficacy and safety of SG versus TPC in participants with metastatic or locally recurrent inoperable HR+/HER2− breast cancer who have failed at least two prior chemotherapy regimens</w:t>
            </w:r>
          </w:p>
          <w:p w14:paraId="2CBDB223" w14:textId="77777777" w:rsidR="00DD76FD" w:rsidRPr="00E74297" w:rsidRDefault="00DD76FD" w:rsidP="00D91E0E">
            <w:pPr>
              <w:keepNext/>
              <w:keepLines/>
              <w:widowControl w:val="0"/>
              <w:jc w:val="left"/>
              <w:rPr>
                <w:rFonts w:ascii="Arial Narrow" w:hAnsi="Arial Narrow" w:cstheme="minorHAnsi"/>
                <w:color w:val="000000"/>
                <w:sz w:val="20"/>
                <w:szCs w:val="20"/>
                <w:lang w:eastAsia="en-IN"/>
              </w:rPr>
            </w:pPr>
          </w:p>
          <w:p w14:paraId="0467A51C" w14:textId="77777777" w:rsidR="00DD76FD" w:rsidRPr="00E74297" w:rsidRDefault="00DD76FD" w:rsidP="00D91E0E">
            <w:pPr>
              <w:pStyle w:val="TableLeft"/>
              <w:keepNext/>
              <w:keepLines/>
              <w:widowControl w:val="0"/>
              <w:jc w:val="left"/>
              <w:rPr>
                <w:rStyle w:val="Small"/>
                <w:rFonts w:ascii="Arial Narrow" w:hAnsi="Arial Narrow" w:cstheme="minorHAnsi"/>
                <w:b/>
                <w:bCs/>
                <w:iCs/>
                <w:szCs w:val="20"/>
              </w:rPr>
            </w:pPr>
            <w:r w:rsidRPr="00E74297">
              <w:rPr>
                <w:rStyle w:val="Small"/>
                <w:rFonts w:ascii="Arial Narrow" w:hAnsi="Arial Narrow" w:cstheme="minorHAnsi"/>
                <w:b/>
                <w:bCs/>
                <w:iCs/>
                <w:szCs w:val="20"/>
              </w:rPr>
              <w:t>Conference presentations:</w:t>
            </w:r>
          </w:p>
          <w:p w14:paraId="32A07CA4" w14:textId="77777777" w:rsidR="000E337C" w:rsidRPr="00E74297" w:rsidRDefault="00DD76FD" w:rsidP="00D91E0E">
            <w:pPr>
              <w:keepNext/>
              <w:keepLines/>
              <w:widowControl w:val="0"/>
              <w:contextualSpacing/>
              <w:jc w:val="left"/>
              <w:rPr>
                <w:rFonts w:ascii="Arial Narrow" w:hAnsi="Arial Narrow" w:cstheme="minorHAnsi"/>
                <w:color w:val="000000"/>
                <w:sz w:val="20"/>
                <w:szCs w:val="20"/>
                <w:lang w:eastAsia="en-IN"/>
              </w:rPr>
            </w:pPr>
            <w:r w:rsidRPr="00E74297">
              <w:rPr>
                <w:rFonts w:ascii="Arial Narrow" w:hAnsi="Arial Narrow" w:cstheme="minorHAnsi"/>
                <w:color w:val="000000"/>
                <w:sz w:val="20"/>
                <w:szCs w:val="20"/>
                <w:lang w:eastAsia="en-IN"/>
              </w:rPr>
              <w:t xml:space="preserve">Rugo, H.S., Bardia, A., Marmé, F., Cortes, J., Schmid, P., Loirat, D., Tredan, O., Ciruelos, E.M., Dalenc, F., Pardo, P.G. and Jhaveri, K., 2022. LBA76 Overall survival (OS) results from the phase III </w:t>
            </w:r>
            <w:r w:rsidR="003D20F2" w:rsidRPr="00E74297">
              <w:rPr>
                <w:rFonts w:ascii="Arial Narrow" w:hAnsi="Arial Narrow" w:cstheme="minorHAnsi"/>
                <w:color w:val="000000"/>
                <w:sz w:val="20"/>
                <w:szCs w:val="20"/>
                <w:lang w:eastAsia="en-IN"/>
              </w:rPr>
              <w:t>TROPiCS-02</w:t>
            </w:r>
            <w:r w:rsidRPr="00E74297">
              <w:rPr>
                <w:rFonts w:ascii="Arial Narrow" w:hAnsi="Arial Narrow" w:cstheme="minorHAnsi"/>
                <w:color w:val="000000"/>
                <w:sz w:val="20"/>
                <w:szCs w:val="20"/>
                <w:lang w:eastAsia="en-IN"/>
              </w:rPr>
              <w:t xml:space="preserve"> study of sacituzumab govitecan (SG) vs treatment of physician's choice (TPC) in patients (pts) with HR+/HER2-metastatic breast cancer (mBC).</w:t>
            </w:r>
          </w:p>
          <w:p w14:paraId="09C89557" w14:textId="7D654F4F" w:rsidR="00DD76FD" w:rsidRPr="00E74297" w:rsidRDefault="00DD76FD" w:rsidP="00D91E0E">
            <w:pPr>
              <w:keepNext/>
              <w:keepLines/>
              <w:widowControl w:val="0"/>
              <w:contextualSpacing/>
              <w:jc w:val="left"/>
              <w:rPr>
                <w:rFonts w:ascii="Arial Narrow" w:hAnsi="Arial Narrow" w:cstheme="minorHAnsi"/>
                <w:color w:val="000000"/>
                <w:sz w:val="20"/>
                <w:szCs w:val="20"/>
                <w:lang w:eastAsia="en-IN"/>
              </w:rPr>
            </w:pPr>
          </w:p>
          <w:p w14:paraId="435FE757" w14:textId="77777777" w:rsidR="000E337C" w:rsidRPr="00E74297" w:rsidRDefault="00DD76FD" w:rsidP="00D91E0E">
            <w:pPr>
              <w:keepNext/>
              <w:keepLines/>
              <w:widowControl w:val="0"/>
              <w:contextualSpacing/>
              <w:jc w:val="left"/>
              <w:rPr>
                <w:rFonts w:ascii="Arial Narrow" w:hAnsi="Arial Narrow" w:cstheme="minorHAnsi"/>
                <w:color w:val="000000"/>
                <w:sz w:val="20"/>
                <w:szCs w:val="20"/>
                <w:lang w:eastAsia="en-IN"/>
              </w:rPr>
            </w:pPr>
            <w:r w:rsidRPr="00E74297">
              <w:rPr>
                <w:rFonts w:ascii="Arial Narrow" w:hAnsi="Arial Narrow" w:cstheme="minorHAnsi"/>
                <w:color w:val="000000"/>
                <w:sz w:val="20"/>
                <w:szCs w:val="20"/>
                <w:lang w:eastAsia="en-IN"/>
              </w:rPr>
              <w:t xml:space="preserve">Rugo, H.S., Schmid, P., Tolaney, S.M., Dalenc, F., Marmé, F., Shi, L., Verret, W., Gharaibeh, M., Bardia, A. and Cortés, J., 2022. 1553O Health-related quality of life (HRQoL) in the phase III </w:t>
            </w:r>
            <w:r w:rsidR="003D20F2" w:rsidRPr="00E74297">
              <w:rPr>
                <w:rFonts w:ascii="Arial Narrow" w:hAnsi="Arial Narrow" w:cstheme="minorHAnsi"/>
                <w:color w:val="000000"/>
                <w:sz w:val="20"/>
                <w:szCs w:val="20"/>
                <w:lang w:eastAsia="en-IN"/>
              </w:rPr>
              <w:t>TROPiCS-02</w:t>
            </w:r>
            <w:r w:rsidRPr="00E74297">
              <w:rPr>
                <w:rFonts w:ascii="Arial Narrow" w:hAnsi="Arial Narrow" w:cstheme="minorHAnsi"/>
                <w:color w:val="000000"/>
                <w:sz w:val="20"/>
                <w:szCs w:val="20"/>
                <w:lang w:eastAsia="en-IN"/>
              </w:rPr>
              <w:t xml:space="preserve"> trial of sacituzumab govitecan (SG) vs chemotherapy in HR+/HER2-metastatic breast cancer (MBC).</w:t>
            </w:r>
          </w:p>
          <w:p w14:paraId="3426A69D" w14:textId="51DA6BA1" w:rsidR="00DD76FD" w:rsidRPr="00E74297" w:rsidRDefault="00DD76FD" w:rsidP="00D91E0E">
            <w:pPr>
              <w:keepNext/>
              <w:keepLines/>
              <w:widowControl w:val="0"/>
              <w:contextualSpacing/>
              <w:jc w:val="left"/>
              <w:rPr>
                <w:rFonts w:ascii="Arial Narrow" w:hAnsi="Arial Narrow" w:cstheme="minorHAnsi"/>
                <w:color w:val="000000"/>
                <w:sz w:val="20"/>
                <w:szCs w:val="20"/>
                <w:lang w:eastAsia="en-IN"/>
              </w:rPr>
            </w:pPr>
          </w:p>
          <w:p w14:paraId="56A48D61" w14:textId="77777777" w:rsidR="000E337C" w:rsidRPr="00E74297" w:rsidRDefault="00DD76FD" w:rsidP="00D91E0E">
            <w:pPr>
              <w:keepNext/>
              <w:keepLines/>
              <w:widowControl w:val="0"/>
              <w:contextualSpacing/>
              <w:jc w:val="left"/>
              <w:rPr>
                <w:rFonts w:ascii="Arial Narrow" w:hAnsi="Arial Narrow" w:cstheme="minorHAnsi"/>
                <w:color w:val="000000"/>
                <w:sz w:val="20"/>
                <w:szCs w:val="20"/>
                <w:lang w:eastAsia="en-IN"/>
              </w:rPr>
            </w:pPr>
            <w:r w:rsidRPr="00E74297">
              <w:rPr>
                <w:rFonts w:ascii="Arial Narrow" w:hAnsi="Arial Narrow" w:cstheme="minorHAnsi"/>
                <w:color w:val="000000"/>
                <w:sz w:val="20"/>
                <w:szCs w:val="20"/>
                <w:lang w:eastAsia="en-IN"/>
              </w:rPr>
              <w:t xml:space="preserve">Schmid, P., Cortés, J., Marmé, F., Rugo, H.S., Tolaney, S.M., Oliveira, M., Loirat, D., Jhaveri, K., Yoon, O.K., Motwani, M. and Wang, H., 2022. 214MO Sacituzumab govitecan (SG) efficacy in hormone receptor-positive/human epidermal growth factor receptor 2-negative (HR+/HER2–) metastatic breast cancer (MBC) by HER2 immunohistochemistry (IHC) status in the phase III </w:t>
            </w:r>
            <w:r w:rsidR="003D20F2" w:rsidRPr="00E74297">
              <w:rPr>
                <w:rFonts w:ascii="Arial Narrow" w:hAnsi="Arial Narrow" w:cstheme="minorHAnsi"/>
                <w:color w:val="000000"/>
                <w:sz w:val="20"/>
                <w:szCs w:val="20"/>
                <w:lang w:eastAsia="en-IN"/>
              </w:rPr>
              <w:t>TROPiCS-02</w:t>
            </w:r>
            <w:r w:rsidRPr="00E74297">
              <w:rPr>
                <w:rFonts w:ascii="Arial Narrow" w:hAnsi="Arial Narrow" w:cstheme="minorHAnsi"/>
                <w:color w:val="000000"/>
                <w:sz w:val="20"/>
                <w:szCs w:val="20"/>
                <w:lang w:eastAsia="en-IN"/>
              </w:rPr>
              <w:t xml:space="preserve"> study.</w:t>
            </w:r>
          </w:p>
          <w:p w14:paraId="30F92B27" w14:textId="513AC501" w:rsidR="00DD76FD" w:rsidRPr="00E74297" w:rsidRDefault="00DD76FD" w:rsidP="00D91E0E">
            <w:pPr>
              <w:keepNext/>
              <w:keepLines/>
              <w:widowControl w:val="0"/>
              <w:contextualSpacing/>
              <w:jc w:val="left"/>
              <w:rPr>
                <w:rFonts w:ascii="Arial Narrow" w:hAnsi="Arial Narrow" w:cstheme="minorHAnsi"/>
                <w:color w:val="000000"/>
                <w:sz w:val="20"/>
                <w:szCs w:val="20"/>
                <w:lang w:eastAsia="en-IN"/>
              </w:rPr>
            </w:pPr>
          </w:p>
          <w:p w14:paraId="55BB6BEA" w14:textId="24CF9D6F" w:rsidR="00DD76FD" w:rsidRPr="00E74297" w:rsidRDefault="00DD76FD" w:rsidP="00D91E0E">
            <w:pPr>
              <w:keepNext/>
              <w:keepLines/>
              <w:widowControl w:val="0"/>
              <w:contextualSpacing/>
              <w:jc w:val="left"/>
              <w:rPr>
                <w:szCs w:val="20"/>
              </w:rPr>
            </w:pPr>
            <w:r w:rsidRPr="00E74297">
              <w:rPr>
                <w:rFonts w:ascii="Arial Narrow" w:hAnsi="Arial Narrow" w:cstheme="minorHAnsi"/>
                <w:color w:val="000000"/>
                <w:sz w:val="20"/>
                <w:szCs w:val="20"/>
                <w:lang w:eastAsia="en-IN"/>
              </w:rPr>
              <w:t>Rugo, H.S., Bardia, A., Marmé, F., Cortes, J., Schmid, P., Loirat, D., Tredan, O., Ciruelos, E., Dalenc, F., Gómez Pardo, P.</w:t>
            </w:r>
            <w:r w:rsidR="00BC53F8">
              <w:rPr>
                <w:rFonts w:ascii="Arial Narrow" w:hAnsi="Arial Narrow" w:cstheme="minorHAnsi"/>
                <w:color w:val="000000"/>
                <w:sz w:val="20"/>
                <w:szCs w:val="20"/>
                <w:lang w:eastAsia="en-IN"/>
              </w:rPr>
              <w:t>,</w:t>
            </w:r>
            <w:r w:rsidRPr="00E74297">
              <w:rPr>
                <w:rFonts w:ascii="Arial Narrow" w:hAnsi="Arial Narrow" w:cstheme="minorHAnsi"/>
                <w:color w:val="000000"/>
                <w:sz w:val="20"/>
                <w:szCs w:val="20"/>
                <w:lang w:eastAsia="en-IN"/>
              </w:rPr>
              <w:t xml:space="preserve"> and Jhaveri, K.L., 2022. Primary results from </w:t>
            </w:r>
            <w:r w:rsidR="003D20F2" w:rsidRPr="00E74297">
              <w:rPr>
                <w:rFonts w:ascii="Arial Narrow" w:hAnsi="Arial Narrow" w:cstheme="minorHAnsi"/>
                <w:color w:val="000000"/>
                <w:sz w:val="20"/>
                <w:szCs w:val="20"/>
                <w:lang w:eastAsia="en-IN"/>
              </w:rPr>
              <w:t>TROPiCS-02</w:t>
            </w:r>
            <w:r w:rsidRPr="00E74297">
              <w:rPr>
                <w:rFonts w:ascii="Arial Narrow" w:hAnsi="Arial Narrow" w:cstheme="minorHAnsi"/>
                <w:color w:val="000000"/>
                <w:sz w:val="20"/>
                <w:szCs w:val="20"/>
                <w:lang w:eastAsia="en-IN"/>
              </w:rPr>
              <w:t>: A randomized phase 3 study of sacituzumab govitecan (SG) versus treatment of physician’s choice (TPC) in patients (Pts) with hormone receptor–positive/HER2-negative (HR+/HER2-) advanced breast cancer.</w:t>
            </w:r>
          </w:p>
        </w:tc>
        <w:tc>
          <w:tcPr>
            <w:tcW w:w="915" w:type="pct"/>
          </w:tcPr>
          <w:p w14:paraId="1227C37B" w14:textId="3030A848" w:rsidR="00DD76FD" w:rsidRPr="00E74297" w:rsidRDefault="00DD76FD" w:rsidP="00D06CD4">
            <w:pPr>
              <w:pStyle w:val="TableText0"/>
              <w:keepLines/>
              <w:widowControl w:val="0"/>
              <w:rPr>
                <w:szCs w:val="20"/>
              </w:rPr>
            </w:pPr>
            <w:r w:rsidRPr="00E74297">
              <w:rPr>
                <w:i/>
                <w:iCs/>
                <w:szCs w:val="20"/>
              </w:rPr>
              <w:t>Journal of Clinical Oncology</w:t>
            </w:r>
            <w:r w:rsidRPr="00E74297">
              <w:rPr>
                <w:szCs w:val="20"/>
              </w:rPr>
              <w:t xml:space="preserve"> </w:t>
            </w:r>
            <w:r w:rsidR="005574BA" w:rsidRPr="00E74297">
              <w:rPr>
                <w:szCs w:val="20"/>
              </w:rPr>
              <w:t>2022</w:t>
            </w:r>
            <w:r w:rsidR="00047FE4" w:rsidRPr="00E74297">
              <w:rPr>
                <w:szCs w:val="20"/>
              </w:rPr>
              <w:t>;</w:t>
            </w:r>
            <w:r w:rsidR="005574BA" w:rsidRPr="00E74297">
              <w:rPr>
                <w:szCs w:val="20"/>
              </w:rPr>
              <w:t xml:space="preserve"> </w:t>
            </w:r>
            <w:r w:rsidRPr="00E74297">
              <w:rPr>
                <w:szCs w:val="20"/>
              </w:rPr>
              <w:t>40(29)</w:t>
            </w:r>
            <w:r w:rsidR="005574BA" w:rsidRPr="00E74297">
              <w:rPr>
                <w:szCs w:val="20"/>
              </w:rPr>
              <w:t>:</w:t>
            </w:r>
            <w:r w:rsidRPr="00E74297">
              <w:rPr>
                <w:szCs w:val="20"/>
              </w:rPr>
              <w:t>3365-3376.</w:t>
            </w:r>
          </w:p>
          <w:p w14:paraId="413EE57E" w14:textId="77777777" w:rsidR="00DD76FD" w:rsidRPr="00E74297" w:rsidRDefault="00DD76FD" w:rsidP="00D06CD4">
            <w:pPr>
              <w:pStyle w:val="TableText0"/>
              <w:keepLines/>
              <w:widowControl w:val="0"/>
              <w:rPr>
                <w:szCs w:val="20"/>
              </w:rPr>
            </w:pPr>
          </w:p>
          <w:p w14:paraId="24F6F7DB" w14:textId="77777777" w:rsidR="00DD76FD" w:rsidRPr="00E74297" w:rsidRDefault="00DD76FD" w:rsidP="00D06CD4">
            <w:pPr>
              <w:pStyle w:val="TableText0"/>
              <w:keepLines/>
              <w:widowControl w:val="0"/>
              <w:rPr>
                <w:szCs w:val="20"/>
              </w:rPr>
            </w:pPr>
          </w:p>
          <w:p w14:paraId="318F414F" w14:textId="77777777" w:rsidR="00DD76FD" w:rsidRPr="00E74297" w:rsidRDefault="00DD76FD" w:rsidP="00D06CD4">
            <w:pPr>
              <w:pStyle w:val="TableText0"/>
              <w:keepLines/>
              <w:widowControl w:val="0"/>
              <w:rPr>
                <w:szCs w:val="20"/>
              </w:rPr>
            </w:pPr>
            <w:r w:rsidRPr="00E74297">
              <w:rPr>
                <w:szCs w:val="20"/>
              </w:rPr>
              <w:t>28 June 2022</w:t>
            </w:r>
          </w:p>
          <w:p w14:paraId="07598252" w14:textId="77777777" w:rsidR="00DD76FD" w:rsidRPr="00E74297" w:rsidRDefault="00DD76FD" w:rsidP="00D06CD4">
            <w:pPr>
              <w:pStyle w:val="TableText0"/>
              <w:keepLines/>
              <w:widowControl w:val="0"/>
              <w:rPr>
                <w:szCs w:val="20"/>
              </w:rPr>
            </w:pPr>
          </w:p>
          <w:p w14:paraId="0FE94AC0" w14:textId="77777777" w:rsidR="00DD76FD" w:rsidRPr="00E74297" w:rsidRDefault="00DD76FD" w:rsidP="00D06CD4">
            <w:pPr>
              <w:pStyle w:val="TableText0"/>
              <w:keepLines/>
              <w:widowControl w:val="0"/>
              <w:rPr>
                <w:szCs w:val="20"/>
              </w:rPr>
            </w:pPr>
          </w:p>
          <w:p w14:paraId="03E55BC1" w14:textId="1F07C537" w:rsidR="00DD76FD" w:rsidRPr="00E74297" w:rsidRDefault="00DD76FD" w:rsidP="00D06CD4">
            <w:pPr>
              <w:pStyle w:val="TableText0"/>
              <w:keepLines/>
              <w:widowControl w:val="0"/>
              <w:rPr>
                <w:szCs w:val="20"/>
              </w:rPr>
            </w:pPr>
          </w:p>
          <w:p w14:paraId="0825915F" w14:textId="24469A71" w:rsidR="00D91E0E" w:rsidRPr="00E74297" w:rsidRDefault="00D91E0E" w:rsidP="00D06CD4">
            <w:pPr>
              <w:pStyle w:val="TableText0"/>
              <w:keepLines/>
              <w:widowControl w:val="0"/>
              <w:rPr>
                <w:szCs w:val="20"/>
              </w:rPr>
            </w:pPr>
          </w:p>
          <w:p w14:paraId="439FABFB" w14:textId="77777777" w:rsidR="00D91E0E" w:rsidRPr="00E74297" w:rsidRDefault="00D91E0E" w:rsidP="00D06CD4">
            <w:pPr>
              <w:pStyle w:val="TableText0"/>
              <w:keepLines/>
              <w:widowControl w:val="0"/>
              <w:rPr>
                <w:szCs w:val="20"/>
              </w:rPr>
            </w:pPr>
          </w:p>
          <w:p w14:paraId="10FDB0D7" w14:textId="77777777" w:rsidR="00DD76FD" w:rsidRPr="00E74297" w:rsidRDefault="00DD76FD" w:rsidP="00D06CD4">
            <w:pPr>
              <w:pStyle w:val="TableText0"/>
              <w:keepLines/>
              <w:widowControl w:val="0"/>
              <w:rPr>
                <w:szCs w:val="20"/>
              </w:rPr>
            </w:pPr>
            <w:r w:rsidRPr="00E74297">
              <w:rPr>
                <w:szCs w:val="20"/>
              </w:rPr>
              <w:t>08 November 2022</w:t>
            </w:r>
          </w:p>
          <w:p w14:paraId="18D18528" w14:textId="77777777" w:rsidR="00DD76FD" w:rsidRPr="00E74297" w:rsidRDefault="00DD76FD" w:rsidP="00D06CD4">
            <w:pPr>
              <w:pStyle w:val="TableText0"/>
              <w:keepLines/>
              <w:widowControl w:val="0"/>
              <w:rPr>
                <w:szCs w:val="20"/>
              </w:rPr>
            </w:pPr>
          </w:p>
          <w:p w14:paraId="5051BBE1" w14:textId="77777777" w:rsidR="00DD76FD" w:rsidRPr="00E74297" w:rsidRDefault="00DD76FD" w:rsidP="00D06CD4">
            <w:pPr>
              <w:pStyle w:val="TableText0"/>
              <w:keepLines/>
              <w:widowControl w:val="0"/>
              <w:rPr>
                <w:szCs w:val="20"/>
              </w:rPr>
            </w:pPr>
          </w:p>
          <w:p w14:paraId="6AA199D3" w14:textId="5F95883C" w:rsidR="00DD76FD" w:rsidRPr="00E74297" w:rsidRDefault="00DD76FD" w:rsidP="00D06CD4">
            <w:pPr>
              <w:pStyle w:val="TableText0"/>
              <w:keepLines/>
              <w:widowControl w:val="0"/>
              <w:rPr>
                <w:szCs w:val="20"/>
              </w:rPr>
            </w:pPr>
          </w:p>
          <w:p w14:paraId="06984DA7" w14:textId="57BDA0B9" w:rsidR="00D91E0E" w:rsidRPr="00E74297" w:rsidRDefault="00D91E0E" w:rsidP="00D06CD4">
            <w:pPr>
              <w:pStyle w:val="TableText0"/>
              <w:keepLines/>
              <w:widowControl w:val="0"/>
              <w:rPr>
                <w:szCs w:val="20"/>
              </w:rPr>
            </w:pPr>
          </w:p>
          <w:p w14:paraId="20CBB1B3" w14:textId="77777777" w:rsidR="00D91E0E" w:rsidRPr="00E74297" w:rsidRDefault="00D91E0E" w:rsidP="00D06CD4">
            <w:pPr>
              <w:pStyle w:val="TableText0"/>
              <w:keepLines/>
              <w:widowControl w:val="0"/>
              <w:rPr>
                <w:szCs w:val="20"/>
              </w:rPr>
            </w:pPr>
          </w:p>
          <w:p w14:paraId="436A153D" w14:textId="77777777" w:rsidR="00D91E0E" w:rsidRPr="00E74297" w:rsidRDefault="00D91E0E" w:rsidP="00D06CD4">
            <w:pPr>
              <w:pStyle w:val="TableText0"/>
              <w:keepLines/>
              <w:widowControl w:val="0"/>
              <w:rPr>
                <w:i/>
                <w:iCs/>
                <w:szCs w:val="20"/>
              </w:rPr>
            </w:pPr>
          </w:p>
          <w:p w14:paraId="549733DB" w14:textId="05C721D8" w:rsidR="00DD76FD" w:rsidRPr="00E74297" w:rsidRDefault="00DD76FD" w:rsidP="00D06CD4">
            <w:pPr>
              <w:pStyle w:val="TableText0"/>
              <w:keepLines/>
              <w:widowControl w:val="0"/>
              <w:rPr>
                <w:szCs w:val="20"/>
              </w:rPr>
            </w:pPr>
            <w:r w:rsidRPr="00E74297">
              <w:rPr>
                <w:i/>
                <w:iCs/>
                <w:szCs w:val="20"/>
              </w:rPr>
              <w:t>Annals of Oncology</w:t>
            </w:r>
            <w:r w:rsidR="005574BA" w:rsidRPr="00E74297">
              <w:rPr>
                <w:szCs w:val="20"/>
              </w:rPr>
              <w:t xml:space="preserve"> 2022</w:t>
            </w:r>
            <w:r w:rsidR="00047FE4" w:rsidRPr="00E74297">
              <w:rPr>
                <w:szCs w:val="20"/>
              </w:rPr>
              <w:t>;</w:t>
            </w:r>
            <w:r w:rsidRPr="00E74297">
              <w:rPr>
                <w:szCs w:val="20"/>
              </w:rPr>
              <w:t xml:space="preserve"> 33</w:t>
            </w:r>
            <w:r w:rsidR="00047FE4" w:rsidRPr="00E74297">
              <w:rPr>
                <w:szCs w:val="20"/>
              </w:rPr>
              <w:t>:</w:t>
            </w:r>
            <w:r w:rsidR="005574BA" w:rsidRPr="00E74297">
              <w:rPr>
                <w:szCs w:val="20"/>
              </w:rPr>
              <w:t>S</w:t>
            </w:r>
            <w:r w:rsidRPr="00E74297">
              <w:rPr>
                <w:szCs w:val="20"/>
              </w:rPr>
              <w:t>1386</w:t>
            </w:r>
          </w:p>
          <w:p w14:paraId="47AD2A3B" w14:textId="77777777" w:rsidR="00DD76FD" w:rsidRPr="00E74297" w:rsidRDefault="00DD76FD" w:rsidP="00D06CD4">
            <w:pPr>
              <w:pStyle w:val="TableText0"/>
              <w:keepLines/>
              <w:widowControl w:val="0"/>
              <w:rPr>
                <w:szCs w:val="20"/>
              </w:rPr>
            </w:pPr>
          </w:p>
          <w:p w14:paraId="5939F2D2" w14:textId="77777777" w:rsidR="00DD76FD" w:rsidRPr="00E74297" w:rsidRDefault="00DD76FD" w:rsidP="00D06CD4">
            <w:pPr>
              <w:pStyle w:val="TableText0"/>
              <w:keepLines/>
              <w:widowControl w:val="0"/>
              <w:rPr>
                <w:szCs w:val="20"/>
              </w:rPr>
            </w:pPr>
          </w:p>
          <w:p w14:paraId="1F2556E1" w14:textId="77777777" w:rsidR="00DD76FD" w:rsidRPr="00E74297" w:rsidRDefault="00DD76FD" w:rsidP="00D06CD4">
            <w:pPr>
              <w:pStyle w:val="TableText0"/>
              <w:keepLines/>
              <w:widowControl w:val="0"/>
              <w:rPr>
                <w:szCs w:val="20"/>
              </w:rPr>
            </w:pPr>
          </w:p>
          <w:p w14:paraId="1145CAC1" w14:textId="77777777" w:rsidR="00DD76FD" w:rsidRPr="00E74297" w:rsidRDefault="00DD76FD" w:rsidP="00D06CD4">
            <w:pPr>
              <w:pStyle w:val="TableText0"/>
              <w:keepLines/>
              <w:widowControl w:val="0"/>
              <w:rPr>
                <w:szCs w:val="20"/>
              </w:rPr>
            </w:pPr>
          </w:p>
          <w:p w14:paraId="3D8008C8" w14:textId="0E8CF323" w:rsidR="00DD76FD" w:rsidRPr="00E74297" w:rsidRDefault="00DD76FD" w:rsidP="00D06CD4">
            <w:pPr>
              <w:pStyle w:val="TableText0"/>
              <w:keepLines/>
              <w:widowControl w:val="0"/>
              <w:rPr>
                <w:szCs w:val="20"/>
              </w:rPr>
            </w:pPr>
            <w:r w:rsidRPr="00E74297">
              <w:rPr>
                <w:i/>
                <w:iCs/>
                <w:szCs w:val="20"/>
              </w:rPr>
              <w:t>Annals of Oncology</w:t>
            </w:r>
            <w:r w:rsidR="005574BA" w:rsidRPr="00E74297">
              <w:rPr>
                <w:szCs w:val="20"/>
              </w:rPr>
              <w:t xml:space="preserve"> 2022;</w:t>
            </w:r>
            <w:r w:rsidRPr="00E74297">
              <w:rPr>
                <w:szCs w:val="20"/>
              </w:rPr>
              <w:t xml:space="preserve"> 33</w:t>
            </w:r>
            <w:r w:rsidR="00047FE4" w:rsidRPr="00E74297">
              <w:rPr>
                <w:szCs w:val="20"/>
              </w:rPr>
              <w:t>:</w:t>
            </w:r>
            <w:r w:rsidRPr="00E74297">
              <w:rPr>
                <w:szCs w:val="20"/>
              </w:rPr>
              <w:t>S1258.</w:t>
            </w:r>
          </w:p>
          <w:p w14:paraId="73DDC31C" w14:textId="77777777" w:rsidR="00DD76FD" w:rsidRPr="00E74297" w:rsidRDefault="00DD76FD" w:rsidP="00D06CD4">
            <w:pPr>
              <w:pStyle w:val="TableText0"/>
              <w:keepLines/>
              <w:widowControl w:val="0"/>
              <w:rPr>
                <w:szCs w:val="20"/>
              </w:rPr>
            </w:pPr>
          </w:p>
          <w:p w14:paraId="1D92FCF0" w14:textId="77777777" w:rsidR="00DD76FD" w:rsidRPr="00E74297" w:rsidRDefault="00DD76FD" w:rsidP="00D06CD4">
            <w:pPr>
              <w:pStyle w:val="TableText0"/>
              <w:keepLines/>
              <w:widowControl w:val="0"/>
              <w:rPr>
                <w:szCs w:val="20"/>
              </w:rPr>
            </w:pPr>
          </w:p>
          <w:p w14:paraId="6BDC2ADA" w14:textId="77777777" w:rsidR="00D91E0E" w:rsidRPr="00E74297" w:rsidRDefault="00D91E0E" w:rsidP="00D06CD4">
            <w:pPr>
              <w:pStyle w:val="TableText0"/>
              <w:keepLines/>
              <w:widowControl w:val="0"/>
              <w:rPr>
                <w:szCs w:val="20"/>
              </w:rPr>
            </w:pPr>
          </w:p>
          <w:p w14:paraId="0CF277A7" w14:textId="2685CF41" w:rsidR="00DD76FD" w:rsidRPr="00E74297" w:rsidRDefault="00DD76FD" w:rsidP="00D06CD4">
            <w:pPr>
              <w:pStyle w:val="TableText0"/>
              <w:keepLines/>
              <w:widowControl w:val="0"/>
              <w:rPr>
                <w:szCs w:val="20"/>
              </w:rPr>
            </w:pPr>
            <w:r w:rsidRPr="00E74297">
              <w:rPr>
                <w:i/>
                <w:iCs/>
                <w:szCs w:val="20"/>
              </w:rPr>
              <w:t>Annals of Oncology</w:t>
            </w:r>
            <w:r w:rsidR="005574BA" w:rsidRPr="00E74297">
              <w:rPr>
                <w:i/>
                <w:iCs/>
                <w:szCs w:val="20"/>
              </w:rPr>
              <w:t xml:space="preserve"> </w:t>
            </w:r>
            <w:r w:rsidR="005574BA" w:rsidRPr="00E74297">
              <w:rPr>
                <w:szCs w:val="20"/>
              </w:rPr>
              <w:t>2022</w:t>
            </w:r>
            <w:r w:rsidR="00047FE4" w:rsidRPr="00E74297">
              <w:rPr>
                <w:szCs w:val="20"/>
              </w:rPr>
              <w:t>;</w:t>
            </w:r>
            <w:r w:rsidRPr="00E74297">
              <w:rPr>
                <w:szCs w:val="20"/>
              </w:rPr>
              <w:t xml:space="preserve"> 33</w:t>
            </w:r>
            <w:r w:rsidR="00047FE4" w:rsidRPr="00E74297">
              <w:rPr>
                <w:szCs w:val="20"/>
              </w:rPr>
              <w:t>:</w:t>
            </w:r>
            <w:r w:rsidRPr="00E74297">
              <w:rPr>
                <w:szCs w:val="20"/>
              </w:rPr>
              <w:t>S635-S636.</w:t>
            </w:r>
          </w:p>
          <w:p w14:paraId="4CE505C7" w14:textId="77777777" w:rsidR="00DD76FD" w:rsidRPr="00E74297" w:rsidRDefault="00DD76FD" w:rsidP="00D06CD4">
            <w:pPr>
              <w:pStyle w:val="TableText0"/>
              <w:keepLines/>
              <w:widowControl w:val="0"/>
              <w:rPr>
                <w:szCs w:val="20"/>
              </w:rPr>
            </w:pPr>
          </w:p>
          <w:p w14:paraId="091B8CE8" w14:textId="77777777" w:rsidR="00DD76FD" w:rsidRPr="00E74297" w:rsidRDefault="00DD76FD" w:rsidP="00D06CD4">
            <w:pPr>
              <w:pStyle w:val="TableText0"/>
              <w:keepLines/>
              <w:widowControl w:val="0"/>
              <w:rPr>
                <w:szCs w:val="20"/>
              </w:rPr>
            </w:pPr>
          </w:p>
          <w:p w14:paraId="00F967C4" w14:textId="77777777" w:rsidR="00DD76FD" w:rsidRPr="00E74297" w:rsidRDefault="00DD76FD" w:rsidP="00D06CD4">
            <w:pPr>
              <w:pStyle w:val="TableText0"/>
              <w:keepLines/>
              <w:widowControl w:val="0"/>
              <w:rPr>
                <w:szCs w:val="20"/>
              </w:rPr>
            </w:pPr>
          </w:p>
          <w:p w14:paraId="35F92011" w14:textId="416CE75C" w:rsidR="00DD76FD" w:rsidRPr="00E74297" w:rsidRDefault="00DD76FD" w:rsidP="00D06CD4">
            <w:pPr>
              <w:pStyle w:val="TableText0"/>
              <w:keepLines/>
              <w:widowControl w:val="0"/>
              <w:rPr>
                <w:szCs w:val="20"/>
              </w:rPr>
            </w:pPr>
          </w:p>
          <w:p w14:paraId="09F48B44" w14:textId="77777777" w:rsidR="00D91E0E" w:rsidRPr="00E74297" w:rsidRDefault="00D91E0E" w:rsidP="00D06CD4">
            <w:pPr>
              <w:pStyle w:val="TableText0"/>
              <w:keepLines/>
              <w:widowControl w:val="0"/>
              <w:rPr>
                <w:szCs w:val="20"/>
              </w:rPr>
            </w:pPr>
          </w:p>
          <w:p w14:paraId="315009C3" w14:textId="78352187" w:rsidR="00DD76FD" w:rsidRPr="00E74297" w:rsidRDefault="000728BE" w:rsidP="00D06CD4">
            <w:pPr>
              <w:pStyle w:val="TableText0"/>
              <w:keepLines/>
              <w:widowControl w:val="0"/>
              <w:rPr>
                <w:szCs w:val="20"/>
              </w:rPr>
            </w:pPr>
            <w:r w:rsidRPr="00E74297">
              <w:rPr>
                <w:i/>
                <w:iCs/>
                <w:szCs w:val="20"/>
              </w:rPr>
              <w:t>Journal of Clinical Oncology</w:t>
            </w:r>
            <w:r w:rsidR="005574BA" w:rsidRPr="00E74297">
              <w:rPr>
                <w:szCs w:val="20"/>
              </w:rPr>
              <w:t xml:space="preserve"> 2022</w:t>
            </w:r>
            <w:r w:rsidR="00047FE4" w:rsidRPr="00E74297">
              <w:rPr>
                <w:szCs w:val="20"/>
              </w:rPr>
              <w:t>;</w:t>
            </w:r>
            <w:r w:rsidRPr="00E74297">
              <w:rPr>
                <w:szCs w:val="20"/>
              </w:rPr>
              <w:t xml:space="preserve"> 40(17_suppl)</w:t>
            </w:r>
          </w:p>
          <w:p w14:paraId="1BA423D2" w14:textId="77777777" w:rsidR="00DD76FD" w:rsidRPr="00E74297" w:rsidRDefault="00DD76FD" w:rsidP="00D91E0E">
            <w:pPr>
              <w:pStyle w:val="TableText0"/>
              <w:keepLines/>
              <w:widowControl w:val="0"/>
              <w:rPr>
                <w:szCs w:val="20"/>
              </w:rPr>
            </w:pPr>
          </w:p>
        </w:tc>
      </w:tr>
    </w:tbl>
    <w:p w14:paraId="078D8809" w14:textId="77777777" w:rsidR="00DD76FD" w:rsidRPr="00E74297" w:rsidRDefault="00DD76FD" w:rsidP="00D06CD4">
      <w:pPr>
        <w:pStyle w:val="FooterTableFigure"/>
        <w:keepNext/>
        <w:keepLines/>
        <w:widowControl w:val="0"/>
      </w:pPr>
      <w:r w:rsidRPr="00E74297">
        <w:t>Source: Table 2.2-1, p37 of the submission.</w:t>
      </w:r>
    </w:p>
    <w:p w14:paraId="3E02DA47" w14:textId="77777777" w:rsidR="000E337C" w:rsidRPr="00E74297" w:rsidRDefault="00DD76FD" w:rsidP="00DD76FD">
      <w:pPr>
        <w:pStyle w:val="3-BodyText"/>
        <w:ind w:left="0" w:firstLine="0"/>
      </w:pPr>
      <w:bookmarkStart w:id="33" w:name="_Toc22897641"/>
      <w:r w:rsidRPr="00E74297">
        <w:t xml:space="preserve">The key features of the direct randomised trial are summarised in </w:t>
      </w:r>
      <w:r w:rsidRPr="00E74297">
        <w:fldChar w:fldCharType="begin" w:fldLock="1"/>
      </w:r>
      <w:r w:rsidRPr="00E74297">
        <w:instrText xml:space="preserve"> REF _Ref104804098 \h  \* MERGEFORMAT </w:instrText>
      </w:r>
      <w:r w:rsidRPr="00E74297">
        <w:fldChar w:fldCharType="separate"/>
      </w:r>
      <w:r w:rsidR="00AE1DC7" w:rsidRPr="00E74297">
        <w:t>Table 3</w:t>
      </w:r>
      <w:r w:rsidRPr="00E74297">
        <w:fldChar w:fldCharType="end"/>
      </w:r>
      <w:r w:rsidRPr="00E74297">
        <w:t>.</w:t>
      </w:r>
    </w:p>
    <w:p w14:paraId="4F6CEB1E" w14:textId="01D0B02A" w:rsidR="00DD76FD" w:rsidRPr="00E74297" w:rsidRDefault="00DD76FD" w:rsidP="00DD76FD">
      <w:pPr>
        <w:pStyle w:val="Caption"/>
        <w:rPr>
          <w:rStyle w:val="CommentReference"/>
          <w:rFonts w:eastAsiaTheme="majorEastAsia" w:cstheme="majorBidi"/>
          <w:b/>
          <w:szCs w:val="24"/>
        </w:rPr>
      </w:pPr>
      <w:bookmarkStart w:id="34" w:name="_Ref104804098"/>
      <w:r w:rsidRPr="00E74297">
        <w:rPr>
          <w:rStyle w:val="CommentReference"/>
          <w:rFonts w:eastAsiaTheme="majorEastAsia" w:cstheme="majorBidi"/>
          <w:b/>
          <w:szCs w:val="24"/>
        </w:rPr>
        <w:lastRenderedPageBreak/>
        <w:t xml:space="preserve">Table </w:t>
      </w:r>
      <w:r w:rsidRPr="00E74297">
        <w:rPr>
          <w:rStyle w:val="CommentReference"/>
          <w:rFonts w:eastAsiaTheme="majorEastAsia" w:cstheme="majorBidi"/>
          <w:b/>
          <w:szCs w:val="24"/>
        </w:rPr>
        <w:fldChar w:fldCharType="begin" w:fldLock="1"/>
      </w:r>
      <w:r w:rsidRPr="00E74297">
        <w:rPr>
          <w:rStyle w:val="CommentReference"/>
          <w:rFonts w:eastAsiaTheme="majorEastAsia" w:cstheme="majorBidi"/>
          <w:b/>
          <w:szCs w:val="24"/>
        </w:rPr>
        <w:instrText xml:space="preserve"> SEQ Table \* ARABIC </w:instrText>
      </w:r>
      <w:r w:rsidRPr="00E74297">
        <w:rPr>
          <w:rStyle w:val="CommentReference"/>
          <w:rFonts w:eastAsiaTheme="majorEastAsia" w:cstheme="majorBidi"/>
          <w:b/>
          <w:szCs w:val="24"/>
        </w:rPr>
        <w:fldChar w:fldCharType="separate"/>
      </w:r>
      <w:r w:rsidR="00AE1DC7" w:rsidRPr="00E74297">
        <w:rPr>
          <w:rStyle w:val="CommentReference"/>
          <w:rFonts w:eastAsiaTheme="majorEastAsia" w:cstheme="majorBidi"/>
          <w:b/>
          <w:szCs w:val="24"/>
        </w:rPr>
        <w:t>3</w:t>
      </w:r>
      <w:r w:rsidRPr="00E74297">
        <w:rPr>
          <w:rStyle w:val="CommentReference"/>
          <w:rFonts w:eastAsiaTheme="majorEastAsia" w:cstheme="majorBidi"/>
          <w:b/>
          <w:szCs w:val="24"/>
        </w:rPr>
        <w:fldChar w:fldCharType="end"/>
      </w:r>
      <w:bookmarkEnd w:id="34"/>
      <w:r w:rsidRPr="00E74297">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3"/>
        <w:gridCol w:w="841"/>
        <w:gridCol w:w="1134"/>
        <w:gridCol w:w="1134"/>
        <w:gridCol w:w="1558"/>
        <w:gridCol w:w="1702"/>
        <w:gridCol w:w="1365"/>
      </w:tblGrid>
      <w:tr w:rsidR="00DD76FD" w:rsidRPr="00E74297" w14:paraId="72699F36" w14:textId="77777777" w:rsidTr="00B71DBC">
        <w:trPr>
          <w:cantSplit/>
          <w:tblHeader/>
        </w:trPr>
        <w:tc>
          <w:tcPr>
            <w:tcW w:w="711" w:type="pct"/>
            <w:shd w:val="clear" w:color="auto" w:fill="auto"/>
            <w:vAlign w:val="center"/>
          </w:tcPr>
          <w:p w14:paraId="2084AFA6" w14:textId="77777777" w:rsidR="00DD76FD" w:rsidRPr="00E74297" w:rsidRDefault="00DD76FD" w:rsidP="00863348">
            <w:pPr>
              <w:pStyle w:val="In-tableHeading"/>
              <w:rPr>
                <w:lang w:val="en-AU"/>
              </w:rPr>
            </w:pPr>
            <w:r w:rsidRPr="00E74297">
              <w:rPr>
                <w:lang w:val="en-AU"/>
              </w:rPr>
              <w:t>Trial</w:t>
            </w:r>
          </w:p>
        </w:tc>
        <w:tc>
          <w:tcPr>
            <w:tcW w:w="466" w:type="pct"/>
            <w:shd w:val="clear" w:color="auto" w:fill="auto"/>
            <w:vAlign w:val="center"/>
          </w:tcPr>
          <w:p w14:paraId="1D532D4D" w14:textId="77777777" w:rsidR="00DD76FD" w:rsidRPr="00E74297" w:rsidRDefault="00DD76FD" w:rsidP="00863348">
            <w:pPr>
              <w:pStyle w:val="In-tableHeading"/>
              <w:jc w:val="center"/>
              <w:rPr>
                <w:lang w:val="en-AU"/>
              </w:rPr>
            </w:pPr>
            <w:r w:rsidRPr="00E74297">
              <w:rPr>
                <w:lang w:val="en-AU"/>
              </w:rPr>
              <w:t>N</w:t>
            </w:r>
          </w:p>
        </w:tc>
        <w:tc>
          <w:tcPr>
            <w:tcW w:w="629" w:type="pct"/>
            <w:shd w:val="clear" w:color="auto" w:fill="auto"/>
            <w:vAlign w:val="center"/>
          </w:tcPr>
          <w:p w14:paraId="1AFDAD14" w14:textId="77777777" w:rsidR="00DD76FD" w:rsidRPr="00E74297" w:rsidRDefault="00DD76FD" w:rsidP="00863348">
            <w:pPr>
              <w:pStyle w:val="In-tableHeading"/>
              <w:jc w:val="center"/>
              <w:rPr>
                <w:lang w:val="en-AU"/>
              </w:rPr>
            </w:pPr>
            <w:r w:rsidRPr="00E74297">
              <w:rPr>
                <w:lang w:val="en-AU"/>
              </w:rPr>
              <w:t>Design/ duration</w:t>
            </w:r>
          </w:p>
        </w:tc>
        <w:tc>
          <w:tcPr>
            <w:tcW w:w="629" w:type="pct"/>
            <w:shd w:val="clear" w:color="auto" w:fill="auto"/>
            <w:vAlign w:val="center"/>
          </w:tcPr>
          <w:p w14:paraId="10E5A465" w14:textId="77777777" w:rsidR="00DD76FD" w:rsidRPr="00E74297" w:rsidRDefault="00DD76FD" w:rsidP="00863348">
            <w:pPr>
              <w:pStyle w:val="In-tableHeading"/>
              <w:jc w:val="center"/>
              <w:rPr>
                <w:lang w:val="en-AU"/>
              </w:rPr>
            </w:pPr>
            <w:r w:rsidRPr="00E74297">
              <w:rPr>
                <w:lang w:val="en-AU"/>
              </w:rPr>
              <w:t>Risk of bias</w:t>
            </w:r>
          </w:p>
        </w:tc>
        <w:tc>
          <w:tcPr>
            <w:tcW w:w="864" w:type="pct"/>
            <w:shd w:val="clear" w:color="auto" w:fill="auto"/>
            <w:vAlign w:val="center"/>
          </w:tcPr>
          <w:p w14:paraId="54E07F25" w14:textId="77777777" w:rsidR="00DD76FD" w:rsidRPr="00E74297" w:rsidRDefault="00DD76FD" w:rsidP="00863348">
            <w:pPr>
              <w:pStyle w:val="In-tableHeading"/>
              <w:jc w:val="center"/>
              <w:rPr>
                <w:lang w:val="en-AU"/>
              </w:rPr>
            </w:pPr>
            <w:r w:rsidRPr="00E74297">
              <w:rPr>
                <w:lang w:val="en-AU"/>
              </w:rPr>
              <w:t>Patient population</w:t>
            </w:r>
          </w:p>
        </w:tc>
        <w:tc>
          <w:tcPr>
            <w:tcW w:w="944" w:type="pct"/>
            <w:shd w:val="clear" w:color="auto" w:fill="auto"/>
            <w:vAlign w:val="center"/>
          </w:tcPr>
          <w:p w14:paraId="437AA115" w14:textId="77777777" w:rsidR="00DD76FD" w:rsidRPr="00E74297" w:rsidRDefault="00DD76FD" w:rsidP="00863348">
            <w:pPr>
              <w:pStyle w:val="In-tableHeading"/>
              <w:jc w:val="center"/>
              <w:rPr>
                <w:lang w:val="en-AU"/>
              </w:rPr>
            </w:pPr>
            <w:r w:rsidRPr="00E74297">
              <w:rPr>
                <w:lang w:val="en-AU"/>
              </w:rPr>
              <w:t>Outcome(s)</w:t>
            </w:r>
          </w:p>
        </w:tc>
        <w:tc>
          <w:tcPr>
            <w:tcW w:w="757" w:type="pct"/>
            <w:shd w:val="clear" w:color="auto" w:fill="auto"/>
            <w:vAlign w:val="center"/>
          </w:tcPr>
          <w:p w14:paraId="52827905" w14:textId="77777777" w:rsidR="00DD76FD" w:rsidRPr="00E74297" w:rsidRDefault="00DD76FD" w:rsidP="00863348">
            <w:pPr>
              <w:pStyle w:val="In-tableHeading"/>
              <w:jc w:val="center"/>
              <w:rPr>
                <w:lang w:val="en-AU"/>
              </w:rPr>
            </w:pPr>
            <w:r w:rsidRPr="00E74297">
              <w:rPr>
                <w:lang w:val="en-AU"/>
              </w:rPr>
              <w:t>Use in modelled evaluation</w:t>
            </w:r>
          </w:p>
        </w:tc>
      </w:tr>
      <w:tr w:rsidR="00DD76FD" w:rsidRPr="00E74297" w14:paraId="032900B2" w14:textId="77777777" w:rsidTr="00863348">
        <w:trPr>
          <w:cantSplit/>
        </w:trPr>
        <w:tc>
          <w:tcPr>
            <w:tcW w:w="5000" w:type="pct"/>
            <w:gridSpan w:val="7"/>
            <w:shd w:val="clear" w:color="auto" w:fill="auto"/>
            <w:vAlign w:val="center"/>
          </w:tcPr>
          <w:p w14:paraId="590DD81F" w14:textId="77777777" w:rsidR="00DD76FD" w:rsidRPr="00E74297" w:rsidRDefault="00DD76FD" w:rsidP="00863348">
            <w:pPr>
              <w:pStyle w:val="In-tableHeading"/>
              <w:rPr>
                <w:lang w:val="en-AU"/>
              </w:rPr>
            </w:pPr>
            <w:r w:rsidRPr="00E74297">
              <w:rPr>
                <w:lang w:val="en-AU"/>
              </w:rPr>
              <w:t>Sacituzumab govitecan vs. treatment of physicians’ choice</w:t>
            </w:r>
          </w:p>
        </w:tc>
      </w:tr>
      <w:tr w:rsidR="00DD76FD" w:rsidRPr="00E74297" w14:paraId="6B50E4E6" w14:textId="77777777" w:rsidTr="00B71DBC">
        <w:trPr>
          <w:cantSplit/>
        </w:trPr>
        <w:tc>
          <w:tcPr>
            <w:tcW w:w="711" w:type="pct"/>
            <w:shd w:val="clear" w:color="auto" w:fill="auto"/>
            <w:vAlign w:val="center"/>
          </w:tcPr>
          <w:p w14:paraId="570C6190" w14:textId="55D02777" w:rsidR="00DD76FD" w:rsidRPr="00E74297" w:rsidRDefault="003D20F2" w:rsidP="00863348">
            <w:pPr>
              <w:pStyle w:val="TableText0"/>
            </w:pPr>
            <w:r w:rsidRPr="00E74297">
              <w:t>TROPiCS-02</w:t>
            </w:r>
          </w:p>
        </w:tc>
        <w:tc>
          <w:tcPr>
            <w:tcW w:w="466" w:type="pct"/>
            <w:shd w:val="clear" w:color="auto" w:fill="auto"/>
            <w:vAlign w:val="center"/>
          </w:tcPr>
          <w:p w14:paraId="1107B44C" w14:textId="77777777" w:rsidR="00DD76FD" w:rsidRPr="00E74297" w:rsidRDefault="00DD76FD" w:rsidP="00863348">
            <w:pPr>
              <w:pStyle w:val="TableText0"/>
              <w:jc w:val="center"/>
            </w:pPr>
            <w:r w:rsidRPr="00E74297">
              <w:t>543</w:t>
            </w:r>
          </w:p>
        </w:tc>
        <w:tc>
          <w:tcPr>
            <w:tcW w:w="629" w:type="pct"/>
            <w:shd w:val="clear" w:color="auto" w:fill="auto"/>
            <w:vAlign w:val="center"/>
          </w:tcPr>
          <w:p w14:paraId="6F9C9010" w14:textId="01AC4C9D" w:rsidR="00DD76FD" w:rsidRPr="00E74297" w:rsidRDefault="00DD76FD" w:rsidP="00863348">
            <w:pPr>
              <w:pStyle w:val="TableText0"/>
              <w:jc w:val="center"/>
            </w:pPr>
            <w:r w:rsidRPr="00E74297">
              <w:t>R, OL, MC</w:t>
            </w:r>
            <w:r w:rsidR="00B71DBC" w:rsidRPr="00E74297">
              <w:t>,</w:t>
            </w:r>
          </w:p>
          <w:p w14:paraId="644FA873" w14:textId="77777777" w:rsidR="00DD76FD" w:rsidRPr="00E74297" w:rsidRDefault="00DD76FD" w:rsidP="00863348">
            <w:pPr>
              <w:pStyle w:val="TableText0"/>
              <w:jc w:val="center"/>
            </w:pPr>
            <w:r w:rsidRPr="00E74297">
              <w:t>Until disease progression</w:t>
            </w:r>
          </w:p>
        </w:tc>
        <w:tc>
          <w:tcPr>
            <w:tcW w:w="629" w:type="pct"/>
            <w:shd w:val="clear" w:color="auto" w:fill="auto"/>
            <w:vAlign w:val="center"/>
          </w:tcPr>
          <w:p w14:paraId="5EFE40AE" w14:textId="77777777" w:rsidR="00DD76FD" w:rsidRPr="00E74297" w:rsidRDefault="00DD76FD" w:rsidP="00863348">
            <w:pPr>
              <w:pStyle w:val="TableText0"/>
              <w:jc w:val="center"/>
            </w:pPr>
            <w:r w:rsidRPr="00E74297">
              <w:t>Low for OS</w:t>
            </w:r>
          </w:p>
          <w:p w14:paraId="5B044B8B" w14:textId="77777777" w:rsidR="00DD76FD" w:rsidRPr="00E74297" w:rsidRDefault="00DD76FD" w:rsidP="00863348">
            <w:pPr>
              <w:pStyle w:val="TableText0"/>
              <w:jc w:val="center"/>
            </w:pPr>
            <w:r w:rsidRPr="00E74297">
              <w:t>High for PFS</w:t>
            </w:r>
          </w:p>
          <w:p w14:paraId="4ED308C2" w14:textId="77777777" w:rsidR="00DD76FD" w:rsidRPr="00E74297" w:rsidRDefault="00DD76FD" w:rsidP="00863348">
            <w:pPr>
              <w:pStyle w:val="TableText0"/>
              <w:jc w:val="center"/>
            </w:pPr>
            <w:r w:rsidRPr="00E74297">
              <w:t>High for QoL</w:t>
            </w:r>
          </w:p>
          <w:p w14:paraId="1103DE95" w14:textId="77777777" w:rsidR="00DD76FD" w:rsidRPr="00E74297" w:rsidRDefault="00DD76FD" w:rsidP="00863348">
            <w:pPr>
              <w:pStyle w:val="TableText0"/>
              <w:jc w:val="center"/>
              <w:rPr>
                <w:i/>
              </w:rPr>
            </w:pPr>
            <w:r w:rsidRPr="00E74297">
              <w:t>High for safety</w:t>
            </w:r>
          </w:p>
        </w:tc>
        <w:tc>
          <w:tcPr>
            <w:tcW w:w="864" w:type="pct"/>
            <w:shd w:val="clear" w:color="auto" w:fill="auto"/>
            <w:vAlign w:val="center"/>
          </w:tcPr>
          <w:p w14:paraId="618FF555" w14:textId="77777777" w:rsidR="000E337C" w:rsidRPr="00E74297" w:rsidRDefault="00DD76FD" w:rsidP="00863348">
            <w:pPr>
              <w:pStyle w:val="TableText0"/>
              <w:jc w:val="center"/>
            </w:pPr>
            <w:r w:rsidRPr="00E74297">
              <w:t>HR+/HER2</w:t>
            </w:r>
            <w:r w:rsidR="00B71DBC" w:rsidRPr="00E74297">
              <w:t>-</w:t>
            </w:r>
            <w:r w:rsidRPr="00E74297">
              <w:t xml:space="preserve"> MBC with 2-4 prior systemic chemotherapy regimens for metastatic disease.</w:t>
            </w:r>
          </w:p>
          <w:p w14:paraId="06B3B87F" w14:textId="0E7CB748" w:rsidR="00DD76FD" w:rsidRPr="00E74297" w:rsidRDefault="00DD76FD" w:rsidP="00863348">
            <w:pPr>
              <w:pStyle w:val="TableText0"/>
              <w:jc w:val="center"/>
            </w:pPr>
          </w:p>
        </w:tc>
        <w:tc>
          <w:tcPr>
            <w:tcW w:w="944" w:type="pct"/>
            <w:shd w:val="clear" w:color="auto" w:fill="auto"/>
            <w:vAlign w:val="center"/>
          </w:tcPr>
          <w:p w14:paraId="37B994F6" w14:textId="1020F314" w:rsidR="00DD76FD" w:rsidRPr="00E74297" w:rsidRDefault="00DD76FD" w:rsidP="00863348">
            <w:pPr>
              <w:pStyle w:val="TableText0"/>
              <w:jc w:val="center"/>
            </w:pPr>
            <w:r w:rsidRPr="00E74297">
              <w:t>Primary endpoint: PFS by BICR</w:t>
            </w:r>
          </w:p>
          <w:p w14:paraId="5B19FD43" w14:textId="77777777" w:rsidR="00B71DBC" w:rsidRPr="00E74297" w:rsidRDefault="00B71DBC" w:rsidP="00863348">
            <w:pPr>
              <w:pStyle w:val="TableText0"/>
              <w:jc w:val="center"/>
            </w:pPr>
          </w:p>
          <w:p w14:paraId="65947D61" w14:textId="77777777" w:rsidR="00DD76FD" w:rsidRPr="00E74297" w:rsidRDefault="00DD76FD" w:rsidP="00863348">
            <w:pPr>
              <w:pStyle w:val="TableText0"/>
              <w:jc w:val="center"/>
            </w:pPr>
            <w:r w:rsidRPr="00E74297">
              <w:t>Secondary endpoints:</w:t>
            </w:r>
          </w:p>
          <w:p w14:paraId="29E46951" w14:textId="1EF94811" w:rsidR="00DD76FD" w:rsidRPr="00E74297" w:rsidRDefault="00DD76FD" w:rsidP="00B71DBC">
            <w:pPr>
              <w:pStyle w:val="TableText0"/>
              <w:jc w:val="center"/>
            </w:pPr>
            <w:r w:rsidRPr="00E74297">
              <w:t>OS</w:t>
            </w:r>
            <w:r w:rsidR="00B71DBC" w:rsidRPr="00E74297">
              <w:t xml:space="preserve">, </w:t>
            </w:r>
            <w:r w:rsidRPr="00E74297">
              <w:t>ORR, DOR, CBR by LIR and BICR</w:t>
            </w:r>
          </w:p>
          <w:p w14:paraId="3AA92184" w14:textId="77777777" w:rsidR="00DD76FD" w:rsidRPr="00E74297" w:rsidRDefault="00DD76FD" w:rsidP="00863348">
            <w:pPr>
              <w:pStyle w:val="TableText0"/>
              <w:jc w:val="center"/>
            </w:pPr>
            <w:r w:rsidRPr="00E74297">
              <w:t>PRO</w:t>
            </w:r>
          </w:p>
          <w:p w14:paraId="05779DAC" w14:textId="77777777" w:rsidR="00DD76FD" w:rsidRPr="00E74297" w:rsidRDefault="00DD76FD" w:rsidP="00863348">
            <w:pPr>
              <w:pStyle w:val="TableText0"/>
              <w:jc w:val="center"/>
            </w:pPr>
            <w:r w:rsidRPr="00E74297">
              <w:t>Safety</w:t>
            </w:r>
          </w:p>
        </w:tc>
        <w:tc>
          <w:tcPr>
            <w:tcW w:w="757" w:type="pct"/>
            <w:shd w:val="clear" w:color="auto" w:fill="auto"/>
            <w:vAlign w:val="center"/>
          </w:tcPr>
          <w:p w14:paraId="58E8855B" w14:textId="77777777" w:rsidR="00DD76FD" w:rsidRPr="00E74297" w:rsidRDefault="00DD76FD" w:rsidP="00863348">
            <w:pPr>
              <w:pStyle w:val="TableText0"/>
              <w:jc w:val="center"/>
            </w:pPr>
            <w:r w:rsidRPr="00E74297">
              <w:t>PFS, OS, safety</w:t>
            </w:r>
          </w:p>
        </w:tc>
      </w:tr>
    </w:tbl>
    <w:p w14:paraId="196A3A87" w14:textId="77777777" w:rsidR="00DD76FD" w:rsidRPr="00E74297" w:rsidRDefault="00DD76FD" w:rsidP="00DD76FD">
      <w:pPr>
        <w:pStyle w:val="FooterTableFigure"/>
      </w:pPr>
      <w:r w:rsidRPr="00E74297">
        <w:t>Source: Section 2 p31, figure 2.3-1 p39, and table 2.3-1 p40 of the submission.</w:t>
      </w:r>
    </w:p>
    <w:p w14:paraId="1B5400F9" w14:textId="77777777" w:rsidR="00DD76FD" w:rsidRPr="00E74297" w:rsidRDefault="00DD76FD" w:rsidP="00DD76FD">
      <w:pPr>
        <w:pStyle w:val="FooterTableFigure"/>
        <w:rPr>
          <w:sz w:val="20"/>
        </w:rPr>
      </w:pPr>
      <w:r w:rsidRPr="00E74297">
        <w:t>BICR = blind independent central review; DOR = duration of response; HER2 = human epidermal growth factor receptor 2; HR+ = hormone receptor positive; LIR = local investigator review; MC = multi-centre; OL = open label; ORR = objective response rate; OS = overall survival; PFS = progression-free survival; PRO = patient reported outcomes; R = randomised.</w:t>
      </w:r>
    </w:p>
    <w:p w14:paraId="00B5FF37" w14:textId="2C14D76F" w:rsidR="00DD76FD" w:rsidRPr="00E74297" w:rsidRDefault="00DD76FD" w:rsidP="00DD76FD">
      <w:pPr>
        <w:pStyle w:val="3-BodyText"/>
      </w:pPr>
      <w:r w:rsidRPr="00E74297">
        <w:t xml:space="preserve">The </w:t>
      </w:r>
      <w:r w:rsidR="003D20F2" w:rsidRPr="00E74297">
        <w:t>TROPiCS-02</w:t>
      </w:r>
      <w:r w:rsidRPr="00E74297">
        <w:t xml:space="preserve"> trial randomised patients to receive either SG (272 patients) or TPC (271) until disease progression or unacceptable toxicity. The median duration of follow-up was 10.22 months for progression free survival (PFS) and 12.48 months for all other outcomes.</w:t>
      </w:r>
    </w:p>
    <w:p w14:paraId="610CA1A4" w14:textId="77777777" w:rsidR="00DD76FD" w:rsidRPr="00E74297" w:rsidRDefault="00DD76FD" w:rsidP="00DD76FD">
      <w:pPr>
        <w:pStyle w:val="3-BodyText"/>
      </w:pPr>
      <w:r w:rsidRPr="00E74297">
        <w:t>For the comparator, a single chemotherapy agent of the treating physicians’ choice was assigned to each patient prior to randomisation. The four chemotherapy agents were capecitabine, vinorelbine, gemcitabine, and eribulin.</w:t>
      </w:r>
    </w:p>
    <w:p w14:paraId="3CA2076B" w14:textId="013051D3" w:rsidR="00DD76FD" w:rsidRPr="00E74297" w:rsidRDefault="00DD76FD" w:rsidP="00DD76FD">
      <w:pPr>
        <w:pStyle w:val="3-BodyText"/>
      </w:pPr>
      <w:r w:rsidRPr="00E74297">
        <w:t>Patients were randomised 1:1 to either SG or TPC with the following stratification factors: visceral metastases, endocrine therapy in the metastatic setting ≥ 6 months, and prior lines of chemotherapy (2 vs 3/4).</w:t>
      </w:r>
    </w:p>
    <w:p w14:paraId="2F0355F6" w14:textId="0A298A7D" w:rsidR="00DD76FD" w:rsidRPr="00E74297" w:rsidRDefault="00DD76FD" w:rsidP="00DD76FD">
      <w:pPr>
        <w:pStyle w:val="3-BodyText"/>
      </w:pPr>
      <w:r w:rsidRPr="00E74297">
        <w:t xml:space="preserve">The comparator of TPC required that the study be open label, increasing the risk of bias. This results in QoL and safety having a high risk of bias. PFS was assessed by both local investigator review (LIR) and by </w:t>
      </w:r>
      <w:r w:rsidR="009138C4" w:rsidRPr="00E74297">
        <w:t>blinded independent central review (</w:t>
      </w:r>
      <w:r w:rsidRPr="00E74297">
        <w:t>BICR</w:t>
      </w:r>
      <w:r w:rsidR="009138C4" w:rsidRPr="00E74297">
        <w:t>)</w:t>
      </w:r>
      <w:r w:rsidRPr="00E74297">
        <w:t>. The</w:t>
      </w:r>
      <w:r w:rsidR="00954487">
        <w:t> </w:t>
      </w:r>
      <w:r w:rsidRPr="00E74297">
        <w:t xml:space="preserve">proportion of patients who were censored differs between LIR and BICR with the possibility of informative censoring, this results in PFS having a high risk of bias. </w:t>
      </w:r>
      <w:r w:rsidR="00AF15C5" w:rsidRPr="00E74297">
        <w:t>Overall</w:t>
      </w:r>
      <w:r w:rsidR="00954487">
        <w:t> </w:t>
      </w:r>
      <w:r w:rsidR="00AF15C5" w:rsidRPr="00E74297">
        <w:t>survival (</w:t>
      </w:r>
      <w:r w:rsidRPr="00E74297">
        <w:t>OS</w:t>
      </w:r>
      <w:r w:rsidR="00AF15C5" w:rsidRPr="00E74297">
        <w:t>)</w:t>
      </w:r>
      <w:r w:rsidRPr="00E74297">
        <w:t xml:space="preserve"> remains a</w:t>
      </w:r>
      <w:r w:rsidR="00AF15C5" w:rsidRPr="00E74297">
        <w:t>t</w:t>
      </w:r>
      <w:r w:rsidRPr="00E74297">
        <w:t xml:space="preserve"> low risk of bias.</w:t>
      </w:r>
    </w:p>
    <w:p w14:paraId="231DEF6F" w14:textId="2BBA4D92" w:rsidR="00DD76FD" w:rsidRPr="00E74297" w:rsidRDefault="00DD76FD" w:rsidP="00DD76FD">
      <w:pPr>
        <w:pStyle w:val="4-SubsectionHeading"/>
      </w:pPr>
      <w:bookmarkStart w:id="35" w:name="_Toc132638500"/>
      <w:bookmarkStart w:id="36" w:name="_Toc135207383"/>
      <w:r w:rsidRPr="00E74297">
        <w:t>Comparative effectiveness</w:t>
      </w:r>
      <w:bookmarkEnd w:id="33"/>
      <w:bookmarkEnd w:id="35"/>
      <w:bookmarkEnd w:id="36"/>
    </w:p>
    <w:p w14:paraId="4E773FE1" w14:textId="50FFF070" w:rsidR="00DD76FD" w:rsidRPr="00E74297" w:rsidRDefault="00DD76FD" w:rsidP="00DD76FD">
      <w:pPr>
        <w:pStyle w:val="3-BodyText"/>
      </w:pPr>
      <w:bookmarkStart w:id="37" w:name="_Toc22897642"/>
      <w:r w:rsidRPr="00E74297">
        <w:t xml:space="preserve">The primary outcome for the </w:t>
      </w:r>
      <w:r w:rsidR="003D20F2" w:rsidRPr="00E74297">
        <w:t>TROPiCS-02</w:t>
      </w:r>
      <w:r w:rsidRPr="00E74297">
        <w:t xml:space="preserve"> trial was PFS by BICR. The results of PFS from the </w:t>
      </w:r>
      <w:r w:rsidR="003D20F2" w:rsidRPr="00E74297">
        <w:t>TROPiCS-02</w:t>
      </w:r>
      <w:r w:rsidRPr="00E74297">
        <w:t xml:space="preserve"> trial are presented in </w:t>
      </w:r>
      <w:r w:rsidRPr="00E74297">
        <w:fldChar w:fldCharType="begin" w:fldLock="1"/>
      </w:r>
      <w:r w:rsidRPr="00E74297">
        <w:instrText xml:space="preserve"> REF _Ref130764393 \h  \* MERGEFORMAT </w:instrText>
      </w:r>
      <w:r w:rsidRPr="00E74297">
        <w:fldChar w:fldCharType="separate"/>
      </w:r>
      <w:r w:rsidR="00AE1DC7" w:rsidRPr="00E74297">
        <w:t>Table 4</w:t>
      </w:r>
      <w:r w:rsidRPr="00E74297">
        <w:fldChar w:fldCharType="end"/>
      </w:r>
      <w:r w:rsidRPr="00E74297">
        <w:t>. The SG arm showed a statistically significant improvement in PFS at the data cut-off (DCO) for</w:t>
      </w:r>
      <w:r w:rsidR="005D3AEC" w:rsidRPr="00E74297">
        <w:t xml:space="preserve"> the</w:t>
      </w:r>
      <w:r w:rsidRPr="00E74297">
        <w:t xml:space="preserve"> primary analysis of 3 January 2022 with a median follow up of 10.22 months (5.5 months in SG vs 4.0 months in TPC, HR: 0.661; 95% CI: 0.529, 0.826</w:t>
      </w:r>
      <w:r w:rsidR="005D3AEC" w:rsidRPr="00E74297">
        <w:t>;</w:t>
      </w:r>
      <w:r w:rsidRPr="00E74297">
        <w:t xml:space="preserve"> P=0.0003). The Kaplan-Meier</w:t>
      </w:r>
      <w:r w:rsidR="00CD4DB1" w:rsidRPr="00E74297">
        <w:t xml:space="preserve"> (KM)</w:t>
      </w:r>
      <w:r w:rsidRPr="00E74297">
        <w:t xml:space="preserve"> curves for PFS in the </w:t>
      </w:r>
      <w:r w:rsidR="003D20F2" w:rsidRPr="00E74297">
        <w:t>TROPiCS-02</w:t>
      </w:r>
      <w:r w:rsidRPr="00E74297">
        <w:t xml:space="preserve"> trials are presented in </w:t>
      </w:r>
      <w:r w:rsidRPr="00E74297">
        <w:fldChar w:fldCharType="begin" w:fldLock="1"/>
      </w:r>
      <w:r w:rsidRPr="00E74297">
        <w:instrText xml:space="preserve"> REF _Ref132276943 \h </w:instrText>
      </w:r>
      <w:r w:rsidRPr="00E74297">
        <w:fldChar w:fldCharType="separate"/>
      </w:r>
      <w:r w:rsidR="00AE1DC7" w:rsidRPr="00E74297">
        <w:t>Figure 1</w:t>
      </w:r>
      <w:r w:rsidRPr="00E74297">
        <w:fldChar w:fldCharType="end"/>
      </w:r>
      <w:r w:rsidRPr="00E74297">
        <w:t>.</w:t>
      </w:r>
      <w:r w:rsidR="00CD4DB1" w:rsidRPr="00E74297">
        <w:rPr>
          <w:i/>
          <w:iCs/>
          <w:snapToGrid/>
        </w:rPr>
        <w:t xml:space="preserve"> </w:t>
      </w:r>
      <w:r w:rsidR="00CD4DB1" w:rsidRPr="00E74297">
        <w:rPr>
          <w:snapToGrid/>
        </w:rPr>
        <w:t xml:space="preserve">Updated PFS </w:t>
      </w:r>
      <w:r w:rsidR="006761C2" w:rsidRPr="00E74297">
        <w:rPr>
          <w:snapToGrid/>
        </w:rPr>
        <w:t>data</w:t>
      </w:r>
      <w:r w:rsidR="00CD4DB1" w:rsidRPr="00E74297">
        <w:rPr>
          <w:snapToGrid/>
        </w:rPr>
        <w:t xml:space="preserve"> provided in the PSCR for the December 2022 data cut </w:t>
      </w:r>
      <w:r w:rsidR="00AB28E8" w:rsidRPr="00E74297">
        <w:rPr>
          <w:snapToGrid/>
        </w:rPr>
        <w:t>are</w:t>
      </w:r>
      <w:r w:rsidR="00CD4DB1" w:rsidRPr="00E74297">
        <w:rPr>
          <w:snapToGrid/>
        </w:rPr>
        <w:t xml:space="preserve"> provided in</w:t>
      </w:r>
      <w:r w:rsidR="00D431F0" w:rsidRPr="00E74297">
        <w:rPr>
          <w:snapToGrid/>
        </w:rPr>
        <w:t xml:space="preserve"> </w:t>
      </w:r>
      <w:r w:rsidR="006761C2" w:rsidRPr="00E74297">
        <w:fldChar w:fldCharType="begin" w:fldLock="1"/>
      </w:r>
      <w:r w:rsidR="006761C2" w:rsidRPr="00E74297">
        <w:instrText xml:space="preserve"> REF _Ref130764393 \h  \* MERGEFORMAT </w:instrText>
      </w:r>
      <w:r w:rsidR="006761C2" w:rsidRPr="00E74297">
        <w:fldChar w:fldCharType="separate"/>
      </w:r>
      <w:r w:rsidR="00AE1DC7" w:rsidRPr="00E74297">
        <w:t>Table 4</w:t>
      </w:r>
      <w:r w:rsidR="006761C2" w:rsidRPr="00E74297">
        <w:fldChar w:fldCharType="end"/>
      </w:r>
      <w:r w:rsidR="009573D2" w:rsidRPr="00E74297">
        <w:t>.</w:t>
      </w:r>
    </w:p>
    <w:p w14:paraId="7178B44A" w14:textId="05B7CC76" w:rsidR="00D04BB2" w:rsidRPr="00E74297" w:rsidRDefault="00D04BB2" w:rsidP="00DD76FD">
      <w:pPr>
        <w:pStyle w:val="3-BodyText"/>
      </w:pPr>
      <w:r w:rsidRPr="00E74297">
        <w:t>A high level of censoring was observed in PFS by BICR, with 102/272</w:t>
      </w:r>
      <w:r w:rsidR="005574BA" w:rsidRPr="00E74297">
        <w:t xml:space="preserve"> (37%)</w:t>
      </w:r>
      <w:r w:rsidRPr="00E74297">
        <w:t xml:space="preserve"> patients in the SG arm and 112/271</w:t>
      </w:r>
      <w:r w:rsidR="005574BA" w:rsidRPr="00E74297">
        <w:t xml:space="preserve"> (41%)</w:t>
      </w:r>
      <w:r w:rsidRPr="00E74297">
        <w:t xml:space="preserve"> patients in the TPC arm being censored. </w:t>
      </w:r>
      <w:r w:rsidR="005574BA" w:rsidRPr="00E74297">
        <w:t>Additionally,</w:t>
      </w:r>
      <w:r w:rsidR="00954487">
        <w:t> </w:t>
      </w:r>
      <w:r w:rsidR="005574BA" w:rsidRPr="00E74297">
        <w:t xml:space="preserve">more patients in the TPC arm were censored for </w:t>
      </w:r>
      <w:r w:rsidR="00047FE4" w:rsidRPr="00E74297">
        <w:t>n</w:t>
      </w:r>
      <w:r w:rsidR="005574BA" w:rsidRPr="00E74297">
        <w:t xml:space="preserve">o </w:t>
      </w:r>
      <w:r w:rsidR="00047FE4" w:rsidRPr="00E74297">
        <w:t>b</w:t>
      </w:r>
      <w:r w:rsidR="005574BA" w:rsidRPr="00E74297">
        <w:t>aseline image o</w:t>
      </w:r>
      <w:r w:rsidR="000F1151" w:rsidRPr="00E74297">
        <w:t>r</w:t>
      </w:r>
      <w:r w:rsidR="005574BA" w:rsidRPr="00E74297">
        <w:t xml:space="preserve"> </w:t>
      </w:r>
      <w:r w:rsidR="00047FE4" w:rsidRPr="00E74297">
        <w:t>p</w:t>
      </w:r>
      <w:r w:rsidR="005574BA" w:rsidRPr="00E74297">
        <w:t>ost</w:t>
      </w:r>
      <w:r w:rsidR="00207FD5" w:rsidRPr="00E74297">
        <w:t xml:space="preserve"> </w:t>
      </w:r>
      <w:r w:rsidR="005574BA" w:rsidRPr="00E74297">
        <w:t xml:space="preserve">baseline </w:t>
      </w:r>
      <w:r w:rsidR="00047FE4" w:rsidRPr="00E74297">
        <w:t>e</w:t>
      </w:r>
      <w:r w:rsidR="005574BA" w:rsidRPr="00E74297">
        <w:t>valuable assessment (8 of 102 (7.8%) in the SG arm vs</w:t>
      </w:r>
      <w:r w:rsidR="00047FE4" w:rsidRPr="00E74297">
        <w:t>.</w:t>
      </w:r>
      <w:r w:rsidR="005574BA" w:rsidRPr="00E74297">
        <w:t xml:space="preserve"> 37 of 112 </w:t>
      </w:r>
      <w:r w:rsidR="005574BA" w:rsidRPr="00E74297">
        <w:lastRenderedPageBreak/>
        <w:t xml:space="preserve">(33.0%) in the TPC arm). Baseline characteristics of censored patients </w:t>
      </w:r>
      <w:r w:rsidR="00D91E0E" w:rsidRPr="00E74297">
        <w:t xml:space="preserve">who </w:t>
      </w:r>
      <w:r w:rsidR="005574BA" w:rsidRPr="00E74297">
        <w:t>withdrew prior to the first assessment were not available. It is unclear whether such censoring was informative (</w:t>
      </w:r>
      <w:r w:rsidR="00BF6400" w:rsidRPr="00E74297">
        <w:t>i.e.,</w:t>
      </w:r>
      <w:r w:rsidR="005574BA" w:rsidRPr="00E74297">
        <w:t xml:space="preserve"> related to the risk of experiencing progression) which may have biased the PFS results of the study.</w:t>
      </w:r>
      <w:r w:rsidR="00C23526" w:rsidRPr="00E74297">
        <w:t xml:space="preserve"> </w:t>
      </w:r>
      <w:r w:rsidR="00C23526" w:rsidRPr="00E74297">
        <w:rPr>
          <w:bCs/>
        </w:rPr>
        <w:t xml:space="preserve">The </w:t>
      </w:r>
      <w:r w:rsidR="00946F4B" w:rsidRPr="00E74297">
        <w:rPr>
          <w:bCs/>
        </w:rPr>
        <w:t xml:space="preserve">PSCR </w:t>
      </w:r>
      <w:r w:rsidR="00C23526" w:rsidRPr="00E74297">
        <w:rPr>
          <w:bCs/>
        </w:rPr>
        <w:t>provided follow-up data</w:t>
      </w:r>
      <w:r w:rsidR="00517EF0" w:rsidRPr="00E74297">
        <w:rPr>
          <w:bCs/>
        </w:rPr>
        <w:t xml:space="preserve"> and </w:t>
      </w:r>
      <w:r w:rsidR="00AF15C5" w:rsidRPr="00E74297">
        <w:rPr>
          <w:bCs/>
        </w:rPr>
        <w:t>additional analyses</w:t>
      </w:r>
      <w:r w:rsidR="00C23526" w:rsidRPr="00E74297">
        <w:rPr>
          <w:bCs/>
        </w:rPr>
        <w:t xml:space="preserve"> </w:t>
      </w:r>
      <w:r w:rsidR="00AF15C5" w:rsidRPr="00E74297">
        <w:rPr>
          <w:bCs/>
        </w:rPr>
        <w:t>regarding the impact of informative censoring on</w:t>
      </w:r>
      <w:r w:rsidR="00C23526" w:rsidRPr="00E74297">
        <w:rPr>
          <w:bCs/>
        </w:rPr>
        <w:t xml:space="preserve"> OS and PFS for participants in the TROPiCS-02 trial</w:t>
      </w:r>
      <w:r w:rsidR="00AF15C5" w:rsidRPr="00E74297">
        <w:rPr>
          <w:bCs/>
        </w:rPr>
        <w:t xml:space="preserve"> including </w:t>
      </w:r>
      <w:r w:rsidR="00C23526" w:rsidRPr="00E74297">
        <w:rPr>
          <w:bCs/>
        </w:rPr>
        <w:t>tipping point analyses.</w:t>
      </w:r>
      <w:r w:rsidR="00CD4DB1" w:rsidRPr="00E74297">
        <w:rPr>
          <w:bCs/>
        </w:rPr>
        <w:t xml:space="preserve"> </w:t>
      </w:r>
      <w:r w:rsidR="00AF15C5" w:rsidRPr="00E74297">
        <w:rPr>
          <w:bCs/>
        </w:rPr>
        <w:t>The information provided stated that the baseline demo</w:t>
      </w:r>
      <w:r w:rsidR="00DF4963" w:rsidRPr="00E74297">
        <w:rPr>
          <w:bCs/>
        </w:rPr>
        <w:t xml:space="preserve">graphic and disease characteristics in participants who were informatively censored and those who were not informatively censored were generally balanced with a few exceptions (median age and the proportion of patients </w:t>
      </w:r>
      <w:r w:rsidR="00DF4963" w:rsidRPr="00E74297">
        <w:rPr>
          <w:rFonts w:cstheme="minorHAnsi"/>
          <w:bCs/>
        </w:rPr>
        <w:t>≥</w:t>
      </w:r>
      <w:r w:rsidR="00DF4963" w:rsidRPr="00E74297">
        <w:rPr>
          <w:bCs/>
        </w:rPr>
        <w:t>65 years was higher in the SG arm). However, no further baseline demographic and disease characteristic data were provided in the document. Overall</w:t>
      </w:r>
      <w:r w:rsidR="00AC7DB9" w:rsidRPr="00E74297">
        <w:rPr>
          <w:bCs/>
        </w:rPr>
        <w:t>, the</w:t>
      </w:r>
      <w:r w:rsidR="00CD4DB1" w:rsidRPr="00E74297">
        <w:rPr>
          <w:bCs/>
        </w:rPr>
        <w:t xml:space="preserve"> ESC</w:t>
      </w:r>
      <w:r w:rsidR="000B1F5B" w:rsidRPr="00E74297">
        <w:rPr>
          <w:bCs/>
        </w:rPr>
        <w:t xml:space="preserve"> </w:t>
      </w:r>
      <w:r w:rsidR="000B1F5B" w:rsidRPr="00E74297">
        <w:t>considered that</w:t>
      </w:r>
      <w:r w:rsidR="005C74FE" w:rsidRPr="00E74297">
        <w:t xml:space="preserve"> the tipping point analyses appeared a reasonable approach, however</w:t>
      </w:r>
      <w:r w:rsidR="000B1F5B" w:rsidRPr="00E74297">
        <w:t xml:space="preserve"> </w:t>
      </w:r>
      <w:r w:rsidR="0054661F" w:rsidRPr="00E74297">
        <w:t xml:space="preserve">as there is no satisfactory way to correct for informative censoring, </w:t>
      </w:r>
      <w:r w:rsidR="000B1F5B" w:rsidRPr="00E74297">
        <w:t xml:space="preserve">it remained unclear whether censoring </w:t>
      </w:r>
      <w:r w:rsidR="00D7570D" w:rsidRPr="00E74297">
        <w:t>had</w:t>
      </w:r>
      <w:r w:rsidR="00255588" w:rsidRPr="00E74297">
        <w:t xml:space="preserve"> </w:t>
      </w:r>
      <w:r w:rsidR="000B1F5B" w:rsidRPr="00E74297">
        <w:t>biased the PFS results of the study.</w:t>
      </w:r>
    </w:p>
    <w:p w14:paraId="185D68EF" w14:textId="77777777" w:rsidR="00AE1DC7" w:rsidRPr="00E74297" w:rsidRDefault="00DD76FD" w:rsidP="00AE1DC7">
      <w:pPr>
        <w:pStyle w:val="3-BodyText"/>
      </w:pPr>
      <w:r w:rsidRPr="00E74297">
        <w:t>The secondary outcomes included OS, objective response rate (ORR), and duration of response (DOR). At the 1 July 2022 DCO</w:t>
      </w:r>
      <w:r w:rsidR="00D7150B" w:rsidRPr="00E74297">
        <w:t xml:space="preserve"> (median follow-up 12.48 months)</w:t>
      </w:r>
      <w:r w:rsidRPr="00E74297">
        <w:t>, SG</w:t>
      </w:r>
      <w:r w:rsidR="00EE5ADA" w:rsidRPr="00E74297">
        <w:t xml:space="preserve"> was associated with a significant improvement in </w:t>
      </w:r>
      <w:r w:rsidR="008B201C" w:rsidRPr="00E74297">
        <w:t>OS</w:t>
      </w:r>
      <w:r w:rsidRPr="00E74297">
        <w:t xml:space="preserve"> </w:t>
      </w:r>
      <w:r w:rsidR="00EE5ADA" w:rsidRPr="00E74297">
        <w:t xml:space="preserve">vs TPC </w:t>
      </w:r>
      <w:r w:rsidRPr="00E74297">
        <w:t>(HR: 0.789; 95% CI: 0.646, 0.964</w:t>
      </w:r>
      <w:r w:rsidR="005D3AEC" w:rsidRPr="00E74297">
        <w:t>;</w:t>
      </w:r>
      <w:r w:rsidRPr="00E74297">
        <w:t xml:space="preserve"> P=0.002)</w:t>
      </w:r>
      <w:r w:rsidR="00DF6919" w:rsidRPr="00E74297">
        <w:t>,</w:t>
      </w:r>
      <w:r w:rsidRPr="00E74297">
        <w:t xml:space="preserve"> as shown in </w:t>
      </w:r>
      <w:r w:rsidRPr="00E74297">
        <w:fldChar w:fldCharType="begin" w:fldLock="1"/>
      </w:r>
      <w:r w:rsidRPr="00E74297">
        <w:instrText xml:space="preserve"> REF _Ref130764393 \h </w:instrText>
      </w:r>
      <w:r w:rsidR="000B1F5B" w:rsidRPr="00E74297">
        <w:instrText xml:space="preserve"> \* MERGEFORMAT </w:instrText>
      </w:r>
      <w:r w:rsidRPr="00E74297">
        <w:fldChar w:fldCharType="separate"/>
      </w:r>
      <w:r w:rsidR="00AE1DC7" w:rsidRPr="00E74297">
        <w:t>Table 4</w:t>
      </w:r>
      <w:r w:rsidRPr="00E74297">
        <w:fldChar w:fldCharType="end"/>
      </w:r>
      <w:r w:rsidRPr="00E74297">
        <w:t xml:space="preserve">. The median OS for the SG arm was 14.4 months (95% CI: 13.0, 15.7), compared to the median OS for the TPC arm of </w:t>
      </w:r>
      <w:r w:rsidR="00EE5ADA" w:rsidRPr="00E74297">
        <w:t>11.2</w:t>
      </w:r>
      <w:r w:rsidRPr="00E74297">
        <w:t xml:space="preserve"> months (95% CI: 10.1, 12.7). </w:t>
      </w:r>
      <w:r w:rsidR="00EE5ADA" w:rsidRPr="00E74297">
        <w:t xml:space="preserve">The ESC </w:t>
      </w:r>
      <w:r w:rsidR="00D431F0" w:rsidRPr="00E74297">
        <w:t>noted</w:t>
      </w:r>
      <w:r w:rsidR="00EE5ADA" w:rsidRPr="00E74297">
        <w:t xml:space="preserve"> that the </w:t>
      </w:r>
      <w:r w:rsidR="008B201C" w:rsidRPr="00E74297">
        <w:t>OS</w:t>
      </w:r>
      <w:r w:rsidR="00EE5ADA" w:rsidRPr="00E74297">
        <w:t xml:space="preserve"> </w:t>
      </w:r>
      <w:r w:rsidR="00E43481" w:rsidRPr="00E74297">
        <w:t>benefit</w:t>
      </w:r>
      <w:r w:rsidR="00EE5ADA" w:rsidRPr="00E74297">
        <w:t xml:space="preserve"> was </w:t>
      </w:r>
      <w:r w:rsidR="00D431F0" w:rsidRPr="00E74297">
        <w:t>statistically significant.</w:t>
      </w:r>
      <w:r w:rsidR="000B1F5B" w:rsidRPr="00E74297">
        <w:fldChar w:fldCharType="begin" w:fldLock="1"/>
      </w:r>
      <w:r w:rsidR="000B1F5B" w:rsidRPr="00E74297">
        <w:instrText xml:space="preserve"> REF _Ref137376841 \h </w:instrText>
      </w:r>
      <w:r w:rsidR="009573D2" w:rsidRPr="00E74297">
        <w:instrText xml:space="preserve"> \* MERGEFORMAT </w:instrText>
      </w:r>
      <w:r w:rsidR="000B1F5B" w:rsidRPr="00E74297">
        <w:fldChar w:fldCharType="separate"/>
      </w:r>
    </w:p>
    <w:p w14:paraId="4FDA6A50" w14:textId="0EA90548" w:rsidR="00DD76FD" w:rsidRPr="00E74297" w:rsidRDefault="000B1F5B" w:rsidP="000B1F5B">
      <w:pPr>
        <w:pStyle w:val="3-BodyText"/>
      </w:pPr>
      <w:r w:rsidRPr="00E74297">
        <w:fldChar w:fldCharType="end"/>
      </w:r>
      <w:r w:rsidR="009573D2" w:rsidRPr="00E74297">
        <w:rPr>
          <w:snapToGrid/>
        </w:rPr>
        <w:t xml:space="preserve">The KM curves for OS in the TROPiCS-02 trial are presented in </w:t>
      </w:r>
      <w:r w:rsidR="009573D2" w:rsidRPr="00E74297">
        <w:rPr>
          <w:snapToGrid/>
        </w:rPr>
        <w:fldChar w:fldCharType="begin" w:fldLock="1"/>
      </w:r>
      <w:r w:rsidR="009573D2" w:rsidRPr="00E74297">
        <w:rPr>
          <w:snapToGrid/>
        </w:rPr>
        <w:instrText xml:space="preserve"> REF _Ref142034322 \h  \* MERGEFORMAT </w:instrText>
      </w:r>
      <w:r w:rsidR="009573D2" w:rsidRPr="00E74297">
        <w:rPr>
          <w:snapToGrid/>
        </w:rPr>
      </w:r>
      <w:r w:rsidR="009573D2" w:rsidRPr="00E74297">
        <w:rPr>
          <w:snapToGrid/>
        </w:rPr>
        <w:fldChar w:fldCharType="separate"/>
      </w:r>
      <w:r w:rsidR="00AE1DC7" w:rsidRPr="00E74297">
        <w:rPr>
          <w:snapToGrid/>
        </w:rPr>
        <w:t>Figure 2</w:t>
      </w:r>
      <w:r w:rsidR="009573D2" w:rsidRPr="00E74297">
        <w:rPr>
          <w:snapToGrid/>
        </w:rPr>
        <w:fldChar w:fldCharType="end"/>
      </w:r>
      <w:r w:rsidR="00DD76FD" w:rsidRPr="00E74297">
        <w:rPr>
          <w:snapToGrid/>
        </w:rPr>
        <w:t>.</w:t>
      </w:r>
      <w:r w:rsidR="00A42A72" w:rsidRPr="00E74297">
        <w:rPr>
          <w:snapToGrid/>
        </w:rPr>
        <w:t xml:space="preserve"> Updated OS </w:t>
      </w:r>
      <w:r w:rsidR="006761C2" w:rsidRPr="00E74297">
        <w:rPr>
          <w:snapToGrid/>
        </w:rPr>
        <w:t>data</w:t>
      </w:r>
      <w:r w:rsidR="00A42A72" w:rsidRPr="00E74297">
        <w:rPr>
          <w:snapToGrid/>
        </w:rPr>
        <w:t xml:space="preserve"> provided in the PSCR for the December 2022 data cut </w:t>
      </w:r>
      <w:r w:rsidR="00AB28E8" w:rsidRPr="00E74297">
        <w:rPr>
          <w:snapToGrid/>
        </w:rPr>
        <w:t>are</w:t>
      </w:r>
      <w:r w:rsidR="00A42A72" w:rsidRPr="00E74297">
        <w:rPr>
          <w:snapToGrid/>
        </w:rPr>
        <w:t xml:space="preserve"> provided in</w:t>
      </w:r>
      <w:r w:rsidR="00B74F0E" w:rsidRPr="00E74297">
        <w:rPr>
          <w:snapToGrid/>
        </w:rPr>
        <w:t xml:space="preserve"> </w:t>
      </w:r>
      <w:r w:rsidR="006761C2" w:rsidRPr="00E74297">
        <w:fldChar w:fldCharType="begin" w:fldLock="1"/>
      </w:r>
      <w:r w:rsidR="006761C2" w:rsidRPr="00E74297">
        <w:instrText xml:space="preserve"> REF _Ref130764393 \h  \* MERGEFORMAT </w:instrText>
      </w:r>
      <w:r w:rsidR="006761C2" w:rsidRPr="00E74297">
        <w:fldChar w:fldCharType="separate"/>
      </w:r>
      <w:r w:rsidR="00AE1DC7" w:rsidRPr="00E74297">
        <w:t>Table</w:t>
      </w:r>
      <w:r w:rsidR="00954487">
        <w:t> </w:t>
      </w:r>
      <w:r w:rsidR="00AE1DC7" w:rsidRPr="00E74297">
        <w:t>4</w:t>
      </w:r>
      <w:r w:rsidR="006761C2" w:rsidRPr="00E74297">
        <w:fldChar w:fldCharType="end"/>
      </w:r>
      <w:r w:rsidR="009573D2" w:rsidRPr="00E74297">
        <w:t>.</w:t>
      </w:r>
    </w:p>
    <w:p w14:paraId="092D5529" w14:textId="32562080" w:rsidR="00DD76FD" w:rsidRPr="00E74297" w:rsidRDefault="00DD76FD" w:rsidP="00DD76FD">
      <w:pPr>
        <w:pStyle w:val="3-BodyText"/>
      </w:pPr>
      <w:r w:rsidRPr="00E74297">
        <w:t>The ORR for the SG group was statistically significantly higher (21%, 95% CI: 16.3%, 26.3%) versus the TPC arm (14%, 95% CI: 10.1%, 18.7%) (OR</w:t>
      </w:r>
      <w:r w:rsidR="00DF6919" w:rsidRPr="00E74297">
        <w:t>:</w:t>
      </w:r>
      <w:r w:rsidRPr="00E74297">
        <w:t xml:space="preserve"> 1.625; 95% CI: 1.034, 2.555; P = 0.0348) at the 1 July 2022 DCO</w:t>
      </w:r>
      <w:r w:rsidR="00D7150B" w:rsidRPr="00E74297">
        <w:t>.</w:t>
      </w:r>
    </w:p>
    <w:p w14:paraId="2B28AE0F" w14:textId="03356A41" w:rsidR="00DD76FD" w:rsidRPr="00E74297" w:rsidRDefault="00DD76FD" w:rsidP="00DD76FD">
      <w:pPr>
        <w:pStyle w:val="Caption"/>
        <w:rPr>
          <w:rFonts w:eastAsiaTheme="majorEastAsia" w:cstheme="majorBidi"/>
          <w:szCs w:val="24"/>
        </w:rPr>
      </w:pPr>
      <w:bookmarkStart w:id="38" w:name="_Ref130764393"/>
      <w:r w:rsidRPr="00E74297">
        <w:lastRenderedPageBreak/>
        <w:t xml:space="preserve">Table </w:t>
      </w:r>
      <w:fldSimple w:instr=" SEQ Table \* ARABIC " w:fldLock="1">
        <w:r w:rsidR="00AE1DC7" w:rsidRPr="00E74297">
          <w:t>4</w:t>
        </w:r>
      </w:fldSimple>
      <w:bookmarkEnd w:id="38"/>
      <w:r w:rsidRPr="00E74297">
        <w:t xml:space="preserve">: </w:t>
      </w:r>
      <w:r w:rsidRPr="00E74297">
        <w:rPr>
          <w:rStyle w:val="CommentReference"/>
          <w:rFonts w:eastAsiaTheme="majorEastAsia" w:cstheme="majorBidi"/>
          <w:b/>
          <w:szCs w:val="24"/>
        </w:rPr>
        <w:t xml:space="preserve">Summary of survival outcomes in </w:t>
      </w:r>
      <w:r w:rsidR="003D20F2" w:rsidRPr="00E74297">
        <w:rPr>
          <w:rStyle w:val="CommentReference"/>
          <w:rFonts w:eastAsiaTheme="majorEastAsia" w:cstheme="majorBidi"/>
          <w:b/>
          <w:szCs w:val="24"/>
        </w:rPr>
        <w:t>TROPiCS-02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12"/>
        <w:gridCol w:w="1820"/>
        <w:gridCol w:w="1814"/>
        <w:gridCol w:w="1767"/>
      </w:tblGrid>
      <w:tr w:rsidR="00DD76FD" w:rsidRPr="00E74297" w14:paraId="6287FB33" w14:textId="77777777" w:rsidTr="00863348">
        <w:trPr>
          <w:cantSplit/>
          <w:tblHeader/>
        </w:trPr>
        <w:tc>
          <w:tcPr>
            <w:tcW w:w="1000" w:type="pct"/>
            <w:vAlign w:val="center"/>
          </w:tcPr>
          <w:p w14:paraId="52AA36B6" w14:textId="77777777" w:rsidR="00DD76FD" w:rsidRPr="00E74297" w:rsidRDefault="00DD76FD" w:rsidP="00863348">
            <w:pPr>
              <w:pStyle w:val="In-tableHeading"/>
              <w:jc w:val="center"/>
              <w:rPr>
                <w:lang w:val="en-AU"/>
              </w:rPr>
            </w:pPr>
            <w:bookmarkStart w:id="39" w:name="_Hlk134629145"/>
          </w:p>
        </w:tc>
        <w:tc>
          <w:tcPr>
            <w:tcW w:w="1005" w:type="pct"/>
            <w:vAlign w:val="center"/>
          </w:tcPr>
          <w:p w14:paraId="6701C5F9" w14:textId="77777777" w:rsidR="00DD76FD" w:rsidRPr="00E74297" w:rsidRDefault="00DD76FD" w:rsidP="00863348">
            <w:pPr>
              <w:pStyle w:val="In-tableHeading"/>
              <w:jc w:val="center"/>
              <w:rPr>
                <w:lang w:val="en-AU"/>
              </w:rPr>
            </w:pPr>
            <w:r w:rsidRPr="00E74297">
              <w:rPr>
                <w:lang w:val="en-AU"/>
              </w:rPr>
              <w:t>SG n/N (%)</w:t>
            </w:r>
          </w:p>
        </w:tc>
        <w:tc>
          <w:tcPr>
            <w:tcW w:w="1009" w:type="pct"/>
            <w:vAlign w:val="center"/>
          </w:tcPr>
          <w:p w14:paraId="4A14C3D6" w14:textId="77777777" w:rsidR="00DD76FD" w:rsidRPr="00E74297" w:rsidRDefault="00DD76FD" w:rsidP="00863348">
            <w:pPr>
              <w:pStyle w:val="In-tableHeading"/>
              <w:jc w:val="center"/>
              <w:rPr>
                <w:lang w:val="en-AU"/>
              </w:rPr>
            </w:pPr>
            <w:r w:rsidRPr="00E74297">
              <w:rPr>
                <w:lang w:val="en-AU"/>
              </w:rPr>
              <w:t>TPC n/N (%)</w:t>
            </w:r>
          </w:p>
        </w:tc>
        <w:tc>
          <w:tcPr>
            <w:tcW w:w="1006" w:type="pct"/>
            <w:vAlign w:val="center"/>
          </w:tcPr>
          <w:p w14:paraId="19A9D58A" w14:textId="77777777" w:rsidR="00DD76FD" w:rsidRPr="00E74297" w:rsidRDefault="00DD76FD" w:rsidP="00863348">
            <w:pPr>
              <w:pStyle w:val="In-tableHeading"/>
              <w:jc w:val="center"/>
              <w:rPr>
                <w:lang w:val="en-AU"/>
              </w:rPr>
            </w:pPr>
            <w:r w:rsidRPr="00E74297">
              <w:rPr>
                <w:lang w:val="en-AU"/>
              </w:rPr>
              <w:t>Absolute difference</w:t>
            </w:r>
          </w:p>
        </w:tc>
        <w:tc>
          <w:tcPr>
            <w:tcW w:w="980" w:type="pct"/>
            <w:vAlign w:val="center"/>
          </w:tcPr>
          <w:p w14:paraId="2371DF15" w14:textId="77777777" w:rsidR="00DD76FD" w:rsidRPr="00E74297" w:rsidRDefault="00DD76FD" w:rsidP="00863348">
            <w:pPr>
              <w:pStyle w:val="In-tableHeading"/>
              <w:jc w:val="center"/>
              <w:rPr>
                <w:lang w:val="en-AU"/>
              </w:rPr>
            </w:pPr>
            <w:r w:rsidRPr="00E74297">
              <w:rPr>
                <w:lang w:val="en-AU"/>
              </w:rPr>
              <w:t>HR (95% CI)</w:t>
            </w:r>
          </w:p>
        </w:tc>
      </w:tr>
      <w:tr w:rsidR="00DD76FD" w:rsidRPr="00E74297" w14:paraId="034AF5B4" w14:textId="77777777" w:rsidTr="00863348">
        <w:trPr>
          <w:cantSplit/>
        </w:trPr>
        <w:tc>
          <w:tcPr>
            <w:tcW w:w="5000" w:type="pct"/>
            <w:gridSpan w:val="5"/>
            <w:vAlign w:val="center"/>
          </w:tcPr>
          <w:p w14:paraId="15BCB3D0" w14:textId="7318F6C9" w:rsidR="00DD76FD" w:rsidRPr="00E74297" w:rsidRDefault="00DD76FD" w:rsidP="00863348">
            <w:pPr>
              <w:pStyle w:val="In-tableHeading"/>
              <w:rPr>
                <w:lang w:val="en-AU"/>
              </w:rPr>
            </w:pPr>
            <w:r w:rsidRPr="00E74297">
              <w:rPr>
                <w:lang w:val="en-AU"/>
              </w:rPr>
              <w:t xml:space="preserve">Progression-free survival </w:t>
            </w:r>
            <w:r w:rsidR="006761C2" w:rsidRPr="00E74297">
              <w:rPr>
                <w:lang w:val="en-AU"/>
              </w:rPr>
              <w:t>- 1 July 2022 DCO</w:t>
            </w:r>
            <w:r w:rsidR="007E030C" w:rsidRPr="00E74297">
              <w:rPr>
                <w:lang w:val="en-AU"/>
              </w:rPr>
              <w:t xml:space="preserve"> (median follow-up: 10.22 months)</w:t>
            </w:r>
          </w:p>
        </w:tc>
      </w:tr>
      <w:tr w:rsidR="00DD76FD" w:rsidRPr="00E74297" w14:paraId="47FEFDF5" w14:textId="77777777" w:rsidTr="00863348">
        <w:trPr>
          <w:cantSplit/>
        </w:trPr>
        <w:tc>
          <w:tcPr>
            <w:tcW w:w="1000" w:type="pct"/>
            <w:vAlign w:val="center"/>
          </w:tcPr>
          <w:p w14:paraId="6DC0A446" w14:textId="77777777" w:rsidR="00DD76FD" w:rsidRPr="00E74297" w:rsidRDefault="00DD76FD" w:rsidP="00863348">
            <w:pPr>
              <w:pStyle w:val="TableText0"/>
            </w:pPr>
            <w:r w:rsidRPr="00E74297">
              <w:t>Events, n (%)</w:t>
            </w:r>
          </w:p>
        </w:tc>
        <w:tc>
          <w:tcPr>
            <w:tcW w:w="1005" w:type="pct"/>
            <w:vAlign w:val="center"/>
          </w:tcPr>
          <w:p w14:paraId="126AFFE1" w14:textId="77777777" w:rsidR="00DD76FD" w:rsidRPr="00E74297" w:rsidRDefault="00DD76FD" w:rsidP="00863348">
            <w:pPr>
              <w:pStyle w:val="TableText0"/>
              <w:jc w:val="center"/>
            </w:pPr>
            <w:r w:rsidRPr="00E74297">
              <w:t>170/272 (62.5%)</w:t>
            </w:r>
          </w:p>
        </w:tc>
        <w:tc>
          <w:tcPr>
            <w:tcW w:w="1009" w:type="pct"/>
            <w:vAlign w:val="center"/>
          </w:tcPr>
          <w:p w14:paraId="2DE71B41" w14:textId="77777777" w:rsidR="00DD76FD" w:rsidRPr="00E74297" w:rsidRDefault="00DD76FD" w:rsidP="00863348">
            <w:pPr>
              <w:pStyle w:val="TableText0"/>
              <w:jc w:val="center"/>
            </w:pPr>
            <w:r w:rsidRPr="00E74297">
              <w:t>159/271 (58.7%)</w:t>
            </w:r>
          </w:p>
        </w:tc>
        <w:tc>
          <w:tcPr>
            <w:tcW w:w="1006" w:type="pct"/>
            <w:vAlign w:val="center"/>
          </w:tcPr>
          <w:p w14:paraId="160D4F27" w14:textId="3FCE4100" w:rsidR="00DD76FD" w:rsidRPr="00E74297" w:rsidRDefault="007674F4" w:rsidP="00863348">
            <w:pPr>
              <w:pStyle w:val="TableText0"/>
              <w:jc w:val="center"/>
            </w:pPr>
            <w:r w:rsidRPr="00E74297">
              <w:t>NA</w:t>
            </w:r>
          </w:p>
        </w:tc>
        <w:tc>
          <w:tcPr>
            <w:tcW w:w="980" w:type="pct"/>
            <w:vAlign w:val="center"/>
          </w:tcPr>
          <w:p w14:paraId="17A24A09" w14:textId="77777777" w:rsidR="00DD76FD" w:rsidRPr="00E74297" w:rsidRDefault="00DD76FD" w:rsidP="00863348">
            <w:pPr>
              <w:pStyle w:val="TableText0"/>
              <w:jc w:val="center"/>
            </w:pPr>
            <w:r w:rsidRPr="00E74297">
              <w:t>-</w:t>
            </w:r>
          </w:p>
        </w:tc>
      </w:tr>
      <w:tr w:rsidR="00DD76FD" w:rsidRPr="00E74297" w14:paraId="2C62E841" w14:textId="77777777" w:rsidTr="00863348">
        <w:trPr>
          <w:cantSplit/>
        </w:trPr>
        <w:tc>
          <w:tcPr>
            <w:tcW w:w="1000" w:type="pct"/>
            <w:vAlign w:val="center"/>
          </w:tcPr>
          <w:p w14:paraId="1C616CCF" w14:textId="77777777" w:rsidR="00DD76FD" w:rsidRPr="00E74297" w:rsidRDefault="00DD76FD" w:rsidP="00863348">
            <w:pPr>
              <w:pStyle w:val="TableText0"/>
            </w:pPr>
            <w:r w:rsidRPr="00E74297">
              <w:t>Median PFS, months (95% CI)</w:t>
            </w:r>
          </w:p>
        </w:tc>
        <w:tc>
          <w:tcPr>
            <w:tcW w:w="1005" w:type="pct"/>
            <w:vAlign w:val="center"/>
          </w:tcPr>
          <w:p w14:paraId="6097FBA4" w14:textId="77777777" w:rsidR="00DD76FD" w:rsidRPr="00E74297" w:rsidRDefault="00DD76FD" w:rsidP="00863348">
            <w:pPr>
              <w:pStyle w:val="TableText0"/>
              <w:jc w:val="center"/>
            </w:pPr>
            <w:r w:rsidRPr="00E74297">
              <w:t>5.5 (4.2, 7.0)</w:t>
            </w:r>
          </w:p>
        </w:tc>
        <w:tc>
          <w:tcPr>
            <w:tcW w:w="1009" w:type="pct"/>
            <w:vAlign w:val="center"/>
          </w:tcPr>
          <w:p w14:paraId="419DB67E" w14:textId="77777777" w:rsidR="00DD76FD" w:rsidRPr="00E74297" w:rsidRDefault="00DD76FD" w:rsidP="00863348">
            <w:pPr>
              <w:pStyle w:val="TableText0"/>
              <w:jc w:val="center"/>
            </w:pPr>
            <w:r w:rsidRPr="00E74297">
              <w:t>4.0 (3.1, 4.4)</w:t>
            </w:r>
          </w:p>
        </w:tc>
        <w:tc>
          <w:tcPr>
            <w:tcW w:w="1006" w:type="pct"/>
            <w:vAlign w:val="center"/>
          </w:tcPr>
          <w:p w14:paraId="5A6ED989" w14:textId="0347D9AC" w:rsidR="00DD76FD" w:rsidRPr="00E74297" w:rsidRDefault="00DD76FD" w:rsidP="00863348">
            <w:pPr>
              <w:pStyle w:val="TableText0"/>
              <w:jc w:val="center"/>
              <w:rPr>
                <w:iCs/>
              </w:rPr>
            </w:pPr>
            <w:r w:rsidRPr="00E74297">
              <w:rPr>
                <w:iCs/>
              </w:rPr>
              <w:t>1.5</w:t>
            </w:r>
          </w:p>
        </w:tc>
        <w:tc>
          <w:tcPr>
            <w:tcW w:w="980" w:type="pct"/>
            <w:vAlign w:val="center"/>
          </w:tcPr>
          <w:p w14:paraId="699C4DD6" w14:textId="77777777" w:rsidR="00DD76FD" w:rsidRPr="00E74297" w:rsidRDefault="00DD76FD" w:rsidP="00863348">
            <w:pPr>
              <w:pStyle w:val="TableText0"/>
              <w:jc w:val="center"/>
              <w:rPr>
                <w:b/>
                <w:bCs w:val="0"/>
              </w:rPr>
            </w:pPr>
            <w:r w:rsidRPr="00E74297">
              <w:rPr>
                <w:b/>
                <w:bCs w:val="0"/>
              </w:rPr>
              <w:t>0.661 (0.529, 0.826)</w:t>
            </w:r>
          </w:p>
        </w:tc>
      </w:tr>
      <w:tr w:rsidR="00DD76FD" w:rsidRPr="00E74297" w14:paraId="6796325D" w14:textId="77777777" w:rsidTr="00863348">
        <w:trPr>
          <w:cantSplit/>
        </w:trPr>
        <w:tc>
          <w:tcPr>
            <w:tcW w:w="1000" w:type="pct"/>
          </w:tcPr>
          <w:p w14:paraId="6974D376" w14:textId="77777777" w:rsidR="00DD76FD" w:rsidRPr="00E74297" w:rsidRDefault="00DD76FD" w:rsidP="00863348">
            <w:pPr>
              <w:pStyle w:val="TableText0"/>
            </w:pPr>
            <w:r w:rsidRPr="00E74297">
              <w:t>% not progressed at 6 months (95% CI)*</w:t>
            </w:r>
          </w:p>
        </w:tc>
        <w:tc>
          <w:tcPr>
            <w:tcW w:w="1005" w:type="pct"/>
            <w:vAlign w:val="center"/>
          </w:tcPr>
          <w:p w14:paraId="41E14B81" w14:textId="77777777" w:rsidR="00DD76FD" w:rsidRPr="00E74297" w:rsidRDefault="00DD76FD" w:rsidP="00863348">
            <w:pPr>
              <w:pStyle w:val="TableText0"/>
              <w:jc w:val="center"/>
              <w:rPr>
                <w:rFonts w:cs="Arial"/>
              </w:rPr>
            </w:pPr>
            <w:r w:rsidRPr="00E74297">
              <w:t>46.1% (39.4, 52.6)</w:t>
            </w:r>
          </w:p>
        </w:tc>
        <w:tc>
          <w:tcPr>
            <w:tcW w:w="1009" w:type="pct"/>
            <w:vAlign w:val="center"/>
          </w:tcPr>
          <w:p w14:paraId="7B1A7471" w14:textId="77777777" w:rsidR="00DD76FD" w:rsidRPr="00E74297" w:rsidRDefault="00DD76FD" w:rsidP="00863348">
            <w:pPr>
              <w:pStyle w:val="TableText0"/>
              <w:jc w:val="center"/>
              <w:rPr>
                <w:rFonts w:cs="Arial"/>
              </w:rPr>
            </w:pPr>
            <w:r w:rsidRPr="00E74297">
              <w:t>30.3% (23.6, 37.3)</w:t>
            </w:r>
          </w:p>
        </w:tc>
        <w:tc>
          <w:tcPr>
            <w:tcW w:w="1006" w:type="pct"/>
            <w:vAlign w:val="center"/>
          </w:tcPr>
          <w:p w14:paraId="40F2186C" w14:textId="77777777" w:rsidR="00DD76FD" w:rsidRPr="00E74297" w:rsidRDefault="00DD76FD" w:rsidP="00863348">
            <w:pPr>
              <w:pStyle w:val="TableText0"/>
              <w:jc w:val="center"/>
              <w:rPr>
                <w:rFonts w:cs="Arial"/>
              </w:rPr>
            </w:pPr>
            <w:r w:rsidRPr="00E74297">
              <w:rPr>
                <w:rFonts w:cs="Arial"/>
              </w:rPr>
              <w:t>15.8%</w:t>
            </w:r>
          </w:p>
        </w:tc>
        <w:tc>
          <w:tcPr>
            <w:tcW w:w="980" w:type="pct"/>
            <w:vAlign w:val="center"/>
          </w:tcPr>
          <w:p w14:paraId="229FCD5D" w14:textId="77777777" w:rsidR="00DD76FD" w:rsidRPr="00E74297" w:rsidDel="0061549B" w:rsidRDefault="00DD76FD" w:rsidP="00863348">
            <w:pPr>
              <w:pStyle w:val="TableText0"/>
              <w:jc w:val="center"/>
            </w:pPr>
            <w:r w:rsidRPr="00E74297">
              <w:t>-</w:t>
            </w:r>
          </w:p>
        </w:tc>
      </w:tr>
      <w:tr w:rsidR="00DD76FD" w:rsidRPr="00E74297" w14:paraId="1671123F" w14:textId="77777777" w:rsidTr="00863348">
        <w:trPr>
          <w:cantSplit/>
        </w:trPr>
        <w:tc>
          <w:tcPr>
            <w:tcW w:w="1000" w:type="pct"/>
          </w:tcPr>
          <w:p w14:paraId="081701DD" w14:textId="77777777" w:rsidR="00DD76FD" w:rsidRPr="00E74297" w:rsidRDefault="00DD76FD" w:rsidP="00863348">
            <w:pPr>
              <w:pStyle w:val="TableText0"/>
            </w:pPr>
            <w:r w:rsidRPr="00E74297">
              <w:t>% not progressed at 9 months (95% CI)*</w:t>
            </w:r>
          </w:p>
        </w:tc>
        <w:tc>
          <w:tcPr>
            <w:tcW w:w="1005" w:type="pct"/>
            <w:vAlign w:val="center"/>
          </w:tcPr>
          <w:p w14:paraId="75AF3A39" w14:textId="77777777" w:rsidR="00DD76FD" w:rsidRPr="00E74297" w:rsidRDefault="00DD76FD" w:rsidP="00863348">
            <w:pPr>
              <w:pStyle w:val="TableText0"/>
              <w:jc w:val="center"/>
              <w:rPr>
                <w:rFonts w:cs="Arial"/>
              </w:rPr>
            </w:pPr>
            <w:r w:rsidRPr="00E74297">
              <w:t>32.5% (25.9, 39.2)</w:t>
            </w:r>
          </w:p>
        </w:tc>
        <w:tc>
          <w:tcPr>
            <w:tcW w:w="1009" w:type="pct"/>
            <w:vAlign w:val="center"/>
          </w:tcPr>
          <w:p w14:paraId="5E598CB9" w14:textId="77777777" w:rsidR="00DD76FD" w:rsidRPr="00E74297" w:rsidRDefault="00DD76FD" w:rsidP="00863348">
            <w:pPr>
              <w:pStyle w:val="TableText0"/>
              <w:jc w:val="center"/>
              <w:rPr>
                <w:rFonts w:cs="Arial"/>
              </w:rPr>
            </w:pPr>
            <w:r w:rsidRPr="00E74297">
              <w:t>17.3% (11.5, 24.2)</w:t>
            </w:r>
          </w:p>
        </w:tc>
        <w:tc>
          <w:tcPr>
            <w:tcW w:w="1006" w:type="pct"/>
            <w:vAlign w:val="center"/>
          </w:tcPr>
          <w:p w14:paraId="2C788454" w14:textId="77777777" w:rsidR="00DD76FD" w:rsidRPr="00E74297" w:rsidRDefault="00DD76FD" w:rsidP="00863348">
            <w:pPr>
              <w:pStyle w:val="TableText0"/>
              <w:jc w:val="center"/>
              <w:rPr>
                <w:rFonts w:cs="Arial"/>
              </w:rPr>
            </w:pPr>
            <w:r w:rsidRPr="00E74297">
              <w:rPr>
                <w:rFonts w:cs="Arial"/>
              </w:rPr>
              <w:t>15.2%</w:t>
            </w:r>
          </w:p>
        </w:tc>
        <w:tc>
          <w:tcPr>
            <w:tcW w:w="980" w:type="pct"/>
            <w:vAlign w:val="center"/>
          </w:tcPr>
          <w:p w14:paraId="26794C4E" w14:textId="77777777" w:rsidR="00DD76FD" w:rsidRPr="00E74297" w:rsidRDefault="00DD76FD" w:rsidP="00863348">
            <w:pPr>
              <w:pStyle w:val="TableText0"/>
              <w:jc w:val="center"/>
            </w:pPr>
            <w:r w:rsidRPr="00E74297">
              <w:t>-</w:t>
            </w:r>
          </w:p>
        </w:tc>
      </w:tr>
      <w:tr w:rsidR="00DD76FD" w:rsidRPr="00E74297" w14:paraId="19B5A98F" w14:textId="77777777" w:rsidTr="00863348">
        <w:trPr>
          <w:cantSplit/>
        </w:trPr>
        <w:tc>
          <w:tcPr>
            <w:tcW w:w="1000" w:type="pct"/>
          </w:tcPr>
          <w:p w14:paraId="0AD5C06C" w14:textId="77777777" w:rsidR="00DD76FD" w:rsidRPr="00E74297" w:rsidRDefault="00DD76FD" w:rsidP="00863348">
            <w:pPr>
              <w:pStyle w:val="TableText0"/>
            </w:pPr>
            <w:r w:rsidRPr="00E74297">
              <w:t>% not progressed at 12 months (95% CI)*</w:t>
            </w:r>
          </w:p>
        </w:tc>
        <w:tc>
          <w:tcPr>
            <w:tcW w:w="1005" w:type="pct"/>
            <w:vAlign w:val="center"/>
          </w:tcPr>
          <w:p w14:paraId="4543B84A" w14:textId="77777777" w:rsidR="00DD76FD" w:rsidRPr="00E74297" w:rsidRDefault="00DD76FD" w:rsidP="00863348">
            <w:pPr>
              <w:pStyle w:val="TableText0"/>
              <w:jc w:val="center"/>
              <w:rPr>
                <w:rFonts w:cs="Arial"/>
              </w:rPr>
            </w:pPr>
            <w:r w:rsidRPr="00E74297">
              <w:t>21.3% (15.2, 28.1)</w:t>
            </w:r>
          </w:p>
        </w:tc>
        <w:tc>
          <w:tcPr>
            <w:tcW w:w="1009" w:type="pct"/>
            <w:vAlign w:val="center"/>
          </w:tcPr>
          <w:p w14:paraId="5201CC8B" w14:textId="77777777" w:rsidR="00DD76FD" w:rsidRPr="00E74297" w:rsidRDefault="00DD76FD" w:rsidP="00863348">
            <w:pPr>
              <w:pStyle w:val="TableText0"/>
              <w:jc w:val="center"/>
              <w:rPr>
                <w:rFonts w:cs="Arial"/>
              </w:rPr>
            </w:pPr>
            <w:r w:rsidRPr="00E74297">
              <w:t>7.1% (2.8, 13.9)</w:t>
            </w:r>
          </w:p>
        </w:tc>
        <w:tc>
          <w:tcPr>
            <w:tcW w:w="1006" w:type="pct"/>
            <w:vAlign w:val="center"/>
          </w:tcPr>
          <w:p w14:paraId="2A10CC49" w14:textId="77777777" w:rsidR="00DD76FD" w:rsidRPr="00E74297" w:rsidRDefault="00DD76FD" w:rsidP="00863348">
            <w:pPr>
              <w:pStyle w:val="TableText0"/>
              <w:jc w:val="center"/>
              <w:rPr>
                <w:rFonts w:cs="Arial"/>
              </w:rPr>
            </w:pPr>
            <w:r w:rsidRPr="00E74297">
              <w:rPr>
                <w:rFonts w:cs="Arial"/>
              </w:rPr>
              <w:t>14.2%</w:t>
            </w:r>
          </w:p>
        </w:tc>
        <w:tc>
          <w:tcPr>
            <w:tcW w:w="980" w:type="pct"/>
            <w:vAlign w:val="center"/>
          </w:tcPr>
          <w:p w14:paraId="6179D38D" w14:textId="77777777" w:rsidR="00DD76FD" w:rsidRPr="00E74297" w:rsidRDefault="00DD76FD" w:rsidP="00863348">
            <w:pPr>
              <w:pStyle w:val="TableText0"/>
              <w:jc w:val="center"/>
            </w:pPr>
            <w:r w:rsidRPr="00E74297">
              <w:t>-</w:t>
            </w:r>
          </w:p>
        </w:tc>
      </w:tr>
      <w:tr w:rsidR="006761C2" w:rsidRPr="00895768" w14:paraId="74A5092C" w14:textId="77777777" w:rsidTr="006761C2">
        <w:trPr>
          <w:cantSplit/>
        </w:trPr>
        <w:tc>
          <w:tcPr>
            <w:tcW w:w="5000" w:type="pct"/>
            <w:gridSpan w:val="5"/>
          </w:tcPr>
          <w:p w14:paraId="1C188B4F" w14:textId="191AFDC0" w:rsidR="006761C2" w:rsidRPr="00895768" w:rsidRDefault="006761C2" w:rsidP="006761C2">
            <w:pPr>
              <w:pStyle w:val="TableText0"/>
              <w:rPr>
                <w:b/>
                <w:bCs w:val="0"/>
              </w:rPr>
            </w:pPr>
            <w:r w:rsidRPr="00895768">
              <w:rPr>
                <w:b/>
                <w:bCs w:val="0"/>
              </w:rPr>
              <w:t>Progression-free survival - 1 December 2022 DCO</w:t>
            </w:r>
          </w:p>
        </w:tc>
      </w:tr>
      <w:tr w:rsidR="00DB444E" w:rsidRPr="00895768" w14:paraId="219DA509" w14:textId="77777777" w:rsidTr="00863348">
        <w:trPr>
          <w:cantSplit/>
        </w:trPr>
        <w:tc>
          <w:tcPr>
            <w:tcW w:w="1000" w:type="pct"/>
          </w:tcPr>
          <w:p w14:paraId="6B6A807F" w14:textId="77777777" w:rsidR="00DB444E" w:rsidRPr="00E74297" w:rsidRDefault="00DB444E" w:rsidP="00DB444E">
            <w:pPr>
              <w:pStyle w:val="TableText0"/>
            </w:pPr>
          </w:p>
        </w:tc>
        <w:tc>
          <w:tcPr>
            <w:tcW w:w="1005" w:type="pct"/>
            <w:vAlign w:val="center"/>
          </w:tcPr>
          <w:p w14:paraId="6FD089C3" w14:textId="77777777" w:rsidR="00DB444E" w:rsidRPr="00E74297" w:rsidRDefault="00DB444E" w:rsidP="00DB444E">
            <w:pPr>
              <w:pStyle w:val="TableText0"/>
              <w:jc w:val="center"/>
            </w:pPr>
          </w:p>
        </w:tc>
        <w:tc>
          <w:tcPr>
            <w:tcW w:w="1009" w:type="pct"/>
            <w:vAlign w:val="center"/>
          </w:tcPr>
          <w:p w14:paraId="2E41E0F9" w14:textId="77777777" w:rsidR="00DB444E" w:rsidRPr="00E74297" w:rsidRDefault="00DB444E" w:rsidP="00DB444E">
            <w:pPr>
              <w:pStyle w:val="TableText0"/>
              <w:jc w:val="center"/>
            </w:pPr>
          </w:p>
        </w:tc>
        <w:tc>
          <w:tcPr>
            <w:tcW w:w="1006" w:type="pct"/>
            <w:vAlign w:val="center"/>
          </w:tcPr>
          <w:p w14:paraId="30606FEC" w14:textId="77777777" w:rsidR="00DB444E" w:rsidRPr="00E74297" w:rsidRDefault="00DB444E" w:rsidP="00DB444E">
            <w:pPr>
              <w:pStyle w:val="TableText0"/>
              <w:jc w:val="center"/>
              <w:rPr>
                <w:rFonts w:cs="Arial"/>
              </w:rPr>
            </w:pPr>
          </w:p>
        </w:tc>
        <w:tc>
          <w:tcPr>
            <w:tcW w:w="980" w:type="pct"/>
            <w:vAlign w:val="center"/>
          </w:tcPr>
          <w:p w14:paraId="7EB284CD" w14:textId="5EF7EB27" w:rsidR="00DB444E" w:rsidRPr="00AC6BEF" w:rsidRDefault="00DB444E" w:rsidP="00DB444E">
            <w:pPr>
              <w:pStyle w:val="TableText0"/>
              <w:jc w:val="center"/>
              <w:rPr>
                <w:b/>
                <w:bCs w:val="0"/>
                <w:vertAlign w:val="superscript"/>
              </w:rPr>
            </w:pPr>
            <w:r w:rsidRPr="00895768">
              <w:rPr>
                <w:b/>
                <w:bCs w:val="0"/>
              </w:rPr>
              <w:t>0.653 (0.526, 0.812)</w:t>
            </w:r>
            <w:r w:rsidR="00AC6BEF">
              <w:rPr>
                <w:b/>
                <w:bCs w:val="0"/>
                <w:vertAlign w:val="superscript"/>
              </w:rPr>
              <w:t>a</w:t>
            </w:r>
          </w:p>
        </w:tc>
      </w:tr>
      <w:tr w:rsidR="00DB444E" w:rsidRPr="00895768" w14:paraId="6B87F880" w14:textId="77777777" w:rsidTr="00863348">
        <w:trPr>
          <w:cantSplit/>
        </w:trPr>
        <w:tc>
          <w:tcPr>
            <w:tcW w:w="5000" w:type="pct"/>
            <w:gridSpan w:val="5"/>
            <w:vAlign w:val="center"/>
          </w:tcPr>
          <w:p w14:paraId="6936848D" w14:textId="3FDBF9BA" w:rsidR="00DB444E" w:rsidRPr="00895768" w:rsidRDefault="00DB444E" w:rsidP="00DB444E">
            <w:pPr>
              <w:pStyle w:val="In-tableHeading"/>
              <w:rPr>
                <w:lang w:val="en-AU"/>
              </w:rPr>
            </w:pPr>
            <w:r w:rsidRPr="00895768">
              <w:rPr>
                <w:lang w:val="en-AU"/>
              </w:rPr>
              <w:t>Overall survival - 1 July 2022 DCO (median follow-up: 12.48 months)</w:t>
            </w:r>
          </w:p>
        </w:tc>
      </w:tr>
      <w:tr w:rsidR="00DB444E" w:rsidRPr="00895768" w14:paraId="25DCF446" w14:textId="77777777" w:rsidTr="00863348">
        <w:trPr>
          <w:cantSplit/>
        </w:trPr>
        <w:tc>
          <w:tcPr>
            <w:tcW w:w="1000" w:type="pct"/>
            <w:vAlign w:val="center"/>
          </w:tcPr>
          <w:p w14:paraId="5A553A30" w14:textId="77777777" w:rsidR="00DB444E" w:rsidRPr="00E74297" w:rsidRDefault="00DB444E" w:rsidP="00DB444E">
            <w:pPr>
              <w:pStyle w:val="TableText0"/>
            </w:pPr>
            <w:r w:rsidRPr="00E74297">
              <w:t>Deaths, n/N (%)</w:t>
            </w:r>
          </w:p>
        </w:tc>
        <w:tc>
          <w:tcPr>
            <w:tcW w:w="1005" w:type="pct"/>
            <w:vAlign w:val="center"/>
          </w:tcPr>
          <w:p w14:paraId="12A62EAA" w14:textId="77777777" w:rsidR="00DB444E" w:rsidRPr="00E74297" w:rsidRDefault="00DB444E" w:rsidP="00DB444E">
            <w:pPr>
              <w:pStyle w:val="TableText0"/>
              <w:jc w:val="center"/>
            </w:pPr>
            <w:r w:rsidRPr="00E74297">
              <w:t>191 (70.2%)</w:t>
            </w:r>
          </w:p>
        </w:tc>
        <w:tc>
          <w:tcPr>
            <w:tcW w:w="1009" w:type="pct"/>
            <w:vAlign w:val="center"/>
          </w:tcPr>
          <w:p w14:paraId="0C58E077" w14:textId="77777777" w:rsidR="00DB444E" w:rsidRPr="00E74297" w:rsidRDefault="00DB444E" w:rsidP="00DB444E">
            <w:pPr>
              <w:pStyle w:val="TableText0"/>
              <w:jc w:val="center"/>
            </w:pPr>
            <w:r w:rsidRPr="00E74297">
              <w:t>199 (73.4%)</w:t>
            </w:r>
          </w:p>
        </w:tc>
        <w:tc>
          <w:tcPr>
            <w:tcW w:w="1006" w:type="pct"/>
            <w:vAlign w:val="center"/>
          </w:tcPr>
          <w:p w14:paraId="48A7EB41" w14:textId="66A08692" w:rsidR="00DB444E" w:rsidRPr="00E74297" w:rsidRDefault="00DB444E" w:rsidP="00DB444E">
            <w:pPr>
              <w:pStyle w:val="TableText0"/>
              <w:jc w:val="center"/>
            </w:pPr>
            <w:r w:rsidRPr="00E74297">
              <w:t>NA</w:t>
            </w:r>
          </w:p>
        </w:tc>
        <w:tc>
          <w:tcPr>
            <w:tcW w:w="980" w:type="pct"/>
            <w:vAlign w:val="center"/>
          </w:tcPr>
          <w:p w14:paraId="6CF8F507" w14:textId="77777777" w:rsidR="00DB444E" w:rsidRPr="00895768" w:rsidRDefault="00DB444E" w:rsidP="00DB444E">
            <w:pPr>
              <w:pStyle w:val="TableText0"/>
              <w:jc w:val="center"/>
            </w:pPr>
            <w:r w:rsidRPr="00895768">
              <w:t>-</w:t>
            </w:r>
          </w:p>
        </w:tc>
      </w:tr>
      <w:tr w:rsidR="00DB444E" w:rsidRPr="00895768" w14:paraId="22A69E4B" w14:textId="77777777" w:rsidTr="00863348">
        <w:trPr>
          <w:cantSplit/>
        </w:trPr>
        <w:tc>
          <w:tcPr>
            <w:tcW w:w="1000" w:type="pct"/>
            <w:vAlign w:val="center"/>
          </w:tcPr>
          <w:p w14:paraId="2893D61B" w14:textId="77777777" w:rsidR="00DB444E" w:rsidRPr="00E74297" w:rsidRDefault="00DB444E" w:rsidP="00DB444E">
            <w:pPr>
              <w:pStyle w:val="TableText0"/>
            </w:pPr>
            <w:r w:rsidRPr="00E74297">
              <w:t>Median months OS (95% CI)</w:t>
            </w:r>
          </w:p>
        </w:tc>
        <w:tc>
          <w:tcPr>
            <w:tcW w:w="1005" w:type="pct"/>
            <w:vAlign w:val="center"/>
          </w:tcPr>
          <w:p w14:paraId="4A8997E2" w14:textId="77777777" w:rsidR="00DB444E" w:rsidRPr="00E74297" w:rsidRDefault="00DB444E" w:rsidP="00DB444E">
            <w:pPr>
              <w:pStyle w:val="TableText0"/>
              <w:jc w:val="center"/>
            </w:pPr>
            <w:r w:rsidRPr="00E74297">
              <w:t>14.4 (13.0, 15.7)</w:t>
            </w:r>
          </w:p>
        </w:tc>
        <w:tc>
          <w:tcPr>
            <w:tcW w:w="1009" w:type="pct"/>
            <w:vAlign w:val="center"/>
          </w:tcPr>
          <w:p w14:paraId="1B949D49" w14:textId="77777777" w:rsidR="00DB444E" w:rsidRPr="00E74297" w:rsidRDefault="00DB444E" w:rsidP="00DB444E">
            <w:pPr>
              <w:pStyle w:val="TableText0"/>
              <w:jc w:val="center"/>
            </w:pPr>
            <w:r w:rsidRPr="00E74297">
              <w:t>11.2 (10.1, 12.7)</w:t>
            </w:r>
          </w:p>
        </w:tc>
        <w:tc>
          <w:tcPr>
            <w:tcW w:w="1006" w:type="pct"/>
            <w:vAlign w:val="center"/>
          </w:tcPr>
          <w:p w14:paraId="2F62A761" w14:textId="77777777" w:rsidR="00DB444E" w:rsidRPr="00E74297" w:rsidRDefault="00DB444E" w:rsidP="00DB444E">
            <w:pPr>
              <w:pStyle w:val="TableText0"/>
              <w:jc w:val="center"/>
            </w:pPr>
            <w:r w:rsidRPr="00E74297">
              <w:t>3.2</w:t>
            </w:r>
          </w:p>
        </w:tc>
        <w:tc>
          <w:tcPr>
            <w:tcW w:w="980" w:type="pct"/>
            <w:vAlign w:val="center"/>
          </w:tcPr>
          <w:p w14:paraId="76BBEE01" w14:textId="77777777" w:rsidR="00DB444E" w:rsidRPr="00895768" w:rsidRDefault="00DB444E" w:rsidP="00DB444E">
            <w:pPr>
              <w:pStyle w:val="TableText0"/>
              <w:jc w:val="center"/>
              <w:rPr>
                <w:b/>
                <w:bCs w:val="0"/>
              </w:rPr>
            </w:pPr>
            <w:r w:rsidRPr="00895768">
              <w:rPr>
                <w:b/>
                <w:bCs w:val="0"/>
              </w:rPr>
              <w:t>0.789 (0.646, 0.964)</w:t>
            </w:r>
          </w:p>
        </w:tc>
      </w:tr>
      <w:tr w:rsidR="00DB444E" w:rsidRPr="00895768" w14:paraId="76E58C2C" w14:textId="77777777" w:rsidTr="00863348">
        <w:trPr>
          <w:cantSplit/>
        </w:trPr>
        <w:tc>
          <w:tcPr>
            <w:tcW w:w="1000" w:type="pct"/>
          </w:tcPr>
          <w:p w14:paraId="6D135585" w14:textId="77777777" w:rsidR="00DB444E" w:rsidRPr="00E74297" w:rsidRDefault="00DB444E" w:rsidP="00DB444E">
            <w:pPr>
              <w:pStyle w:val="TableText0"/>
            </w:pPr>
            <w:r w:rsidRPr="00E74297">
              <w:t>% alive at 12 months (95% CI)*</w:t>
            </w:r>
          </w:p>
        </w:tc>
        <w:tc>
          <w:tcPr>
            <w:tcW w:w="1005" w:type="pct"/>
            <w:vAlign w:val="center"/>
          </w:tcPr>
          <w:p w14:paraId="19C4CAF3" w14:textId="77777777" w:rsidR="00DB444E" w:rsidRPr="00E74297" w:rsidRDefault="00DB444E" w:rsidP="00DB444E">
            <w:pPr>
              <w:pStyle w:val="TableText0"/>
              <w:jc w:val="center"/>
              <w:rPr>
                <w:rFonts w:cs="Arial"/>
              </w:rPr>
            </w:pPr>
            <w:r w:rsidRPr="00E74297">
              <w:t>60.8% (54.6, 66.4)</w:t>
            </w:r>
          </w:p>
        </w:tc>
        <w:tc>
          <w:tcPr>
            <w:tcW w:w="1009" w:type="pct"/>
            <w:vAlign w:val="center"/>
          </w:tcPr>
          <w:p w14:paraId="2DAA9B07" w14:textId="77777777" w:rsidR="00DB444E" w:rsidRPr="00E74297" w:rsidRDefault="00DB444E" w:rsidP="00DB444E">
            <w:pPr>
              <w:pStyle w:val="TableText0"/>
              <w:jc w:val="center"/>
              <w:rPr>
                <w:rFonts w:cs="Arial"/>
              </w:rPr>
            </w:pPr>
            <w:r w:rsidRPr="00E74297">
              <w:t>47.3% (41.1, 53.2)</w:t>
            </w:r>
          </w:p>
        </w:tc>
        <w:tc>
          <w:tcPr>
            <w:tcW w:w="1006" w:type="pct"/>
            <w:vAlign w:val="center"/>
          </w:tcPr>
          <w:p w14:paraId="050A31B7" w14:textId="77777777" w:rsidR="00DB444E" w:rsidRPr="00E74297" w:rsidRDefault="00DB444E" w:rsidP="00DB444E">
            <w:pPr>
              <w:pStyle w:val="TableText0"/>
              <w:jc w:val="center"/>
              <w:rPr>
                <w:rFonts w:cs="Arial"/>
              </w:rPr>
            </w:pPr>
            <w:r w:rsidRPr="00E74297">
              <w:rPr>
                <w:rFonts w:cs="Arial"/>
              </w:rPr>
              <w:t>13.5%</w:t>
            </w:r>
          </w:p>
        </w:tc>
        <w:tc>
          <w:tcPr>
            <w:tcW w:w="980" w:type="pct"/>
            <w:vAlign w:val="center"/>
          </w:tcPr>
          <w:p w14:paraId="7321E89C" w14:textId="77777777" w:rsidR="00DB444E" w:rsidRPr="00895768" w:rsidRDefault="00DB444E" w:rsidP="00DB444E">
            <w:pPr>
              <w:pStyle w:val="TableText0"/>
              <w:jc w:val="center"/>
              <w:rPr>
                <w:rFonts w:cs="Arial"/>
              </w:rPr>
            </w:pPr>
            <w:r w:rsidRPr="00895768">
              <w:rPr>
                <w:rFonts w:cs="Arial"/>
              </w:rPr>
              <w:t>-</w:t>
            </w:r>
          </w:p>
        </w:tc>
      </w:tr>
      <w:tr w:rsidR="00DB444E" w:rsidRPr="00895768" w14:paraId="006BE256" w14:textId="77777777" w:rsidTr="00863348">
        <w:trPr>
          <w:cantSplit/>
        </w:trPr>
        <w:tc>
          <w:tcPr>
            <w:tcW w:w="1000" w:type="pct"/>
          </w:tcPr>
          <w:p w14:paraId="5F3F7C94" w14:textId="77777777" w:rsidR="00DB444E" w:rsidRPr="00E74297" w:rsidRDefault="00DB444E" w:rsidP="00DB444E">
            <w:pPr>
              <w:pStyle w:val="TableText0"/>
            </w:pPr>
            <w:r w:rsidRPr="00E74297">
              <w:t>% alive at 18 months (95% CI)*</w:t>
            </w:r>
          </w:p>
        </w:tc>
        <w:tc>
          <w:tcPr>
            <w:tcW w:w="1005" w:type="pct"/>
            <w:vAlign w:val="center"/>
          </w:tcPr>
          <w:p w14:paraId="219B18B4" w14:textId="77777777" w:rsidR="00DB444E" w:rsidRPr="00E74297" w:rsidRDefault="00DB444E" w:rsidP="00DB444E">
            <w:pPr>
              <w:pStyle w:val="TableText0"/>
              <w:jc w:val="center"/>
              <w:rPr>
                <w:rFonts w:cs="Arial"/>
              </w:rPr>
            </w:pPr>
            <w:r w:rsidRPr="00E74297">
              <w:t>38.9% (32.8, 44.9)</w:t>
            </w:r>
          </w:p>
        </w:tc>
        <w:tc>
          <w:tcPr>
            <w:tcW w:w="1009" w:type="pct"/>
            <w:vAlign w:val="center"/>
          </w:tcPr>
          <w:p w14:paraId="560F6A2F" w14:textId="77777777" w:rsidR="00DB444E" w:rsidRPr="00E74297" w:rsidRDefault="00DB444E" w:rsidP="00DB444E">
            <w:pPr>
              <w:pStyle w:val="TableText0"/>
              <w:jc w:val="center"/>
              <w:rPr>
                <w:rFonts w:cs="Arial"/>
              </w:rPr>
            </w:pPr>
            <w:r w:rsidRPr="00E74297">
              <w:t>32.4% (26.7, 38.2)</w:t>
            </w:r>
          </w:p>
        </w:tc>
        <w:tc>
          <w:tcPr>
            <w:tcW w:w="1006" w:type="pct"/>
            <w:vAlign w:val="center"/>
          </w:tcPr>
          <w:p w14:paraId="28698124" w14:textId="77777777" w:rsidR="00DB444E" w:rsidRPr="00E74297" w:rsidRDefault="00DB444E" w:rsidP="00DB444E">
            <w:pPr>
              <w:pStyle w:val="TableText0"/>
              <w:jc w:val="center"/>
              <w:rPr>
                <w:rFonts w:cs="Arial"/>
              </w:rPr>
            </w:pPr>
            <w:r w:rsidRPr="00E74297">
              <w:rPr>
                <w:rFonts w:cs="Arial"/>
              </w:rPr>
              <w:t>6.5%</w:t>
            </w:r>
          </w:p>
        </w:tc>
        <w:tc>
          <w:tcPr>
            <w:tcW w:w="980" w:type="pct"/>
            <w:vAlign w:val="center"/>
          </w:tcPr>
          <w:p w14:paraId="728C036A" w14:textId="77777777" w:rsidR="00DB444E" w:rsidRPr="00895768" w:rsidRDefault="00DB444E" w:rsidP="00DB444E">
            <w:pPr>
              <w:pStyle w:val="TableText0"/>
              <w:jc w:val="center"/>
              <w:rPr>
                <w:rFonts w:cs="Arial"/>
              </w:rPr>
            </w:pPr>
            <w:r w:rsidRPr="00895768">
              <w:rPr>
                <w:rFonts w:cs="Arial"/>
              </w:rPr>
              <w:t>-</w:t>
            </w:r>
          </w:p>
        </w:tc>
      </w:tr>
      <w:tr w:rsidR="00DB444E" w:rsidRPr="00895768" w14:paraId="748B2CB3" w14:textId="77777777" w:rsidTr="00863348">
        <w:trPr>
          <w:cantSplit/>
        </w:trPr>
        <w:tc>
          <w:tcPr>
            <w:tcW w:w="1000" w:type="pct"/>
          </w:tcPr>
          <w:p w14:paraId="45D6B537" w14:textId="77777777" w:rsidR="00DB444E" w:rsidRPr="00E74297" w:rsidRDefault="00DB444E" w:rsidP="00DB444E">
            <w:pPr>
              <w:pStyle w:val="TableText0"/>
            </w:pPr>
            <w:r w:rsidRPr="00E74297">
              <w:t>% alive at 24 months (95% CI)*</w:t>
            </w:r>
          </w:p>
        </w:tc>
        <w:tc>
          <w:tcPr>
            <w:tcW w:w="1005" w:type="pct"/>
            <w:vAlign w:val="center"/>
          </w:tcPr>
          <w:p w14:paraId="58F2CCC2" w14:textId="77777777" w:rsidR="00DB444E" w:rsidRPr="00E74297" w:rsidRDefault="00DB444E" w:rsidP="00DB444E">
            <w:pPr>
              <w:pStyle w:val="TableText0"/>
              <w:jc w:val="center"/>
              <w:rPr>
                <w:rFonts w:cs="Arial"/>
              </w:rPr>
            </w:pPr>
            <w:r w:rsidRPr="00E74297">
              <w:t>24.6% (18.8, 30.7)</w:t>
            </w:r>
          </w:p>
        </w:tc>
        <w:tc>
          <w:tcPr>
            <w:tcW w:w="1009" w:type="pct"/>
            <w:vAlign w:val="center"/>
          </w:tcPr>
          <w:p w14:paraId="75A6023E" w14:textId="77777777" w:rsidR="00DB444E" w:rsidRPr="00E74297" w:rsidRDefault="00DB444E" w:rsidP="00DB444E">
            <w:pPr>
              <w:pStyle w:val="TableText0"/>
              <w:jc w:val="center"/>
              <w:rPr>
                <w:rFonts w:cs="Arial"/>
              </w:rPr>
            </w:pPr>
            <w:r w:rsidRPr="00E74297">
              <w:t>21.4% (16.0, 27.3)</w:t>
            </w:r>
          </w:p>
        </w:tc>
        <w:tc>
          <w:tcPr>
            <w:tcW w:w="1006" w:type="pct"/>
            <w:vAlign w:val="center"/>
          </w:tcPr>
          <w:p w14:paraId="7CB10792" w14:textId="77777777" w:rsidR="00DB444E" w:rsidRPr="00E74297" w:rsidRDefault="00DB444E" w:rsidP="00DB444E">
            <w:pPr>
              <w:pStyle w:val="TableText0"/>
              <w:jc w:val="center"/>
              <w:rPr>
                <w:rFonts w:cs="Arial"/>
              </w:rPr>
            </w:pPr>
            <w:r w:rsidRPr="00E74297">
              <w:rPr>
                <w:rFonts w:cs="Arial"/>
              </w:rPr>
              <w:t>3.2%</w:t>
            </w:r>
          </w:p>
        </w:tc>
        <w:tc>
          <w:tcPr>
            <w:tcW w:w="980" w:type="pct"/>
            <w:vAlign w:val="center"/>
          </w:tcPr>
          <w:p w14:paraId="2E7C6067" w14:textId="77777777" w:rsidR="00DB444E" w:rsidRPr="00895768" w:rsidRDefault="00DB444E" w:rsidP="00DB444E">
            <w:pPr>
              <w:pStyle w:val="TableText0"/>
              <w:jc w:val="center"/>
              <w:rPr>
                <w:rFonts w:cs="Arial"/>
              </w:rPr>
            </w:pPr>
            <w:r w:rsidRPr="00895768">
              <w:rPr>
                <w:rFonts w:cs="Arial"/>
              </w:rPr>
              <w:t>-</w:t>
            </w:r>
          </w:p>
        </w:tc>
      </w:tr>
      <w:tr w:rsidR="00DB444E" w:rsidRPr="00895768" w14:paraId="1329A1DD" w14:textId="77777777" w:rsidTr="006761C2">
        <w:trPr>
          <w:cantSplit/>
        </w:trPr>
        <w:tc>
          <w:tcPr>
            <w:tcW w:w="5000" w:type="pct"/>
            <w:gridSpan w:val="5"/>
          </w:tcPr>
          <w:p w14:paraId="3E9271EF" w14:textId="0756EA9B" w:rsidR="00DB444E" w:rsidRPr="00895768" w:rsidRDefault="00DB444E" w:rsidP="00DB444E">
            <w:pPr>
              <w:pStyle w:val="TableText0"/>
              <w:rPr>
                <w:rFonts w:cs="Arial"/>
                <w:b/>
                <w:bCs w:val="0"/>
              </w:rPr>
            </w:pPr>
            <w:r w:rsidRPr="00895768">
              <w:rPr>
                <w:b/>
                <w:bCs w:val="0"/>
              </w:rPr>
              <w:t>Overall survival - 1 December 2022 DCO</w:t>
            </w:r>
          </w:p>
        </w:tc>
      </w:tr>
      <w:tr w:rsidR="00DB444E" w:rsidRPr="00895768" w14:paraId="327FDF0D" w14:textId="77777777" w:rsidTr="00863348">
        <w:trPr>
          <w:cantSplit/>
        </w:trPr>
        <w:tc>
          <w:tcPr>
            <w:tcW w:w="1000" w:type="pct"/>
          </w:tcPr>
          <w:p w14:paraId="385FD65A" w14:textId="77777777" w:rsidR="00DB444E" w:rsidRPr="00E74297" w:rsidRDefault="00DB444E" w:rsidP="00DB444E">
            <w:pPr>
              <w:pStyle w:val="TableText0"/>
            </w:pPr>
          </w:p>
        </w:tc>
        <w:tc>
          <w:tcPr>
            <w:tcW w:w="1005" w:type="pct"/>
            <w:vAlign w:val="center"/>
          </w:tcPr>
          <w:p w14:paraId="4FAEFD15" w14:textId="77777777" w:rsidR="00DB444E" w:rsidRPr="00E74297" w:rsidRDefault="00DB444E" w:rsidP="00DB444E">
            <w:pPr>
              <w:pStyle w:val="TableText0"/>
              <w:jc w:val="center"/>
            </w:pPr>
          </w:p>
        </w:tc>
        <w:tc>
          <w:tcPr>
            <w:tcW w:w="1009" w:type="pct"/>
            <w:vAlign w:val="center"/>
          </w:tcPr>
          <w:p w14:paraId="072FE5ED" w14:textId="77777777" w:rsidR="00DB444E" w:rsidRPr="00E74297" w:rsidRDefault="00DB444E" w:rsidP="00DB444E">
            <w:pPr>
              <w:pStyle w:val="TableText0"/>
              <w:jc w:val="center"/>
            </w:pPr>
          </w:p>
        </w:tc>
        <w:tc>
          <w:tcPr>
            <w:tcW w:w="1006" w:type="pct"/>
            <w:vAlign w:val="center"/>
          </w:tcPr>
          <w:p w14:paraId="539459A9" w14:textId="77777777" w:rsidR="00DB444E" w:rsidRPr="00E74297" w:rsidRDefault="00DB444E" w:rsidP="00DB444E">
            <w:pPr>
              <w:pStyle w:val="TableText0"/>
              <w:jc w:val="center"/>
              <w:rPr>
                <w:rFonts w:cs="Arial"/>
              </w:rPr>
            </w:pPr>
          </w:p>
        </w:tc>
        <w:tc>
          <w:tcPr>
            <w:tcW w:w="980" w:type="pct"/>
            <w:vAlign w:val="center"/>
          </w:tcPr>
          <w:p w14:paraId="7D409ACE" w14:textId="38B7CEA9" w:rsidR="00DB444E" w:rsidRPr="00AC6BEF" w:rsidRDefault="00DB444E" w:rsidP="00DB444E">
            <w:pPr>
              <w:pStyle w:val="TableText0"/>
              <w:jc w:val="center"/>
              <w:rPr>
                <w:rFonts w:cs="Arial"/>
                <w:b/>
                <w:bCs w:val="0"/>
                <w:vertAlign w:val="superscript"/>
              </w:rPr>
            </w:pPr>
            <w:r w:rsidRPr="00895768">
              <w:rPr>
                <w:rFonts w:cs="Arial"/>
                <w:b/>
                <w:bCs w:val="0"/>
              </w:rPr>
              <w:t>0.788 (0.652, 0952)</w:t>
            </w:r>
            <w:r w:rsidR="00AC6BEF">
              <w:rPr>
                <w:rFonts w:cs="Arial"/>
                <w:b/>
                <w:bCs w:val="0"/>
                <w:vertAlign w:val="superscript"/>
              </w:rPr>
              <w:t>a</w:t>
            </w:r>
          </w:p>
        </w:tc>
      </w:tr>
    </w:tbl>
    <w:bookmarkEnd w:id="39"/>
    <w:p w14:paraId="1A3ED4B4" w14:textId="367ABB63" w:rsidR="00DD76FD" w:rsidRPr="00E74297" w:rsidRDefault="00302D30" w:rsidP="00DD76FD">
      <w:pPr>
        <w:pStyle w:val="FooterTableFigure"/>
      </w:pPr>
      <w:r w:rsidRPr="00E74297">
        <w:t xml:space="preserve">Source: </w:t>
      </w:r>
      <w:r w:rsidR="00DD76FD" w:rsidRPr="00E74297">
        <w:t>Table 2.5-1, p58 and Table 2.5-2, p64of the submission.</w:t>
      </w:r>
    </w:p>
    <w:p w14:paraId="71322AE1" w14:textId="77777777" w:rsidR="000E337C" w:rsidRPr="00E74297" w:rsidRDefault="00DD76FD" w:rsidP="00DD76FD">
      <w:pPr>
        <w:pStyle w:val="FooterTableFigure"/>
      </w:pPr>
      <w:r w:rsidRPr="00E74297">
        <w:t>CI = confidence interval</w:t>
      </w:r>
      <w:r w:rsidR="00FE686E" w:rsidRPr="00E74297">
        <w:t>;</w:t>
      </w:r>
      <w:r w:rsidRPr="00E74297">
        <w:t xml:space="preserve"> HR = hazard ratio</w:t>
      </w:r>
      <w:r w:rsidR="00FE686E" w:rsidRPr="00E74297">
        <w:t>;</w:t>
      </w:r>
      <w:r w:rsidRPr="00E74297">
        <w:t xml:space="preserve"> n = number of events</w:t>
      </w:r>
      <w:r w:rsidR="00FE686E" w:rsidRPr="00E74297">
        <w:t>;</w:t>
      </w:r>
      <w:r w:rsidRPr="00E74297">
        <w:t xml:space="preserve"> N = number of patients in group</w:t>
      </w:r>
      <w:r w:rsidR="00FE686E" w:rsidRPr="00E74297">
        <w:t>;</w:t>
      </w:r>
      <w:r w:rsidRPr="00E74297">
        <w:t xml:space="preserve"> </w:t>
      </w:r>
      <w:r w:rsidR="007674F4" w:rsidRPr="00E74297">
        <w:t xml:space="preserve">NA = not applicable; </w:t>
      </w:r>
      <w:r w:rsidRPr="00E74297">
        <w:t>SG = Sacituzumab govitecan</w:t>
      </w:r>
      <w:r w:rsidR="00FE686E" w:rsidRPr="00E74297">
        <w:t>;</w:t>
      </w:r>
      <w:r w:rsidRPr="00E74297">
        <w:t xml:space="preserve"> TPC = treatment of physician’s choice.</w:t>
      </w:r>
    </w:p>
    <w:p w14:paraId="063D0338" w14:textId="6AC3B636" w:rsidR="00DD76FD" w:rsidRPr="00E74297" w:rsidRDefault="00DD76FD" w:rsidP="00DD76FD">
      <w:pPr>
        <w:pStyle w:val="FooterTableFigure"/>
      </w:pPr>
      <w:r w:rsidRPr="00E74297">
        <w:rPr>
          <w:b/>
          <w:bCs/>
        </w:rPr>
        <w:t xml:space="preserve">Bold </w:t>
      </w:r>
      <w:r w:rsidRPr="00E74297">
        <w:t>= statistically significant</w:t>
      </w:r>
    </w:p>
    <w:p w14:paraId="6DB13EB4" w14:textId="57DC3A34" w:rsidR="00DD76FD" w:rsidRDefault="00DD76FD" w:rsidP="00DD76FD">
      <w:pPr>
        <w:pStyle w:val="FooterTableFigure"/>
      </w:pPr>
      <w:r w:rsidRPr="00E74297">
        <w:t>*Derived using KM data.</w:t>
      </w:r>
    </w:p>
    <w:p w14:paraId="36B1C664" w14:textId="13E8869A" w:rsidR="00AC6BEF" w:rsidRPr="002774A8" w:rsidRDefault="00AC6BEF" w:rsidP="00DD76FD">
      <w:pPr>
        <w:pStyle w:val="FooterTableFigure"/>
        <w:rPr>
          <w:i/>
          <w:iCs/>
        </w:rPr>
      </w:pPr>
      <w:r w:rsidRPr="002774A8">
        <w:rPr>
          <w:i/>
          <w:iCs/>
          <w:vertAlign w:val="superscript"/>
        </w:rPr>
        <w:t>a</w:t>
      </w:r>
      <w:r w:rsidRPr="002774A8">
        <w:rPr>
          <w:i/>
          <w:iCs/>
        </w:rPr>
        <w:t xml:space="preserve"> Note that these results presented in Table 4 are derived from an updated data-cut conducted by the applicant specifically for the purposes of informing the PBAC consideration. These analyses were not part of the pre-specified statistical plan for TROPiCS-02. Interpretation of the results and their application should therefore be limited to seeking to understand the basis for the PBAC outcome and should not be used for any other purpose.</w:t>
      </w:r>
    </w:p>
    <w:p w14:paraId="43BF648B" w14:textId="774025EA" w:rsidR="00DD76FD" w:rsidRPr="00E74297" w:rsidRDefault="00DD76FD" w:rsidP="00DD76FD">
      <w:pPr>
        <w:pStyle w:val="Caption"/>
      </w:pPr>
      <w:bookmarkStart w:id="40" w:name="_Ref132276943"/>
      <w:r w:rsidRPr="00E74297">
        <w:lastRenderedPageBreak/>
        <w:t xml:space="preserve">Figure </w:t>
      </w:r>
      <w:fldSimple w:instr=" SEQ Figure \* ARABIC " w:fldLock="1">
        <w:r w:rsidR="00AE1DC7" w:rsidRPr="00E74297">
          <w:t>1</w:t>
        </w:r>
      </w:fldSimple>
      <w:bookmarkEnd w:id="40"/>
      <w:r w:rsidRPr="00E74297">
        <w:t xml:space="preserve">: </w:t>
      </w:r>
      <w:r w:rsidRPr="00E74297">
        <w:rPr>
          <w:rFonts w:cstheme="minorHAnsi"/>
          <w:szCs w:val="20"/>
        </w:rPr>
        <w:t xml:space="preserve">Kaplan-Meier estimates of progression free survival (PFS) per blinded independent central review (ITT population) in the </w:t>
      </w:r>
      <w:r w:rsidR="003D20F2" w:rsidRPr="00E74297">
        <w:rPr>
          <w:rFonts w:cstheme="minorHAnsi"/>
          <w:szCs w:val="20"/>
        </w:rPr>
        <w:t>TROPiCS-02</w:t>
      </w:r>
      <w:r w:rsidRPr="00E74297">
        <w:rPr>
          <w:rFonts w:cstheme="minorHAnsi"/>
          <w:szCs w:val="20"/>
        </w:rPr>
        <w:t xml:space="preserve"> trial. 3 January 2022</w:t>
      </w:r>
    </w:p>
    <w:p w14:paraId="20810ABB" w14:textId="77777777" w:rsidR="00DD76FD" w:rsidRPr="00E74297" w:rsidRDefault="00DD76FD" w:rsidP="00DD76FD">
      <w:pPr>
        <w:pStyle w:val="3-BodyText"/>
        <w:numPr>
          <w:ilvl w:val="0"/>
          <w:numId w:val="0"/>
        </w:numPr>
        <w:spacing w:after="0"/>
        <w:rPr>
          <w:rFonts w:ascii="Arial Narrow" w:hAnsi="Arial Narrow"/>
          <w:sz w:val="18"/>
          <w:szCs w:val="18"/>
        </w:rPr>
      </w:pPr>
      <w:r w:rsidRPr="00E74297">
        <w:rPr>
          <w:rFonts w:cstheme="minorHAnsi"/>
          <w:noProof/>
        </w:rPr>
        <w:drawing>
          <wp:inline distT="0" distB="0" distL="0" distR="0" wp14:anchorId="585905F1" wp14:editId="60162983">
            <wp:extent cx="5519379" cy="3240000"/>
            <wp:effectExtent l="19050" t="19050" r="24765" b="17780"/>
            <wp:docPr id="639979068" name="Picture 639979068" descr="Figure 1: Kaplan-Meier estimates of progression free survival (PFS) per blinded independent central review (ITT population) in the TROPiCS-02 trial. 3 Januar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79068" name="Picture 639979068" descr="Figure 1: Kaplan-Meier estimates of progression free survival (PFS) per blinded independent central review (ITT population) in the TROPiCS-02 trial. 3 January 2022"/>
                    <pic:cNvPicPr/>
                  </pic:nvPicPr>
                  <pic:blipFill rotWithShape="1">
                    <a:blip r:embed="rId8"/>
                    <a:srcRect t="4183" b="983"/>
                    <a:stretch/>
                  </pic:blipFill>
                  <pic:spPr bwMode="auto">
                    <a:xfrm>
                      <a:off x="0" y="0"/>
                      <a:ext cx="5524979" cy="3243288"/>
                    </a:xfrm>
                    <a:prstGeom prst="rect">
                      <a:avLst/>
                    </a:prstGeom>
                    <a:ln w="3175" cap="sq"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Pr="00E74297">
        <w:rPr>
          <w:rFonts w:ascii="Arial Narrow" w:hAnsi="Arial Narrow"/>
          <w:sz w:val="18"/>
          <w:szCs w:val="18"/>
        </w:rPr>
        <w:t>Source: Figure 2.5-1, p 59 of the submission.</w:t>
      </w:r>
    </w:p>
    <w:p w14:paraId="5F629302" w14:textId="435D2B8F" w:rsidR="007E030C" w:rsidRPr="00057A97" w:rsidRDefault="00DD76FD" w:rsidP="00057A97">
      <w:pPr>
        <w:pStyle w:val="3-BodyText"/>
        <w:numPr>
          <w:ilvl w:val="0"/>
          <w:numId w:val="0"/>
        </w:numPr>
        <w:rPr>
          <w:rFonts w:ascii="Arial Narrow" w:hAnsi="Arial Narrow"/>
          <w:sz w:val="18"/>
          <w:szCs w:val="18"/>
        </w:rPr>
      </w:pPr>
      <w:r w:rsidRPr="00E74297">
        <w:rPr>
          <w:rFonts w:ascii="Arial Narrow" w:hAnsi="Arial Narrow"/>
          <w:sz w:val="18"/>
          <w:szCs w:val="18"/>
        </w:rPr>
        <w:t>CI = confidence interval</w:t>
      </w:r>
      <w:r w:rsidR="00FE686E" w:rsidRPr="00E74297">
        <w:rPr>
          <w:rFonts w:ascii="Arial Narrow" w:hAnsi="Arial Narrow"/>
          <w:sz w:val="18"/>
          <w:szCs w:val="18"/>
        </w:rPr>
        <w:t>;</w:t>
      </w:r>
      <w:r w:rsidRPr="00E74297">
        <w:rPr>
          <w:rFonts w:ascii="Arial Narrow" w:hAnsi="Arial Narrow"/>
          <w:sz w:val="18"/>
          <w:szCs w:val="18"/>
        </w:rPr>
        <w:t xml:space="preserve"> SG = Sacituzumab govitecan</w:t>
      </w:r>
      <w:r w:rsidR="00FE686E" w:rsidRPr="00E74297">
        <w:rPr>
          <w:rFonts w:ascii="Arial Narrow" w:hAnsi="Arial Narrow"/>
          <w:sz w:val="18"/>
          <w:szCs w:val="18"/>
        </w:rPr>
        <w:t>;</w:t>
      </w:r>
      <w:r w:rsidRPr="00E74297">
        <w:rPr>
          <w:rFonts w:ascii="Arial Narrow" w:hAnsi="Arial Narrow"/>
          <w:sz w:val="18"/>
          <w:szCs w:val="18"/>
        </w:rPr>
        <w:t xml:space="preserve"> TPC = treatment of physician’s choice.</w:t>
      </w:r>
      <w:bookmarkStart w:id="41" w:name="_Ref132276953"/>
      <w:bookmarkStart w:id="42" w:name="_Ref137376841"/>
    </w:p>
    <w:p w14:paraId="28CA8DFE" w14:textId="39BAB0A8" w:rsidR="00DD76FD" w:rsidRPr="00E74297" w:rsidRDefault="00DD76FD" w:rsidP="00DD76FD">
      <w:pPr>
        <w:pStyle w:val="Caption"/>
      </w:pPr>
      <w:bookmarkStart w:id="43" w:name="_Ref142034322"/>
      <w:r w:rsidRPr="00E74297">
        <w:t xml:space="preserve">Figure </w:t>
      </w:r>
      <w:fldSimple w:instr=" SEQ Figure \* ARABIC " w:fldLock="1">
        <w:r w:rsidR="00AE1DC7" w:rsidRPr="00E74297">
          <w:t>2</w:t>
        </w:r>
      </w:fldSimple>
      <w:bookmarkEnd w:id="41"/>
      <w:bookmarkEnd w:id="42"/>
      <w:bookmarkEnd w:id="43"/>
      <w:r w:rsidRPr="00E74297">
        <w:t xml:space="preserve">: </w:t>
      </w:r>
      <w:r w:rsidRPr="00E74297">
        <w:rPr>
          <w:rFonts w:cstheme="minorHAnsi"/>
          <w:szCs w:val="20"/>
        </w:rPr>
        <w:t>Kaplan-Meier estimates of</w:t>
      </w:r>
      <w:r w:rsidR="000728BE" w:rsidRPr="00E74297">
        <w:rPr>
          <w:rFonts w:cstheme="minorHAnsi"/>
          <w:szCs w:val="20"/>
        </w:rPr>
        <w:t xml:space="preserve"> overall survival (OS)</w:t>
      </w:r>
      <w:r w:rsidRPr="00E74297">
        <w:rPr>
          <w:rFonts w:cstheme="minorHAnsi"/>
          <w:szCs w:val="20"/>
        </w:rPr>
        <w:t xml:space="preserve"> (ITT population) in the </w:t>
      </w:r>
      <w:r w:rsidR="003D20F2" w:rsidRPr="00E74297">
        <w:rPr>
          <w:rFonts w:cstheme="minorHAnsi"/>
          <w:szCs w:val="20"/>
        </w:rPr>
        <w:t>TROPiCS-02</w:t>
      </w:r>
      <w:r w:rsidRPr="00E74297">
        <w:rPr>
          <w:rFonts w:cstheme="minorHAnsi"/>
          <w:szCs w:val="20"/>
        </w:rPr>
        <w:t xml:space="preserve"> trial. 1 July 2022.</w:t>
      </w:r>
    </w:p>
    <w:p w14:paraId="7DB60A3C" w14:textId="77777777" w:rsidR="00DD76FD" w:rsidRPr="00E74297" w:rsidRDefault="00DD76FD" w:rsidP="00DD76FD">
      <w:pPr>
        <w:pStyle w:val="3-BodyText"/>
        <w:numPr>
          <w:ilvl w:val="0"/>
          <w:numId w:val="0"/>
        </w:numPr>
        <w:spacing w:after="0"/>
        <w:rPr>
          <w:rFonts w:ascii="Arial Narrow" w:hAnsi="Arial Narrow"/>
          <w:color w:val="0066FF"/>
          <w:sz w:val="18"/>
          <w:szCs w:val="18"/>
        </w:rPr>
      </w:pPr>
      <w:r w:rsidRPr="00E74297">
        <w:rPr>
          <w:rFonts w:cstheme="minorHAnsi"/>
          <w:noProof/>
          <w:sz w:val="16"/>
          <w:szCs w:val="16"/>
        </w:rPr>
        <w:drawing>
          <wp:inline distT="0" distB="0" distL="0" distR="0" wp14:anchorId="15D44B95" wp14:editId="53D95AF6">
            <wp:extent cx="5519794" cy="3060000"/>
            <wp:effectExtent l="19050" t="19050" r="24130" b="26670"/>
            <wp:docPr id="23" name="Picture 23" descr="Figure 2: Kaplan-Meier estimates of overall survival (OS) (ITT population) in the TROPiCS-02 trial. 1 Jul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2: Kaplan-Meier estimates of overall survival (OS) (ITT population) in the TROPiCS-02 trial. 1 July 2022."/>
                    <pic:cNvPicPr/>
                  </pic:nvPicPr>
                  <pic:blipFill rotWithShape="1">
                    <a:blip r:embed="rId9"/>
                    <a:srcRect l="1299" t="11880" r="-1299" b="9082"/>
                    <a:stretch/>
                  </pic:blipFill>
                  <pic:spPr bwMode="auto">
                    <a:xfrm>
                      <a:off x="0" y="0"/>
                      <a:ext cx="5543144" cy="3072944"/>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Pr="00E74297">
        <w:rPr>
          <w:rFonts w:ascii="Arial Narrow" w:hAnsi="Arial Narrow"/>
          <w:sz w:val="18"/>
          <w:szCs w:val="18"/>
        </w:rPr>
        <w:t>Source: Figure 2.5.2, p60 of the submission</w:t>
      </w:r>
    </w:p>
    <w:p w14:paraId="42143418" w14:textId="685CD3D4" w:rsidR="00DD76FD" w:rsidRPr="00057A97" w:rsidRDefault="00DD76FD" w:rsidP="00057A97">
      <w:pPr>
        <w:pStyle w:val="FooterTableFigure"/>
        <w:spacing w:after="0"/>
        <w:rPr>
          <w:szCs w:val="18"/>
        </w:rPr>
      </w:pPr>
      <w:r w:rsidRPr="00E74297">
        <w:rPr>
          <w:szCs w:val="18"/>
        </w:rPr>
        <w:t>CI = confidence interval</w:t>
      </w:r>
      <w:r w:rsidR="00FE686E" w:rsidRPr="00E74297">
        <w:rPr>
          <w:szCs w:val="18"/>
        </w:rPr>
        <w:t>;</w:t>
      </w:r>
      <w:r w:rsidRPr="00E74297">
        <w:rPr>
          <w:szCs w:val="18"/>
        </w:rPr>
        <w:t xml:space="preserve"> SG = Sacituzumab govitecan</w:t>
      </w:r>
      <w:r w:rsidR="00FE686E" w:rsidRPr="00E74297">
        <w:rPr>
          <w:szCs w:val="18"/>
        </w:rPr>
        <w:t>;</w:t>
      </w:r>
      <w:r w:rsidRPr="00E74297">
        <w:rPr>
          <w:szCs w:val="18"/>
        </w:rPr>
        <w:t xml:space="preserve"> TPC = treatment of physician’s choice.</w:t>
      </w:r>
    </w:p>
    <w:p w14:paraId="1C1F4F98" w14:textId="6DBC7DAE" w:rsidR="00DD76FD" w:rsidRPr="00E74297" w:rsidRDefault="00DD76FD" w:rsidP="00CD4DB1">
      <w:pPr>
        <w:pStyle w:val="3-BodyText"/>
        <w:spacing w:before="120"/>
        <w:rPr>
          <w:rStyle w:val="CommentReference"/>
          <w:rFonts w:asciiTheme="minorHAnsi" w:hAnsiTheme="minorHAnsi"/>
          <w:b w:val="0"/>
          <w:sz w:val="24"/>
          <w:szCs w:val="24"/>
        </w:rPr>
      </w:pPr>
      <w:r w:rsidRPr="00E74297">
        <w:rPr>
          <w:rStyle w:val="CommentReference"/>
          <w:rFonts w:asciiTheme="minorHAnsi" w:hAnsiTheme="minorHAnsi"/>
          <w:b w:val="0"/>
          <w:sz w:val="24"/>
          <w:szCs w:val="24"/>
        </w:rPr>
        <w:t xml:space="preserve">There were no clear differences in treatment effect in subgroups with adequate numbers. SG appeared to be no more effective than TPC for the subgroup of no visceral metastasis (n=26) and in patients </w:t>
      </w:r>
      <w:r w:rsidR="005C2707" w:rsidRPr="00E74297">
        <w:rPr>
          <w:rStyle w:val="CommentReference"/>
          <w:rFonts w:asciiTheme="minorHAnsi" w:hAnsiTheme="minorHAnsi"/>
          <w:b w:val="0"/>
          <w:sz w:val="24"/>
          <w:szCs w:val="24"/>
        </w:rPr>
        <w:t>who</w:t>
      </w:r>
      <w:r w:rsidRPr="00E74297">
        <w:rPr>
          <w:rStyle w:val="CommentReference"/>
          <w:rFonts w:asciiTheme="minorHAnsi" w:hAnsiTheme="minorHAnsi"/>
          <w:b w:val="0"/>
          <w:sz w:val="24"/>
          <w:szCs w:val="24"/>
        </w:rPr>
        <w:t xml:space="preserve"> ha</w:t>
      </w:r>
      <w:r w:rsidR="005C2707" w:rsidRPr="00E74297">
        <w:rPr>
          <w:rStyle w:val="CommentReference"/>
          <w:rFonts w:asciiTheme="minorHAnsi" w:hAnsiTheme="minorHAnsi"/>
          <w:b w:val="0"/>
          <w:sz w:val="24"/>
          <w:szCs w:val="24"/>
        </w:rPr>
        <w:t>d</w:t>
      </w:r>
      <w:r w:rsidRPr="00E74297">
        <w:rPr>
          <w:rStyle w:val="CommentReference"/>
          <w:rFonts w:asciiTheme="minorHAnsi" w:hAnsiTheme="minorHAnsi"/>
          <w:b w:val="0"/>
          <w:sz w:val="24"/>
          <w:szCs w:val="24"/>
        </w:rPr>
        <w:t xml:space="preserve">n’t received at least 6 months of </w:t>
      </w:r>
      <w:r w:rsidRPr="00E74297">
        <w:rPr>
          <w:rStyle w:val="CommentReference"/>
          <w:rFonts w:asciiTheme="minorHAnsi" w:hAnsiTheme="minorHAnsi"/>
          <w:b w:val="0"/>
          <w:sz w:val="24"/>
          <w:szCs w:val="24"/>
        </w:rPr>
        <w:lastRenderedPageBreak/>
        <w:t xml:space="preserve">endocrine therapy in the metastatic setting (n=74), although these subgroups </w:t>
      </w:r>
      <w:r w:rsidR="00D431F0" w:rsidRPr="00E74297">
        <w:rPr>
          <w:rStyle w:val="CommentReference"/>
          <w:rFonts w:asciiTheme="minorHAnsi" w:hAnsiTheme="minorHAnsi"/>
          <w:b w:val="0"/>
          <w:sz w:val="24"/>
          <w:szCs w:val="24"/>
        </w:rPr>
        <w:t xml:space="preserve">were </w:t>
      </w:r>
      <w:r w:rsidRPr="00E74297">
        <w:rPr>
          <w:rStyle w:val="CommentReference"/>
          <w:rFonts w:asciiTheme="minorHAnsi" w:hAnsiTheme="minorHAnsi"/>
          <w:b w:val="0"/>
          <w:sz w:val="24"/>
          <w:szCs w:val="24"/>
        </w:rPr>
        <w:t>small.</w:t>
      </w:r>
    </w:p>
    <w:p w14:paraId="31CA654E" w14:textId="053C662A" w:rsidR="000F1151" w:rsidRPr="00E74297" w:rsidRDefault="000F1151" w:rsidP="00EC57D0">
      <w:pPr>
        <w:pStyle w:val="3-BodyText"/>
        <w:rPr>
          <w:rStyle w:val="CommentReference"/>
          <w:rFonts w:ascii="Proxima Nova" w:hAnsi="Proxima Nova" w:cstheme="minorHAnsi"/>
          <w:b w:val="0"/>
          <w:sz w:val="24"/>
          <w:szCs w:val="22"/>
        </w:rPr>
      </w:pPr>
      <w:r w:rsidRPr="00E74297">
        <w:rPr>
          <w:rStyle w:val="CommentReference"/>
          <w:rFonts w:asciiTheme="minorHAnsi" w:hAnsiTheme="minorHAnsi"/>
          <w:b w:val="0"/>
          <w:sz w:val="24"/>
          <w:szCs w:val="24"/>
        </w:rPr>
        <w:t xml:space="preserve">No data </w:t>
      </w:r>
      <w:r w:rsidR="00047FE4" w:rsidRPr="00E74297">
        <w:rPr>
          <w:rStyle w:val="CommentReference"/>
          <w:rFonts w:asciiTheme="minorHAnsi" w:hAnsiTheme="minorHAnsi"/>
          <w:b w:val="0"/>
          <w:sz w:val="24"/>
          <w:szCs w:val="24"/>
        </w:rPr>
        <w:t>were</w:t>
      </w:r>
      <w:r w:rsidRPr="00E74297">
        <w:rPr>
          <w:rStyle w:val="CommentReference"/>
          <w:rFonts w:asciiTheme="minorHAnsi" w:hAnsiTheme="minorHAnsi"/>
          <w:b w:val="0"/>
          <w:sz w:val="24"/>
          <w:szCs w:val="24"/>
        </w:rPr>
        <w:t xml:space="preserve"> available indicating the relative extent of use of each of the single chemotherapies (eribulin, capecitabine, gemcitabine, vinorelbine) that comprise the nominated comparator of TPC in Australian clinical practice. Subgroup analyses by type of individual chemotherapy agent in TROPiCS-02 indicated that the observed superiority of SG over TPC may have been driven by the relatively larger benefit of SG over vinorelbine. From the subgroup analysis comparing SG to each of the individual chemotherapies that comprised TPC (</w:t>
      </w:r>
      <w:r w:rsidRPr="00E74297">
        <w:rPr>
          <w:rStyle w:val="CommentReference"/>
          <w:rFonts w:asciiTheme="minorHAnsi" w:hAnsiTheme="minorHAnsi"/>
          <w:b w:val="0"/>
          <w:sz w:val="24"/>
          <w:szCs w:val="24"/>
        </w:rPr>
        <w:fldChar w:fldCharType="begin" w:fldLock="1"/>
      </w:r>
      <w:r w:rsidRPr="00E74297">
        <w:rPr>
          <w:rStyle w:val="CommentReference"/>
          <w:rFonts w:asciiTheme="minorHAnsi" w:hAnsiTheme="minorHAnsi"/>
          <w:b w:val="0"/>
          <w:sz w:val="24"/>
          <w:szCs w:val="24"/>
        </w:rPr>
        <w:instrText xml:space="preserve"> REF _Ref130765596 \h </w:instrText>
      </w:r>
      <w:r w:rsidR="00047FE4" w:rsidRPr="00E74297">
        <w:rPr>
          <w:rStyle w:val="CommentReference"/>
          <w:rFonts w:asciiTheme="minorHAnsi" w:hAnsiTheme="minorHAnsi"/>
          <w:b w:val="0"/>
          <w:sz w:val="24"/>
          <w:szCs w:val="24"/>
        </w:rPr>
        <w:instrText xml:space="preserve"> \* MERGEFORMAT </w:instrText>
      </w:r>
      <w:r w:rsidRPr="00E74297">
        <w:rPr>
          <w:rStyle w:val="CommentReference"/>
          <w:rFonts w:asciiTheme="minorHAnsi" w:hAnsiTheme="minorHAnsi"/>
          <w:b w:val="0"/>
          <w:sz w:val="24"/>
          <w:szCs w:val="24"/>
        </w:rPr>
      </w:r>
      <w:r w:rsidRPr="00E74297">
        <w:rPr>
          <w:rStyle w:val="CommentReference"/>
          <w:rFonts w:asciiTheme="minorHAnsi" w:hAnsiTheme="minorHAnsi"/>
          <w:b w:val="0"/>
          <w:sz w:val="24"/>
          <w:szCs w:val="24"/>
        </w:rPr>
        <w:fldChar w:fldCharType="separate"/>
      </w:r>
      <w:r w:rsidR="00AE1DC7" w:rsidRPr="00E74297">
        <w:t>Table 5</w:t>
      </w:r>
      <w:r w:rsidRPr="00E74297">
        <w:rPr>
          <w:rStyle w:val="CommentReference"/>
          <w:rFonts w:asciiTheme="minorHAnsi" w:hAnsiTheme="minorHAnsi"/>
          <w:b w:val="0"/>
          <w:sz w:val="24"/>
          <w:szCs w:val="24"/>
        </w:rPr>
        <w:fldChar w:fldCharType="end"/>
      </w:r>
      <w:r w:rsidRPr="00E74297">
        <w:rPr>
          <w:rStyle w:val="CommentReference"/>
          <w:rFonts w:asciiTheme="minorHAnsi" w:hAnsiTheme="minorHAnsi"/>
          <w:b w:val="0"/>
          <w:sz w:val="24"/>
          <w:szCs w:val="24"/>
        </w:rPr>
        <w:t xml:space="preserve">), SG appears inferior to capecitabine in this population. However, these subgroup analyses were not adequately powered for formal hypothesis testing, and given the potential for confounding, they should be interpreted with caution. </w:t>
      </w:r>
      <w:r w:rsidR="00946F4B" w:rsidRPr="00E74297">
        <w:rPr>
          <w:rStyle w:val="CommentReference"/>
          <w:rFonts w:asciiTheme="minorHAnsi" w:hAnsiTheme="minorHAnsi"/>
          <w:b w:val="0"/>
          <w:sz w:val="24"/>
          <w:szCs w:val="24"/>
        </w:rPr>
        <w:t xml:space="preserve">The PSCR </w:t>
      </w:r>
      <w:r w:rsidR="00880ECD" w:rsidRPr="00E74297">
        <w:rPr>
          <w:rStyle w:val="CommentReference"/>
          <w:rFonts w:asciiTheme="minorHAnsi" w:hAnsiTheme="minorHAnsi"/>
          <w:b w:val="0"/>
          <w:sz w:val="24"/>
          <w:szCs w:val="24"/>
        </w:rPr>
        <w:t xml:space="preserve">argued that </w:t>
      </w:r>
      <w:r w:rsidR="00946F4B" w:rsidRPr="00E74297">
        <w:rPr>
          <w:rStyle w:val="CommentReference"/>
          <w:rFonts w:asciiTheme="minorHAnsi" w:hAnsiTheme="minorHAnsi"/>
          <w:b w:val="0"/>
          <w:sz w:val="24"/>
          <w:szCs w:val="24"/>
        </w:rPr>
        <w:t xml:space="preserve">the applicability of TPC in the </w:t>
      </w:r>
      <w:r w:rsidR="00432619" w:rsidRPr="00E74297">
        <w:rPr>
          <w:rStyle w:val="CommentReference"/>
          <w:rFonts w:asciiTheme="minorHAnsi" w:hAnsiTheme="minorHAnsi"/>
          <w:b w:val="0"/>
          <w:sz w:val="24"/>
          <w:szCs w:val="24"/>
        </w:rPr>
        <w:t xml:space="preserve">TROPiCS-02 </w:t>
      </w:r>
      <w:r w:rsidR="00C84E00" w:rsidRPr="00E74297">
        <w:rPr>
          <w:rStyle w:val="CommentReference"/>
          <w:rFonts w:asciiTheme="minorHAnsi" w:hAnsiTheme="minorHAnsi"/>
          <w:b w:val="0"/>
          <w:sz w:val="24"/>
          <w:szCs w:val="24"/>
        </w:rPr>
        <w:t xml:space="preserve">trial </w:t>
      </w:r>
      <w:r w:rsidR="00432619" w:rsidRPr="00E74297">
        <w:rPr>
          <w:rStyle w:val="CommentReference"/>
          <w:rFonts w:asciiTheme="minorHAnsi" w:hAnsiTheme="minorHAnsi"/>
          <w:b w:val="0"/>
          <w:sz w:val="24"/>
          <w:szCs w:val="24"/>
        </w:rPr>
        <w:t>to the Australian</w:t>
      </w:r>
      <w:r w:rsidR="00946F4B" w:rsidRPr="00E74297">
        <w:rPr>
          <w:rStyle w:val="CommentReference"/>
          <w:rFonts w:asciiTheme="minorHAnsi" w:hAnsiTheme="minorHAnsi"/>
          <w:b w:val="0"/>
          <w:sz w:val="24"/>
          <w:szCs w:val="24"/>
        </w:rPr>
        <w:t xml:space="preserve"> </w:t>
      </w:r>
      <w:r w:rsidR="00432619" w:rsidRPr="00E74297">
        <w:rPr>
          <w:rStyle w:val="CommentReference"/>
          <w:rFonts w:asciiTheme="minorHAnsi" w:hAnsiTheme="minorHAnsi"/>
          <w:b w:val="0"/>
          <w:sz w:val="24"/>
          <w:szCs w:val="24"/>
        </w:rPr>
        <w:t>clinical setting</w:t>
      </w:r>
      <w:r w:rsidR="00880ECD" w:rsidRPr="00E74297">
        <w:rPr>
          <w:rStyle w:val="CommentReference"/>
          <w:rFonts w:asciiTheme="minorHAnsi" w:hAnsiTheme="minorHAnsi"/>
          <w:b w:val="0"/>
          <w:sz w:val="24"/>
          <w:szCs w:val="24"/>
        </w:rPr>
        <w:t xml:space="preserve"> was validated by clinical opinion received at an Advisory Board</w:t>
      </w:r>
      <w:r w:rsidR="00F454AC" w:rsidRPr="00E74297">
        <w:rPr>
          <w:rStyle w:val="CommentReference"/>
          <w:rFonts w:asciiTheme="minorHAnsi" w:hAnsiTheme="minorHAnsi"/>
          <w:b w:val="0"/>
          <w:sz w:val="24"/>
          <w:szCs w:val="24"/>
        </w:rPr>
        <w:t xml:space="preserve"> in November 2022</w:t>
      </w:r>
      <w:r w:rsidR="00946F4B" w:rsidRPr="00E74297">
        <w:rPr>
          <w:rStyle w:val="CommentReference"/>
          <w:rFonts w:asciiTheme="minorHAnsi" w:hAnsiTheme="minorHAnsi"/>
          <w:b w:val="0"/>
          <w:sz w:val="24"/>
          <w:szCs w:val="24"/>
        </w:rPr>
        <w:t xml:space="preserve">. </w:t>
      </w:r>
      <w:r w:rsidR="00EC57D0" w:rsidRPr="00E74297">
        <w:rPr>
          <w:rStyle w:val="CommentReference"/>
          <w:rFonts w:asciiTheme="minorHAnsi" w:hAnsiTheme="minorHAnsi"/>
          <w:b w:val="0"/>
          <w:sz w:val="24"/>
          <w:szCs w:val="24"/>
        </w:rPr>
        <w:t>Noting that the</w:t>
      </w:r>
      <w:r w:rsidR="00946F4B" w:rsidRPr="00E74297">
        <w:rPr>
          <w:rStyle w:val="CommentReference"/>
          <w:rFonts w:asciiTheme="minorHAnsi" w:hAnsiTheme="minorHAnsi"/>
          <w:b w:val="0"/>
          <w:sz w:val="24"/>
          <w:szCs w:val="24"/>
        </w:rPr>
        <w:t xml:space="preserve"> subgroup analyses were not adequately powered to allow interpretation of </w:t>
      </w:r>
      <w:r w:rsidR="00432619" w:rsidRPr="00E74297">
        <w:rPr>
          <w:rStyle w:val="CommentReference"/>
          <w:rFonts w:asciiTheme="minorHAnsi" w:hAnsiTheme="minorHAnsi"/>
          <w:b w:val="0"/>
          <w:sz w:val="24"/>
          <w:szCs w:val="24"/>
        </w:rPr>
        <w:t>SG versus individual chemotherapy agents</w:t>
      </w:r>
      <w:r w:rsidR="00EC57D0" w:rsidRPr="00E74297">
        <w:rPr>
          <w:rStyle w:val="CommentReference"/>
          <w:rFonts w:asciiTheme="minorHAnsi" w:hAnsiTheme="minorHAnsi"/>
          <w:b w:val="0"/>
          <w:sz w:val="24"/>
          <w:szCs w:val="24"/>
        </w:rPr>
        <w:t>, t</w:t>
      </w:r>
      <w:r w:rsidR="0006592A" w:rsidRPr="00E74297">
        <w:rPr>
          <w:rStyle w:val="CommentReference"/>
          <w:rFonts w:asciiTheme="minorHAnsi" w:hAnsiTheme="minorHAnsi"/>
          <w:b w:val="0"/>
          <w:sz w:val="24"/>
          <w:szCs w:val="24"/>
        </w:rPr>
        <w:t xml:space="preserve">he ESC </w:t>
      </w:r>
      <w:r w:rsidR="00EC57D0" w:rsidRPr="00E74297">
        <w:rPr>
          <w:rStyle w:val="CommentReference"/>
          <w:rFonts w:asciiTheme="minorHAnsi" w:hAnsiTheme="minorHAnsi"/>
          <w:b w:val="0"/>
          <w:sz w:val="24"/>
          <w:szCs w:val="24"/>
        </w:rPr>
        <w:t>considered</w:t>
      </w:r>
      <w:r w:rsidR="0006592A" w:rsidRPr="00E74297">
        <w:rPr>
          <w:rStyle w:val="CommentReference"/>
          <w:rFonts w:asciiTheme="minorHAnsi" w:hAnsiTheme="minorHAnsi"/>
          <w:b w:val="0"/>
          <w:sz w:val="24"/>
          <w:szCs w:val="24"/>
        </w:rPr>
        <w:t xml:space="preserve"> </w:t>
      </w:r>
      <w:r w:rsidR="00EC57D0" w:rsidRPr="00E74297">
        <w:rPr>
          <w:rStyle w:val="CommentReference"/>
          <w:rFonts w:asciiTheme="minorHAnsi" w:hAnsiTheme="minorHAnsi"/>
          <w:b w:val="0"/>
          <w:sz w:val="24"/>
          <w:szCs w:val="24"/>
        </w:rPr>
        <w:t xml:space="preserve">that it remained likely that </w:t>
      </w:r>
      <w:r w:rsidR="0006592A" w:rsidRPr="00E74297">
        <w:rPr>
          <w:rStyle w:val="CommentReference"/>
          <w:rFonts w:asciiTheme="minorHAnsi" w:hAnsiTheme="minorHAnsi"/>
          <w:b w:val="0"/>
          <w:sz w:val="24"/>
          <w:szCs w:val="24"/>
        </w:rPr>
        <w:t xml:space="preserve">the observed superiority of SG over TPC </w:t>
      </w:r>
      <w:r w:rsidR="00EC57D0" w:rsidRPr="00E74297">
        <w:rPr>
          <w:rStyle w:val="CommentReference"/>
          <w:rFonts w:asciiTheme="minorHAnsi" w:hAnsiTheme="minorHAnsi"/>
          <w:b w:val="0"/>
          <w:sz w:val="24"/>
          <w:szCs w:val="24"/>
        </w:rPr>
        <w:t>was largely</w:t>
      </w:r>
      <w:r w:rsidR="0006592A" w:rsidRPr="00E74297">
        <w:rPr>
          <w:rStyle w:val="CommentReference"/>
          <w:rFonts w:asciiTheme="minorHAnsi" w:hAnsiTheme="minorHAnsi"/>
          <w:b w:val="0"/>
          <w:sz w:val="24"/>
          <w:szCs w:val="24"/>
        </w:rPr>
        <w:t xml:space="preserve"> driven by the </w:t>
      </w:r>
      <w:r w:rsidR="00EC57D0" w:rsidRPr="00E74297">
        <w:rPr>
          <w:rStyle w:val="CommentReference"/>
          <w:rFonts w:asciiTheme="minorHAnsi" w:hAnsiTheme="minorHAnsi"/>
          <w:b w:val="0"/>
          <w:sz w:val="24"/>
          <w:szCs w:val="24"/>
        </w:rPr>
        <w:t>clinical</w:t>
      </w:r>
      <w:r w:rsidR="0006592A" w:rsidRPr="00E74297">
        <w:rPr>
          <w:rStyle w:val="CommentReference"/>
          <w:rFonts w:asciiTheme="minorHAnsi" w:hAnsiTheme="minorHAnsi"/>
          <w:b w:val="0"/>
          <w:sz w:val="24"/>
          <w:szCs w:val="24"/>
        </w:rPr>
        <w:t xml:space="preserve"> benefit </w:t>
      </w:r>
      <w:r w:rsidR="00EC57D0" w:rsidRPr="00E74297">
        <w:rPr>
          <w:rStyle w:val="CommentReference"/>
          <w:rFonts w:asciiTheme="minorHAnsi" w:hAnsiTheme="minorHAnsi"/>
          <w:b w:val="0"/>
          <w:sz w:val="24"/>
          <w:szCs w:val="24"/>
        </w:rPr>
        <w:t>observed for</w:t>
      </w:r>
      <w:r w:rsidR="0006592A" w:rsidRPr="00E74297">
        <w:rPr>
          <w:rStyle w:val="CommentReference"/>
          <w:rFonts w:asciiTheme="minorHAnsi" w:hAnsiTheme="minorHAnsi"/>
          <w:b w:val="0"/>
          <w:sz w:val="24"/>
          <w:szCs w:val="24"/>
        </w:rPr>
        <w:t xml:space="preserve"> SG over vinorelbine. The ESC </w:t>
      </w:r>
      <w:r w:rsidR="001A48E6" w:rsidRPr="00E74297">
        <w:rPr>
          <w:rStyle w:val="CommentReference"/>
          <w:rFonts w:asciiTheme="minorHAnsi" w:hAnsiTheme="minorHAnsi"/>
          <w:b w:val="0"/>
          <w:sz w:val="24"/>
          <w:szCs w:val="24"/>
        </w:rPr>
        <w:t>also noted that</w:t>
      </w:r>
      <w:r w:rsidR="0006592A" w:rsidRPr="00E74297">
        <w:rPr>
          <w:rStyle w:val="CommentReference"/>
          <w:rFonts w:asciiTheme="minorHAnsi" w:hAnsiTheme="minorHAnsi"/>
          <w:b w:val="0"/>
          <w:sz w:val="24"/>
          <w:szCs w:val="24"/>
        </w:rPr>
        <w:t xml:space="preserve"> vinorelbine </w:t>
      </w:r>
      <w:r w:rsidR="001A48E6" w:rsidRPr="00E74297">
        <w:rPr>
          <w:rStyle w:val="CommentReference"/>
          <w:rFonts w:asciiTheme="minorHAnsi" w:hAnsiTheme="minorHAnsi"/>
          <w:b w:val="0"/>
          <w:sz w:val="24"/>
          <w:szCs w:val="24"/>
        </w:rPr>
        <w:t xml:space="preserve">is typically used as </w:t>
      </w:r>
      <w:r w:rsidR="00DF223D" w:rsidRPr="00E74297">
        <w:rPr>
          <w:rStyle w:val="CommentReference"/>
          <w:rFonts w:asciiTheme="minorHAnsi" w:hAnsiTheme="minorHAnsi"/>
          <w:b w:val="0"/>
          <w:sz w:val="24"/>
          <w:szCs w:val="24"/>
        </w:rPr>
        <w:t>a</w:t>
      </w:r>
      <w:r w:rsidR="00EC57D0" w:rsidRPr="00E74297">
        <w:rPr>
          <w:rStyle w:val="CommentReference"/>
          <w:rFonts w:asciiTheme="minorHAnsi" w:hAnsiTheme="minorHAnsi"/>
          <w:b w:val="0"/>
          <w:sz w:val="24"/>
          <w:szCs w:val="24"/>
        </w:rPr>
        <w:t xml:space="preserve"> salvage treatment option</w:t>
      </w:r>
      <w:r w:rsidR="001A48E6" w:rsidRPr="00E74297">
        <w:rPr>
          <w:rStyle w:val="CommentReference"/>
          <w:rFonts w:asciiTheme="minorHAnsi" w:hAnsiTheme="minorHAnsi"/>
          <w:b w:val="0"/>
          <w:sz w:val="24"/>
          <w:szCs w:val="24"/>
        </w:rPr>
        <w:t xml:space="preserve"> in clinical practice</w:t>
      </w:r>
      <w:r w:rsidR="00DF223D" w:rsidRPr="00E74297">
        <w:rPr>
          <w:rStyle w:val="CommentReference"/>
          <w:rFonts w:asciiTheme="minorHAnsi" w:hAnsiTheme="minorHAnsi"/>
          <w:b w:val="0"/>
          <w:sz w:val="24"/>
          <w:szCs w:val="24"/>
        </w:rPr>
        <w:t xml:space="preserve"> </w:t>
      </w:r>
      <w:r w:rsidR="001A48E6" w:rsidRPr="00E74297">
        <w:rPr>
          <w:rStyle w:val="CommentReference"/>
          <w:rFonts w:asciiTheme="minorHAnsi" w:hAnsiTheme="minorHAnsi"/>
          <w:b w:val="0"/>
          <w:sz w:val="24"/>
          <w:szCs w:val="24"/>
        </w:rPr>
        <w:t>and ha</w:t>
      </w:r>
      <w:r w:rsidR="00486F0C" w:rsidRPr="00E74297">
        <w:rPr>
          <w:rStyle w:val="CommentReference"/>
          <w:rFonts w:asciiTheme="minorHAnsi" w:hAnsiTheme="minorHAnsi"/>
          <w:b w:val="0"/>
          <w:sz w:val="24"/>
          <w:szCs w:val="24"/>
        </w:rPr>
        <w:t>s</w:t>
      </w:r>
      <w:r w:rsidR="00DF223D" w:rsidRPr="00E74297">
        <w:rPr>
          <w:rStyle w:val="CommentReference"/>
          <w:rFonts w:asciiTheme="minorHAnsi" w:hAnsiTheme="minorHAnsi"/>
          <w:b w:val="0"/>
          <w:sz w:val="24"/>
          <w:szCs w:val="24"/>
        </w:rPr>
        <w:t xml:space="preserve"> </w:t>
      </w:r>
      <w:r w:rsidR="00EC57D0" w:rsidRPr="00E74297">
        <w:rPr>
          <w:rStyle w:val="CommentReference"/>
          <w:rFonts w:asciiTheme="minorHAnsi" w:hAnsiTheme="minorHAnsi"/>
          <w:b w:val="0"/>
          <w:sz w:val="24"/>
          <w:szCs w:val="24"/>
        </w:rPr>
        <w:t xml:space="preserve">modest clinical </w:t>
      </w:r>
      <w:r w:rsidR="00DF223D" w:rsidRPr="00E74297">
        <w:rPr>
          <w:rStyle w:val="CommentReference"/>
          <w:rFonts w:asciiTheme="minorHAnsi" w:hAnsiTheme="minorHAnsi"/>
          <w:b w:val="0"/>
          <w:sz w:val="24"/>
          <w:szCs w:val="24"/>
        </w:rPr>
        <w:t>benefit</w:t>
      </w:r>
      <w:r w:rsidR="001A48E6" w:rsidRPr="00E74297">
        <w:rPr>
          <w:rStyle w:val="CommentReference"/>
          <w:rFonts w:asciiTheme="minorHAnsi" w:hAnsiTheme="minorHAnsi"/>
          <w:b w:val="0"/>
          <w:sz w:val="24"/>
          <w:szCs w:val="24"/>
        </w:rPr>
        <w:t>. G</w:t>
      </w:r>
      <w:r w:rsidR="00DF223D" w:rsidRPr="00E74297">
        <w:rPr>
          <w:rStyle w:val="CommentReference"/>
          <w:rFonts w:asciiTheme="minorHAnsi" w:hAnsiTheme="minorHAnsi"/>
          <w:b w:val="0"/>
          <w:sz w:val="24"/>
          <w:szCs w:val="24"/>
        </w:rPr>
        <w:t>iven</w:t>
      </w:r>
      <w:r w:rsidR="00EC57D0" w:rsidRPr="00E74297">
        <w:rPr>
          <w:rStyle w:val="CommentReference"/>
          <w:rFonts w:asciiTheme="minorHAnsi" w:hAnsiTheme="minorHAnsi"/>
          <w:b w:val="0"/>
          <w:sz w:val="24"/>
          <w:szCs w:val="24"/>
        </w:rPr>
        <w:t xml:space="preserve"> the comparatively small</w:t>
      </w:r>
      <w:r w:rsidR="00074C03" w:rsidRPr="00E74297">
        <w:rPr>
          <w:rStyle w:val="CommentReference"/>
          <w:rFonts w:asciiTheme="minorHAnsi" w:hAnsiTheme="minorHAnsi"/>
          <w:b w:val="0"/>
          <w:sz w:val="24"/>
          <w:szCs w:val="24"/>
        </w:rPr>
        <w:t>er</w:t>
      </w:r>
      <w:r w:rsidR="00EC57D0" w:rsidRPr="00E74297">
        <w:rPr>
          <w:rStyle w:val="CommentReference"/>
          <w:rFonts w:asciiTheme="minorHAnsi" w:hAnsiTheme="minorHAnsi"/>
          <w:b w:val="0"/>
          <w:sz w:val="24"/>
          <w:szCs w:val="24"/>
        </w:rPr>
        <w:t xml:space="preserve"> benefit observed for SG over other chemotherapies</w:t>
      </w:r>
      <w:r w:rsidR="003C60D1" w:rsidRPr="00E74297">
        <w:rPr>
          <w:rStyle w:val="CommentReference"/>
          <w:rFonts w:asciiTheme="minorHAnsi" w:hAnsiTheme="minorHAnsi"/>
          <w:b w:val="0"/>
          <w:sz w:val="24"/>
          <w:szCs w:val="24"/>
        </w:rPr>
        <w:t xml:space="preserve"> that comprised TPC</w:t>
      </w:r>
      <w:r w:rsidR="00EC57D0" w:rsidRPr="00E74297">
        <w:rPr>
          <w:rStyle w:val="CommentReference"/>
          <w:rFonts w:asciiTheme="minorHAnsi" w:hAnsiTheme="minorHAnsi"/>
          <w:b w:val="0"/>
          <w:sz w:val="24"/>
          <w:szCs w:val="24"/>
        </w:rPr>
        <w:t xml:space="preserve">, the </w:t>
      </w:r>
      <w:r w:rsidR="001A48E6" w:rsidRPr="00E74297">
        <w:rPr>
          <w:rStyle w:val="CommentReference"/>
          <w:rFonts w:asciiTheme="minorHAnsi" w:hAnsiTheme="minorHAnsi"/>
          <w:b w:val="0"/>
          <w:sz w:val="24"/>
          <w:szCs w:val="24"/>
        </w:rPr>
        <w:t xml:space="preserve">ESC considered that the </w:t>
      </w:r>
      <w:r w:rsidR="00EC57D0" w:rsidRPr="00E74297">
        <w:rPr>
          <w:rStyle w:val="CommentReference"/>
          <w:rFonts w:asciiTheme="minorHAnsi" w:hAnsiTheme="minorHAnsi"/>
          <w:b w:val="0"/>
          <w:sz w:val="24"/>
          <w:szCs w:val="24"/>
        </w:rPr>
        <w:t>overall magnitude of benef</w:t>
      </w:r>
      <w:r w:rsidR="001A48E6" w:rsidRPr="00E74297">
        <w:rPr>
          <w:rStyle w:val="CommentReference"/>
          <w:rFonts w:asciiTheme="minorHAnsi" w:hAnsiTheme="minorHAnsi"/>
          <w:b w:val="0"/>
          <w:sz w:val="24"/>
          <w:szCs w:val="24"/>
        </w:rPr>
        <w:t xml:space="preserve">it of SG </w:t>
      </w:r>
      <w:r w:rsidR="00074C03" w:rsidRPr="00E74297">
        <w:rPr>
          <w:rStyle w:val="CommentReference"/>
          <w:rFonts w:asciiTheme="minorHAnsi" w:hAnsiTheme="minorHAnsi"/>
          <w:b w:val="0"/>
          <w:sz w:val="24"/>
          <w:szCs w:val="24"/>
        </w:rPr>
        <w:t>compared with TPC</w:t>
      </w:r>
      <w:r w:rsidR="003C60D1" w:rsidRPr="00E74297">
        <w:rPr>
          <w:rStyle w:val="CommentReference"/>
          <w:rFonts w:asciiTheme="minorHAnsi" w:hAnsiTheme="minorHAnsi"/>
          <w:b w:val="0"/>
          <w:sz w:val="24"/>
          <w:szCs w:val="24"/>
        </w:rPr>
        <w:t xml:space="preserve"> that would be observed in Australian clinical practice</w:t>
      </w:r>
      <w:r w:rsidR="00074C03" w:rsidRPr="00E74297">
        <w:rPr>
          <w:rStyle w:val="CommentReference"/>
          <w:rFonts w:asciiTheme="minorHAnsi" w:hAnsiTheme="minorHAnsi"/>
          <w:b w:val="0"/>
          <w:sz w:val="24"/>
          <w:szCs w:val="24"/>
        </w:rPr>
        <w:t xml:space="preserve"> </w:t>
      </w:r>
      <w:r w:rsidR="001A48E6" w:rsidRPr="00E74297">
        <w:rPr>
          <w:rStyle w:val="CommentReference"/>
          <w:rFonts w:asciiTheme="minorHAnsi" w:hAnsiTheme="minorHAnsi"/>
          <w:b w:val="0"/>
          <w:sz w:val="24"/>
          <w:szCs w:val="24"/>
        </w:rPr>
        <w:t xml:space="preserve">was </w:t>
      </w:r>
      <w:r w:rsidR="00074C03" w:rsidRPr="00E74297">
        <w:rPr>
          <w:rStyle w:val="CommentReference"/>
          <w:rFonts w:asciiTheme="minorHAnsi" w:hAnsiTheme="minorHAnsi"/>
          <w:b w:val="0"/>
          <w:sz w:val="24"/>
          <w:szCs w:val="24"/>
        </w:rPr>
        <w:t xml:space="preserve">uncertain and </w:t>
      </w:r>
      <w:r w:rsidR="001A48E6" w:rsidRPr="00E74297">
        <w:rPr>
          <w:rStyle w:val="CommentReference"/>
          <w:rFonts w:asciiTheme="minorHAnsi" w:hAnsiTheme="minorHAnsi"/>
          <w:b w:val="0"/>
          <w:sz w:val="24"/>
          <w:szCs w:val="24"/>
        </w:rPr>
        <w:t xml:space="preserve">likely to be </w:t>
      </w:r>
      <w:r w:rsidR="008B201C" w:rsidRPr="00E74297">
        <w:rPr>
          <w:rStyle w:val="CommentReference"/>
          <w:rFonts w:asciiTheme="minorHAnsi" w:hAnsiTheme="minorHAnsi"/>
          <w:b w:val="0"/>
          <w:sz w:val="24"/>
          <w:szCs w:val="24"/>
        </w:rPr>
        <w:t>smaller than observed in the trial</w:t>
      </w:r>
      <w:r w:rsidR="00EC57D0" w:rsidRPr="00E74297">
        <w:rPr>
          <w:rStyle w:val="CommentReference"/>
          <w:rFonts w:asciiTheme="minorHAnsi" w:hAnsiTheme="minorHAnsi"/>
          <w:b w:val="0"/>
          <w:sz w:val="24"/>
          <w:szCs w:val="24"/>
        </w:rPr>
        <w:t>.</w:t>
      </w:r>
    </w:p>
    <w:p w14:paraId="4BF3B73A" w14:textId="011CF9A8" w:rsidR="003D502F" w:rsidRPr="00E74297" w:rsidRDefault="003D502F" w:rsidP="00EC57D0">
      <w:pPr>
        <w:pStyle w:val="3-BodyText"/>
        <w:rPr>
          <w:rStyle w:val="CommentReference"/>
          <w:rFonts w:ascii="Proxima Nova" w:hAnsi="Proxima Nova" w:cstheme="minorHAnsi"/>
          <w:b w:val="0"/>
          <w:sz w:val="24"/>
          <w:szCs w:val="22"/>
        </w:rPr>
      </w:pPr>
      <w:r w:rsidRPr="00E74297">
        <w:rPr>
          <w:rStyle w:val="CommentReference"/>
          <w:rFonts w:asciiTheme="minorHAnsi" w:hAnsiTheme="minorHAnsi"/>
          <w:b w:val="0"/>
          <w:sz w:val="24"/>
          <w:szCs w:val="24"/>
        </w:rPr>
        <w:t xml:space="preserve">The PBAC noted that </w:t>
      </w:r>
      <w:r w:rsidR="009573D2" w:rsidRPr="00E74297">
        <w:rPr>
          <w:rStyle w:val="CommentReference"/>
          <w:rFonts w:asciiTheme="minorHAnsi" w:hAnsiTheme="minorHAnsi"/>
          <w:b w:val="0"/>
          <w:sz w:val="24"/>
          <w:szCs w:val="24"/>
        </w:rPr>
        <w:t xml:space="preserve">subgroup analyses were not adequately powered for formal hypothesis testing and may be subject to confounding, however considered </w:t>
      </w:r>
      <w:r w:rsidRPr="00E74297">
        <w:rPr>
          <w:rStyle w:val="CommentReference"/>
          <w:rFonts w:asciiTheme="minorHAnsi" w:hAnsiTheme="minorHAnsi"/>
          <w:b w:val="0"/>
          <w:sz w:val="24"/>
          <w:szCs w:val="24"/>
        </w:rPr>
        <w:t xml:space="preserve">the agents used as TPC was an indication of the extent to which patients in the trial were heavily pre-treated. For example, </w:t>
      </w:r>
      <w:r w:rsidR="00073A68" w:rsidRPr="00E74297">
        <w:rPr>
          <w:rStyle w:val="CommentReference"/>
          <w:rFonts w:asciiTheme="minorHAnsi" w:hAnsiTheme="minorHAnsi"/>
          <w:b w:val="0"/>
          <w:sz w:val="24"/>
          <w:szCs w:val="24"/>
        </w:rPr>
        <w:t>234/271 (86.3</w:t>
      </w:r>
      <w:r w:rsidRPr="00E74297">
        <w:rPr>
          <w:rStyle w:val="CommentReference"/>
          <w:rFonts w:asciiTheme="minorHAnsi" w:hAnsiTheme="minorHAnsi"/>
          <w:b w:val="0"/>
          <w:sz w:val="24"/>
          <w:szCs w:val="24"/>
        </w:rPr>
        <w:t>%</w:t>
      </w:r>
      <w:r w:rsidR="00073A68" w:rsidRPr="00E74297">
        <w:rPr>
          <w:rStyle w:val="CommentReference"/>
          <w:rFonts w:asciiTheme="minorHAnsi" w:hAnsiTheme="minorHAnsi"/>
          <w:b w:val="0"/>
          <w:sz w:val="24"/>
          <w:szCs w:val="24"/>
        </w:rPr>
        <w:t>)</w:t>
      </w:r>
      <w:r w:rsidRPr="00E74297">
        <w:rPr>
          <w:rStyle w:val="CommentReference"/>
          <w:rFonts w:asciiTheme="minorHAnsi" w:hAnsiTheme="minorHAnsi"/>
          <w:b w:val="0"/>
          <w:sz w:val="24"/>
          <w:szCs w:val="24"/>
        </w:rPr>
        <w:t xml:space="preserve"> of patients </w:t>
      </w:r>
      <w:r w:rsidR="00073A68" w:rsidRPr="00E74297">
        <w:rPr>
          <w:rStyle w:val="CommentReference"/>
          <w:rFonts w:asciiTheme="minorHAnsi" w:hAnsiTheme="minorHAnsi"/>
          <w:b w:val="0"/>
          <w:sz w:val="24"/>
          <w:szCs w:val="24"/>
        </w:rPr>
        <w:t xml:space="preserve">in the TPC arm </w:t>
      </w:r>
      <w:r w:rsidRPr="00E74297">
        <w:rPr>
          <w:rStyle w:val="CommentReference"/>
          <w:rFonts w:asciiTheme="minorHAnsi" w:hAnsiTheme="minorHAnsi"/>
          <w:b w:val="0"/>
          <w:sz w:val="24"/>
          <w:szCs w:val="24"/>
        </w:rPr>
        <w:t xml:space="preserve">had received prior capecitabine, therefore the 22 </w:t>
      </w:r>
      <w:r w:rsidR="009B29CA" w:rsidRPr="00E74297">
        <w:rPr>
          <w:rStyle w:val="CommentReference"/>
          <w:rFonts w:asciiTheme="minorHAnsi" w:hAnsiTheme="minorHAnsi"/>
          <w:b w:val="0"/>
          <w:sz w:val="24"/>
          <w:szCs w:val="24"/>
        </w:rPr>
        <w:t xml:space="preserve">patients </w:t>
      </w:r>
      <w:r w:rsidR="00720F66" w:rsidRPr="00E74297">
        <w:rPr>
          <w:rStyle w:val="CommentReference"/>
          <w:rFonts w:asciiTheme="minorHAnsi" w:hAnsiTheme="minorHAnsi"/>
          <w:b w:val="0"/>
          <w:sz w:val="24"/>
          <w:szCs w:val="24"/>
        </w:rPr>
        <w:t>treated with</w:t>
      </w:r>
      <w:r w:rsidRPr="00E74297">
        <w:rPr>
          <w:rStyle w:val="CommentReference"/>
          <w:rFonts w:asciiTheme="minorHAnsi" w:hAnsiTheme="minorHAnsi"/>
          <w:b w:val="0"/>
          <w:sz w:val="24"/>
          <w:szCs w:val="24"/>
        </w:rPr>
        <w:t xml:space="preserve"> capecitabine </w:t>
      </w:r>
      <w:r w:rsidR="00720F66" w:rsidRPr="00E74297">
        <w:rPr>
          <w:rStyle w:val="CommentReference"/>
          <w:rFonts w:asciiTheme="minorHAnsi" w:hAnsiTheme="minorHAnsi"/>
          <w:b w:val="0"/>
          <w:sz w:val="24"/>
          <w:szCs w:val="24"/>
        </w:rPr>
        <w:t>as TPC would have had</w:t>
      </w:r>
      <w:r w:rsidRPr="00E74297">
        <w:rPr>
          <w:rStyle w:val="CommentReference"/>
          <w:rFonts w:asciiTheme="minorHAnsi" w:hAnsiTheme="minorHAnsi"/>
          <w:b w:val="0"/>
          <w:sz w:val="24"/>
          <w:szCs w:val="24"/>
        </w:rPr>
        <w:t xml:space="preserve"> less resistant disease</w:t>
      </w:r>
      <w:r w:rsidR="00720F66" w:rsidRPr="00E74297">
        <w:rPr>
          <w:rStyle w:val="CommentReference"/>
          <w:rFonts w:asciiTheme="minorHAnsi" w:hAnsiTheme="minorHAnsi"/>
          <w:b w:val="0"/>
          <w:sz w:val="24"/>
          <w:szCs w:val="24"/>
        </w:rPr>
        <w:t xml:space="preserve">, whereas those treated with vinorelbine as TPC are likely to </w:t>
      </w:r>
      <w:r w:rsidR="005C2707" w:rsidRPr="00E74297">
        <w:rPr>
          <w:rStyle w:val="CommentReference"/>
          <w:rFonts w:asciiTheme="minorHAnsi" w:hAnsiTheme="minorHAnsi"/>
          <w:b w:val="0"/>
          <w:sz w:val="24"/>
          <w:szCs w:val="24"/>
        </w:rPr>
        <w:t xml:space="preserve">have </w:t>
      </w:r>
      <w:r w:rsidR="00720F66" w:rsidRPr="00E74297">
        <w:rPr>
          <w:rStyle w:val="CommentReference"/>
          <w:rFonts w:asciiTheme="minorHAnsi" w:hAnsiTheme="minorHAnsi"/>
          <w:b w:val="0"/>
          <w:sz w:val="24"/>
          <w:szCs w:val="24"/>
        </w:rPr>
        <w:t>be</w:t>
      </w:r>
      <w:r w:rsidR="005C2707" w:rsidRPr="00E74297">
        <w:rPr>
          <w:rStyle w:val="CommentReference"/>
          <w:rFonts w:asciiTheme="minorHAnsi" w:hAnsiTheme="minorHAnsi"/>
          <w:b w:val="0"/>
          <w:sz w:val="24"/>
          <w:szCs w:val="24"/>
        </w:rPr>
        <w:t>en</w:t>
      </w:r>
      <w:r w:rsidR="00720F66" w:rsidRPr="00E74297">
        <w:rPr>
          <w:rStyle w:val="CommentReference"/>
          <w:rFonts w:asciiTheme="minorHAnsi" w:hAnsiTheme="minorHAnsi"/>
          <w:b w:val="0"/>
          <w:sz w:val="24"/>
          <w:szCs w:val="24"/>
        </w:rPr>
        <w:t xml:space="preserve"> more heavily pre-treated.</w:t>
      </w:r>
    </w:p>
    <w:p w14:paraId="5D739E51" w14:textId="7070928F" w:rsidR="00DD76FD" w:rsidRPr="00E74297" w:rsidRDefault="00DD76FD" w:rsidP="00057A97">
      <w:pPr>
        <w:pStyle w:val="Caption"/>
      </w:pPr>
      <w:bookmarkStart w:id="44" w:name="_Ref130765596"/>
      <w:r w:rsidRPr="00E74297">
        <w:lastRenderedPageBreak/>
        <w:t xml:space="preserve">Table </w:t>
      </w:r>
      <w:fldSimple w:instr=" SEQ Table \* ARABIC " w:fldLock="1">
        <w:r w:rsidR="00AE1DC7" w:rsidRPr="00E74297">
          <w:t>5</w:t>
        </w:r>
      </w:fldSimple>
      <w:bookmarkEnd w:id="44"/>
      <w:r w:rsidRPr="00E74297">
        <w:t xml:space="preserve">: Subgroup analysis of SG vs </w:t>
      </w:r>
      <w:r w:rsidR="00432619" w:rsidRPr="00E74297">
        <w:t>i</w:t>
      </w:r>
      <w:r w:rsidRPr="00E74297">
        <w:t>ndividual single agent chemotherapies that comprise TPC.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2254"/>
        <w:gridCol w:w="2263"/>
        <w:gridCol w:w="2258"/>
      </w:tblGrid>
      <w:tr w:rsidR="00DD76FD" w:rsidRPr="00E74297" w14:paraId="3E06964A" w14:textId="77777777" w:rsidTr="00863348">
        <w:trPr>
          <w:cantSplit/>
          <w:tblHeader/>
        </w:trPr>
        <w:tc>
          <w:tcPr>
            <w:tcW w:w="1243" w:type="pct"/>
            <w:vAlign w:val="center"/>
          </w:tcPr>
          <w:p w14:paraId="378D8189" w14:textId="77777777" w:rsidR="00DD76FD" w:rsidRPr="00E74297" w:rsidRDefault="00DD76FD" w:rsidP="00057A97">
            <w:pPr>
              <w:pStyle w:val="In-tableHeading"/>
              <w:keepLines/>
              <w:jc w:val="center"/>
              <w:rPr>
                <w:lang w:val="en-AU"/>
              </w:rPr>
            </w:pPr>
          </w:p>
        </w:tc>
        <w:tc>
          <w:tcPr>
            <w:tcW w:w="1250" w:type="pct"/>
            <w:vAlign w:val="center"/>
          </w:tcPr>
          <w:p w14:paraId="4AAF4521" w14:textId="77777777" w:rsidR="00DD76FD" w:rsidRPr="00E74297" w:rsidRDefault="00DD76FD" w:rsidP="00057A97">
            <w:pPr>
              <w:pStyle w:val="In-tableHeading"/>
              <w:keepLines/>
              <w:jc w:val="center"/>
              <w:rPr>
                <w:lang w:val="en-AU"/>
              </w:rPr>
            </w:pPr>
            <w:r w:rsidRPr="00E74297">
              <w:rPr>
                <w:lang w:val="en-AU"/>
              </w:rPr>
              <w:t>SG median (95% CI)</w:t>
            </w:r>
          </w:p>
        </w:tc>
        <w:tc>
          <w:tcPr>
            <w:tcW w:w="1255" w:type="pct"/>
            <w:vAlign w:val="center"/>
          </w:tcPr>
          <w:p w14:paraId="40FBCD18" w14:textId="77777777" w:rsidR="00DD76FD" w:rsidRPr="00E74297" w:rsidRDefault="00DD76FD" w:rsidP="00057A97">
            <w:pPr>
              <w:pStyle w:val="In-tableHeading"/>
              <w:keepLines/>
              <w:jc w:val="center"/>
              <w:rPr>
                <w:lang w:val="en-AU"/>
              </w:rPr>
            </w:pPr>
            <w:r w:rsidRPr="00E74297">
              <w:rPr>
                <w:lang w:val="en-AU"/>
              </w:rPr>
              <w:t>Comparator median (95% CI)</w:t>
            </w:r>
          </w:p>
        </w:tc>
        <w:tc>
          <w:tcPr>
            <w:tcW w:w="1252" w:type="pct"/>
            <w:vAlign w:val="center"/>
          </w:tcPr>
          <w:p w14:paraId="16F7DDD9" w14:textId="77777777" w:rsidR="00DD76FD" w:rsidRPr="00E74297" w:rsidRDefault="00DD76FD" w:rsidP="00057A97">
            <w:pPr>
              <w:pStyle w:val="In-tableHeading"/>
              <w:keepLines/>
              <w:jc w:val="center"/>
              <w:rPr>
                <w:lang w:val="en-AU"/>
              </w:rPr>
            </w:pPr>
            <w:r w:rsidRPr="00E74297">
              <w:rPr>
                <w:lang w:val="en-AU"/>
              </w:rPr>
              <w:t>HR (95% CI)</w:t>
            </w:r>
          </w:p>
        </w:tc>
      </w:tr>
      <w:tr w:rsidR="00DD76FD" w:rsidRPr="00E74297" w14:paraId="785C3849" w14:textId="77777777" w:rsidTr="00863348">
        <w:trPr>
          <w:cantSplit/>
          <w:tblHeader/>
        </w:trPr>
        <w:tc>
          <w:tcPr>
            <w:tcW w:w="5000" w:type="pct"/>
            <w:gridSpan w:val="4"/>
            <w:vAlign w:val="center"/>
          </w:tcPr>
          <w:p w14:paraId="1DC0612A" w14:textId="77777777" w:rsidR="00DD76FD" w:rsidRPr="00E74297" w:rsidRDefault="00DD76FD" w:rsidP="00057A97">
            <w:pPr>
              <w:pStyle w:val="In-tableHeading"/>
              <w:keepLines/>
              <w:rPr>
                <w:lang w:val="en-AU"/>
              </w:rPr>
            </w:pPr>
            <w:r w:rsidRPr="00E74297">
              <w:rPr>
                <w:lang w:val="en-AU"/>
              </w:rPr>
              <w:t>PFS</w:t>
            </w:r>
          </w:p>
        </w:tc>
      </w:tr>
      <w:tr w:rsidR="00DD76FD" w:rsidRPr="00E74297" w14:paraId="5A054C5B" w14:textId="77777777" w:rsidTr="00863348">
        <w:trPr>
          <w:cantSplit/>
        </w:trPr>
        <w:tc>
          <w:tcPr>
            <w:tcW w:w="1243" w:type="pct"/>
            <w:vAlign w:val="center"/>
          </w:tcPr>
          <w:p w14:paraId="04E832EC" w14:textId="77777777" w:rsidR="00DD76FD" w:rsidRPr="00E74297" w:rsidRDefault="00DD76FD" w:rsidP="00057A97">
            <w:pPr>
              <w:pStyle w:val="TableText0"/>
              <w:keepLines/>
            </w:pPr>
            <w:r w:rsidRPr="00E74297">
              <w:t>Eribulin (n=130)</w:t>
            </w:r>
          </w:p>
        </w:tc>
        <w:tc>
          <w:tcPr>
            <w:tcW w:w="1250" w:type="pct"/>
            <w:vMerge w:val="restart"/>
            <w:vAlign w:val="center"/>
          </w:tcPr>
          <w:p w14:paraId="5AF63883" w14:textId="77777777" w:rsidR="00DD76FD" w:rsidRPr="00E74297" w:rsidRDefault="00DD76FD" w:rsidP="00057A97">
            <w:pPr>
              <w:pStyle w:val="TableText0"/>
              <w:keepLines/>
              <w:jc w:val="center"/>
            </w:pPr>
            <w:r w:rsidRPr="00E74297">
              <w:t>5.5 (4.2, 7.0)</w:t>
            </w:r>
          </w:p>
        </w:tc>
        <w:tc>
          <w:tcPr>
            <w:tcW w:w="1255" w:type="pct"/>
            <w:vAlign w:val="center"/>
          </w:tcPr>
          <w:p w14:paraId="32E2DCF2" w14:textId="77777777" w:rsidR="00DD76FD" w:rsidRPr="00E74297" w:rsidRDefault="00DD76FD" w:rsidP="00057A97">
            <w:pPr>
              <w:pStyle w:val="TableText0"/>
              <w:keepLines/>
              <w:jc w:val="center"/>
            </w:pPr>
            <w:r w:rsidRPr="00E74297">
              <w:t>4.4 (4.0, 5.6)</w:t>
            </w:r>
          </w:p>
        </w:tc>
        <w:tc>
          <w:tcPr>
            <w:tcW w:w="1252" w:type="pct"/>
            <w:vAlign w:val="center"/>
          </w:tcPr>
          <w:p w14:paraId="44430435" w14:textId="77777777" w:rsidR="00DD76FD" w:rsidRPr="00E74297" w:rsidRDefault="00DD76FD" w:rsidP="00057A97">
            <w:pPr>
              <w:pStyle w:val="TableText0"/>
              <w:keepLines/>
              <w:jc w:val="center"/>
              <w:rPr>
                <w:b/>
                <w:bCs w:val="0"/>
              </w:rPr>
            </w:pPr>
            <w:r w:rsidRPr="00E74297">
              <w:rPr>
                <w:b/>
                <w:bCs w:val="0"/>
              </w:rPr>
              <w:t>0.714 (0.547, 0.933)</w:t>
            </w:r>
          </w:p>
        </w:tc>
      </w:tr>
      <w:tr w:rsidR="00DD76FD" w:rsidRPr="00E74297" w14:paraId="179140AB" w14:textId="77777777" w:rsidTr="00863348">
        <w:trPr>
          <w:cantSplit/>
        </w:trPr>
        <w:tc>
          <w:tcPr>
            <w:tcW w:w="1243" w:type="pct"/>
            <w:vAlign w:val="center"/>
          </w:tcPr>
          <w:p w14:paraId="184F1681" w14:textId="77777777" w:rsidR="00DD76FD" w:rsidRPr="00E74297" w:rsidRDefault="00DD76FD" w:rsidP="00057A97">
            <w:pPr>
              <w:pStyle w:val="TableText0"/>
              <w:keepLines/>
            </w:pPr>
            <w:r w:rsidRPr="00E74297">
              <w:t>Capecitabine (n=22)</w:t>
            </w:r>
          </w:p>
        </w:tc>
        <w:tc>
          <w:tcPr>
            <w:tcW w:w="1250" w:type="pct"/>
            <w:vMerge/>
            <w:vAlign w:val="center"/>
          </w:tcPr>
          <w:p w14:paraId="2D1F055E" w14:textId="77777777" w:rsidR="00DD76FD" w:rsidRPr="00E74297" w:rsidRDefault="00DD76FD" w:rsidP="00057A97">
            <w:pPr>
              <w:pStyle w:val="TableText0"/>
              <w:keepLines/>
              <w:jc w:val="center"/>
            </w:pPr>
          </w:p>
        </w:tc>
        <w:tc>
          <w:tcPr>
            <w:tcW w:w="1255" w:type="pct"/>
            <w:vAlign w:val="center"/>
          </w:tcPr>
          <w:p w14:paraId="1A1DAAF6" w14:textId="77777777" w:rsidR="00DD76FD" w:rsidRPr="00E74297" w:rsidRDefault="00DD76FD" w:rsidP="00057A97">
            <w:pPr>
              <w:pStyle w:val="TableText0"/>
              <w:keepLines/>
              <w:jc w:val="center"/>
            </w:pPr>
            <w:r w:rsidRPr="00E74297">
              <w:t>5.6 (1.6, 6.4)</w:t>
            </w:r>
          </w:p>
        </w:tc>
        <w:tc>
          <w:tcPr>
            <w:tcW w:w="1252" w:type="pct"/>
            <w:vAlign w:val="center"/>
          </w:tcPr>
          <w:p w14:paraId="7F34619A" w14:textId="77777777" w:rsidR="00DD76FD" w:rsidRPr="00E74297" w:rsidRDefault="00DD76FD" w:rsidP="00057A97">
            <w:pPr>
              <w:pStyle w:val="TableText0"/>
              <w:keepLines/>
              <w:jc w:val="center"/>
            </w:pPr>
            <w:r w:rsidRPr="00E74297">
              <w:t>0.909 (0.527, 1.570)</w:t>
            </w:r>
          </w:p>
        </w:tc>
      </w:tr>
      <w:tr w:rsidR="00DD76FD" w:rsidRPr="00E74297" w14:paraId="030F5524" w14:textId="77777777" w:rsidTr="00863348">
        <w:trPr>
          <w:cantSplit/>
        </w:trPr>
        <w:tc>
          <w:tcPr>
            <w:tcW w:w="1243" w:type="pct"/>
            <w:vAlign w:val="center"/>
          </w:tcPr>
          <w:p w14:paraId="3A6A8D01" w14:textId="77777777" w:rsidR="00DD76FD" w:rsidRPr="00E74297" w:rsidRDefault="00DD76FD" w:rsidP="00057A97">
            <w:pPr>
              <w:pStyle w:val="TableText0"/>
              <w:keepLines/>
            </w:pPr>
            <w:r w:rsidRPr="00E74297">
              <w:t>Gemcitabine (n=56)</w:t>
            </w:r>
          </w:p>
        </w:tc>
        <w:tc>
          <w:tcPr>
            <w:tcW w:w="1250" w:type="pct"/>
            <w:vMerge/>
            <w:vAlign w:val="center"/>
          </w:tcPr>
          <w:p w14:paraId="24B031A3" w14:textId="77777777" w:rsidR="00DD76FD" w:rsidRPr="00E74297" w:rsidRDefault="00DD76FD" w:rsidP="00057A97">
            <w:pPr>
              <w:pStyle w:val="TableText0"/>
              <w:keepLines/>
              <w:jc w:val="center"/>
            </w:pPr>
          </w:p>
        </w:tc>
        <w:tc>
          <w:tcPr>
            <w:tcW w:w="1255" w:type="pct"/>
            <w:vAlign w:val="center"/>
          </w:tcPr>
          <w:p w14:paraId="166CFEA1" w14:textId="77777777" w:rsidR="00DD76FD" w:rsidRPr="00E74297" w:rsidRDefault="00DD76FD" w:rsidP="00057A97">
            <w:pPr>
              <w:pStyle w:val="TableText0"/>
              <w:keepLines/>
              <w:jc w:val="center"/>
            </w:pPr>
            <w:r w:rsidRPr="00E74297">
              <w:t>4.3 (1.7, 8.8)</w:t>
            </w:r>
          </w:p>
        </w:tc>
        <w:tc>
          <w:tcPr>
            <w:tcW w:w="1252" w:type="pct"/>
            <w:vAlign w:val="center"/>
          </w:tcPr>
          <w:p w14:paraId="6E7113BE" w14:textId="77777777" w:rsidR="00DD76FD" w:rsidRPr="00E74297" w:rsidRDefault="00DD76FD" w:rsidP="00057A97">
            <w:pPr>
              <w:pStyle w:val="TableText0"/>
              <w:keepLines/>
              <w:jc w:val="center"/>
            </w:pPr>
            <w:r w:rsidRPr="00E74297">
              <w:t>0.830 (0.540, 1.277)</w:t>
            </w:r>
          </w:p>
        </w:tc>
      </w:tr>
      <w:tr w:rsidR="00DD76FD" w:rsidRPr="00E74297" w14:paraId="76E8323D" w14:textId="77777777" w:rsidTr="00863348">
        <w:trPr>
          <w:cantSplit/>
        </w:trPr>
        <w:tc>
          <w:tcPr>
            <w:tcW w:w="1243" w:type="pct"/>
          </w:tcPr>
          <w:p w14:paraId="7E41F5F4" w14:textId="77777777" w:rsidR="00DD76FD" w:rsidRPr="00E74297" w:rsidRDefault="00DD76FD" w:rsidP="00057A97">
            <w:pPr>
              <w:pStyle w:val="TableText0"/>
              <w:keepLines/>
            </w:pPr>
            <w:r w:rsidRPr="00E74297">
              <w:t>Vinorelbine (n=63)</w:t>
            </w:r>
          </w:p>
        </w:tc>
        <w:tc>
          <w:tcPr>
            <w:tcW w:w="1250" w:type="pct"/>
            <w:vMerge/>
            <w:vAlign w:val="center"/>
          </w:tcPr>
          <w:p w14:paraId="43859478" w14:textId="77777777" w:rsidR="00DD76FD" w:rsidRPr="00E74297" w:rsidRDefault="00DD76FD" w:rsidP="00057A97">
            <w:pPr>
              <w:pStyle w:val="TableText0"/>
              <w:keepLines/>
              <w:jc w:val="center"/>
              <w:rPr>
                <w:rFonts w:cs="Arial"/>
              </w:rPr>
            </w:pPr>
          </w:p>
        </w:tc>
        <w:tc>
          <w:tcPr>
            <w:tcW w:w="1255" w:type="pct"/>
            <w:vAlign w:val="center"/>
          </w:tcPr>
          <w:p w14:paraId="769D8FB0" w14:textId="77777777" w:rsidR="00DD76FD" w:rsidRPr="00E74297" w:rsidRDefault="00DD76FD" w:rsidP="00057A97">
            <w:pPr>
              <w:pStyle w:val="TableText0"/>
              <w:keepLines/>
              <w:jc w:val="center"/>
              <w:rPr>
                <w:rFonts w:cs="Arial"/>
              </w:rPr>
            </w:pPr>
            <w:r w:rsidRPr="00E74297">
              <w:rPr>
                <w:rFonts w:cs="Arial"/>
              </w:rPr>
              <w:t>1.5 (1.4, 1.9)</w:t>
            </w:r>
          </w:p>
        </w:tc>
        <w:tc>
          <w:tcPr>
            <w:tcW w:w="1252" w:type="pct"/>
            <w:vAlign w:val="center"/>
          </w:tcPr>
          <w:p w14:paraId="159E59D0" w14:textId="77777777" w:rsidR="00DD76FD" w:rsidRPr="00E74297" w:rsidRDefault="00DD76FD" w:rsidP="00057A97">
            <w:pPr>
              <w:pStyle w:val="TableText0"/>
              <w:keepLines/>
              <w:jc w:val="center"/>
              <w:rPr>
                <w:rFonts w:cs="Arial"/>
                <w:b/>
                <w:bCs w:val="0"/>
              </w:rPr>
            </w:pPr>
            <w:r w:rsidRPr="00E74297">
              <w:rPr>
                <w:rFonts w:cs="Arial"/>
                <w:b/>
                <w:bCs w:val="0"/>
              </w:rPr>
              <w:t>0.322 (0.223, 0.465)</w:t>
            </w:r>
          </w:p>
        </w:tc>
      </w:tr>
      <w:tr w:rsidR="00DD76FD" w:rsidRPr="00E74297" w14:paraId="4F6CDD80" w14:textId="77777777" w:rsidTr="00863348">
        <w:trPr>
          <w:cantSplit/>
        </w:trPr>
        <w:tc>
          <w:tcPr>
            <w:tcW w:w="5000" w:type="pct"/>
            <w:gridSpan w:val="4"/>
          </w:tcPr>
          <w:p w14:paraId="44DC3869" w14:textId="77777777" w:rsidR="00DD76FD" w:rsidRPr="00E74297" w:rsidRDefault="00DD76FD" w:rsidP="00057A97">
            <w:pPr>
              <w:pStyle w:val="TableText0"/>
              <w:keepLines/>
              <w:rPr>
                <w:rFonts w:cs="Arial"/>
                <w:b/>
              </w:rPr>
            </w:pPr>
            <w:r w:rsidRPr="00E74297">
              <w:rPr>
                <w:rFonts w:cs="Arial"/>
                <w:b/>
              </w:rPr>
              <w:t>OS</w:t>
            </w:r>
          </w:p>
        </w:tc>
      </w:tr>
      <w:tr w:rsidR="00DD76FD" w:rsidRPr="00E74297" w14:paraId="695FD7E2" w14:textId="77777777" w:rsidTr="00863348">
        <w:trPr>
          <w:cantSplit/>
        </w:trPr>
        <w:tc>
          <w:tcPr>
            <w:tcW w:w="1243" w:type="pct"/>
            <w:vAlign w:val="center"/>
          </w:tcPr>
          <w:p w14:paraId="1E7A4AAC" w14:textId="77777777" w:rsidR="00DD76FD" w:rsidRPr="00E74297" w:rsidRDefault="00DD76FD" w:rsidP="00057A97">
            <w:pPr>
              <w:pStyle w:val="TableText0"/>
              <w:keepLines/>
            </w:pPr>
            <w:r w:rsidRPr="00E74297">
              <w:t>Eribulin (n=130)</w:t>
            </w:r>
          </w:p>
        </w:tc>
        <w:tc>
          <w:tcPr>
            <w:tcW w:w="1250" w:type="pct"/>
            <w:vMerge w:val="restart"/>
            <w:vAlign w:val="center"/>
          </w:tcPr>
          <w:p w14:paraId="548F73C9" w14:textId="77777777" w:rsidR="00DD76FD" w:rsidRPr="00E74297" w:rsidRDefault="00DD76FD" w:rsidP="00057A97">
            <w:pPr>
              <w:pStyle w:val="TableText0"/>
              <w:keepLines/>
              <w:jc w:val="center"/>
            </w:pPr>
            <w:r w:rsidRPr="00E74297">
              <w:t>14.4 (13.0, 15.7)</w:t>
            </w:r>
          </w:p>
        </w:tc>
        <w:tc>
          <w:tcPr>
            <w:tcW w:w="1255" w:type="pct"/>
            <w:vAlign w:val="center"/>
          </w:tcPr>
          <w:p w14:paraId="1E59D4EA" w14:textId="77777777" w:rsidR="00DD76FD" w:rsidRPr="00E74297" w:rsidRDefault="00DD76FD" w:rsidP="00057A97">
            <w:pPr>
              <w:pStyle w:val="TableText0"/>
              <w:keepLines/>
              <w:jc w:val="center"/>
            </w:pPr>
            <w:r w:rsidRPr="00E74297">
              <w:t>11.8 (10.1, 14.4)</w:t>
            </w:r>
          </w:p>
        </w:tc>
        <w:tc>
          <w:tcPr>
            <w:tcW w:w="1252" w:type="pct"/>
            <w:vAlign w:val="center"/>
          </w:tcPr>
          <w:p w14:paraId="7749E840" w14:textId="77777777" w:rsidR="00DD76FD" w:rsidRPr="00E74297" w:rsidRDefault="00DD76FD" w:rsidP="00057A97">
            <w:pPr>
              <w:pStyle w:val="TableText0"/>
              <w:keepLines/>
              <w:jc w:val="center"/>
            </w:pPr>
            <w:r w:rsidRPr="00E74297">
              <w:t>0.875 (0.681, 1.124)</w:t>
            </w:r>
          </w:p>
        </w:tc>
      </w:tr>
      <w:tr w:rsidR="00DD76FD" w:rsidRPr="00E74297" w14:paraId="24F84C96" w14:textId="77777777" w:rsidTr="00863348">
        <w:trPr>
          <w:cantSplit/>
        </w:trPr>
        <w:tc>
          <w:tcPr>
            <w:tcW w:w="1243" w:type="pct"/>
            <w:vAlign w:val="center"/>
          </w:tcPr>
          <w:p w14:paraId="1CE9E407" w14:textId="77777777" w:rsidR="00DD76FD" w:rsidRPr="00E74297" w:rsidRDefault="00DD76FD" w:rsidP="00057A97">
            <w:pPr>
              <w:pStyle w:val="TableText0"/>
              <w:keepLines/>
            </w:pPr>
            <w:r w:rsidRPr="00E74297">
              <w:t>Capecitabine (n=22)</w:t>
            </w:r>
          </w:p>
        </w:tc>
        <w:tc>
          <w:tcPr>
            <w:tcW w:w="1250" w:type="pct"/>
            <w:vMerge/>
            <w:vAlign w:val="center"/>
          </w:tcPr>
          <w:p w14:paraId="53DD9BBC" w14:textId="77777777" w:rsidR="00DD76FD" w:rsidRPr="00E74297" w:rsidRDefault="00DD76FD" w:rsidP="00057A97">
            <w:pPr>
              <w:pStyle w:val="TableText0"/>
              <w:keepLines/>
              <w:jc w:val="center"/>
            </w:pPr>
          </w:p>
        </w:tc>
        <w:tc>
          <w:tcPr>
            <w:tcW w:w="1255" w:type="pct"/>
            <w:vAlign w:val="center"/>
          </w:tcPr>
          <w:p w14:paraId="77AC682A" w14:textId="77777777" w:rsidR="00DD76FD" w:rsidRPr="00E74297" w:rsidRDefault="00DD76FD" w:rsidP="00057A97">
            <w:pPr>
              <w:pStyle w:val="TableText0"/>
              <w:keepLines/>
              <w:jc w:val="center"/>
            </w:pPr>
            <w:r w:rsidRPr="00E74297">
              <w:t>20.1 (10.1, NE)</w:t>
            </w:r>
          </w:p>
        </w:tc>
        <w:tc>
          <w:tcPr>
            <w:tcW w:w="1252" w:type="pct"/>
            <w:vAlign w:val="center"/>
          </w:tcPr>
          <w:p w14:paraId="2C25108A" w14:textId="77777777" w:rsidR="00DD76FD" w:rsidRPr="00E74297" w:rsidRDefault="00DD76FD" w:rsidP="00057A97">
            <w:pPr>
              <w:pStyle w:val="TableText0"/>
              <w:keepLines/>
              <w:jc w:val="center"/>
            </w:pPr>
            <w:r w:rsidRPr="00E74297">
              <w:t>1.504 (0.857, 2.639)</w:t>
            </w:r>
          </w:p>
        </w:tc>
      </w:tr>
      <w:tr w:rsidR="00DD76FD" w:rsidRPr="00E74297" w14:paraId="7F6688BE" w14:textId="77777777" w:rsidTr="00863348">
        <w:trPr>
          <w:cantSplit/>
        </w:trPr>
        <w:tc>
          <w:tcPr>
            <w:tcW w:w="1243" w:type="pct"/>
            <w:vAlign w:val="center"/>
          </w:tcPr>
          <w:p w14:paraId="649ED0C9" w14:textId="77777777" w:rsidR="00DD76FD" w:rsidRPr="00E74297" w:rsidRDefault="00DD76FD" w:rsidP="00057A97">
            <w:pPr>
              <w:pStyle w:val="TableText0"/>
              <w:keepLines/>
            </w:pPr>
            <w:r w:rsidRPr="00E74297">
              <w:t>Gemcitabine (n=56)</w:t>
            </w:r>
          </w:p>
        </w:tc>
        <w:tc>
          <w:tcPr>
            <w:tcW w:w="1250" w:type="pct"/>
            <w:vMerge/>
            <w:vAlign w:val="center"/>
          </w:tcPr>
          <w:p w14:paraId="3BBC94FF" w14:textId="77777777" w:rsidR="00DD76FD" w:rsidRPr="00E74297" w:rsidRDefault="00DD76FD" w:rsidP="00057A97">
            <w:pPr>
              <w:pStyle w:val="TableText0"/>
              <w:keepLines/>
              <w:jc w:val="center"/>
            </w:pPr>
          </w:p>
        </w:tc>
        <w:tc>
          <w:tcPr>
            <w:tcW w:w="1255" w:type="pct"/>
            <w:vAlign w:val="center"/>
          </w:tcPr>
          <w:p w14:paraId="4CACDCA4" w14:textId="77777777" w:rsidR="00DD76FD" w:rsidRPr="00E74297" w:rsidRDefault="00DD76FD" w:rsidP="00057A97">
            <w:pPr>
              <w:pStyle w:val="TableText0"/>
              <w:keepLines/>
              <w:jc w:val="center"/>
            </w:pPr>
            <w:r w:rsidRPr="00E74297">
              <w:t>11.1 (8.0, 13.5)</w:t>
            </w:r>
          </w:p>
        </w:tc>
        <w:tc>
          <w:tcPr>
            <w:tcW w:w="1252" w:type="pct"/>
            <w:vAlign w:val="center"/>
          </w:tcPr>
          <w:p w14:paraId="1E996FE6" w14:textId="77777777" w:rsidR="00DD76FD" w:rsidRPr="00E74297" w:rsidRDefault="00DD76FD" w:rsidP="00057A97">
            <w:pPr>
              <w:pStyle w:val="TableText0"/>
              <w:keepLines/>
              <w:jc w:val="center"/>
            </w:pPr>
            <w:r w:rsidRPr="00E74297">
              <w:t>0.725 (0.522, 1.006)</w:t>
            </w:r>
          </w:p>
        </w:tc>
      </w:tr>
      <w:tr w:rsidR="00DD76FD" w:rsidRPr="00E74297" w14:paraId="39A8324F" w14:textId="77777777" w:rsidTr="00863348">
        <w:trPr>
          <w:cantSplit/>
        </w:trPr>
        <w:tc>
          <w:tcPr>
            <w:tcW w:w="1243" w:type="pct"/>
          </w:tcPr>
          <w:p w14:paraId="1B98D816" w14:textId="77777777" w:rsidR="00DD76FD" w:rsidRPr="00E74297" w:rsidRDefault="00DD76FD" w:rsidP="00057A97">
            <w:pPr>
              <w:pStyle w:val="TableText0"/>
              <w:keepLines/>
            </w:pPr>
            <w:r w:rsidRPr="00E74297">
              <w:t>Vinorelbine (n=63)</w:t>
            </w:r>
          </w:p>
        </w:tc>
        <w:tc>
          <w:tcPr>
            <w:tcW w:w="1250" w:type="pct"/>
            <w:vMerge/>
            <w:vAlign w:val="center"/>
          </w:tcPr>
          <w:p w14:paraId="51A68F98" w14:textId="77777777" w:rsidR="00DD76FD" w:rsidRPr="00E74297" w:rsidRDefault="00DD76FD" w:rsidP="00057A97">
            <w:pPr>
              <w:pStyle w:val="TableText0"/>
              <w:keepLines/>
              <w:jc w:val="center"/>
              <w:rPr>
                <w:rFonts w:cs="Arial"/>
              </w:rPr>
            </w:pPr>
          </w:p>
        </w:tc>
        <w:tc>
          <w:tcPr>
            <w:tcW w:w="1255" w:type="pct"/>
            <w:vAlign w:val="center"/>
          </w:tcPr>
          <w:p w14:paraId="7DDF9E9F" w14:textId="77777777" w:rsidR="00DD76FD" w:rsidRPr="00E74297" w:rsidRDefault="00DD76FD" w:rsidP="00057A97">
            <w:pPr>
              <w:pStyle w:val="TableText0"/>
              <w:keepLines/>
              <w:jc w:val="center"/>
              <w:rPr>
                <w:rFonts w:cs="Arial"/>
              </w:rPr>
            </w:pPr>
            <w:r w:rsidRPr="00E74297">
              <w:rPr>
                <w:rFonts w:cs="Arial"/>
              </w:rPr>
              <w:t>8.3 (6.3, 11.3)</w:t>
            </w:r>
          </w:p>
        </w:tc>
        <w:tc>
          <w:tcPr>
            <w:tcW w:w="1252" w:type="pct"/>
            <w:vAlign w:val="center"/>
          </w:tcPr>
          <w:p w14:paraId="06D522E4" w14:textId="77777777" w:rsidR="00DD76FD" w:rsidRPr="00E74297" w:rsidRDefault="00DD76FD" w:rsidP="00057A97">
            <w:pPr>
              <w:pStyle w:val="TableText0"/>
              <w:keepLines/>
              <w:jc w:val="center"/>
              <w:rPr>
                <w:rFonts w:cs="Arial"/>
                <w:b/>
                <w:bCs w:val="0"/>
              </w:rPr>
            </w:pPr>
            <w:r w:rsidRPr="00E74297">
              <w:rPr>
                <w:rFonts w:cs="Arial"/>
                <w:b/>
                <w:bCs w:val="0"/>
              </w:rPr>
              <w:t>0.547 (0.401, 0.746)</w:t>
            </w:r>
          </w:p>
        </w:tc>
      </w:tr>
    </w:tbl>
    <w:p w14:paraId="049EE45C" w14:textId="77777777" w:rsidR="00DD76FD" w:rsidRPr="00E74297" w:rsidRDefault="00DD76FD" w:rsidP="00057A97">
      <w:pPr>
        <w:keepNext/>
        <w:keepLines/>
        <w:rPr>
          <w:rFonts w:ascii="Arial Narrow" w:hAnsi="Arial Narrow"/>
          <w:sz w:val="18"/>
          <w:szCs w:val="18"/>
        </w:rPr>
      </w:pPr>
      <w:r w:rsidRPr="00E74297">
        <w:rPr>
          <w:rFonts w:ascii="Arial Narrow" w:hAnsi="Arial Narrow"/>
          <w:sz w:val="18"/>
          <w:szCs w:val="18"/>
        </w:rPr>
        <w:t>Source: figure 2.5-3, p61 and figure 2.5-6, p67 of the submission.</w:t>
      </w:r>
    </w:p>
    <w:p w14:paraId="5EAB40DD" w14:textId="50357A24" w:rsidR="00DD76FD" w:rsidRPr="00E74297" w:rsidRDefault="00DD76FD" w:rsidP="00057A97">
      <w:pPr>
        <w:pStyle w:val="3-BodyText"/>
        <w:keepNext/>
        <w:keepLines/>
        <w:numPr>
          <w:ilvl w:val="0"/>
          <w:numId w:val="0"/>
        </w:numPr>
        <w:spacing w:after="0"/>
        <w:rPr>
          <w:rFonts w:ascii="Arial Narrow" w:hAnsi="Arial Narrow"/>
          <w:sz w:val="18"/>
          <w:szCs w:val="18"/>
        </w:rPr>
      </w:pPr>
      <w:r w:rsidRPr="00E74297">
        <w:rPr>
          <w:rFonts w:ascii="Arial Narrow" w:hAnsi="Arial Narrow"/>
          <w:sz w:val="18"/>
          <w:szCs w:val="18"/>
        </w:rPr>
        <w:t>CI = confidence interval</w:t>
      </w:r>
      <w:r w:rsidR="00FE686E" w:rsidRPr="00E74297">
        <w:rPr>
          <w:rFonts w:ascii="Arial Narrow" w:hAnsi="Arial Narrow"/>
          <w:sz w:val="18"/>
          <w:szCs w:val="18"/>
        </w:rPr>
        <w:t>;</w:t>
      </w:r>
      <w:r w:rsidRPr="00E74297">
        <w:rPr>
          <w:rFonts w:ascii="Arial Narrow" w:hAnsi="Arial Narrow"/>
          <w:sz w:val="18"/>
          <w:szCs w:val="18"/>
        </w:rPr>
        <w:t xml:space="preserve"> HR = hazard ratio</w:t>
      </w:r>
      <w:r w:rsidR="00FE686E" w:rsidRPr="00E74297">
        <w:rPr>
          <w:rFonts w:ascii="Arial Narrow" w:hAnsi="Arial Narrow"/>
          <w:sz w:val="18"/>
          <w:szCs w:val="18"/>
        </w:rPr>
        <w:t>;</w:t>
      </w:r>
      <w:r w:rsidRPr="00E74297">
        <w:rPr>
          <w:rFonts w:ascii="Arial Narrow" w:hAnsi="Arial Narrow"/>
          <w:sz w:val="18"/>
          <w:szCs w:val="18"/>
        </w:rPr>
        <w:t xml:space="preserve"> OS = overall survival</w:t>
      </w:r>
      <w:r w:rsidR="00FE686E" w:rsidRPr="00E74297">
        <w:rPr>
          <w:rFonts w:ascii="Arial Narrow" w:hAnsi="Arial Narrow"/>
          <w:sz w:val="18"/>
          <w:szCs w:val="18"/>
        </w:rPr>
        <w:t>;</w:t>
      </w:r>
      <w:r w:rsidRPr="00E74297">
        <w:rPr>
          <w:rFonts w:ascii="Arial Narrow" w:hAnsi="Arial Narrow"/>
          <w:sz w:val="18"/>
          <w:szCs w:val="18"/>
        </w:rPr>
        <w:t xml:space="preserve"> PFS = progression free survival</w:t>
      </w:r>
      <w:r w:rsidR="00FE686E" w:rsidRPr="00E74297">
        <w:rPr>
          <w:rFonts w:ascii="Arial Narrow" w:hAnsi="Arial Narrow"/>
          <w:sz w:val="18"/>
          <w:szCs w:val="18"/>
        </w:rPr>
        <w:t>;</w:t>
      </w:r>
      <w:r w:rsidRPr="00E74297">
        <w:rPr>
          <w:rFonts w:ascii="Arial Narrow" w:hAnsi="Arial Narrow"/>
          <w:sz w:val="18"/>
          <w:szCs w:val="18"/>
        </w:rPr>
        <w:t xml:space="preserve"> SG = sacituzumab govitecan</w:t>
      </w:r>
      <w:r w:rsidR="00FE686E" w:rsidRPr="00E74297">
        <w:rPr>
          <w:rFonts w:ascii="Arial Narrow" w:hAnsi="Arial Narrow"/>
          <w:sz w:val="18"/>
          <w:szCs w:val="18"/>
        </w:rPr>
        <w:t>;</w:t>
      </w:r>
      <w:r w:rsidRPr="00E74297">
        <w:rPr>
          <w:rFonts w:ascii="Arial Narrow" w:hAnsi="Arial Narrow"/>
          <w:sz w:val="18"/>
          <w:szCs w:val="18"/>
        </w:rPr>
        <w:t xml:space="preserve"> TPC = treatment of physician’s choice</w:t>
      </w:r>
    </w:p>
    <w:p w14:paraId="6AE434E6" w14:textId="77777777" w:rsidR="00DD76FD" w:rsidRPr="00E74297" w:rsidRDefault="00DD76FD" w:rsidP="00DD76FD">
      <w:pPr>
        <w:pStyle w:val="3-BodyText"/>
        <w:numPr>
          <w:ilvl w:val="0"/>
          <w:numId w:val="0"/>
        </w:numPr>
        <w:spacing w:after="0"/>
        <w:rPr>
          <w:rFonts w:ascii="Arial Narrow" w:hAnsi="Arial Narrow"/>
          <w:sz w:val="18"/>
          <w:szCs w:val="18"/>
        </w:rPr>
      </w:pPr>
      <w:r w:rsidRPr="00E74297">
        <w:rPr>
          <w:rFonts w:ascii="Arial Narrow" w:hAnsi="Arial Narrow"/>
          <w:b/>
          <w:bCs/>
          <w:sz w:val="18"/>
          <w:szCs w:val="18"/>
        </w:rPr>
        <w:t>Bold</w:t>
      </w:r>
      <w:r w:rsidRPr="00E74297">
        <w:rPr>
          <w:rFonts w:ascii="Arial Narrow" w:hAnsi="Arial Narrow"/>
          <w:sz w:val="18"/>
          <w:szCs w:val="18"/>
        </w:rPr>
        <w:t xml:space="preserve"> = statistically significant</w:t>
      </w:r>
    </w:p>
    <w:p w14:paraId="21B95334" w14:textId="77777777" w:rsidR="000E337C" w:rsidRPr="00E74297" w:rsidRDefault="00DD76FD" w:rsidP="00CD4DB1">
      <w:pPr>
        <w:pStyle w:val="3-BodyText"/>
        <w:spacing w:before="120"/>
      </w:pPr>
      <w:r w:rsidRPr="00E74297">
        <w:t xml:space="preserve">The </w:t>
      </w:r>
      <w:r w:rsidR="003D20F2" w:rsidRPr="00E74297">
        <w:t>TROPiCS-02</w:t>
      </w:r>
      <w:r w:rsidRPr="00E74297">
        <w:t xml:space="preserve"> trial used the EORTC QLQ-C30 to monitor</w:t>
      </w:r>
      <w:r w:rsidR="00EC18DA" w:rsidRPr="00E74297">
        <w:t xml:space="preserve"> </w:t>
      </w:r>
      <w:r w:rsidR="009F4331" w:rsidRPr="00E74297">
        <w:t>QoL</w:t>
      </w:r>
      <w:r w:rsidRPr="00E74297">
        <w:t>. Statistically significant improvements in median time to first deterioration were noted for global health status (SG: 4.3</w:t>
      </w:r>
      <w:r w:rsidR="00D7150B" w:rsidRPr="00E74297">
        <w:t xml:space="preserve"> months</w:t>
      </w:r>
      <w:r w:rsidRPr="00E74297">
        <w:t xml:space="preserve"> vs TPC: 3.0</w:t>
      </w:r>
      <w:r w:rsidR="00D7150B" w:rsidRPr="00E74297">
        <w:t xml:space="preserve"> months</w:t>
      </w:r>
      <w:r w:rsidRPr="00E74297">
        <w:t>; HR=0.75</w:t>
      </w:r>
      <w:r w:rsidR="00C50C57" w:rsidRPr="00E74297">
        <w:t xml:space="preserve"> </w:t>
      </w:r>
      <w:r w:rsidR="00CD72F1" w:rsidRPr="00E74297">
        <w:t>[</w:t>
      </w:r>
      <w:r w:rsidR="00C50C57" w:rsidRPr="00E74297">
        <w:t>95% CI: 0.61, 0.92</w:t>
      </w:r>
      <w:r w:rsidR="00CD72F1" w:rsidRPr="00E74297">
        <w:t>]</w:t>
      </w:r>
      <w:r w:rsidRPr="00E74297">
        <w:t xml:space="preserve">) and fatigue (SG: 2.2 </w:t>
      </w:r>
      <w:r w:rsidR="00D7150B" w:rsidRPr="00E74297">
        <w:t xml:space="preserve">months </w:t>
      </w:r>
      <w:r w:rsidRPr="00E74297">
        <w:t>vs TPC: 1.4</w:t>
      </w:r>
      <w:r w:rsidR="00D7150B" w:rsidRPr="00E74297">
        <w:t xml:space="preserve"> months; </w:t>
      </w:r>
      <w:r w:rsidRPr="00E74297">
        <w:t>HR</w:t>
      </w:r>
      <w:r w:rsidR="00D7150B" w:rsidRPr="00E74297">
        <w:t>=</w:t>
      </w:r>
      <w:r w:rsidRPr="00E74297">
        <w:t>0.7</w:t>
      </w:r>
      <w:r w:rsidR="008703A0" w:rsidRPr="00E74297">
        <w:t>3</w:t>
      </w:r>
      <w:r w:rsidR="00C50C57" w:rsidRPr="00E74297">
        <w:t xml:space="preserve"> </w:t>
      </w:r>
      <w:r w:rsidR="00CD72F1" w:rsidRPr="00E74297">
        <w:t>[</w:t>
      </w:r>
      <w:r w:rsidR="00C50C57" w:rsidRPr="00E74297">
        <w:t>95% CI: 0.</w:t>
      </w:r>
      <w:r w:rsidR="00CD72F1" w:rsidRPr="00E74297">
        <w:t>60</w:t>
      </w:r>
      <w:r w:rsidR="00C50C57" w:rsidRPr="00E74297">
        <w:t>, 0.89</w:t>
      </w:r>
      <w:r w:rsidR="00CD72F1" w:rsidRPr="00E74297">
        <w:t>]</w:t>
      </w:r>
      <w:r w:rsidRPr="00E74297">
        <w:t xml:space="preserve">) but not for pain. The QoL results are displayed in </w:t>
      </w:r>
      <w:r w:rsidRPr="00E74297">
        <w:fldChar w:fldCharType="begin" w:fldLock="1"/>
      </w:r>
      <w:r w:rsidRPr="00E74297">
        <w:instrText xml:space="preserve"> REF _Ref130765584 \h  \* MERGEFORMAT </w:instrText>
      </w:r>
      <w:r w:rsidRPr="00E74297">
        <w:fldChar w:fldCharType="separate"/>
      </w:r>
      <w:r w:rsidR="00AE1DC7" w:rsidRPr="00E74297">
        <w:t>Table 6</w:t>
      </w:r>
      <w:r w:rsidRPr="00E74297">
        <w:fldChar w:fldCharType="end"/>
      </w:r>
      <w:r w:rsidR="009F4331" w:rsidRPr="00E74297">
        <w:t>.</w:t>
      </w:r>
    </w:p>
    <w:p w14:paraId="1C7D3DD9" w14:textId="24C7D815" w:rsidR="00DD76FD" w:rsidRPr="00E74297" w:rsidRDefault="00DD76FD" w:rsidP="00DD76FD">
      <w:pPr>
        <w:pStyle w:val="Caption"/>
      </w:pPr>
      <w:bookmarkStart w:id="45" w:name="_Ref130765584"/>
      <w:r w:rsidRPr="00E74297">
        <w:t xml:space="preserve">Table </w:t>
      </w:r>
      <w:fldSimple w:instr=" SEQ Table \* ARABIC " w:fldLock="1">
        <w:r w:rsidR="00AE1DC7" w:rsidRPr="00E74297">
          <w:t>6</w:t>
        </w:r>
      </w:fldSimple>
      <w:bookmarkEnd w:id="45"/>
      <w:r w:rsidRPr="00E74297">
        <w:t>: Median time to deterioration in EORTC QLQ-C30 global health status, pain domain, and fatigue domain.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2254"/>
        <w:gridCol w:w="2263"/>
        <w:gridCol w:w="2258"/>
      </w:tblGrid>
      <w:tr w:rsidR="00DD76FD" w:rsidRPr="00E74297" w14:paraId="4E05E826" w14:textId="77777777" w:rsidTr="00863348">
        <w:trPr>
          <w:cantSplit/>
          <w:tblHeader/>
        </w:trPr>
        <w:tc>
          <w:tcPr>
            <w:tcW w:w="1243" w:type="pct"/>
            <w:vAlign w:val="center"/>
          </w:tcPr>
          <w:p w14:paraId="0BBA7DEF" w14:textId="77777777" w:rsidR="00DD76FD" w:rsidRPr="00E74297" w:rsidRDefault="00DD76FD" w:rsidP="00863348">
            <w:pPr>
              <w:pStyle w:val="In-tableHeading"/>
              <w:jc w:val="center"/>
              <w:rPr>
                <w:szCs w:val="20"/>
                <w:lang w:val="en-AU"/>
              </w:rPr>
            </w:pPr>
          </w:p>
        </w:tc>
        <w:tc>
          <w:tcPr>
            <w:tcW w:w="1250" w:type="pct"/>
            <w:vAlign w:val="center"/>
          </w:tcPr>
          <w:p w14:paraId="0C7DF3F9" w14:textId="77777777" w:rsidR="00DD76FD" w:rsidRPr="00E74297" w:rsidRDefault="00DD76FD" w:rsidP="00863348">
            <w:pPr>
              <w:pStyle w:val="In-tableHeading"/>
              <w:jc w:val="center"/>
              <w:rPr>
                <w:szCs w:val="20"/>
                <w:lang w:val="en-AU"/>
              </w:rPr>
            </w:pPr>
            <w:r w:rsidRPr="00E74297">
              <w:rPr>
                <w:szCs w:val="20"/>
                <w:lang w:val="en-AU"/>
              </w:rPr>
              <w:t>SG median (95% CI)</w:t>
            </w:r>
          </w:p>
        </w:tc>
        <w:tc>
          <w:tcPr>
            <w:tcW w:w="1255" w:type="pct"/>
            <w:vAlign w:val="center"/>
          </w:tcPr>
          <w:p w14:paraId="57054922" w14:textId="77777777" w:rsidR="00DD76FD" w:rsidRPr="00E74297" w:rsidRDefault="00DD76FD" w:rsidP="00863348">
            <w:pPr>
              <w:pStyle w:val="In-tableHeading"/>
              <w:jc w:val="center"/>
              <w:rPr>
                <w:szCs w:val="20"/>
                <w:lang w:val="en-AU"/>
              </w:rPr>
            </w:pPr>
            <w:r w:rsidRPr="00E74297">
              <w:rPr>
                <w:szCs w:val="20"/>
                <w:lang w:val="en-AU"/>
              </w:rPr>
              <w:t>TPC median (95% CI)</w:t>
            </w:r>
          </w:p>
        </w:tc>
        <w:tc>
          <w:tcPr>
            <w:tcW w:w="1252" w:type="pct"/>
            <w:vAlign w:val="center"/>
          </w:tcPr>
          <w:p w14:paraId="00D3879B" w14:textId="77777777" w:rsidR="00DD76FD" w:rsidRPr="00E74297" w:rsidRDefault="00DD76FD" w:rsidP="00863348">
            <w:pPr>
              <w:pStyle w:val="In-tableHeading"/>
              <w:jc w:val="center"/>
              <w:rPr>
                <w:szCs w:val="20"/>
                <w:lang w:val="en-AU"/>
              </w:rPr>
            </w:pPr>
            <w:r w:rsidRPr="00E74297">
              <w:rPr>
                <w:szCs w:val="20"/>
                <w:lang w:val="en-AU"/>
              </w:rPr>
              <w:t>HR (95% CI)</w:t>
            </w:r>
          </w:p>
        </w:tc>
      </w:tr>
      <w:tr w:rsidR="00DD76FD" w:rsidRPr="00E74297" w14:paraId="6B187F6D" w14:textId="77777777" w:rsidTr="00863348">
        <w:trPr>
          <w:cantSplit/>
          <w:tblHeader/>
        </w:trPr>
        <w:tc>
          <w:tcPr>
            <w:tcW w:w="5000" w:type="pct"/>
            <w:gridSpan w:val="4"/>
            <w:vAlign w:val="center"/>
          </w:tcPr>
          <w:p w14:paraId="53A7E567" w14:textId="77777777" w:rsidR="00DD76FD" w:rsidRPr="00E74297" w:rsidRDefault="00DD76FD" w:rsidP="00863348">
            <w:pPr>
              <w:pStyle w:val="In-tableHeading"/>
              <w:rPr>
                <w:szCs w:val="20"/>
                <w:lang w:val="en-AU"/>
              </w:rPr>
            </w:pPr>
            <w:r w:rsidRPr="00E74297">
              <w:rPr>
                <w:rFonts w:cstheme="minorHAnsi"/>
                <w:szCs w:val="20"/>
                <w:lang w:val="en-AU"/>
              </w:rPr>
              <w:t>EORTC QLQ-C30 global health status</w:t>
            </w:r>
          </w:p>
        </w:tc>
      </w:tr>
      <w:tr w:rsidR="00DD76FD" w:rsidRPr="00E74297" w14:paraId="5E85F4DA" w14:textId="77777777" w:rsidTr="00863348">
        <w:trPr>
          <w:cantSplit/>
        </w:trPr>
        <w:tc>
          <w:tcPr>
            <w:tcW w:w="1243" w:type="pct"/>
            <w:vAlign w:val="center"/>
          </w:tcPr>
          <w:p w14:paraId="25DD5EBA" w14:textId="77777777" w:rsidR="00DD76FD" w:rsidRPr="00E74297" w:rsidRDefault="00DD76FD" w:rsidP="00863348">
            <w:pPr>
              <w:pStyle w:val="TableText0"/>
              <w:rPr>
                <w:szCs w:val="20"/>
              </w:rPr>
            </w:pPr>
            <w:r w:rsidRPr="00E74297">
              <w:rPr>
                <w:rFonts w:cstheme="minorHAnsi"/>
                <w:szCs w:val="20"/>
              </w:rPr>
              <w:t xml:space="preserve">Median </w:t>
            </w:r>
            <w:r w:rsidRPr="00E74297">
              <w:rPr>
                <w:rFonts w:eastAsia="TimesNewRomanPSMT" w:cstheme="minorHAnsi"/>
                <w:szCs w:val="20"/>
              </w:rPr>
              <w:t xml:space="preserve">time to deterioration, </w:t>
            </w:r>
            <w:r w:rsidRPr="00E74297">
              <w:rPr>
                <w:rFonts w:cstheme="minorHAnsi"/>
                <w:szCs w:val="20"/>
              </w:rPr>
              <w:t>months</w:t>
            </w:r>
          </w:p>
        </w:tc>
        <w:tc>
          <w:tcPr>
            <w:tcW w:w="1250" w:type="pct"/>
            <w:vAlign w:val="center"/>
          </w:tcPr>
          <w:p w14:paraId="3887CF3A" w14:textId="77777777" w:rsidR="00DD76FD" w:rsidRPr="00E74297" w:rsidRDefault="00DD76FD" w:rsidP="00863348">
            <w:pPr>
              <w:pStyle w:val="TableText0"/>
              <w:jc w:val="center"/>
              <w:rPr>
                <w:szCs w:val="20"/>
              </w:rPr>
            </w:pPr>
            <w:r w:rsidRPr="00E74297">
              <w:rPr>
                <w:szCs w:val="20"/>
              </w:rPr>
              <w:t>4.3 (3.1, 5.7)</w:t>
            </w:r>
          </w:p>
        </w:tc>
        <w:tc>
          <w:tcPr>
            <w:tcW w:w="1255" w:type="pct"/>
            <w:vAlign w:val="center"/>
          </w:tcPr>
          <w:p w14:paraId="4D25ACC0" w14:textId="77777777" w:rsidR="00DD76FD" w:rsidRPr="00E74297" w:rsidRDefault="00DD76FD" w:rsidP="00863348">
            <w:pPr>
              <w:pStyle w:val="TableText0"/>
              <w:jc w:val="center"/>
              <w:rPr>
                <w:szCs w:val="20"/>
              </w:rPr>
            </w:pPr>
            <w:r w:rsidRPr="00E74297">
              <w:rPr>
                <w:szCs w:val="20"/>
              </w:rPr>
              <w:t>3.0 (2.2, 3.9)</w:t>
            </w:r>
          </w:p>
        </w:tc>
        <w:tc>
          <w:tcPr>
            <w:tcW w:w="1252" w:type="pct"/>
            <w:vAlign w:val="center"/>
          </w:tcPr>
          <w:p w14:paraId="396122EF" w14:textId="77777777" w:rsidR="00DD76FD" w:rsidRPr="00E74297" w:rsidRDefault="00DD76FD" w:rsidP="00863348">
            <w:pPr>
              <w:pStyle w:val="TableText0"/>
              <w:jc w:val="center"/>
              <w:rPr>
                <w:b/>
                <w:bCs w:val="0"/>
                <w:szCs w:val="20"/>
              </w:rPr>
            </w:pPr>
            <w:r w:rsidRPr="00E74297">
              <w:rPr>
                <w:b/>
                <w:bCs w:val="0"/>
                <w:szCs w:val="20"/>
              </w:rPr>
              <w:t>0.751 (0.612, 0.922)</w:t>
            </w:r>
          </w:p>
        </w:tc>
      </w:tr>
      <w:tr w:rsidR="00DD76FD" w:rsidRPr="00E74297" w14:paraId="674C716B" w14:textId="77777777" w:rsidTr="00863348">
        <w:trPr>
          <w:cantSplit/>
        </w:trPr>
        <w:tc>
          <w:tcPr>
            <w:tcW w:w="5000" w:type="pct"/>
            <w:gridSpan w:val="4"/>
            <w:vAlign w:val="center"/>
          </w:tcPr>
          <w:p w14:paraId="540F3AB7" w14:textId="77777777" w:rsidR="00DD76FD" w:rsidRPr="00E74297" w:rsidRDefault="00DD76FD" w:rsidP="00863348">
            <w:pPr>
              <w:pStyle w:val="TableText0"/>
              <w:rPr>
                <w:b/>
                <w:bCs w:val="0"/>
                <w:szCs w:val="20"/>
              </w:rPr>
            </w:pPr>
            <w:r w:rsidRPr="00E74297">
              <w:rPr>
                <w:b/>
                <w:bCs w:val="0"/>
                <w:szCs w:val="20"/>
              </w:rPr>
              <w:t>EORTC QLQ-C30 pain domain</w:t>
            </w:r>
          </w:p>
        </w:tc>
      </w:tr>
      <w:tr w:rsidR="00DD76FD" w:rsidRPr="00E74297" w14:paraId="27737EBA" w14:textId="77777777" w:rsidTr="00863348">
        <w:trPr>
          <w:cantSplit/>
        </w:trPr>
        <w:tc>
          <w:tcPr>
            <w:tcW w:w="1243" w:type="pct"/>
            <w:vAlign w:val="center"/>
          </w:tcPr>
          <w:p w14:paraId="7AA80822" w14:textId="77777777" w:rsidR="00DD76FD" w:rsidRPr="00E74297" w:rsidRDefault="00DD76FD" w:rsidP="00863348">
            <w:pPr>
              <w:pStyle w:val="TableText0"/>
              <w:rPr>
                <w:szCs w:val="20"/>
              </w:rPr>
            </w:pPr>
            <w:r w:rsidRPr="00E74297">
              <w:rPr>
                <w:rFonts w:cstheme="minorHAnsi"/>
                <w:szCs w:val="20"/>
              </w:rPr>
              <w:t xml:space="preserve">Median </w:t>
            </w:r>
            <w:r w:rsidRPr="00E74297">
              <w:rPr>
                <w:rFonts w:eastAsia="TimesNewRomanPSMT" w:cstheme="minorHAnsi"/>
                <w:szCs w:val="20"/>
              </w:rPr>
              <w:t xml:space="preserve">time to deterioration, </w:t>
            </w:r>
            <w:r w:rsidRPr="00E74297">
              <w:rPr>
                <w:rFonts w:cstheme="minorHAnsi"/>
                <w:szCs w:val="20"/>
              </w:rPr>
              <w:t>months</w:t>
            </w:r>
          </w:p>
        </w:tc>
        <w:tc>
          <w:tcPr>
            <w:tcW w:w="1250" w:type="pct"/>
            <w:vAlign w:val="center"/>
          </w:tcPr>
          <w:p w14:paraId="1B4D00A2" w14:textId="77777777" w:rsidR="00DD76FD" w:rsidRPr="00E74297" w:rsidRDefault="00DD76FD" w:rsidP="00863348">
            <w:pPr>
              <w:pStyle w:val="TableText0"/>
              <w:jc w:val="center"/>
              <w:rPr>
                <w:szCs w:val="20"/>
              </w:rPr>
            </w:pPr>
            <w:r w:rsidRPr="00E74297">
              <w:rPr>
                <w:szCs w:val="20"/>
              </w:rPr>
              <w:t>3.8 (2.8, 5.0)</w:t>
            </w:r>
          </w:p>
        </w:tc>
        <w:tc>
          <w:tcPr>
            <w:tcW w:w="1255" w:type="pct"/>
            <w:vAlign w:val="center"/>
          </w:tcPr>
          <w:p w14:paraId="741DF920" w14:textId="77777777" w:rsidR="00DD76FD" w:rsidRPr="00E74297" w:rsidRDefault="00DD76FD" w:rsidP="00863348">
            <w:pPr>
              <w:pStyle w:val="TableText0"/>
              <w:jc w:val="center"/>
              <w:rPr>
                <w:szCs w:val="20"/>
              </w:rPr>
            </w:pPr>
            <w:r w:rsidRPr="00E74297">
              <w:rPr>
                <w:szCs w:val="20"/>
              </w:rPr>
              <w:t>3.5 (2.8, 5.0)</w:t>
            </w:r>
          </w:p>
        </w:tc>
        <w:tc>
          <w:tcPr>
            <w:tcW w:w="1252" w:type="pct"/>
            <w:vAlign w:val="center"/>
          </w:tcPr>
          <w:p w14:paraId="3CEB3C42" w14:textId="77777777" w:rsidR="00DD76FD" w:rsidRPr="00E74297" w:rsidRDefault="00DD76FD" w:rsidP="00863348">
            <w:pPr>
              <w:pStyle w:val="TableText0"/>
              <w:jc w:val="center"/>
              <w:rPr>
                <w:szCs w:val="20"/>
              </w:rPr>
            </w:pPr>
            <w:r w:rsidRPr="00E74297">
              <w:rPr>
                <w:szCs w:val="20"/>
              </w:rPr>
              <w:t>0.918 (0.748, 1.126)</w:t>
            </w:r>
          </w:p>
        </w:tc>
      </w:tr>
      <w:tr w:rsidR="00DD76FD" w:rsidRPr="00E74297" w14:paraId="4384D727" w14:textId="77777777" w:rsidTr="00863348">
        <w:trPr>
          <w:cantSplit/>
        </w:trPr>
        <w:tc>
          <w:tcPr>
            <w:tcW w:w="5000" w:type="pct"/>
            <w:gridSpan w:val="4"/>
          </w:tcPr>
          <w:p w14:paraId="14D17BBE" w14:textId="77777777" w:rsidR="00DD76FD" w:rsidRPr="00E74297" w:rsidRDefault="00DD76FD" w:rsidP="00863348">
            <w:pPr>
              <w:pStyle w:val="TableText0"/>
              <w:tabs>
                <w:tab w:val="left" w:pos="705"/>
              </w:tabs>
              <w:jc w:val="both"/>
              <w:rPr>
                <w:rFonts w:cs="Arial"/>
                <w:b/>
                <w:bCs w:val="0"/>
                <w:szCs w:val="20"/>
              </w:rPr>
            </w:pPr>
            <w:r w:rsidRPr="00E74297">
              <w:rPr>
                <w:rFonts w:cstheme="minorHAnsi"/>
                <w:b/>
                <w:bCs w:val="0"/>
                <w:szCs w:val="20"/>
              </w:rPr>
              <w:t>EORTC QLQ-C30 fatigue domain</w:t>
            </w:r>
          </w:p>
        </w:tc>
      </w:tr>
      <w:tr w:rsidR="00DD76FD" w:rsidRPr="00E74297" w14:paraId="3A6201EF" w14:textId="77777777" w:rsidTr="00863348">
        <w:trPr>
          <w:cantSplit/>
        </w:trPr>
        <w:tc>
          <w:tcPr>
            <w:tcW w:w="1243" w:type="pct"/>
          </w:tcPr>
          <w:p w14:paraId="5A3ED6AC" w14:textId="77777777" w:rsidR="00DD76FD" w:rsidRPr="00E74297" w:rsidRDefault="00DD76FD" w:rsidP="00863348">
            <w:pPr>
              <w:pStyle w:val="TableText0"/>
              <w:rPr>
                <w:szCs w:val="20"/>
              </w:rPr>
            </w:pPr>
            <w:r w:rsidRPr="00E74297">
              <w:rPr>
                <w:rFonts w:cstheme="minorHAnsi"/>
                <w:szCs w:val="20"/>
              </w:rPr>
              <w:t xml:space="preserve">Median </w:t>
            </w:r>
            <w:r w:rsidRPr="00E74297">
              <w:rPr>
                <w:rFonts w:eastAsia="TimesNewRomanPSMT" w:cstheme="minorHAnsi"/>
                <w:szCs w:val="20"/>
              </w:rPr>
              <w:t xml:space="preserve">time to deterioration, </w:t>
            </w:r>
            <w:r w:rsidRPr="00E74297">
              <w:rPr>
                <w:rFonts w:cstheme="minorHAnsi"/>
                <w:szCs w:val="20"/>
              </w:rPr>
              <w:t>months</w:t>
            </w:r>
          </w:p>
        </w:tc>
        <w:tc>
          <w:tcPr>
            <w:tcW w:w="1250" w:type="pct"/>
            <w:vAlign w:val="center"/>
          </w:tcPr>
          <w:p w14:paraId="37BE66B7" w14:textId="77777777" w:rsidR="00DD76FD" w:rsidRPr="00E74297" w:rsidRDefault="00DD76FD" w:rsidP="00863348">
            <w:pPr>
              <w:pStyle w:val="TableText0"/>
              <w:jc w:val="center"/>
              <w:rPr>
                <w:rFonts w:cs="Arial"/>
                <w:szCs w:val="20"/>
              </w:rPr>
            </w:pPr>
            <w:r w:rsidRPr="00E74297">
              <w:rPr>
                <w:rFonts w:cs="Arial"/>
                <w:szCs w:val="20"/>
              </w:rPr>
              <w:t>2.2 (1.6, 2.8)</w:t>
            </w:r>
          </w:p>
        </w:tc>
        <w:tc>
          <w:tcPr>
            <w:tcW w:w="1255" w:type="pct"/>
            <w:vAlign w:val="center"/>
          </w:tcPr>
          <w:p w14:paraId="1E775958" w14:textId="77777777" w:rsidR="00DD76FD" w:rsidRPr="00E74297" w:rsidRDefault="00DD76FD" w:rsidP="00863348">
            <w:pPr>
              <w:pStyle w:val="TableText0"/>
              <w:jc w:val="center"/>
              <w:rPr>
                <w:rFonts w:cs="Arial"/>
                <w:szCs w:val="20"/>
              </w:rPr>
            </w:pPr>
            <w:r w:rsidRPr="00E74297">
              <w:rPr>
                <w:rFonts w:cs="Arial"/>
                <w:szCs w:val="20"/>
              </w:rPr>
              <w:t>1.4 (1.1, 1.9)</w:t>
            </w:r>
          </w:p>
        </w:tc>
        <w:tc>
          <w:tcPr>
            <w:tcW w:w="1252" w:type="pct"/>
            <w:vAlign w:val="center"/>
          </w:tcPr>
          <w:p w14:paraId="63AB36CB" w14:textId="77777777" w:rsidR="00DD76FD" w:rsidRPr="00E74297" w:rsidRDefault="00DD76FD" w:rsidP="00863348">
            <w:pPr>
              <w:pStyle w:val="TableText0"/>
              <w:jc w:val="center"/>
              <w:rPr>
                <w:rFonts w:cs="Arial"/>
                <w:b/>
                <w:bCs w:val="0"/>
                <w:szCs w:val="20"/>
              </w:rPr>
            </w:pPr>
            <w:r w:rsidRPr="00E74297">
              <w:rPr>
                <w:rFonts w:cs="Arial"/>
                <w:b/>
                <w:bCs w:val="0"/>
                <w:szCs w:val="20"/>
              </w:rPr>
              <w:t>0.732 (0.598, 0.894)</w:t>
            </w:r>
          </w:p>
        </w:tc>
      </w:tr>
    </w:tbl>
    <w:p w14:paraId="5CF0EEC9" w14:textId="77777777" w:rsidR="00DD76FD" w:rsidRPr="00E74297" w:rsidRDefault="00DD76FD" w:rsidP="00DD76FD">
      <w:pPr>
        <w:pStyle w:val="ListBullet"/>
        <w:ind w:left="360" w:hanging="360"/>
        <w:rPr>
          <w:rFonts w:ascii="Arial Narrow" w:hAnsi="Arial Narrow"/>
          <w:sz w:val="18"/>
          <w:szCs w:val="18"/>
        </w:rPr>
      </w:pPr>
      <w:r w:rsidRPr="00E74297">
        <w:rPr>
          <w:rFonts w:ascii="Arial Narrow" w:hAnsi="Arial Narrow"/>
          <w:sz w:val="18"/>
          <w:szCs w:val="18"/>
        </w:rPr>
        <w:t>Source: Table 2.5-7, p74, Table 2.5-8, p74 and Table 2.5-9, p75 of the submission</w:t>
      </w:r>
    </w:p>
    <w:p w14:paraId="2205815E" w14:textId="7769C811" w:rsidR="00DD76FD" w:rsidRPr="00E74297" w:rsidRDefault="00DD76FD" w:rsidP="00DD76FD">
      <w:pPr>
        <w:rPr>
          <w:rFonts w:ascii="Arial Narrow" w:hAnsi="Arial Narrow"/>
          <w:sz w:val="18"/>
          <w:szCs w:val="18"/>
        </w:rPr>
      </w:pPr>
      <w:r w:rsidRPr="00E74297">
        <w:rPr>
          <w:rFonts w:ascii="Arial Narrow" w:hAnsi="Arial Narrow"/>
          <w:sz w:val="18"/>
          <w:szCs w:val="18"/>
        </w:rPr>
        <w:t>CI = confidence interval</w:t>
      </w:r>
      <w:r w:rsidR="00FE686E" w:rsidRPr="00E74297">
        <w:rPr>
          <w:rFonts w:ascii="Arial Narrow" w:hAnsi="Arial Narrow"/>
          <w:sz w:val="18"/>
          <w:szCs w:val="18"/>
        </w:rPr>
        <w:t>;</w:t>
      </w:r>
      <w:r w:rsidRPr="00E74297">
        <w:rPr>
          <w:rFonts w:ascii="Arial Narrow" w:hAnsi="Arial Narrow"/>
          <w:sz w:val="18"/>
          <w:szCs w:val="18"/>
        </w:rPr>
        <w:t xml:space="preserve"> EORTC QLQ-C30 = European Organisation for Research and Treatment of Cancer Quality of Life Questionnaire Version 3.0</w:t>
      </w:r>
      <w:r w:rsidR="00FE686E" w:rsidRPr="00E74297">
        <w:rPr>
          <w:rFonts w:ascii="Arial Narrow" w:hAnsi="Arial Narrow"/>
          <w:sz w:val="18"/>
          <w:szCs w:val="18"/>
        </w:rPr>
        <w:t>;</w:t>
      </w:r>
      <w:r w:rsidRPr="00E74297">
        <w:rPr>
          <w:rFonts w:ascii="Arial Narrow" w:hAnsi="Arial Narrow"/>
          <w:sz w:val="18"/>
          <w:szCs w:val="18"/>
        </w:rPr>
        <w:t xml:space="preserve"> HR = hazard ratio</w:t>
      </w:r>
      <w:r w:rsidR="00FE686E" w:rsidRPr="00E74297">
        <w:rPr>
          <w:rFonts w:ascii="Arial Narrow" w:hAnsi="Arial Narrow"/>
          <w:sz w:val="18"/>
          <w:szCs w:val="18"/>
        </w:rPr>
        <w:t>;</w:t>
      </w:r>
      <w:r w:rsidRPr="00E74297">
        <w:rPr>
          <w:rFonts w:ascii="Arial Narrow" w:hAnsi="Arial Narrow"/>
          <w:sz w:val="18"/>
          <w:szCs w:val="18"/>
        </w:rPr>
        <w:t xml:space="preserve"> SG = sacituzumab govitecan</w:t>
      </w:r>
      <w:r w:rsidR="00FE686E" w:rsidRPr="00E74297">
        <w:rPr>
          <w:rFonts w:ascii="Arial Narrow" w:hAnsi="Arial Narrow"/>
          <w:sz w:val="18"/>
          <w:szCs w:val="18"/>
        </w:rPr>
        <w:t>;</w:t>
      </w:r>
      <w:r w:rsidRPr="00E74297">
        <w:rPr>
          <w:rFonts w:ascii="Arial Narrow" w:hAnsi="Arial Narrow"/>
          <w:sz w:val="18"/>
          <w:szCs w:val="18"/>
        </w:rPr>
        <w:t xml:space="preserve"> TPC = treatment of physician’s choice.</w:t>
      </w:r>
    </w:p>
    <w:p w14:paraId="4840BFA6" w14:textId="77777777" w:rsidR="00DD76FD" w:rsidRPr="00E74297" w:rsidRDefault="00DD76FD" w:rsidP="00DD76FD">
      <w:pPr>
        <w:rPr>
          <w:rFonts w:ascii="Arial Narrow" w:hAnsi="Arial Narrow"/>
          <w:sz w:val="18"/>
          <w:szCs w:val="18"/>
        </w:rPr>
      </w:pPr>
      <w:r w:rsidRPr="00E74297">
        <w:rPr>
          <w:rFonts w:ascii="Arial Narrow" w:hAnsi="Arial Narrow"/>
          <w:b/>
          <w:bCs/>
          <w:sz w:val="18"/>
          <w:szCs w:val="18"/>
        </w:rPr>
        <w:t xml:space="preserve">Bold </w:t>
      </w:r>
      <w:r w:rsidRPr="00E74297">
        <w:rPr>
          <w:rFonts w:ascii="Arial Narrow" w:hAnsi="Arial Narrow"/>
          <w:sz w:val="18"/>
          <w:szCs w:val="18"/>
        </w:rPr>
        <w:t>= statistically significant</w:t>
      </w:r>
    </w:p>
    <w:p w14:paraId="1CD9A7FC" w14:textId="0A8ABA42" w:rsidR="00DD76FD" w:rsidRPr="00E74297" w:rsidRDefault="00DD76FD" w:rsidP="00DD76FD">
      <w:pPr>
        <w:pStyle w:val="4-SubsectionHeading"/>
      </w:pPr>
      <w:bookmarkStart w:id="46" w:name="_Toc132638501"/>
      <w:bookmarkStart w:id="47" w:name="_Toc135207384"/>
      <w:r w:rsidRPr="00E74297">
        <w:t>Comparative harms</w:t>
      </w:r>
      <w:bookmarkEnd w:id="37"/>
      <w:bookmarkEnd w:id="46"/>
      <w:bookmarkEnd w:id="47"/>
    </w:p>
    <w:p w14:paraId="650E2086" w14:textId="25D57C7A" w:rsidR="00DD76FD" w:rsidRPr="00E74297" w:rsidRDefault="00DD76FD" w:rsidP="00DD76FD">
      <w:pPr>
        <w:pStyle w:val="3-BodyText"/>
      </w:pPr>
      <w:bookmarkStart w:id="48" w:name="_Toc22897643"/>
      <w:r w:rsidRPr="00E74297">
        <w:t>Comparative harms were reported f</w:t>
      </w:r>
      <w:r w:rsidR="00D7150B" w:rsidRPr="00E74297">
        <w:t>r</w:t>
      </w:r>
      <w:r w:rsidRPr="00E74297">
        <w:t xml:space="preserve">om the </w:t>
      </w:r>
      <w:r w:rsidR="003D20F2" w:rsidRPr="00E74297">
        <w:t>TROPiCS-02</w:t>
      </w:r>
      <w:r w:rsidRPr="00E74297">
        <w:t xml:space="preserve"> trial and are summari</w:t>
      </w:r>
      <w:r w:rsidR="00D7150B" w:rsidRPr="00E74297">
        <w:t>s</w:t>
      </w:r>
      <w:r w:rsidRPr="00E74297">
        <w:t xml:space="preserve">ed in </w:t>
      </w:r>
      <w:r w:rsidRPr="00E74297">
        <w:fldChar w:fldCharType="begin" w:fldLock="1"/>
      </w:r>
      <w:r w:rsidRPr="00E74297">
        <w:instrText xml:space="preserve"> REF _Ref130765647 \h  \* MERGEFORMAT </w:instrText>
      </w:r>
      <w:r w:rsidRPr="00E74297">
        <w:fldChar w:fldCharType="separate"/>
      </w:r>
      <w:r w:rsidR="00AE1DC7" w:rsidRPr="00E74297">
        <w:t>Table 7</w:t>
      </w:r>
      <w:r w:rsidRPr="00E74297">
        <w:fldChar w:fldCharType="end"/>
      </w:r>
      <w:r w:rsidRPr="00E74297">
        <w:t>. By the 01 July 2022 data cut off, 100% of patients in the SG arm and 96% of patients in the TPC arm had experienced at least one</w:t>
      </w:r>
      <w:r w:rsidR="00BF6400" w:rsidRPr="00E74297">
        <w:t xml:space="preserve"> treatment emergent adverse event</w:t>
      </w:r>
      <w:r w:rsidRPr="00E74297">
        <w:t xml:space="preserve"> </w:t>
      </w:r>
      <w:r w:rsidR="00BF6400" w:rsidRPr="00E74297">
        <w:t>(</w:t>
      </w:r>
      <w:r w:rsidR="00CD72F1" w:rsidRPr="00E74297">
        <w:t>TE</w:t>
      </w:r>
      <w:r w:rsidRPr="00E74297">
        <w:t>AE</w:t>
      </w:r>
      <w:r w:rsidR="00BF6400" w:rsidRPr="00E74297">
        <w:t>)</w:t>
      </w:r>
      <w:r w:rsidRPr="00E74297">
        <w:t>.</w:t>
      </w:r>
    </w:p>
    <w:p w14:paraId="6A029470" w14:textId="5AA8F679" w:rsidR="00DD76FD" w:rsidRPr="00E74297" w:rsidRDefault="00DD76FD" w:rsidP="00DD76FD">
      <w:pPr>
        <w:pStyle w:val="3-BodyText"/>
      </w:pPr>
      <w:r w:rsidRPr="00E74297">
        <w:t xml:space="preserve">The SG arm had higher rates of grade 3 or higher </w:t>
      </w:r>
      <w:r w:rsidR="00CD72F1" w:rsidRPr="00E74297">
        <w:t>TE</w:t>
      </w:r>
      <w:r w:rsidRPr="00E74297">
        <w:t xml:space="preserve">AEs (SG=73.9%, TPC=60.2%), treatment related </w:t>
      </w:r>
      <w:r w:rsidR="00CD72F1" w:rsidRPr="00E74297">
        <w:t>TE</w:t>
      </w:r>
      <w:r w:rsidRPr="00E74297">
        <w:t xml:space="preserve">AEs (SG=97%, TPC=87.1%), treatment emergent treatment related </w:t>
      </w:r>
      <w:r w:rsidR="00D7150B" w:rsidRPr="00E74297">
        <w:t xml:space="preserve">serious </w:t>
      </w:r>
      <w:r w:rsidR="00CD72F1" w:rsidRPr="00E74297">
        <w:t>adverse events</w:t>
      </w:r>
      <w:r w:rsidRPr="00E74297">
        <w:t xml:space="preserve"> (SG=13.4%, TPC=10%), and TEAEs leading to dose interruption (SG=66.4%, TPC=43.8%) or discontinuation (SG=6.3%, TPC=4.4%).</w:t>
      </w:r>
    </w:p>
    <w:p w14:paraId="3B0EBF03" w14:textId="77777777" w:rsidR="000E337C" w:rsidRPr="00E74297" w:rsidRDefault="00DD76FD" w:rsidP="00141B30">
      <w:pPr>
        <w:pStyle w:val="3-BodyText"/>
      </w:pPr>
      <w:r w:rsidRPr="00E74297">
        <w:lastRenderedPageBreak/>
        <w:t xml:space="preserve">The submission stated that there were 6 patients with </w:t>
      </w:r>
      <w:r w:rsidR="00DC03AB" w:rsidRPr="00E74297">
        <w:t>TE</w:t>
      </w:r>
      <w:r w:rsidRPr="00E74297">
        <w:t xml:space="preserve">AEs leading to death, all of </w:t>
      </w:r>
      <w:r w:rsidR="00486F0C" w:rsidRPr="00E74297">
        <w:t xml:space="preserve">whom </w:t>
      </w:r>
      <w:r w:rsidRPr="00E74297">
        <w:t xml:space="preserve">were in the SG arm. One was assessed by the investigator to have been treatment related, with the patient dying from septic shock due to neutrophil colitis with large intestine perforation. As the relationship of the </w:t>
      </w:r>
      <w:r w:rsidR="00DC03AB" w:rsidRPr="00E74297">
        <w:t>TE</w:t>
      </w:r>
      <w:r w:rsidRPr="00E74297">
        <w:t>AEs to study drug was determined by the investigator, there was potential for assessment bias due to the open-label design of the trial.</w:t>
      </w:r>
      <w:r w:rsidR="0067789D" w:rsidRPr="00E74297">
        <w:t xml:space="preserve"> The PBAC </w:t>
      </w:r>
      <w:r w:rsidR="00554A24" w:rsidRPr="00E74297">
        <w:t>noted that 1 patient death, assessed by the investigator, was reported to be treatment related, and considered that this was in keeping with the toxicity profile of SG. However, the PBAC considered this may be an underestimate, given TEAEs led to 6 death in the SG arm (versus none in the TPC arm).</w:t>
      </w:r>
    </w:p>
    <w:p w14:paraId="6B0451A9" w14:textId="4A226F01" w:rsidR="00DD76FD" w:rsidRPr="00E74297" w:rsidRDefault="00DD76FD" w:rsidP="00DD76FD">
      <w:pPr>
        <w:pStyle w:val="3-BodyText"/>
      </w:pPr>
      <w:r w:rsidRPr="00E74297">
        <w:t xml:space="preserve">The submission noted that the SG arm had a </w:t>
      </w:r>
      <w:r w:rsidR="00BE55A2" w:rsidRPr="00E74297">
        <w:t xml:space="preserve">longer </w:t>
      </w:r>
      <w:r w:rsidRPr="00E74297">
        <w:t xml:space="preserve">exposure to </w:t>
      </w:r>
      <w:r w:rsidR="00BE55A2" w:rsidRPr="00E74297">
        <w:t xml:space="preserve">the </w:t>
      </w:r>
      <w:r w:rsidRPr="00E74297">
        <w:t>study drug than the TPC arm (median treatment duration in months: SG</w:t>
      </w:r>
      <w:r w:rsidR="008703A0" w:rsidRPr="00E74297">
        <w:t xml:space="preserve"> =</w:t>
      </w:r>
      <w:r w:rsidRPr="00E74297">
        <w:t xml:space="preserve"> 4.11 vs. TPC</w:t>
      </w:r>
      <w:r w:rsidR="008703A0" w:rsidRPr="00E74297">
        <w:t xml:space="preserve"> =</w:t>
      </w:r>
      <w:r w:rsidRPr="00E74297">
        <w:t xml:space="preserve"> 2.33). The</w:t>
      </w:r>
      <w:r w:rsidR="00090311">
        <w:t> </w:t>
      </w:r>
      <w:r w:rsidRPr="00E74297">
        <w:t xml:space="preserve">exposure adjusted incidence rates (EAIR) for </w:t>
      </w:r>
      <w:r w:rsidR="006A4E52" w:rsidRPr="00E74297">
        <w:t>TE</w:t>
      </w:r>
      <w:r w:rsidRPr="00E74297">
        <w:t xml:space="preserve">AEs resulted in similar rates for the SG and TPC arms. However, as SG is given until disease progression and is associated with extended PFS, it is reasonable to assume patients will receive a </w:t>
      </w:r>
      <w:r w:rsidR="00BE55A2" w:rsidRPr="00E74297">
        <w:t xml:space="preserve">longer </w:t>
      </w:r>
      <w:r w:rsidRPr="00E74297">
        <w:t>exposure to SG than to the drugs in TPC and the unadjusted safety profile is therefore informative.</w:t>
      </w:r>
    </w:p>
    <w:p w14:paraId="2AB8F113" w14:textId="77777777" w:rsidR="000E337C" w:rsidRPr="00E74297" w:rsidRDefault="00C50C57" w:rsidP="00486F0C">
      <w:pPr>
        <w:pStyle w:val="3-BodyText"/>
      </w:pPr>
      <w:bookmarkStart w:id="49" w:name="_Hlk134706541"/>
      <w:r w:rsidRPr="00E74297">
        <w:t>The submission made the claim that SG has inferior but manageable safety when compared to TPC in the TROPiCS-02 trial.</w:t>
      </w:r>
    </w:p>
    <w:p w14:paraId="16192C24" w14:textId="53EBFA0D" w:rsidR="00486F0C" w:rsidRPr="00E74297" w:rsidRDefault="003023E6" w:rsidP="00486F0C">
      <w:pPr>
        <w:pStyle w:val="3-BodyText"/>
      </w:pPr>
      <w:r w:rsidRPr="00E74297">
        <w:t xml:space="preserve">The ESC noted that the main AEs of concern for SG were neutropenia, diarrhoea, </w:t>
      </w:r>
      <w:r w:rsidR="00BC53F8" w:rsidRPr="00E74297">
        <w:t>fatigue,</w:t>
      </w:r>
      <w:r w:rsidRPr="00E74297">
        <w:t xml:space="preserve"> and nausea (see also </w:t>
      </w:r>
      <w:r w:rsidRPr="00E74297">
        <w:fldChar w:fldCharType="begin" w:fldLock="1"/>
      </w:r>
      <w:r w:rsidRPr="00E74297">
        <w:instrText xml:space="preserve"> REF _Ref104805037 \h  \* MERGEFORMAT </w:instrText>
      </w:r>
      <w:r w:rsidRPr="00E74297">
        <w:fldChar w:fldCharType="separate"/>
      </w:r>
      <w:r w:rsidR="00AE1DC7" w:rsidRPr="00E74297">
        <w:t>Table 8</w:t>
      </w:r>
      <w:r w:rsidRPr="00E74297">
        <w:fldChar w:fldCharType="end"/>
      </w:r>
      <w:r w:rsidRPr="00E74297">
        <w:t xml:space="preserve">). </w:t>
      </w:r>
      <w:r w:rsidR="00486F0C" w:rsidRPr="00E74297">
        <w:rPr>
          <w:rFonts w:cstheme="minorHAnsi"/>
        </w:rPr>
        <w:t xml:space="preserve">The ESC noted the increase in grade </w:t>
      </w:r>
      <w:r w:rsidR="00486F0C" w:rsidRPr="00E74297">
        <w:rPr>
          <w:rFonts w:ascii="Calibri" w:hAnsi="Calibri" w:cs="Calibri"/>
        </w:rPr>
        <w:t>≥</w:t>
      </w:r>
      <w:r w:rsidR="00486F0C" w:rsidRPr="00E74297">
        <w:t xml:space="preserve"> </w:t>
      </w:r>
      <w:r w:rsidR="00486F0C" w:rsidRPr="00E74297">
        <w:rPr>
          <w:rFonts w:cstheme="minorHAnsi"/>
        </w:rPr>
        <w:t xml:space="preserve">3 diarrhoea associated with SG </w:t>
      </w:r>
      <w:r w:rsidR="00517EF0" w:rsidRPr="00E74297">
        <w:rPr>
          <w:rFonts w:cstheme="minorHAnsi"/>
        </w:rPr>
        <w:t xml:space="preserve">(10%) </w:t>
      </w:r>
      <w:r w:rsidR="00486F0C" w:rsidRPr="00E74297">
        <w:rPr>
          <w:rFonts w:cstheme="minorHAnsi"/>
        </w:rPr>
        <w:t>compared with TPC (</w:t>
      </w:r>
      <w:r w:rsidR="00517EF0" w:rsidRPr="00E74297">
        <w:rPr>
          <w:rFonts w:cstheme="minorHAnsi"/>
        </w:rPr>
        <w:t>1%</w:t>
      </w:r>
      <w:r w:rsidR="00486F0C" w:rsidRPr="00E74297">
        <w:rPr>
          <w:rFonts w:cstheme="minorHAnsi"/>
        </w:rPr>
        <w:t xml:space="preserve">) and considered that diarrhoea of this level of severity typically </w:t>
      </w:r>
      <w:r w:rsidR="007F70FF" w:rsidRPr="00E74297">
        <w:rPr>
          <w:rFonts w:cstheme="minorHAnsi"/>
        </w:rPr>
        <w:t>requires hospitalisation</w:t>
      </w:r>
      <w:r w:rsidR="00486F0C" w:rsidRPr="00E74297">
        <w:rPr>
          <w:rFonts w:cstheme="minorHAnsi"/>
        </w:rPr>
        <w:t xml:space="preserve"> in clinical practice and patients often discontinue treatment as a result.</w:t>
      </w:r>
      <w:r w:rsidR="00F54704" w:rsidRPr="00E74297">
        <w:t xml:space="preserve"> The PBAC noted there is </w:t>
      </w:r>
      <w:r w:rsidR="009847B9" w:rsidRPr="00E74297">
        <w:t>evidence</w:t>
      </w:r>
      <w:r w:rsidR="00F54704" w:rsidRPr="00E74297">
        <w:t xml:space="preserve"> that variants in the </w:t>
      </w:r>
      <w:r w:rsidR="00F54704" w:rsidRPr="00E74297">
        <w:rPr>
          <w:i/>
          <w:iCs/>
        </w:rPr>
        <w:t>UGT1A1</w:t>
      </w:r>
      <w:r w:rsidR="00F54704" w:rsidRPr="00E74297">
        <w:t xml:space="preserve"> gene (particularly </w:t>
      </w:r>
      <w:r w:rsidR="00F54704" w:rsidRPr="00E74297">
        <w:rPr>
          <w:i/>
          <w:iCs/>
        </w:rPr>
        <w:t>UGT1A1*28</w:t>
      </w:r>
      <w:r w:rsidR="00F54704" w:rsidRPr="00E74297">
        <w:t>) have been associated with severe toxicities</w:t>
      </w:r>
      <w:r w:rsidR="009847B9" w:rsidRPr="00E74297">
        <w:t xml:space="preserve"> (neutropenia and delayed diarrhoea)</w:t>
      </w:r>
      <w:r w:rsidR="00F54704" w:rsidRPr="00E74297">
        <w:t xml:space="preserve"> in patients treated with irinotecan-based chemotherapy.</w:t>
      </w:r>
      <w:r w:rsidR="00F54704" w:rsidRPr="00E74297">
        <w:rPr>
          <w:rStyle w:val="FootnoteReference"/>
        </w:rPr>
        <w:footnoteReference w:id="8"/>
      </w:r>
      <w:r w:rsidR="00F54704" w:rsidRPr="00E74297">
        <w:t xml:space="preserve"> However, testing for this genetic variant is not routinely recommended or funded on the MBS.</w:t>
      </w:r>
    </w:p>
    <w:p w14:paraId="4A84B04B" w14:textId="2C48D6C4" w:rsidR="00DD76FD" w:rsidRPr="00E74297" w:rsidRDefault="00DD76FD" w:rsidP="00DD76FD">
      <w:pPr>
        <w:pStyle w:val="TableFigureHeading"/>
        <w:rPr>
          <w:rStyle w:val="CommentReference"/>
          <w:b/>
          <w:szCs w:val="24"/>
        </w:rPr>
      </w:pPr>
      <w:bookmarkStart w:id="50" w:name="_Ref130765647"/>
      <w:bookmarkEnd w:id="49"/>
      <w:r w:rsidRPr="00E74297">
        <w:lastRenderedPageBreak/>
        <w:t xml:space="preserve">Table </w:t>
      </w:r>
      <w:fldSimple w:instr=" SEQ Table \* ARABIC " w:fldLock="1">
        <w:r w:rsidR="00AE1DC7" w:rsidRPr="00E74297">
          <w:t>7</w:t>
        </w:r>
      </w:fldSimple>
      <w:bookmarkEnd w:id="50"/>
      <w:r w:rsidRPr="00E74297">
        <w:t xml:space="preserve">: </w:t>
      </w:r>
      <w:r w:rsidRPr="00E74297">
        <w:rPr>
          <w:rStyle w:val="CommentReference"/>
          <w:b/>
          <w:szCs w:val="24"/>
        </w:rPr>
        <w:t xml:space="preserve">Summary of key adverse events in the </w:t>
      </w:r>
      <w:r w:rsidR="003D20F2" w:rsidRPr="00E74297">
        <w:rPr>
          <w:rStyle w:val="CommentReference"/>
          <w:b/>
          <w:szCs w:val="24"/>
        </w:rPr>
        <w:t>TROPiCS-02</w:t>
      </w:r>
      <w:r w:rsidRPr="00E74297">
        <w:rPr>
          <w:rStyle w:val="CommentReference"/>
          <w:b/>
          <w:szCs w:val="24"/>
        </w:rPr>
        <w:t xml:space="preserve"> trial</w:t>
      </w:r>
      <w:r w:rsidR="000604A3" w:rsidRPr="00E74297">
        <w:rPr>
          <w:rStyle w:val="CommentReference"/>
          <w:b/>
          <w:szCs w:val="24"/>
        </w:rPr>
        <w:t xml:space="preserve"> (safety population, interim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3"/>
        <w:gridCol w:w="2961"/>
        <w:gridCol w:w="2963"/>
      </w:tblGrid>
      <w:tr w:rsidR="00DD76FD" w:rsidRPr="00E74297" w14:paraId="01CA3252" w14:textId="77777777" w:rsidTr="00863348">
        <w:trPr>
          <w:cantSplit/>
          <w:tblHeader/>
        </w:trPr>
        <w:tc>
          <w:tcPr>
            <w:tcW w:w="1715" w:type="pct"/>
            <w:vAlign w:val="center"/>
          </w:tcPr>
          <w:p w14:paraId="5F6BFFD1" w14:textId="0FD3901C" w:rsidR="00DD76FD" w:rsidRPr="00E74297" w:rsidRDefault="00521C51" w:rsidP="00863348">
            <w:pPr>
              <w:pStyle w:val="In-tableHeading"/>
              <w:rPr>
                <w:lang w:val="en-AU"/>
              </w:rPr>
            </w:pPr>
            <w:bookmarkStart w:id="51" w:name="_Hlk130805120"/>
            <w:r w:rsidRPr="00E74297">
              <w:rPr>
                <w:lang w:val="en-AU"/>
              </w:rPr>
              <w:t>Participants with:</w:t>
            </w:r>
          </w:p>
        </w:tc>
        <w:tc>
          <w:tcPr>
            <w:tcW w:w="1642" w:type="pct"/>
            <w:vAlign w:val="center"/>
          </w:tcPr>
          <w:p w14:paraId="4D41D535" w14:textId="4CB526B3" w:rsidR="00DD76FD" w:rsidRPr="00E74297" w:rsidRDefault="00DD76FD" w:rsidP="00863348">
            <w:pPr>
              <w:pStyle w:val="In-tableHeading"/>
              <w:jc w:val="center"/>
              <w:rPr>
                <w:lang w:val="en-AU"/>
              </w:rPr>
            </w:pPr>
            <w:r w:rsidRPr="00E74297">
              <w:rPr>
                <w:lang w:val="en-AU"/>
              </w:rPr>
              <w:t>SG</w:t>
            </w:r>
          </w:p>
          <w:p w14:paraId="5C9A7F96" w14:textId="54DD99FA" w:rsidR="00521C51" w:rsidRPr="00E74297" w:rsidRDefault="00521C51" w:rsidP="00863348">
            <w:pPr>
              <w:pStyle w:val="In-tableHeading"/>
              <w:jc w:val="center"/>
              <w:rPr>
                <w:lang w:val="en-AU"/>
              </w:rPr>
            </w:pPr>
            <w:r w:rsidRPr="00E74297">
              <w:rPr>
                <w:lang w:val="en-AU"/>
              </w:rPr>
              <w:t>(N=268)</w:t>
            </w:r>
          </w:p>
          <w:p w14:paraId="719D3BC0" w14:textId="77777777" w:rsidR="00DD76FD" w:rsidRPr="00E74297" w:rsidRDefault="00DD76FD" w:rsidP="00863348">
            <w:pPr>
              <w:pStyle w:val="In-tableHeading"/>
              <w:jc w:val="center"/>
              <w:rPr>
                <w:lang w:val="en-AU"/>
              </w:rPr>
            </w:pPr>
            <w:r w:rsidRPr="00E74297">
              <w:rPr>
                <w:lang w:val="en-AU"/>
              </w:rPr>
              <w:t>n with event (%)</w:t>
            </w:r>
          </w:p>
        </w:tc>
        <w:tc>
          <w:tcPr>
            <w:tcW w:w="1644" w:type="pct"/>
            <w:vAlign w:val="center"/>
          </w:tcPr>
          <w:p w14:paraId="380A2B5D" w14:textId="6E21F26C" w:rsidR="00DD76FD" w:rsidRPr="00E74297" w:rsidRDefault="00DD76FD" w:rsidP="00863348">
            <w:pPr>
              <w:pStyle w:val="In-tableHeading"/>
              <w:jc w:val="center"/>
              <w:rPr>
                <w:lang w:val="en-AU"/>
              </w:rPr>
            </w:pPr>
            <w:r w:rsidRPr="00E74297">
              <w:rPr>
                <w:lang w:val="en-AU"/>
              </w:rPr>
              <w:t>TPC</w:t>
            </w:r>
          </w:p>
          <w:p w14:paraId="275E0D13" w14:textId="5468F4B8" w:rsidR="00521C51" w:rsidRPr="00E74297" w:rsidRDefault="00521C51" w:rsidP="00863348">
            <w:pPr>
              <w:pStyle w:val="In-tableHeading"/>
              <w:jc w:val="center"/>
              <w:rPr>
                <w:lang w:val="en-AU"/>
              </w:rPr>
            </w:pPr>
            <w:r w:rsidRPr="00E74297">
              <w:rPr>
                <w:lang w:val="en-AU"/>
              </w:rPr>
              <w:t>(N=249)</w:t>
            </w:r>
          </w:p>
          <w:p w14:paraId="792E56F0" w14:textId="77777777" w:rsidR="00DD76FD" w:rsidRPr="00E74297" w:rsidRDefault="00DD76FD" w:rsidP="00863348">
            <w:pPr>
              <w:pStyle w:val="In-tableHeading"/>
              <w:jc w:val="center"/>
              <w:rPr>
                <w:lang w:val="en-AU"/>
              </w:rPr>
            </w:pPr>
            <w:r w:rsidRPr="00E74297">
              <w:rPr>
                <w:lang w:val="en-AU"/>
              </w:rPr>
              <w:t>n with event (%)</w:t>
            </w:r>
          </w:p>
        </w:tc>
      </w:tr>
      <w:tr w:rsidR="00DD76FD" w:rsidRPr="00E74297" w14:paraId="2AADBBEA" w14:textId="77777777" w:rsidTr="00863348">
        <w:trPr>
          <w:cantSplit/>
        </w:trPr>
        <w:tc>
          <w:tcPr>
            <w:tcW w:w="1715" w:type="pct"/>
          </w:tcPr>
          <w:p w14:paraId="44F93474" w14:textId="5447E5D6" w:rsidR="00DD76FD" w:rsidRPr="00E74297" w:rsidRDefault="00DD76FD" w:rsidP="00863348">
            <w:pPr>
              <w:pStyle w:val="TableText0"/>
            </w:pPr>
            <w:r w:rsidRPr="00E74297">
              <w:rPr>
                <w:sz w:val="18"/>
                <w:szCs w:val="18"/>
              </w:rPr>
              <w:t xml:space="preserve">Any </w:t>
            </w:r>
            <w:r w:rsidR="008665FA" w:rsidRPr="00E74297">
              <w:rPr>
                <w:sz w:val="18"/>
                <w:szCs w:val="18"/>
              </w:rPr>
              <w:t>t</w:t>
            </w:r>
            <w:r w:rsidRPr="00E74297">
              <w:rPr>
                <w:sz w:val="18"/>
                <w:szCs w:val="18"/>
              </w:rPr>
              <w:t>reatment-</w:t>
            </w:r>
            <w:r w:rsidR="008665FA" w:rsidRPr="00E74297">
              <w:rPr>
                <w:sz w:val="18"/>
                <w:szCs w:val="18"/>
              </w:rPr>
              <w:t>e</w:t>
            </w:r>
            <w:r w:rsidRPr="00E74297">
              <w:rPr>
                <w:sz w:val="18"/>
                <w:szCs w:val="18"/>
              </w:rPr>
              <w:t xml:space="preserve">mergent </w:t>
            </w:r>
            <w:r w:rsidR="008665FA" w:rsidRPr="00E74297">
              <w:rPr>
                <w:sz w:val="18"/>
                <w:szCs w:val="18"/>
              </w:rPr>
              <w:t>a</w:t>
            </w:r>
            <w:r w:rsidRPr="00E74297">
              <w:rPr>
                <w:sz w:val="18"/>
                <w:szCs w:val="18"/>
              </w:rPr>
              <w:t xml:space="preserve">dverse </w:t>
            </w:r>
            <w:r w:rsidR="008665FA" w:rsidRPr="00E74297">
              <w:rPr>
                <w:sz w:val="18"/>
                <w:szCs w:val="18"/>
              </w:rPr>
              <w:t>e</w:t>
            </w:r>
            <w:r w:rsidRPr="00E74297">
              <w:rPr>
                <w:sz w:val="18"/>
                <w:szCs w:val="18"/>
              </w:rPr>
              <w:t>vents (TEAEs)</w:t>
            </w:r>
          </w:p>
        </w:tc>
        <w:tc>
          <w:tcPr>
            <w:tcW w:w="1642" w:type="pct"/>
          </w:tcPr>
          <w:p w14:paraId="275E169E" w14:textId="77777777" w:rsidR="00DD76FD" w:rsidRPr="00E74297" w:rsidRDefault="00DD76FD" w:rsidP="00863348">
            <w:pPr>
              <w:pStyle w:val="TableText0"/>
              <w:jc w:val="center"/>
            </w:pPr>
            <w:r w:rsidRPr="00E74297">
              <w:rPr>
                <w:sz w:val="18"/>
                <w:szCs w:val="18"/>
              </w:rPr>
              <w:t>268 (100.0%)</w:t>
            </w:r>
          </w:p>
        </w:tc>
        <w:tc>
          <w:tcPr>
            <w:tcW w:w="1644" w:type="pct"/>
          </w:tcPr>
          <w:p w14:paraId="5F967906" w14:textId="77777777" w:rsidR="00DD76FD" w:rsidRPr="00E74297" w:rsidRDefault="00DD76FD" w:rsidP="00863348">
            <w:pPr>
              <w:pStyle w:val="TableText0"/>
              <w:jc w:val="center"/>
            </w:pPr>
            <w:r w:rsidRPr="00E74297">
              <w:rPr>
                <w:sz w:val="18"/>
                <w:szCs w:val="18"/>
              </w:rPr>
              <w:t>239 (96.0%)</w:t>
            </w:r>
          </w:p>
        </w:tc>
      </w:tr>
      <w:tr w:rsidR="00DD76FD" w:rsidRPr="00E74297" w14:paraId="58E780BA" w14:textId="77777777" w:rsidTr="00863348">
        <w:trPr>
          <w:cantSplit/>
        </w:trPr>
        <w:tc>
          <w:tcPr>
            <w:tcW w:w="1715" w:type="pct"/>
          </w:tcPr>
          <w:p w14:paraId="660EC697" w14:textId="77777777" w:rsidR="00DD76FD" w:rsidRPr="00E74297" w:rsidRDefault="00DD76FD" w:rsidP="00863348">
            <w:pPr>
              <w:pStyle w:val="TableText0"/>
            </w:pPr>
            <w:r w:rsidRPr="00E74297">
              <w:rPr>
                <w:sz w:val="18"/>
                <w:szCs w:val="18"/>
              </w:rPr>
              <w:t xml:space="preserve">   Grade 3 or higher</w:t>
            </w:r>
          </w:p>
        </w:tc>
        <w:tc>
          <w:tcPr>
            <w:tcW w:w="1642" w:type="pct"/>
          </w:tcPr>
          <w:p w14:paraId="5FE56CBD" w14:textId="77777777" w:rsidR="00DD76FD" w:rsidRPr="00E74297" w:rsidRDefault="00DD76FD" w:rsidP="00863348">
            <w:pPr>
              <w:pStyle w:val="TableText0"/>
              <w:jc w:val="center"/>
            </w:pPr>
            <w:r w:rsidRPr="00E74297">
              <w:rPr>
                <w:sz w:val="18"/>
                <w:szCs w:val="18"/>
              </w:rPr>
              <w:t>198 (73.9%)</w:t>
            </w:r>
          </w:p>
        </w:tc>
        <w:tc>
          <w:tcPr>
            <w:tcW w:w="1644" w:type="pct"/>
          </w:tcPr>
          <w:p w14:paraId="7F897F59" w14:textId="77777777" w:rsidR="00DD76FD" w:rsidRPr="00E74297" w:rsidRDefault="00DD76FD" w:rsidP="00863348">
            <w:pPr>
              <w:pStyle w:val="TableText0"/>
              <w:jc w:val="center"/>
            </w:pPr>
            <w:r w:rsidRPr="00E74297">
              <w:rPr>
                <w:sz w:val="18"/>
                <w:szCs w:val="18"/>
              </w:rPr>
              <w:t>150 (60.2%)</w:t>
            </w:r>
          </w:p>
        </w:tc>
      </w:tr>
      <w:tr w:rsidR="00DD76FD" w:rsidRPr="00E74297" w14:paraId="2471BA2D" w14:textId="77777777" w:rsidTr="00863348">
        <w:trPr>
          <w:cantSplit/>
        </w:trPr>
        <w:tc>
          <w:tcPr>
            <w:tcW w:w="1715" w:type="pct"/>
          </w:tcPr>
          <w:p w14:paraId="4442421A" w14:textId="654936A8" w:rsidR="00DD76FD" w:rsidRPr="00E74297" w:rsidRDefault="00DD76FD" w:rsidP="00863348">
            <w:pPr>
              <w:pStyle w:val="TableText0"/>
            </w:pPr>
            <w:r w:rsidRPr="00E74297">
              <w:rPr>
                <w:sz w:val="18"/>
                <w:szCs w:val="18"/>
              </w:rPr>
              <w:t>Treatment-</w:t>
            </w:r>
            <w:r w:rsidR="008665FA" w:rsidRPr="00E74297">
              <w:rPr>
                <w:sz w:val="18"/>
                <w:szCs w:val="18"/>
              </w:rPr>
              <w:t>r</w:t>
            </w:r>
            <w:r w:rsidRPr="00E74297">
              <w:rPr>
                <w:sz w:val="18"/>
                <w:szCs w:val="18"/>
              </w:rPr>
              <w:t>elated TEAEs</w:t>
            </w:r>
          </w:p>
        </w:tc>
        <w:tc>
          <w:tcPr>
            <w:tcW w:w="1642" w:type="pct"/>
          </w:tcPr>
          <w:p w14:paraId="3CEEB3D1" w14:textId="77777777" w:rsidR="00DD76FD" w:rsidRPr="00E74297" w:rsidRDefault="00DD76FD" w:rsidP="00863348">
            <w:pPr>
              <w:pStyle w:val="TableText0"/>
              <w:jc w:val="center"/>
            </w:pPr>
            <w:r w:rsidRPr="00E74297">
              <w:rPr>
                <w:sz w:val="18"/>
                <w:szCs w:val="18"/>
              </w:rPr>
              <w:t>260 (97.0%)</w:t>
            </w:r>
          </w:p>
        </w:tc>
        <w:tc>
          <w:tcPr>
            <w:tcW w:w="1644" w:type="pct"/>
          </w:tcPr>
          <w:p w14:paraId="2C7520A2" w14:textId="77777777" w:rsidR="00DD76FD" w:rsidRPr="00E74297" w:rsidRDefault="00DD76FD" w:rsidP="00863348">
            <w:pPr>
              <w:pStyle w:val="TableText0"/>
              <w:jc w:val="center"/>
            </w:pPr>
            <w:r w:rsidRPr="00E74297">
              <w:rPr>
                <w:sz w:val="18"/>
                <w:szCs w:val="18"/>
              </w:rPr>
              <w:t>217 (87.1%)</w:t>
            </w:r>
          </w:p>
        </w:tc>
      </w:tr>
      <w:tr w:rsidR="00DD76FD" w:rsidRPr="00E74297" w14:paraId="6BB0A519" w14:textId="77777777" w:rsidTr="00863348">
        <w:trPr>
          <w:cantSplit/>
        </w:trPr>
        <w:tc>
          <w:tcPr>
            <w:tcW w:w="1715" w:type="pct"/>
          </w:tcPr>
          <w:p w14:paraId="3A00033A" w14:textId="77777777" w:rsidR="00DD76FD" w:rsidRPr="00E74297" w:rsidRDefault="00DD76FD" w:rsidP="00863348">
            <w:pPr>
              <w:pStyle w:val="TableText0"/>
            </w:pPr>
            <w:r w:rsidRPr="00E74297">
              <w:rPr>
                <w:sz w:val="18"/>
                <w:szCs w:val="18"/>
              </w:rPr>
              <w:t xml:space="preserve">   Grade 3 or higher</w:t>
            </w:r>
          </w:p>
        </w:tc>
        <w:tc>
          <w:tcPr>
            <w:tcW w:w="1642" w:type="pct"/>
          </w:tcPr>
          <w:p w14:paraId="2D88885C" w14:textId="77777777" w:rsidR="00DD76FD" w:rsidRPr="00E74297" w:rsidRDefault="00DD76FD" w:rsidP="00863348">
            <w:pPr>
              <w:pStyle w:val="TableText0"/>
              <w:jc w:val="center"/>
            </w:pPr>
            <w:r w:rsidRPr="00E74297">
              <w:rPr>
                <w:sz w:val="18"/>
                <w:szCs w:val="18"/>
              </w:rPr>
              <w:t>173 (64.6%)</w:t>
            </w:r>
          </w:p>
        </w:tc>
        <w:tc>
          <w:tcPr>
            <w:tcW w:w="1644" w:type="pct"/>
          </w:tcPr>
          <w:p w14:paraId="69E4056A" w14:textId="77777777" w:rsidR="00DD76FD" w:rsidRPr="00E74297" w:rsidRDefault="00DD76FD" w:rsidP="00863348">
            <w:pPr>
              <w:pStyle w:val="TableText0"/>
              <w:jc w:val="center"/>
            </w:pPr>
            <w:r w:rsidRPr="00E74297">
              <w:rPr>
                <w:sz w:val="18"/>
                <w:szCs w:val="18"/>
              </w:rPr>
              <w:t>128 (51.4%)</w:t>
            </w:r>
          </w:p>
        </w:tc>
      </w:tr>
      <w:tr w:rsidR="00DD76FD" w:rsidRPr="00E74297" w14:paraId="676A7D2A" w14:textId="77777777" w:rsidTr="00863348">
        <w:trPr>
          <w:cantSplit/>
        </w:trPr>
        <w:tc>
          <w:tcPr>
            <w:tcW w:w="1715" w:type="pct"/>
          </w:tcPr>
          <w:p w14:paraId="72BA9801" w14:textId="13495BC2" w:rsidR="00DD76FD" w:rsidRPr="00E74297" w:rsidRDefault="00DD76FD" w:rsidP="00863348">
            <w:pPr>
              <w:pStyle w:val="TableText0"/>
            </w:pPr>
            <w:r w:rsidRPr="00E74297">
              <w:rPr>
                <w:sz w:val="18"/>
                <w:szCs w:val="18"/>
              </w:rPr>
              <w:t>Treatment-</w:t>
            </w:r>
            <w:r w:rsidR="008665FA" w:rsidRPr="00E74297">
              <w:rPr>
                <w:sz w:val="18"/>
                <w:szCs w:val="18"/>
              </w:rPr>
              <w:t>e</w:t>
            </w:r>
            <w:r w:rsidRPr="00E74297">
              <w:rPr>
                <w:sz w:val="18"/>
                <w:szCs w:val="18"/>
              </w:rPr>
              <w:t xml:space="preserve">mergent </w:t>
            </w:r>
            <w:r w:rsidR="008665FA" w:rsidRPr="00E74297">
              <w:rPr>
                <w:sz w:val="18"/>
                <w:szCs w:val="18"/>
              </w:rPr>
              <w:t>s</w:t>
            </w:r>
            <w:r w:rsidRPr="00E74297">
              <w:rPr>
                <w:sz w:val="18"/>
                <w:szCs w:val="18"/>
              </w:rPr>
              <w:t xml:space="preserve">erious </w:t>
            </w:r>
            <w:r w:rsidR="008665FA" w:rsidRPr="00E74297">
              <w:rPr>
                <w:sz w:val="18"/>
                <w:szCs w:val="18"/>
              </w:rPr>
              <w:t>a</w:t>
            </w:r>
            <w:r w:rsidRPr="00E74297">
              <w:rPr>
                <w:sz w:val="18"/>
                <w:szCs w:val="18"/>
              </w:rPr>
              <w:t xml:space="preserve">dverse </w:t>
            </w:r>
            <w:r w:rsidR="008665FA" w:rsidRPr="00E74297">
              <w:rPr>
                <w:sz w:val="18"/>
                <w:szCs w:val="18"/>
              </w:rPr>
              <w:t>e</w:t>
            </w:r>
            <w:r w:rsidRPr="00E74297">
              <w:rPr>
                <w:sz w:val="18"/>
                <w:szCs w:val="18"/>
              </w:rPr>
              <w:t>vents (SAEs)</w:t>
            </w:r>
          </w:p>
        </w:tc>
        <w:tc>
          <w:tcPr>
            <w:tcW w:w="1642" w:type="pct"/>
          </w:tcPr>
          <w:p w14:paraId="7B665C2A" w14:textId="77777777" w:rsidR="00DD76FD" w:rsidRPr="00E74297" w:rsidRDefault="00DD76FD" w:rsidP="00863348">
            <w:pPr>
              <w:pStyle w:val="TableText0"/>
              <w:jc w:val="center"/>
            </w:pPr>
            <w:r w:rsidRPr="00E74297">
              <w:rPr>
                <w:sz w:val="18"/>
                <w:szCs w:val="18"/>
              </w:rPr>
              <w:t>74 (27.6%)</w:t>
            </w:r>
          </w:p>
        </w:tc>
        <w:tc>
          <w:tcPr>
            <w:tcW w:w="1644" w:type="pct"/>
          </w:tcPr>
          <w:p w14:paraId="20EAB690" w14:textId="77777777" w:rsidR="00DD76FD" w:rsidRPr="00E74297" w:rsidRDefault="00DD76FD" w:rsidP="00863348">
            <w:pPr>
              <w:pStyle w:val="TableText0"/>
              <w:jc w:val="center"/>
            </w:pPr>
            <w:r w:rsidRPr="00E74297">
              <w:rPr>
                <w:sz w:val="18"/>
                <w:szCs w:val="18"/>
              </w:rPr>
              <w:t>48 (19.3%)</w:t>
            </w:r>
          </w:p>
        </w:tc>
      </w:tr>
      <w:tr w:rsidR="00DD76FD" w:rsidRPr="00E74297" w14:paraId="7F6F099B" w14:textId="77777777" w:rsidTr="00863348">
        <w:trPr>
          <w:cantSplit/>
        </w:trPr>
        <w:tc>
          <w:tcPr>
            <w:tcW w:w="1715" w:type="pct"/>
          </w:tcPr>
          <w:p w14:paraId="7B509FB4" w14:textId="77777777" w:rsidR="00DD76FD" w:rsidRPr="00E74297" w:rsidRDefault="00DD76FD" w:rsidP="00863348">
            <w:pPr>
              <w:pStyle w:val="TableText0"/>
            </w:pPr>
            <w:r w:rsidRPr="00E74297">
              <w:rPr>
                <w:sz w:val="18"/>
                <w:szCs w:val="18"/>
              </w:rPr>
              <w:t xml:space="preserve">   Grade 3 or higher</w:t>
            </w:r>
          </w:p>
        </w:tc>
        <w:tc>
          <w:tcPr>
            <w:tcW w:w="1642" w:type="pct"/>
          </w:tcPr>
          <w:p w14:paraId="5F0BA85C" w14:textId="77777777" w:rsidR="00DD76FD" w:rsidRPr="00E74297" w:rsidRDefault="00DD76FD" w:rsidP="00863348">
            <w:pPr>
              <w:pStyle w:val="TableText0"/>
              <w:jc w:val="center"/>
            </w:pPr>
            <w:r w:rsidRPr="00E74297">
              <w:rPr>
                <w:sz w:val="18"/>
                <w:szCs w:val="18"/>
              </w:rPr>
              <w:t>67 (25.0%)</w:t>
            </w:r>
          </w:p>
        </w:tc>
        <w:tc>
          <w:tcPr>
            <w:tcW w:w="1644" w:type="pct"/>
          </w:tcPr>
          <w:p w14:paraId="5D46C7E2" w14:textId="77777777" w:rsidR="00DD76FD" w:rsidRPr="00E74297" w:rsidRDefault="00DD76FD" w:rsidP="00863348">
            <w:pPr>
              <w:pStyle w:val="TableText0"/>
              <w:jc w:val="center"/>
            </w:pPr>
            <w:r w:rsidRPr="00E74297">
              <w:rPr>
                <w:sz w:val="18"/>
                <w:szCs w:val="18"/>
              </w:rPr>
              <w:t>44 (17.7%)</w:t>
            </w:r>
          </w:p>
        </w:tc>
      </w:tr>
      <w:tr w:rsidR="00DD76FD" w:rsidRPr="00E74297" w14:paraId="7EF5F62E" w14:textId="77777777" w:rsidTr="00863348">
        <w:trPr>
          <w:cantSplit/>
        </w:trPr>
        <w:tc>
          <w:tcPr>
            <w:tcW w:w="1715" w:type="pct"/>
          </w:tcPr>
          <w:p w14:paraId="61D07DB6" w14:textId="57D6FBC2" w:rsidR="00DD76FD" w:rsidRPr="00E74297" w:rsidRDefault="00DD76FD" w:rsidP="00863348">
            <w:pPr>
              <w:pStyle w:val="TableText0"/>
            </w:pPr>
            <w:r w:rsidRPr="00E74297">
              <w:rPr>
                <w:sz w:val="18"/>
                <w:szCs w:val="18"/>
              </w:rPr>
              <w:t>Treatment-</w:t>
            </w:r>
            <w:r w:rsidR="008665FA" w:rsidRPr="00E74297">
              <w:rPr>
                <w:sz w:val="18"/>
                <w:szCs w:val="18"/>
              </w:rPr>
              <w:t>e</w:t>
            </w:r>
            <w:r w:rsidRPr="00E74297">
              <w:rPr>
                <w:sz w:val="18"/>
                <w:szCs w:val="18"/>
              </w:rPr>
              <w:t xml:space="preserve">mergent </w:t>
            </w:r>
            <w:r w:rsidR="008665FA" w:rsidRPr="00E74297">
              <w:rPr>
                <w:sz w:val="18"/>
                <w:szCs w:val="18"/>
              </w:rPr>
              <w:t>t</w:t>
            </w:r>
            <w:r w:rsidRPr="00E74297">
              <w:rPr>
                <w:sz w:val="18"/>
                <w:szCs w:val="18"/>
              </w:rPr>
              <w:t>reatment-</w:t>
            </w:r>
            <w:r w:rsidR="008665FA" w:rsidRPr="00E74297">
              <w:rPr>
                <w:sz w:val="18"/>
                <w:szCs w:val="18"/>
              </w:rPr>
              <w:t>r</w:t>
            </w:r>
            <w:r w:rsidRPr="00E74297">
              <w:rPr>
                <w:sz w:val="18"/>
                <w:szCs w:val="18"/>
              </w:rPr>
              <w:t>elated SAEs</w:t>
            </w:r>
          </w:p>
        </w:tc>
        <w:tc>
          <w:tcPr>
            <w:tcW w:w="1642" w:type="pct"/>
          </w:tcPr>
          <w:p w14:paraId="16739971" w14:textId="77777777" w:rsidR="00DD76FD" w:rsidRPr="00E74297" w:rsidRDefault="00DD76FD" w:rsidP="00863348">
            <w:pPr>
              <w:pStyle w:val="TableText0"/>
              <w:jc w:val="center"/>
            </w:pPr>
            <w:r w:rsidRPr="00E74297">
              <w:rPr>
                <w:sz w:val="18"/>
                <w:szCs w:val="18"/>
              </w:rPr>
              <w:t>36 (13.4%)</w:t>
            </w:r>
          </w:p>
        </w:tc>
        <w:tc>
          <w:tcPr>
            <w:tcW w:w="1644" w:type="pct"/>
          </w:tcPr>
          <w:p w14:paraId="6BD25439" w14:textId="77777777" w:rsidR="00DD76FD" w:rsidRPr="00E74297" w:rsidRDefault="00DD76FD" w:rsidP="00863348">
            <w:pPr>
              <w:pStyle w:val="TableText0"/>
              <w:jc w:val="center"/>
            </w:pPr>
            <w:r w:rsidRPr="00E74297">
              <w:rPr>
                <w:sz w:val="18"/>
                <w:szCs w:val="18"/>
              </w:rPr>
              <w:t>25 (10.0%)</w:t>
            </w:r>
          </w:p>
        </w:tc>
      </w:tr>
      <w:tr w:rsidR="00DD76FD" w:rsidRPr="00E74297" w14:paraId="5713543F" w14:textId="77777777" w:rsidTr="00863348">
        <w:trPr>
          <w:cantSplit/>
        </w:trPr>
        <w:tc>
          <w:tcPr>
            <w:tcW w:w="1715" w:type="pct"/>
          </w:tcPr>
          <w:p w14:paraId="3CF23D12" w14:textId="77777777" w:rsidR="00DD76FD" w:rsidRPr="00E74297" w:rsidRDefault="00DD76FD" w:rsidP="00863348">
            <w:pPr>
              <w:pStyle w:val="TableText0"/>
            </w:pPr>
            <w:r w:rsidRPr="00E74297">
              <w:rPr>
                <w:sz w:val="18"/>
                <w:szCs w:val="18"/>
              </w:rPr>
              <w:t xml:space="preserve">   Grade 3 or higher</w:t>
            </w:r>
          </w:p>
        </w:tc>
        <w:tc>
          <w:tcPr>
            <w:tcW w:w="1642" w:type="pct"/>
          </w:tcPr>
          <w:p w14:paraId="341DA6D8" w14:textId="77777777" w:rsidR="00DD76FD" w:rsidRPr="00E74297" w:rsidRDefault="00DD76FD" w:rsidP="00863348">
            <w:pPr>
              <w:pStyle w:val="TableText0"/>
              <w:jc w:val="center"/>
            </w:pPr>
            <w:r w:rsidRPr="00E74297">
              <w:rPr>
                <w:sz w:val="18"/>
                <w:szCs w:val="18"/>
              </w:rPr>
              <w:t>32 (11.9%)</w:t>
            </w:r>
          </w:p>
        </w:tc>
        <w:tc>
          <w:tcPr>
            <w:tcW w:w="1644" w:type="pct"/>
          </w:tcPr>
          <w:p w14:paraId="709674FF" w14:textId="77777777" w:rsidR="00DD76FD" w:rsidRPr="00E74297" w:rsidRDefault="00DD76FD" w:rsidP="00863348">
            <w:pPr>
              <w:pStyle w:val="TableText0"/>
              <w:jc w:val="center"/>
            </w:pPr>
            <w:r w:rsidRPr="00E74297">
              <w:rPr>
                <w:sz w:val="18"/>
                <w:szCs w:val="18"/>
              </w:rPr>
              <w:t>23 (9.2%)</w:t>
            </w:r>
          </w:p>
        </w:tc>
      </w:tr>
      <w:tr w:rsidR="00DD76FD" w:rsidRPr="00E74297" w14:paraId="2B1040F5" w14:textId="77777777" w:rsidTr="00863348">
        <w:trPr>
          <w:cantSplit/>
        </w:trPr>
        <w:tc>
          <w:tcPr>
            <w:tcW w:w="1715" w:type="pct"/>
          </w:tcPr>
          <w:p w14:paraId="1B93C73C" w14:textId="103C1F14" w:rsidR="00DD76FD" w:rsidRPr="00E74297" w:rsidRDefault="00DD76FD" w:rsidP="00863348">
            <w:pPr>
              <w:pStyle w:val="TableText0"/>
            </w:pPr>
            <w:r w:rsidRPr="00E74297">
              <w:rPr>
                <w:sz w:val="18"/>
                <w:szCs w:val="18"/>
              </w:rPr>
              <w:t xml:space="preserve">TEAEs </w:t>
            </w:r>
            <w:r w:rsidR="008665FA" w:rsidRPr="00E74297">
              <w:rPr>
                <w:sz w:val="18"/>
                <w:szCs w:val="18"/>
              </w:rPr>
              <w:t>l</w:t>
            </w:r>
            <w:r w:rsidRPr="00E74297">
              <w:rPr>
                <w:sz w:val="18"/>
                <w:szCs w:val="18"/>
              </w:rPr>
              <w:t xml:space="preserve">eading to </w:t>
            </w:r>
            <w:r w:rsidR="008665FA" w:rsidRPr="00E74297">
              <w:rPr>
                <w:sz w:val="18"/>
                <w:szCs w:val="18"/>
              </w:rPr>
              <w:t>d</w:t>
            </w:r>
            <w:r w:rsidRPr="00E74297">
              <w:rPr>
                <w:sz w:val="18"/>
                <w:szCs w:val="18"/>
              </w:rPr>
              <w:t xml:space="preserve">ose </w:t>
            </w:r>
            <w:r w:rsidR="008665FA" w:rsidRPr="00E74297">
              <w:rPr>
                <w:sz w:val="18"/>
                <w:szCs w:val="18"/>
              </w:rPr>
              <w:t>r</w:t>
            </w:r>
            <w:r w:rsidRPr="00E74297">
              <w:rPr>
                <w:sz w:val="18"/>
                <w:szCs w:val="18"/>
              </w:rPr>
              <w:t>eduction</w:t>
            </w:r>
          </w:p>
        </w:tc>
        <w:tc>
          <w:tcPr>
            <w:tcW w:w="1642" w:type="pct"/>
          </w:tcPr>
          <w:p w14:paraId="0F4F142E" w14:textId="77777777" w:rsidR="00DD76FD" w:rsidRPr="00E74297" w:rsidRDefault="00DD76FD" w:rsidP="00863348">
            <w:pPr>
              <w:pStyle w:val="TableText0"/>
              <w:jc w:val="center"/>
            </w:pPr>
            <w:r w:rsidRPr="00E74297">
              <w:rPr>
                <w:sz w:val="18"/>
                <w:szCs w:val="18"/>
              </w:rPr>
              <w:t>90 (33.6%)</w:t>
            </w:r>
          </w:p>
        </w:tc>
        <w:tc>
          <w:tcPr>
            <w:tcW w:w="1644" w:type="pct"/>
          </w:tcPr>
          <w:p w14:paraId="67C5D1D8" w14:textId="77777777" w:rsidR="00DD76FD" w:rsidRPr="00E74297" w:rsidRDefault="00DD76FD" w:rsidP="00863348">
            <w:pPr>
              <w:pStyle w:val="TableText0"/>
              <w:jc w:val="center"/>
            </w:pPr>
            <w:r w:rsidRPr="00E74297">
              <w:rPr>
                <w:sz w:val="18"/>
                <w:szCs w:val="18"/>
              </w:rPr>
              <w:t>82 (32.9%)</w:t>
            </w:r>
          </w:p>
        </w:tc>
      </w:tr>
      <w:tr w:rsidR="00DD76FD" w:rsidRPr="00E74297" w14:paraId="0EBBFC5B" w14:textId="77777777" w:rsidTr="00863348">
        <w:trPr>
          <w:cantSplit/>
        </w:trPr>
        <w:tc>
          <w:tcPr>
            <w:tcW w:w="1715" w:type="pct"/>
          </w:tcPr>
          <w:p w14:paraId="2998C9A7" w14:textId="58003227" w:rsidR="00DD76FD" w:rsidRPr="00E74297" w:rsidRDefault="00DD76FD" w:rsidP="00863348">
            <w:pPr>
              <w:pStyle w:val="TableText0"/>
            </w:pPr>
            <w:r w:rsidRPr="00E74297">
              <w:rPr>
                <w:sz w:val="18"/>
                <w:szCs w:val="18"/>
              </w:rPr>
              <w:t xml:space="preserve">TEAEs </w:t>
            </w:r>
            <w:r w:rsidR="008665FA" w:rsidRPr="00E74297">
              <w:rPr>
                <w:sz w:val="18"/>
                <w:szCs w:val="18"/>
              </w:rPr>
              <w:t>l</w:t>
            </w:r>
            <w:r w:rsidRPr="00E74297">
              <w:rPr>
                <w:sz w:val="18"/>
                <w:szCs w:val="18"/>
              </w:rPr>
              <w:t xml:space="preserve">eading to </w:t>
            </w:r>
            <w:r w:rsidR="008665FA" w:rsidRPr="00E74297">
              <w:rPr>
                <w:sz w:val="18"/>
                <w:szCs w:val="18"/>
              </w:rPr>
              <w:t>s</w:t>
            </w:r>
            <w:r w:rsidRPr="00E74297">
              <w:rPr>
                <w:sz w:val="18"/>
                <w:szCs w:val="18"/>
              </w:rPr>
              <w:t xml:space="preserve">tudy </w:t>
            </w:r>
            <w:r w:rsidR="008665FA" w:rsidRPr="00E74297">
              <w:rPr>
                <w:sz w:val="18"/>
                <w:szCs w:val="18"/>
              </w:rPr>
              <w:t>d</w:t>
            </w:r>
            <w:r w:rsidRPr="00E74297">
              <w:rPr>
                <w:sz w:val="18"/>
                <w:szCs w:val="18"/>
              </w:rPr>
              <w:t xml:space="preserve">rug </w:t>
            </w:r>
            <w:r w:rsidR="008665FA" w:rsidRPr="00E74297">
              <w:rPr>
                <w:sz w:val="18"/>
                <w:szCs w:val="18"/>
              </w:rPr>
              <w:t>i</w:t>
            </w:r>
            <w:r w:rsidRPr="00E74297">
              <w:rPr>
                <w:sz w:val="18"/>
                <w:szCs w:val="18"/>
              </w:rPr>
              <w:t>nterruption</w:t>
            </w:r>
          </w:p>
        </w:tc>
        <w:tc>
          <w:tcPr>
            <w:tcW w:w="1642" w:type="pct"/>
          </w:tcPr>
          <w:p w14:paraId="657CCC8E" w14:textId="77777777" w:rsidR="00DD76FD" w:rsidRPr="00E74297" w:rsidRDefault="00DD76FD" w:rsidP="00863348">
            <w:pPr>
              <w:pStyle w:val="TableText0"/>
              <w:jc w:val="center"/>
            </w:pPr>
            <w:r w:rsidRPr="00E74297">
              <w:rPr>
                <w:sz w:val="18"/>
                <w:szCs w:val="18"/>
              </w:rPr>
              <w:t>178 (66.4%)</w:t>
            </w:r>
          </w:p>
        </w:tc>
        <w:tc>
          <w:tcPr>
            <w:tcW w:w="1644" w:type="pct"/>
          </w:tcPr>
          <w:p w14:paraId="7FC048F6" w14:textId="77777777" w:rsidR="00DD76FD" w:rsidRPr="00E74297" w:rsidRDefault="00DD76FD" w:rsidP="00863348">
            <w:pPr>
              <w:pStyle w:val="TableText0"/>
              <w:jc w:val="center"/>
            </w:pPr>
            <w:r w:rsidRPr="00E74297">
              <w:rPr>
                <w:sz w:val="18"/>
                <w:szCs w:val="18"/>
              </w:rPr>
              <w:t>109 (43.8%)</w:t>
            </w:r>
          </w:p>
        </w:tc>
      </w:tr>
      <w:tr w:rsidR="00DD76FD" w:rsidRPr="00E74297" w14:paraId="4A0B1E82" w14:textId="77777777" w:rsidTr="00863348">
        <w:trPr>
          <w:cantSplit/>
        </w:trPr>
        <w:tc>
          <w:tcPr>
            <w:tcW w:w="1715" w:type="pct"/>
          </w:tcPr>
          <w:p w14:paraId="5CCCF39E" w14:textId="686D0DFA" w:rsidR="00DD76FD" w:rsidRPr="00E74297" w:rsidRDefault="00DD76FD" w:rsidP="00863348">
            <w:pPr>
              <w:pStyle w:val="TableText0"/>
            </w:pPr>
            <w:r w:rsidRPr="00E74297">
              <w:rPr>
                <w:sz w:val="18"/>
                <w:szCs w:val="18"/>
              </w:rPr>
              <w:t xml:space="preserve">TEAEs </w:t>
            </w:r>
            <w:r w:rsidR="008665FA" w:rsidRPr="00E74297">
              <w:rPr>
                <w:sz w:val="18"/>
                <w:szCs w:val="18"/>
              </w:rPr>
              <w:t>l</w:t>
            </w:r>
            <w:r w:rsidRPr="00E74297">
              <w:rPr>
                <w:sz w:val="18"/>
                <w:szCs w:val="18"/>
              </w:rPr>
              <w:t xml:space="preserve">eading to </w:t>
            </w:r>
            <w:r w:rsidR="008665FA" w:rsidRPr="00E74297">
              <w:rPr>
                <w:sz w:val="18"/>
                <w:szCs w:val="18"/>
              </w:rPr>
              <w:t>s</w:t>
            </w:r>
            <w:r w:rsidRPr="00E74297">
              <w:rPr>
                <w:sz w:val="18"/>
                <w:szCs w:val="18"/>
              </w:rPr>
              <w:t xml:space="preserve">tudy </w:t>
            </w:r>
            <w:r w:rsidR="008665FA" w:rsidRPr="00E74297">
              <w:rPr>
                <w:sz w:val="18"/>
                <w:szCs w:val="18"/>
              </w:rPr>
              <w:t>d</w:t>
            </w:r>
            <w:r w:rsidRPr="00E74297">
              <w:rPr>
                <w:sz w:val="18"/>
                <w:szCs w:val="18"/>
              </w:rPr>
              <w:t xml:space="preserve">rug </w:t>
            </w:r>
            <w:r w:rsidR="008665FA" w:rsidRPr="00E74297">
              <w:rPr>
                <w:sz w:val="18"/>
                <w:szCs w:val="18"/>
              </w:rPr>
              <w:t>d</w:t>
            </w:r>
            <w:r w:rsidRPr="00E74297">
              <w:rPr>
                <w:sz w:val="18"/>
                <w:szCs w:val="18"/>
              </w:rPr>
              <w:t>iscontinuation</w:t>
            </w:r>
          </w:p>
        </w:tc>
        <w:tc>
          <w:tcPr>
            <w:tcW w:w="1642" w:type="pct"/>
          </w:tcPr>
          <w:p w14:paraId="3DAAD5F5" w14:textId="77777777" w:rsidR="00DD76FD" w:rsidRPr="00E74297" w:rsidRDefault="00DD76FD" w:rsidP="00863348">
            <w:pPr>
              <w:pStyle w:val="TableText0"/>
              <w:jc w:val="center"/>
            </w:pPr>
            <w:r w:rsidRPr="00E74297">
              <w:rPr>
                <w:sz w:val="18"/>
                <w:szCs w:val="18"/>
              </w:rPr>
              <w:t>17 (6.3%)</w:t>
            </w:r>
          </w:p>
        </w:tc>
        <w:tc>
          <w:tcPr>
            <w:tcW w:w="1644" w:type="pct"/>
          </w:tcPr>
          <w:p w14:paraId="5DDEDE83" w14:textId="77777777" w:rsidR="00DD76FD" w:rsidRPr="00E74297" w:rsidRDefault="00DD76FD" w:rsidP="00863348">
            <w:pPr>
              <w:pStyle w:val="TableText0"/>
              <w:jc w:val="center"/>
            </w:pPr>
            <w:r w:rsidRPr="00E74297">
              <w:rPr>
                <w:sz w:val="18"/>
                <w:szCs w:val="18"/>
              </w:rPr>
              <w:t>11 (4.4%)</w:t>
            </w:r>
          </w:p>
        </w:tc>
      </w:tr>
      <w:tr w:rsidR="00DD76FD" w:rsidRPr="00E74297" w14:paraId="401D0C30" w14:textId="77777777" w:rsidTr="00863348">
        <w:trPr>
          <w:cantSplit/>
        </w:trPr>
        <w:tc>
          <w:tcPr>
            <w:tcW w:w="1715" w:type="pct"/>
          </w:tcPr>
          <w:p w14:paraId="279E2FAE" w14:textId="18B96381" w:rsidR="00DD76FD" w:rsidRPr="00E74297" w:rsidRDefault="00DD76FD" w:rsidP="00863348">
            <w:pPr>
              <w:pStyle w:val="TableText0"/>
            </w:pPr>
            <w:r w:rsidRPr="00E74297">
              <w:rPr>
                <w:sz w:val="18"/>
                <w:szCs w:val="18"/>
              </w:rPr>
              <w:t>Treatment-</w:t>
            </w:r>
            <w:r w:rsidR="008665FA" w:rsidRPr="00E74297">
              <w:rPr>
                <w:sz w:val="18"/>
                <w:szCs w:val="18"/>
              </w:rPr>
              <w:t>r</w:t>
            </w:r>
            <w:r w:rsidRPr="00E74297">
              <w:rPr>
                <w:sz w:val="18"/>
                <w:szCs w:val="18"/>
              </w:rPr>
              <w:t xml:space="preserve">elated TEAEs </w:t>
            </w:r>
            <w:r w:rsidR="008665FA" w:rsidRPr="00E74297">
              <w:rPr>
                <w:sz w:val="18"/>
                <w:szCs w:val="18"/>
              </w:rPr>
              <w:t>l</w:t>
            </w:r>
            <w:r w:rsidRPr="00E74297">
              <w:rPr>
                <w:sz w:val="18"/>
                <w:szCs w:val="18"/>
              </w:rPr>
              <w:t xml:space="preserve">eading to </w:t>
            </w:r>
            <w:r w:rsidR="008665FA" w:rsidRPr="00E74297">
              <w:rPr>
                <w:sz w:val="18"/>
                <w:szCs w:val="18"/>
              </w:rPr>
              <w:t>s</w:t>
            </w:r>
            <w:r w:rsidRPr="00E74297">
              <w:rPr>
                <w:sz w:val="18"/>
                <w:szCs w:val="18"/>
              </w:rPr>
              <w:t xml:space="preserve">tudy </w:t>
            </w:r>
            <w:r w:rsidR="008665FA" w:rsidRPr="00E74297">
              <w:rPr>
                <w:sz w:val="18"/>
                <w:szCs w:val="18"/>
              </w:rPr>
              <w:t>d</w:t>
            </w:r>
            <w:r w:rsidRPr="00E74297">
              <w:rPr>
                <w:sz w:val="18"/>
                <w:szCs w:val="18"/>
              </w:rPr>
              <w:t xml:space="preserve">rug </w:t>
            </w:r>
            <w:r w:rsidR="008665FA" w:rsidRPr="00E74297">
              <w:rPr>
                <w:sz w:val="18"/>
                <w:szCs w:val="18"/>
              </w:rPr>
              <w:t>d</w:t>
            </w:r>
            <w:r w:rsidRPr="00E74297">
              <w:rPr>
                <w:sz w:val="18"/>
                <w:szCs w:val="18"/>
              </w:rPr>
              <w:t>iscontinuation</w:t>
            </w:r>
          </w:p>
        </w:tc>
        <w:tc>
          <w:tcPr>
            <w:tcW w:w="1642" w:type="pct"/>
          </w:tcPr>
          <w:p w14:paraId="7A97E080" w14:textId="77777777" w:rsidR="00DD76FD" w:rsidRPr="00E74297" w:rsidRDefault="00DD76FD" w:rsidP="00863348">
            <w:pPr>
              <w:pStyle w:val="TableText0"/>
              <w:jc w:val="center"/>
            </w:pPr>
            <w:r w:rsidRPr="00E74297">
              <w:rPr>
                <w:sz w:val="18"/>
                <w:szCs w:val="18"/>
              </w:rPr>
              <w:t>7 (2.6%)</w:t>
            </w:r>
          </w:p>
        </w:tc>
        <w:tc>
          <w:tcPr>
            <w:tcW w:w="1644" w:type="pct"/>
          </w:tcPr>
          <w:p w14:paraId="2F8C9AD8" w14:textId="77777777" w:rsidR="00DD76FD" w:rsidRPr="00E74297" w:rsidRDefault="00DD76FD" w:rsidP="00863348">
            <w:pPr>
              <w:pStyle w:val="TableText0"/>
              <w:jc w:val="center"/>
            </w:pPr>
            <w:r w:rsidRPr="00E74297">
              <w:rPr>
                <w:sz w:val="18"/>
                <w:szCs w:val="18"/>
              </w:rPr>
              <w:t>9 (3.6%)</w:t>
            </w:r>
          </w:p>
        </w:tc>
      </w:tr>
      <w:tr w:rsidR="00DD76FD" w:rsidRPr="00E74297" w14:paraId="24F76FDC" w14:textId="77777777" w:rsidTr="00863348">
        <w:trPr>
          <w:cantSplit/>
        </w:trPr>
        <w:tc>
          <w:tcPr>
            <w:tcW w:w="1715" w:type="pct"/>
          </w:tcPr>
          <w:p w14:paraId="35695E5C" w14:textId="5BD49B4D" w:rsidR="00DD76FD" w:rsidRPr="00E74297" w:rsidRDefault="00DD76FD" w:rsidP="00863348">
            <w:pPr>
              <w:pStyle w:val="TableText0"/>
            </w:pPr>
            <w:r w:rsidRPr="00E74297">
              <w:rPr>
                <w:sz w:val="18"/>
                <w:szCs w:val="18"/>
              </w:rPr>
              <w:t xml:space="preserve">TEAEs </w:t>
            </w:r>
            <w:r w:rsidR="008665FA" w:rsidRPr="00E74297">
              <w:rPr>
                <w:sz w:val="18"/>
                <w:szCs w:val="18"/>
              </w:rPr>
              <w:t>l</w:t>
            </w:r>
            <w:r w:rsidRPr="00E74297">
              <w:rPr>
                <w:sz w:val="18"/>
                <w:szCs w:val="18"/>
              </w:rPr>
              <w:t xml:space="preserve">eading to </w:t>
            </w:r>
            <w:r w:rsidR="008665FA" w:rsidRPr="00E74297">
              <w:rPr>
                <w:sz w:val="18"/>
                <w:szCs w:val="18"/>
              </w:rPr>
              <w:t>d</w:t>
            </w:r>
            <w:r w:rsidRPr="00E74297">
              <w:rPr>
                <w:sz w:val="18"/>
                <w:szCs w:val="18"/>
              </w:rPr>
              <w:t>eath</w:t>
            </w:r>
          </w:p>
        </w:tc>
        <w:tc>
          <w:tcPr>
            <w:tcW w:w="1642" w:type="pct"/>
          </w:tcPr>
          <w:p w14:paraId="2655CFDB" w14:textId="77777777" w:rsidR="00DD76FD" w:rsidRPr="00E74297" w:rsidRDefault="00DD76FD" w:rsidP="00863348">
            <w:pPr>
              <w:pStyle w:val="TableText0"/>
              <w:jc w:val="center"/>
            </w:pPr>
            <w:r w:rsidRPr="00E74297">
              <w:rPr>
                <w:sz w:val="18"/>
                <w:szCs w:val="18"/>
              </w:rPr>
              <w:t>6 (2.2%)</w:t>
            </w:r>
          </w:p>
        </w:tc>
        <w:tc>
          <w:tcPr>
            <w:tcW w:w="1644" w:type="pct"/>
          </w:tcPr>
          <w:p w14:paraId="4513D5A2" w14:textId="77777777" w:rsidR="00DD76FD" w:rsidRPr="00E74297" w:rsidRDefault="00DD76FD" w:rsidP="00863348">
            <w:pPr>
              <w:pStyle w:val="TableText0"/>
              <w:jc w:val="center"/>
            </w:pPr>
            <w:r w:rsidRPr="00E74297">
              <w:rPr>
                <w:sz w:val="18"/>
                <w:szCs w:val="18"/>
              </w:rPr>
              <w:t>0 (0.0%)</w:t>
            </w:r>
          </w:p>
        </w:tc>
      </w:tr>
      <w:tr w:rsidR="00DD76FD" w:rsidRPr="00E74297" w14:paraId="60AB2D61" w14:textId="77777777" w:rsidTr="00863348">
        <w:trPr>
          <w:cantSplit/>
        </w:trPr>
        <w:tc>
          <w:tcPr>
            <w:tcW w:w="1715" w:type="pct"/>
          </w:tcPr>
          <w:p w14:paraId="438B13C1" w14:textId="71FE1F36" w:rsidR="00DD76FD" w:rsidRPr="00E74297" w:rsidRDefault="00DD76FD" w:rsidP="00863348">
            <w:pPr>
              <w:pStyle w:val="TableText0"/>
            </w:pPr>
            <w:r w:rsidRPr="00E74297">
              <w:rPr>
                <w:sz w:val="18"/>
                <w:szCs w:val="18"/>
              </w:rPr>
              <w:t>Treatment-</w:t>
            </w:r>
            <w:r w:rsidR="008665FA" w:rsidRPr="00E74297">
              <w:rPr>
                <w:sz w:val="18"/>
                <w:szCs w:val="18"/>
              </w:rPr>
              <w:t>r</w:t>
            </w:r>
            <w:r w:rsidRPr="00E74297">
              <w:rPr>
                <w:sz w:val="18"/>
                <w:szCs w:val="18"/>
              </w:rPr>
              <w:t xml:space="preserve">elated TEAEs </w:t>
            </w:r>
            <w:r w:rsidR="008665FA" w:rsidRPr="00E74297">
              <w:rPr>
                <w:sz w:val="18"/>
                <w:szCs w:val="18"/>
              </w:rPr>
              <w:t>l</w:t>
            </w:r>
            <w:r w:rsidRPr="00E74297">
              <w:rPr>
                <w:sz w:val="18"/>
                <w:szCs w:val="18"/>
              </w:rPr>
              <w:t xml:space="preserve">eading to </w:t>
            </w:r>
            <w:r w:rsidR="008665FA" w:rsidRPr="00E74297">
              <w:rPr>
                <w:sz w:val="18"/>
                <w:szCs w:val="18"/>
              </w:rPr>
              <w:t>d</w:t>
            </w:r>
            <w:r w:rsidRPr="00E74297">
              <w:rPr>
                <w:sz w:val="18"/>
                <w:szCs w:val="18"/>
              </w:rPr>
              <w:t>eath</w:t>
            </w:r>
          </w:p>
        </w:tc>
        <w:tc>
          <w:tcPr>
            <w:tcW w:w="1642" w:type="pct"/>
          </w:tcPr>
          <w:p w14:paraId="49819BDE" w14:textId="77777777" w:rsidR="00DD76FD" w:rsidRPr="00E74297" w:rsidRDefault="00DD76FD" w:rsidP="00863348">
            <w:pPr>
              <w:pStyle w:val="TableText0"/>
              <w:jc w:val="center"/>
            </w:pPr>
            <w:r w:rsidRPr="00E74297">
              <w:rPr>
                <w:sz w:val="18"/>
                <w:szCs w:val="18"/>
              </w:rPr>
              <w:t>1 (0.4%)</w:t>
            </w:r>
          </w:p>
        </w:tc>
        <w:tc>
          <w:tcPr>
            <w:tcW w:w="1644" w:type="pct"/>
          </w:tcPr>
          <w:p w14:paraId="0C457BCD" w14:textId="77777777" w:rsidR="00DD76FD" w:rsidRPr="00E74297" w:rsidRDefault="00DD76FD" w:rsidP="00863348">
            <w:pPr>
              <w:pStyle w:val="TableText0"/>
              <w:jc w:val="center"/>
            </w:pPr>
            <w:r w:rsidRPr="00E74297">
              <w:rPr>
                <w:sz w:val="18"/>
                <w:szCs w:val="18"/>
              </w:rPr>
              <w:t>0 (0.0%)</w:t>
            </w:r>
          </w:p>
        </w:tc>
      </w:tr>
    </w:tbl>
    <w:bookmarkEnd w:id="51"/>
    <w:p w14:paraId="21F8CE23" w14:textId="77777777" w:rsidR="00DD76FD" w:rsidRPr="00E74297" w:rsidRDefault="00DD76FD" w:rsidP="00DD76FD">
      <w:pPr>
        <w:pStyle w:val="FooterTableFigure"/>
        <w:rPr>
          <w:sz w:val="20"/>
        </w:rPr>
      </w:pPr>
      <w:r w:rsidRPr="00E74297">
        <w:t>Source: Table 2.5-10, p76 of the submission.</w:t>
      </w:r>
    </w:p>
    <w:p w14:paraId="6108DDC5" w14:textId="1EAC5FE3" w:rsidR="00DD76FD" w:rsidRPr="00E74297" w:rsidRDefault="00DD76FD" w:rsidP="00DD76FD">
      <w:pPr>
        <w:pStyle w:val="FooterTableFigure"/>
        <w:rPr>
          <w:rFonts w:eastAsia="Calibri"/>
        </w:rPr>
      </w:pPr>
      <w:r w:rsidRPr="00E74297">
        <w:rPr>
          <w:rFonts w:eastAsia="Calibri"/>
        </w:rPr>
        <w:t>CI = confidence interval</w:t>
      </w:r>
      <w:r w:rsidR="00FE686E" w:rsidRPr="00E74297">
        <w:rPr>
          <w:rFonts w:eastAsia="Calibri"/>
        </w:rPr>
        <w:t>;</w:t>
      </w:r>
      <w:r w:rsidRPr="00E74297">
        <w:rPr>
          <w:rFonts w:eastAsia="Calibri"/>
        </w:rPr>
        <w:t xml:space="preserve"> n = number of participants reporting data</w:t>
      </w:r>
      <w:r w:rsidR="00FE686E" w:rsidRPr="00E74297">
        <w:rPr>
          <w:rFonts w:eastAsia="Calibri"/>
        </w:rPr>
        <w:t>;</w:t>
      </w:r>
      <w:r w:rsidRPr="00E74297">
        <w:rPr>
          <w:rFonts w:eastAsia="Calibri"/>
        </w:rPr>
        <w:t xml:space="preserve"> N = total participants in group</w:t>
      </w:r>
      <w:r w:rsidR="00FE686E" w:rsidRPr="00E74297">
        <w:rPr>
          <w:rFonts w:eastAsia="Calibri"/>
        </w:rPr>
        <w:t>;</w:t>
      </w:r>
      <w:r w:rsidRPr="00E74297">
        <w:rPr>
          <w:rFonts w:eastAsia="Calibri"/>
        </w:rPr>
        <w:t xml:space="preserve"> RR = relative risk</w:t>
      </w:r>
      <w:r w:rsidR="00FE686E" w:rsidRPr="00E74297">
        <w:rPr>
          <w:rFonts w:eastAsia="Calibri"/>
        </w:rPr>
        <w:t>;</w:t>
      </w:r>
      <w:r w:rsidRPr="00E74297">
        <w:rPr>
          <w:rFonts w:eastAsia="Calibri"/>
        </w:rPr>
        <w:t xml:space="preserve"> SAEs = serious adverse events</w:t>
      </w:r>
      <w:r w:rsidR="00FE686E" w:rsidRPr="00E74297">
        <w:rPr>
          <w:rFonts w:eastAsia="Calibri"/>
        </w:rPr>
        <w:t>;</w:t>
      </w:r>
      <w:r w:rsidRPr="00E74297">
        <w:rPr>
          <w:rFonts w:eastAsia="Calibri"/>
        </w:rPr>
        <w:t xml:space="preserve"> SG = sacituzumab govitecan</w:t>
      </w:r>
      <w:r w:rsidR="00FE686E" w:rsidRPr="00E74297">
        <w:rPr>
          <w:rFonts w:eastAsia="Calibri"/>
        </w:rPr>
        <w:t>;</w:t>
      </w:r>
      <w:r w:rsidRPr="00E74297">
        <w:rPr>
          <w:rFonts w:eastAsia="Calibri"/>
        </w:rPr>
        <w:t xml:space="preserve"> TEAEs = treatment emergent adverse events</w:t>
      </w:r>
      <w:r w:rsidR="00FE686E" w:rsidRPr="00E74297">
        <w:rPr>
          <w:rFonts w:eastAsia="Calibri"/>
        </w:rPr>
        <w:t>;</w:t>
      </w:r>
      <w:r w:rsidRPr="00E74297">
        <w:rPr>
          <w:rFonts w:eastAsia="Calibri"/>
        </w:rPr>
        <w:t xml:space="preserve"> TPC = treatment of physician’s choice</w:t>
      </w:r>
    </w:p>
    <w:p w14:paraId="624C08DB" w14:textId="5A2F6AA4" w:rsidR="00DD76FD" w:rsidRPr="00E74297" w:rsidRDefault="00DD76FD" w:rsidP="00DD76FD">
      <w:pPr>
        <w:pStyle w:val="4-SubsectionHeading"/>
      </w:pPr>
      <w:bookmarkStart w:id="52" w:name="_Toc132638502"/>
      <w:bookmarkStart w:id="53" w:name="_Toc135207385"/>
      <w:r w:rsidRPr="00E74297">
        <w:t>Benefits/harms</w:t>
      </w:r>
      <w:bookmarkEnd w:id="48"/>
      <w:bookmarkEnd w:id="52"/>
      <w:bookmarkEnd w:id="53"/>
    </w:p>
    <w:p w14:paraId="19FCA6F5" w14:textId="6C005096" w:rsidR="00DD76FD" w:rsidRPr="00E74297" w:rsidRDefault="00DD76FD" w:rsidP="00DD76FD">
      <w:pPr>
        <w:pStyle w:val="3-BodyText"/>
        <w:rPr>
          <w:rStyle w:val="CommentReference"/>
          <w:rFonts w:asciiTheme="minorHAnsi" w:hAnsiTheme="minorHAnsi"/>
          <w:b w:val="0"/>
          <w:sz w:val="24"/>
          <w:szCs w:val="24"/>
        </w:rPr>
      </w:pPr>
      <w:bookmarkStart w:id="54" w:name="_Toc22897644"/>
      <w:r w:rsidRPr="00E74297">
        <w:t xml:space="preserve">A summary of the comparative benefits and harms for SG versus TPC is presented in </w:t>
      </w:r>
      <w:r w:rsidRPr="00E74297">
        <w:fldChar w:fldCharType="begin" w:fldLock="1"/>
      </w:r>
      <w:r w:rsidRPr="00E74297">
        <w:instrText xml:space="preserve"> REF _Ref104805037 \h  \* MERGEFORMAT </w:instrText>
      </w:r>
      <w:r w:rsidRPr="00E74297">
        <w:fldChar w:fldCharType="separate"/>
      </w:r>
      <w:r w:rsidR="00AE1DC7" w:rsidRPr="00E74297">
        <w:t>Table 8</w:t>
      </w:r>
      <w:r w:rsidRPr="00E74297">
        <w:fldChar w:fldCharType="end"/>
      </w:r>
      <w:r w:rsidRPr="00E74297">
        <w:t>.</w:t>
      </w:r>
    </w:p>
    <w:p w14:paraId="0C9DBFFA" w14:textId="1650D7B3" w:rsidR="00DD76FD" w:rsidRPr="00E74297" w:rsidRDefault="00DD76FD" w:rsidP="00DD76FD">
      <w:pPr>
        <w:pStyle w:val="Caption"/>
        <w:rPr>
          <w:rStyle w:val="CommentReference"/>
          <w:b/>
          <w:szCs w:val="24"/>
        </w:rPr>
      </w:pPr>
      <w:bookmarkStart w:id="55" w:name="_Ref104805037"/>
      <w:r w:rsidRPr="00E74297">
        <w:lastRenderedPageBreak/>
        <w:t xml:space="preserve">Table </w:t>
      </w:r>
      <w:fldSimple w:instr=" SEQ Table \* ARABIC " w:fldLock="1">
        <w:r w:rsidR="00AE1DC7" w:rsidRPr="00E74297">
          <w:t>8</w:t>
        </w:r>
      </w:fldSimple>
      <w:bookmarkEnd w:id="55"/>
      <w:r w:rsidRPr="00E74297">
        <w:t xml:space="preserve">: </w:t>
      </w:r>
      <w:r w:rsidRPr="00E74297">
        <w:rPr>
          <w:rStyle w:val="CommentReference"/>
          <w:b/>
          <w:szCs w:val="24"/>
        </w:rPr>
        <w:t>Summary of comparative benefits</w:t>
      </w:r>
      <w:r w:rsidR="000604A3" w:rsidRPr="00E74297">
        <w:rPr>
          <w:rStyle w:val="CommentReference"/>
          <w:b/>
          <w:szCs w:val="24"/>
        </w:rPr>
        <w:t xml:space="preserve"> (ITT population)</w:t>
      </w:r>
      <w:r w:rsidRPr="00E74297">
        <w:rPr>
          <w:rStyle w:val="CommentReference"/>
          <w:b/>
          <w:szCs w:val="24"/>
        </w:rPr>
        <w:t xml:space="preserve"> and harms</w:t>
      </w:r>
      <w:r w:rsidR="000604A3" w:rsidRPr="00E74297">
        <w:rPr>
          <w:rStyle w:val="CommentReference"/>
          <w:b/>
          <w:szCs w:val="24"/>
        </w:rPr>
        <w:t xml:space="preserve"> (safety population)</w:t>
      </w:r>
      <w:r w:rsidRPr="00E74297">
        <w:rPr>
          <w:rStyle w:val="CommentReference"/>
          <w:b/>
          <w:szCs w:val="24"/>
        </w:rPr>
        <w:t xml:space="preserve"> for SG and TPC in </w:t>
      </w:r>
      <w:r w:rsidR="003D20F2" w:rsidRPr="00E74297">
        <w:rPr>
          <w:rStyle w:val="CommentReference"/>
          <w:b/>
          <w:szCs w:val="24"/>
        </w:rPr>
        <w:t>TROPiCS-02</w:t>
      </w:r>
    </w:p>
    <w:tbl>
      <w:tblPr>
        <w:tblStyle w:val="TableGrid"/>
        <w:tblW w:w="5000" w:type="pct"/>
        <w:tblLayout w:type="fixed"/>
        <w:tblCellMar>
          <w:left w:w="28" w:type="dxa"/>
          <w:right w:w="28" w:type="dxa"/>
        </w:tblCellMar>
        <w:tblLook w:val="04A0" w:firstRow="1" w:lastRow="0" w:firstColumn="1" w:lastColumn="0" w:noHBand="0" w:noVBand="1"/>
      </w:tblPr>
      <w:tblGrid>
        <w:gridCol w:w="2464"/>
        <w:gridCol w:w="1446"/>
        <w:gridCol w:w="1515"/>
        <w:gridCol w:w="2007"/>
        <w:gridCol w:w="1585"/>
      </w:tblGrid>
      <w:tr w:rsidR="00DD76FD" w:rsidRPr="00E74297" w14:paraId="4D239184" w14:textId="77777777" w:rsidTr="00863348">
        <w:trPr>
          <w:trHeight w:val="20"/>
        </w:trPr>
        <w:tc>
          <w:tcPr>
            <w:tcW w:w="5000" w:type="pct"/>
            <w:gridSpan w:val="5"/>
            <w:shd w:val="clear" w:color="auto" w:fill="auto"/>
          </w:tcPr>
          <w:p w14:paraId="1ADA8B6D" w14:textId="3D003F65" w:rsidR="00DD76FD" w:rsidRPr="00E74297" w:rsidRDefault="00DD76FD" w:rsidP="00863348">
            <w:pPr>
              <w:pStyle w:val="In-tableHeading"/>
              <w:rPr>
                <w:lang w:val="en-AU"/>
              </w:rPr>
            </w:pPr>
            <w:r w:rsidRPr="00E74297">
              <w:rPr>
                <w:lang w:val="en-AU"/>
              </w:rPr>
              <w:t>Progression free survival (median duration of follow</w:t>
            </w:r>
            <w:r w:rsidR="00DA3CCD" w:rsidRPr="00E74297">
              <w:rPr>
                <w:lang w:val="en-AU"/>
              </w:rPr>
              <w:t>-</w:t>
            </w:r>
            <w:r w:rsidRPr="00E74297">
              <w:rPr>
                <w:lang w:val="en-AU"/>
              </w:rPr>
              <w:t>up 10.22 months)</w:t>
            </w:r>
          </w:p>
        </w:tc>
      </w:tr>
      <w:tr w:rsidR="00DD76FD" w:rsidRPr="00E74297" w14:paraId="7CF0558F" w14:textId="77777777" w:rsidTr="00863348">
        <w:trPr>
          <w:trHeight w:val="20"/>
        </w:trPr>
        <w:tc>
          <w:tcPr>
            <w:tcW w:w="1366" w:type="pct"/>
            <w:tcBorders>
              <w:bottom w:val="single" w:sz="4" w:space="0" w:color="auto"/>
            </w:tcBorders>
            <w:shd w:val="clear" w:color="auto" w:fill="auto"/>
          </w:tcPr>
          <w:p w14:paraId="68924247" w14:textId="77777777" w:rsidR="00DD76FD" w:rsidRPr="00E74297" w:rsidRDefault="00DD76FD" w:rsidP="00863348">
            <w:pPr>
              <w:pStyle w:val="In-tableHeading"/>
              <w:rPr>
                <w:lang w:val="en-AU"/>
              </w:rPr>
            </w:pPr>
            <w:r w:rsidRPr="00E74297">
              <w:rPr>
                <w:lang w:val="en-AU"/>
              </w:rPr>
              <w:t>Event</w:t>
            </w:r>
          </w:p>
        </w:tc>
        <w:tc>
          <w:tcPr>
            <w:tcW w:w="802" w:type="pct"/>
            <w:tcBorders>
              <w:bottom w:val="single" w:sz="4" w:space="0" w:color="auto"/>
            </w:tcBorders>
            <w:shd w:val="clear" w:color="auto" w:fill="auto"/>
          </w:tcPr>
          <w:p w14:paraId="4E058904" w14:textId="77777777" w:rsidR="00DD76FD" w:rsidRPr="00E74297" w:rsidRDefault="00DD76FD" w:rsidP="00863348">
            <w:pPr>
              <w:pStyle w:val="In-tableHeading"/>
              <w:jc w:val="center"/>
              <w:rPr>
                <w:lang w:val="en-AU"/>
              </w:rPr>
            </w:pPr>
            <w:r w:rsidRPr="00E74297">
              <w:rPr>
                <w:lang w:val="en-AU"/>
              </w:rPr>
              <w:t>SG</w:t>
            </w:r>
          </w:p>
        </w:tc>
        <w:tc>
          <w:tcPr>
            <w:tcW w:w="840" w:type="pct"/>
            <w:tcBorders>
              <w:bottom w:val="single" w:sz="4" w:space="0" w:color="auto"/>
            </w:tcBorders>
            <w:shd w:val="clear" w:color="auto" w:fill="auto"/>
          </w:tcPr>
          <w:p w14:paraId="45663585" w14:textId="77777777" w:rsidR="00DD76FD" w:rsidRPr="00E74297" w:rsidRDefault="00DD76FD" w:rsidP="00863348">
            <w:pPr>
              <w:pStyle w:val="In-tableHeading"/>
              <w:jc w:val="center"/>
              <w:rPr>
                <w:lang w:val="en-AU"/>
              </w:rPr>
            </w:pPr>
            <w:r w:rsidRPr="00E74297">
              <w:rPr>
                <w:lang w:val="en-AU"/>
              </w:rPr>
              <w:t>TPC</w:t>
            </w:r>
          </w:p>
        </w:tc>
        <w:tc>
          <w:tcPr>
            <w:tcW w:w="1113" w:type="pct"/>
            <w:tcBorders>
              <w:bottom w:val="single" w:sz="4" w:space="0" w:color="auto"/>
            </w:tcBorders>
            <w:shd w:val="clear" w:color="auto" w:fill="auto"/>
          </w:tcPr>
          <w:p w14:paraId="7D200BB3" w14:textId="77777777" w:rsidR="00DD76FD" w:rsidRPr="00E74297" w:rsidRDefault="00DD76FD" w:rsidP="00863348">
            <w:pPr>
              <w:pStyle w:val="In-tableHeading"/>
              <w:jc w:val="center"/>
              <w:rPr>
                <w:rFonts w:asciiTheme="minorHAnsi" w:hAnsiTheme="minorHAnsi"/>
                <w:lang w:val="en-AU"/>
              </w:rPr>
            </w:pPr>
            <w:r w:rsidRPr="00E74297">
              <w:rPr>
                <w:lang w:val="en-AU"/>
              </w:rPr>
              <w:t>Absolute Difference</w:t>
            </w:r>
          </w:p>
        </w:tc>
        <w:tc>
          <w:tcPr>
            <w:tcW w:w="879" w:type="pct"/>
            <w:tcBorders>
              <w:bottom w:val="single" w:sz="4" w:space="0" w:color="auto"/>
            </w:tcBorders>
            <w:shd w:val="clear" w:color="auto" w:fill="auto"/>
          </w:tcPr>
          <w:p w14:paraId="516DD0CE" w14:textId="77777777" w:rsidR="00DD76FD" w:rsidRPr="00E74297" w:rsidRDefault="00DD76FD" w:rsidP="00863348">
            <w:pPr>
              <w:pStyle w:val="In-tableHeading"/>
              <w:jc w:val="center"/>
              <w:rPr>
                <w:lang w:val="en-AU"/>
              </w:rPr>
            </w:pPr>
            <w:r w:rsidRPr="00E74297">
              <w:rPr>
                <w:lang w:val="en-AU"/>
              </w:rPr>
              <w:t>HR (95% CI)</w:t>
            </w:r>
          </w:p>
        </w:tc>
      </w:tr>
      <w:tr w:rsidR="00DD76FD" w:rsidRPr="00E74297" w14:paraId="4AE83B42" w14:textId="77777777" w:rsidTr="00DA3CCD">
        <w:trPr>
          <w:trHeight w:val="20"/>
        </w:trPr>
        <w:tc>
          <w:tcPr>
            <w:tcW w:w="1366" w:type="pct"/>
            <w:tcBorders>
              <w:bottom w:val="single" w:sz="4" w:space="0" w:color="auto"/>
              <w:right w:val="single" w:sz="4" w:space="0" w:color="auto"/>
            </w:tcBorders>
            <w:shd w:val="clear" w:color="auto" w:fill="auto"/>
          </w:tcPr>
          <w:p w14:paraId="2B0F5047" w14:textId="77777777" w:rsidR="00DD76FD" w:rsidRPr="00E74297" w:rsidRDefault="00DD76FD" w:rsidP="00863348">
            <w:pPr>
              <w:pStyle w:val="TableText0"/>
              <w:keepLines/>
              <w:widowControl w:val="0"/>
            </w:pPr>
            <w:r w:rsidRPr="00E74297">
              <w:t>Progressed, n (%)</w:t>
            </w:r>
          </w:p>
        </w:tc>
        <w:tc>
          <w:tcPr>
            <w:tcW w:w="802" w:type="pct"/>
            <w:tcBorders>
              <w:left w:val="single" w:sz="4" w:space="0" w:color="auto"/>
              <w:bottom w:val="single" w:sz="4" w:space="0" w:color="auto"/>
              <w:right w:val="single" w:sz="4" w:space="0" w:color="auto"/>
            </w:tcBorders>
            <w:shd w:val="clear" w:color="auto" w:fill="auto"/>
            <w:vAlign w:val="center"/>
          </w:tcPr>
          <w:p w14:paraId="05877B0E" w14:textId="77777777" w:rsidR="00DD76FD" w:rsidRPr="00E74297" w:rsidRDefault="00DD76FD" w:rsidP="00DA3CCD">
            <w:pPr>
              <w:pStyle w:val="TableText0"/>
              <w:keepLines/>
              <w:widowControl w:val="0"/>
              <w:jc w:val="center"/>
            </w:pPr>
            <w:r w:rsidRPr="00E74297">
              <w:rPr>
                <w:rFonts w:cs="Times New Roman"/>
                <w:szCs w:val="20"/>
              </w:rPr>
              <w:t>170/272 (62.5%)</w:t>
            </w:r>
          </w:p>
        </w:tc>
        <w:tc>
          <w:tcPr>
            <w:tcW w:w="840" w:type="pct"/>
            <w:tcBorders>
              <w:left w:val="single" w:sz="4" w:space="0" w:color="auto"/>
              <w:bottom w:val="single" w:sz="4" w:space="0" w:color="auto"/>
              <w:right w:val="single" w:sz="4" w:space="0" w:color="auto"/>
            </w:tcBorders>
            <w:shd w:val="clear" w:color="auto" w:fill="auto"/>
            <w:vAlign w:val="center"/>
          </w:tcPr>
          <w:p w14:paraId="39887199" w14:textId="77777777" w:rsidR="00DD76FD" w:rsidRPr="00E74297" w:rsidRDefault="00DD76FD" w:rsidP="00DA3CCD">
            <w:pPr>
              <w:pStyle w:val="TableText0"/>
              <w:keepLines/>
              <w:widowControl w:val="0"/>
              <w:jc w:val="center"/>
            </w:pPr>
            <w:r w:rsidRPr="00E74297">
              <w:rPr>
                <w:rFonts w:cs="Times New Roman"/>
                <w:szCs w:val="20"/>
              </w:rPr>
              <w:t>159/271 (58.7%)</w:t>
            </w:r>
          </w:p>
        </w:tc>
        <w:tc>
          <w:tcPr>
            <w:tcW w:w="1113" w:type="pct"/>
            <w:tcBorders>
              <w:left w:val="single" w:sz="4" w:space="0" w:color="auto"/>
              <w:bottom w:val="single" w:sz="4" w:space="0" w:color="auto"/>
              <w:right w:val="single" w:sz="4" w:space="0" w:color="auto"/>
            </w:tcBorders>
            <w:shd w:val="clear" w:color="auto" w:fill="auto"/>
            <w:vAlign w:val="center"/>
          </w:tcPr>
          <w:p w14:paraId="427AC62F" w14:textId="1F492190" w:rsidR="00DD76FD" w:rsidRPr="00E74297" w:rsidRDefault="00DA3CCD" w:rsidP="00DA3CCD">
            <w:pPr>
              <w:pStyle w:val="TableText0"/>
              <w:keepLines/>
              <w:widowControl w:val="0"/>
              <w:jc w:val="center"/>
            </w:pPr>
            <w:r w:rsidRPr="00E74297">
              <w:t>NA</w:t>
            </w:r>
          </w:p>
        </w:tc>
        <w:tc>
          <w:tcPr>
            <w:tcW w:w="879" w:type="pct"/>
            <w:tcBorders>
              <w:left w:val="single" w:sz="4" w:space="0" w:color="auto"/>
              <w:bottom w:val="nil"/>
            </w:tcBorders>
            <w:shd w:val="clear" w:color="auto" w:fill="auto"/>
          </w:tcPr>
          <w:p w14:paraId="7B11DD7A" w14:textId="77777777" w:rsidR="00DD76FD" w:rsidRPr="00E74297" w:rsidRDefault="00DD76FD" w:rsidP="00863348">
            <w:pPr>
              <w:pStyle w:val="TableText0"/>
              <w:keepLines/>
              <w:widowControl w:val="0"/>
              <w:jc w:val="center"/>
              <w:rPr>
                <w:b/>
                <w:bCs w:val="0"/>
                <w:szCs w:val="20"/>
              </w:rPr>
            </w:pPr>
            <w:r w:rsidRPr="00E74297">
              <w:rPr>
                <w:b/>
                <w:bCs w:val="0"/>
                <w:szCs w:val="20"/>
              </w:rPr>
              <w:t>0.661 (0.529, 0.826)</w:t>
            </w:r>
          </w:p>
          <w:p w14:paraId="776A7A71" w14:textId="77777777" w:rsidR="00DD76FD" w:rsidRPr="00E74297" w:rsidRDefault="00DD76FD" w:rsidP="00863348">
            <w:pPr>
              <w:pStyle w:val="TableText0"/>
              <w:keepLines/>
              <w:widowControl w:val="0"/>
              <w:jc w:val="center"/>
            </w:pPr>
            <w:r w:rsidRPr="00E74297">
              <w:rPr>
                <w:b/>
                <w:bCs w:val="0"/>
                <w:szCs w:val="20"/>
              </w:rPr>
              <w:t>P= 0.0003</w:t>
            </w:r>
          </w:p>
        </w:tc>
      </w:tr>
      <w:tr w:rsidR="00DD76FD" w:rsidRPr="00E74297" w14:paraId="36356E25" w14:textId="77777777" w:rsidTr="00DA3CCD">
        <w:trPr>
          <w:trHeight w:val="20"/>
        </w:trPr>
        <w:tc>
          <w:tcPr>
            <w:tcW w:w="1366" w:type="pct"/>
            <w:tcBorders>
              <w:bottom w:val="single" w:sz="4" w:space="0" w:color="auto"/>
              <w:right w:val="single" w:sz="4" w:space="0" w:color="auto"/>
            </w:tcBorders>
            <w:shd w:val="clear" w:color="auto" w:fill="auto"/>
          </w:tcPr>
          <w:p w14:paraId="4A3636B5" w14:textId="77777777" w:rsidR="00DD76FD" w:rsidRPr="00E74297" w:rsidRDefault="00DD76FD" w:rsidP="00863348">
            <w:pPr>
              <w:pStyle w:val="TableText0"/>
              <w:keepLines/>
              <w:widowControl w:val="0"/>
            </w:pPr>
            <w:r w:rsidRPr="00E74297">
              <w:t>Median PFS, months (95% CI)</w:t>
            </w:r>
          </w:p>
        </w:tc>
        <w:tc>
          <w:tcPr>
            <w:tcW w:w="802" w:type="pct"/>
            <w:tcBorders>
              <w:left w:val="single" w:sz="4" w:space="0" w:color="auto"/>
              <w:bottom w:val="single" w:sz="4" w:space="0" w:color="auto"/>
              <w:right w:val="single" w:sz="4" w:space="0" w:color="auto"/>
            </w:tcBorders>
            <w:shd w:val="clear" w:color="auto" w:fill="auto"/>
            <w:vAlign w:val="center"/>
          </w:tcPr>
          <w:p w14:paraId="1CDD8E87" w14:textId="77777777" w:rsidR="00DD76FD" w:rsidRPr="00E74297" w:rsidRDefault="00DD76FD" w:rsidP="00DA3CCD">
            <w:pPr>
              <w:pStyle w:val="TableText0"/>
              <w:keepLines/>
              <w:widowControl w:val="0"/>
              <w:jc w:val="center"/>
              <w:rPr>
                <w:rFonts w:cs="Times New Roman"/>
                <w:szCs w:val="20"/>
              </w:rPr>
            </w:pPr>
            <w:r w:rsidRPr="00E74297">
              <w:t>5.5 (4.2, 7.0)</w:t>
            </w:r>
          </w:p>
        </w:tc>
        <w:tc>
          <w:tcPr>
            <w:tcW w:w="840" w:type="pct"/>
            <w:tcBorders>
              <w:left w:val="single" w:sz="4" w:space="0" w:color="auto"/>
              <w:bottom w:val="single" w:sz="4" w:space="0" w:color="auto"/>
              <w:right w:val="single" w:sz="4" w:space="0" w:color="auto"/>
            </w:tcBorders>
            <w:shd w:val="clear" w:color="auto" w:fill="auto"/>
            <w:vAlign w:val="center"/>
          </w:tcPr>
          <w:p w14:paraId="7AB1A389" w14:textId="77777777" w:rsidR="00DD76FD" w:rsidRPr="00E74297" w:rsidRDefault="00DD76FD" w:rsidP="00DA3CCD">
            <w:pPr>
              <w:pStyle w:val="TableText0"/>
              <w:keepLines/>
              <w:widowControl w:val="0"/>
              <w:jc w:val="center"/>
              <w:rPr>
                <w:rFonts w:cs="Times New Roman"/>
                <w:szCs w:val="20"/>
              </w:rPr>
            </w:pPr>
            <w:r w:rsidRPr="00E74297">
              <w:t>4.0 (3.1, 4.4)</w:t>
            </w:r>
          </w:p>
        </w:tc>
        <w:tc>
          <w:tcPr>
            <w:tcW w:w="1113" w:type="pct"/>
            <w:tcBorders>
              <w:left w:val="single" w:sz="4" w:space="0" w:color="auto"/>
              <w:bottom w:val="single" w:sz="4" w:space="0" w:color="auto"/>
              <w:right w:val="single" w:sz="4" w:space="0" w:color="auto"/>
            </w:tcBorders>
            <w:shd w:val="clear" w:color="auto" w:fill="auto"/>
            <w:vAlign w:val="center"/>
          </w:tcPr>
          <w:p w14:paraId="0BDBBE73" w14:textId="77777777" w:rsidR="00DD76FD" w:rsidRPr="00E74297" w:rsidRDefault="00DD76FD" w:rsidP="00DA3CCD">
            <w:pPr>
              <w:pStyle w:val="TableText0"/>
              <w:keepLines/>
              <w:widowControl w:val="0"/>
              <w:jc w:val="center"/>
            </w:pPr>
            <w:r w:rsidRPr="00E74297">
              <w:t>1.5</w:t>
            </w:r>
          </w:p>
        </w:tc>
        <w:tc>
          <w:tcPr>
            <w:tcW w:w="879" w:type="pct"/>
            <w:tcBorders>
              <w:top w:val="nil"/>
              <w:left w:val="single" w:sz="4" w:space="0" w:color="auto"/>
              <w:bottom w:val="nil"/>
            </w:tcBorders>
            <w:shd w:val="clear" w:color="auto" w:fill="auto"/>
          </w:tcPr>
          <w:p w14:paraId="0826090A" w14:textId="77777777" w:rsidR="00DD76FD" w:rsidRPr="00E74297" w:rsidRDefault="00DD76FD" w:rsidP="00863348">
            <w:pPr>
              <w:pStyle w:val="TableText0"/>
              <w:keepLines/>
              <w:widowControl w:val="0"/>
              <w:jc w:val="center"/>
              <w:rPr>
                <w:szCs w:val="20"/>
              </w:rPr>
            </w:pPr>
          </w:p>
        </w:tc>
      </w:tr>
      <w:tr w:rsidR="00DD76FD" w:rsidRPr="00E74297" w14:paraId="2D66AE70" w14:textId="77777777" w:rsidTr="00DA3CCD">
        <w:trPr>
          <w:trHeight w:val="20"/>
        </w:trPr>
        <w:tc>
          <w:tcPr>
            <w:tcW w:w="1366" w:type="pct"/>
            <w:tcBorders>
              <w:top w:val="single" w:sz="4" w:space="0" w:color="auto"/>
              <w:bottom w:val="single" w:sz="4" w:space="0" w:color="auto"/>
              <w:right w:val="single" w:sz="4" w:space="0" w:color="auto"/>
            </w:tcBorders>
            <w:shd w:val="clear" w:color="auto" w:fill="auto"/>
          </w:tcPr>
          <w:p w14:paraId="3ACF4D0B" w14:textId="77777777" w:rsidR="00DD76FD" w:rsidRPr="00E74297" w:rsidRDefault="00DD76FD" w:rsidP="00863348">
            <w:pPr>
              <w:pStyle w:val="TableText0"/>
              <w:keepLines/>
              <w:widowControl w:val="0"/>
            </w:pPr>
            <w:r w:rsidRPr="00E74297">
              <w:t>% not progressed at 6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3DCB8367" w14:textId="77777777" w:rsidR="00DD76FD" w:rsidRPr="00E74297" w:rsidRDefault="00DD76FD" w:rsidP="00DA3CCD">
            <w:pPr>
              <w:pStyle w:val="TableText0"/>
              <w:keepLines/>
              <w:widowControl w:val="0"/>
              <w:jc w:val="center"/>
            </w:pPr>
            <w:r w:rsidRPr="00E74297">
              <w:t>46.1 (39.4, 52.6)</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437CC92E" w14:textId="77777777" w:rsidR="00DD76FD" w:rsidRPr="00E74297" w:rsidRDefault="00DD76FD" w:rsidP="00DA3CCD">
            <w:pPr>
              <w:pStyle w:val="TableText0"/>
              <w:keepLines/>
              <w:widowControl w:val="0"/>
              <w:jc w:val="center"/>
              <w:rPr>
                <w:szCs w:val="20"/>
              </w:rPr>
            </w:pPr>
            <w:r w:rsidRPr="00E74297">
              <w:t>30.3 (23.6, 37.3)</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253EBD7C" w14:textId="77777777" w:rsidR="00DD76FD" w:rsidRPr="00E74297" w:rsidRDefault="00DD76FD" w:rsidP="00DA3CCD">
            <w:pPr>
              <w:pStyle w:val="TableText0"/>
              <w:keepLines/>
              <w:widowControl w:val="0"/>
              <w:jc w:val="center"/>
            </w:pPr>
            <w:r w:rsidRPr="00E74297">
              <w:t>15.8%</w:t>
            </w:r>
          </w:p>
        </w:tc>
        <w:tc>
          <w:tcPr>
            <w:tcW w:w="879" w:type="pct"/>
            <w:tcBorders>
              <w:top w:val="nil"/>
              <w:left w:val="single" w:sz="4" w:space="0" w:color="auto"/>
              <w:bottom w:val="nil"/>
            </w:tcBorders>
            <w:shd w:val="clear" w:color="auto" w:fill="auto"/>
          </w:tcPr>
          <w:p w14:paraId="72F7F45E" w14:textId="77777777" w:rsidR="00DD76FD" w:rsidRPr="00E74297" w:rsidRDefault="00DD76FD" w:rsidP="00863348">
            <w:pPr>
              <w:pStyle w:val="TableText0"/>
              <w:keepLines/>
              <w:widowControl w:val="0"/>
              <w:jc w:val="center"/>
            </w:pPr>
          </w:p>
        </w:tc>
      </w:tr>
      <w:tr w:rsidR="00DD76FD" w:rsidRPr="00E74297" w14:paraId="2923027A" w14:textId="77777777" w:rsidTr="00DA3CCD">
        <w:trPr>
          <w:trHeight w:val="20"/>
        </w:trPr>
        <w:tc>
          <w:tcPr>
            <w:tcW w:w="1366" w:type="pct"/>
            <w:tcBorders>
              <w:top w:val="single" w:sz="4" w:space="0" w:color="auto"/>
              <w:bottom w:val="single" w:sz="4" w:space="0" w:color="auto"/>
              <w:right w:val="single" w:sz="4" w:space="0" w:color="auto"/>
            </w:tcBorders>
            <w:shd w:val="clear" w:color="auto" w:fill="auto"/>
          </w:tcPr>
          <w:p w14:paraId="573ED4EE" w14:textId="77777777" w:rsidR="00DD76FD" w:rsidRPr="00E74297" w:rsidRDefault="00DD76FD" w:rsidP="00863348">
            <w:pPr>
              <w:pStyle w:val="TableText0"/>
              <w:keepLines/>
              <w:widowControl w:val="0"/>
            </w:pPr>
            <w:r w:rsidRPr="00E74297">
              <w:t>% not progressed at 12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207B8AED" w14:textId="77777777" w:rsidR="00DD76FD" w:rsidRPr="00E74297" w:rsidRDefault="00DD76FD" w:rsidP="00DA3CCD">
            <w:pPr>
              <w:pStyle w:val="TableText0"/>
              <w:keepLines/>
              <w:widowControl w:val="0"/>
              <w:jc w:val="center"/>
              <w:rPr>
                <w:szCs w:val="20"/>
              </w:rPr>
            </w:pPr>
            <w:r w:rsidRPr="00E74297">
              <w:t>21.3 (15.2, 28.1)</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3E8D5F1E" w14:textId="77777777" w:rsidR="00DD76FD" w:rsidRPr="00E74297" w:rsidRDefault="00DD76FD" w:rsidP="00DA3CCD">
            <w:pPr>
              <w:pStyle w:val="TableText0"/>
              <w:keepLines/>
              <w:widowControl w:val="0"/>
              <w:jc w:val="center"/>
              <w:rPr>
                <w:szCs w:val="20"/>
              </w:rPr>
            </w:pPr>
            <w:r w:rsidRPr="00E74297">
              <w:t>7.1 (2.8, 13.9)</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5086E481" w14:textId="77777777" w:rsidR="00DD76FD" w:rsidRPr="00E74297" w:rsidRDefault="00DD76FD" w:rsidP="00DA3CCD">
            <w:pPr>
              <w:pStyle w:val="TableText0"/>
              <w:keepLines/>
              <w:widowControl w:val="0"/>
              <w:jc w:val="center"/>
              <w:rPr>
                <w:rFonts w:cs="Times New Roman"/>
                <w:szCs w:val="20"/>
              </w:rPr>
            </w:pPr>
            <w:r w:rsidRPr="00E74297">
              <w:rPr>
                <w:rFonts w:cs="Times New Roman"/>
                <w:szCs w:val="20"/>
              </w:rPr>
              <w:t>14.2%</w:t>
            </w:r>
          </w:p>
        </w:tc>
        <w:tc>
          <w:tcPr>
            <w:tcW w:w="879" w:type="pct"/>
            <w:tcBorders>
              <w:top w:val="nil"/>
              <w:left w:val="single" w:sz="4" w:space="0" w:color="auto"/>
              <w:bottom w:val="single" w:sz="4" w:space="0" w:color="auto"/>
            </w:tcBorders>
            <w:shd w:val="clear" w:color="auto" w:fill="auto"/>
          </w:tcPr>
          <w:p w14:paraId="61F90433" w14:textId="77777777" w:rsidR="00DD76FD" w:rsidRPr="00E74297" w:rsidRDefault="00DD76FD" w:rsidP="00863348">
            <w:pPr>
              <w:pStyle w:val="TableText0"/>
              <w:keepLines/>
              <w:widowControl w:val="0"/>
              <w:jc w:val="center"/>
            </w:pPr>
          </w:p>
        </w:tc>
      </w:tr>
      <w:tr w:rsidR="00DD76FD" w:rsidRPr="00E74297" w14:paraId="36792D2C" w14:textId="77777777" w:rsidTr="00DA3CCD">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22D604" w14:textId="4D8CEB5E" w:rsidR="00DD76FD" w:rsidRPr="00E74297" w:rsidRDefault="00DD76FD" w:rsidP="00DA3CCD">
            <w:pPr>
              <w:pStyle w:val="In-tableHeading"/>
              <w:rPr>
                <w:lang w:val="en-AU"/>
              </w:rPr>
            </w:pPr>
            <w:r w:rsidRPr="00E74297">
              <w:rPr>
                <w:lang w:val="en-AU"/>
              </w:rPr>
              <w:t>Overall survival (median duration of follow</w:t>
            </w:r>
            <w:r w:rsidR="00DA3CCD" w:rsidRPr="00E74297">
              <w:rPr>
                <w:lang w:val="en-AU"/>
              </w:rPr>
              <w:t>-</w:t>
            </w:r>
            <w:r w:rsidRPr="00E74297">
              <w:rPr>
                <w:lang w:val="en-AU"/>
              </w:rPr>
              <w:t>up 12.48 months)</w:t>
            </w:r>
          </w:p>
        </w:tc>
      </w:tr>
      <w:tr w:rsidR="00DD76FD" w:rsidRPr="00E74297" w14:paraId="403936CA" w14:textId="77777777" w:rsidTr="00DA3CCD">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61C6C307" w14:textId="77777777" w:rsidR="00DD76FD" w:rsidRPr="00E74297" w:rsidRDefault="00DD76FD" w:rsidP="00863348">
            <w:pPr>
              <w:pStyle w:val="TableText0"/>
              <w:keepLines/>
              <w:widowControl w:val="0"/>
            </w:pPr>
            <w:r w:rsidRPr="00E74297">
              <w:t xml:space="preserve">Deaths, n/N (%) </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2134DFC7" w14:textId="77777777" w:rsidR="00DD76FD" w:rsidRPr="00E74297" w:rsidRDefault="00DD76FD" w:rsidP="00DA3CCD">
            <w:pPr>
              <w:pStyle w:val="TableText0"/>
              <w:keepLines/>
              <w:widowControl w:val="0"/>
              <w:jc w:val="center"/>
            </w:pPr>
            <w:r w:rsidRPr="00E74297">
              <w:rPr>
                <w:rFonts w:cs="Times New Roman"/>
                <w:szCs w:val="20"/>
              </w:rPr>
              <w:t>191/272 (70.2%)</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04798EEB" w14:textId="77777777" w:rsidR="00DD76FD" w:rsidRPr="00E74297" w:rsidRDefault="00DD76FD" w:rsidP="00DA3CCD">
            <w:pPr>
              <w:pStyle w:val="TableText0"/>
              <w:keepLines/>
              <w:widowControl w:val="0"/>
              <w:jc w:val="center"/>
            </w:pPr>
            <w:r w:rsidRPr="00E74297">
              <w:rPr>
                <w:rFonts w:cs="Times New Roman"/>
                <w:szCs w:val="20"/>
              </w:rPr>
              <w:t>199/271 (73.4%)</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466C74A2" w14:textId="3C0D32BE" w:rsidR="00DD76FD" w:rsidRPr="00E74297" w:rsidRDefault="00DA3CCD" w:rsidP="00DA3CCD">
            <w:pPr>
              <w:pStyle w:val="TableText0"/>
              <w:keepLines/>
              <w:widowControl w:val="0"/>
              <w:jc w:val="center"/>
            </w:pPr>
            <w:r w:rsidRPr="00E74297">
              <w:t>NA</w:t>
            </w:r>
          </w:p>
        </w:tc>
        <w:tc>
          <w:tcPr>
            <w:tcW w:w="879" w:type="pct"/>
            <w:tcBorders>
              <w:top w:val="single" w:sz="4" w:space="0" w:color="auto"/>
              <w:left w:val="single" w:sz="4" w:space="0" w:color="auto"/>
              <w:bottom w:val="nil"/>
              <w:right w:val="single" w:sz="4" w:space="0" w:color="auto"/>
            </w:tcBorders>
            <w:shd w:val="clear" w:color="auto" w:fill="auto"/>
          </w:tcPr>
          <w:p w14:paraId="49C34B95" w14:textId="77777777" w:rsidR="00DD76FD" w:rsidRPr="00E74297" w:rsidRDefault="00DD76FD" w:rsidP="00863348">
            <w:pPr>
              <w:pStyle w:val="TableText0"/>
              <w:keepLines/>
              <w:widowControl w:val="0"/>
              <w:jc w:val="center"/>
              <w:rPr>
                <w:b/>
                <w:bCs w:val="0"/>
                <w:szCs w:val="20"/>
              </w:rPr>
            </w:pPr>
            <w:r w:rsidRPr="00E74297">
              <w:rPr>
                <w:b/>
                <w:bCs w:val="0"/>
                <w:szCs w:val="20"/>
              </w:rPr>
              <w:t>0.789 (0.646, 0.964)</w:t>
            </w:r>
          </w:p>
          <w:p w14:paraId="64378013" w14:textId="77777777" w:rsidR="00DD76FD" w:rsidRPr="00E74297" w:rsidRDefault="00DD76FD" w:rsidP="00863348">
            <w:pPr>
              <w:pStyle w:val="TableText0"/>
              <w:keepLines/>
              <w:widowControl w:val="0"/>
              <w:jc w:val="center"/>
              <w:rPr>
                <w:b/>
                <w:bCs w:val="0"/>
              </w:rPr>
            </w:pPr>
            <w:r w:rsidRPr="00E74297">
              <w:rPr>
                <w:b/>
                <w:bCs w:val="0"/>
                <w:szCs w:val="20"/>
              </w:rPr>
              <w:t>P= 0.0200</w:t>
            </w:r>
          </w:p>
        </w:tc>
      </w:tr>
      <w:tr w:rsidR="00DD76FD" w:rsidRPr="00E74297" w14:paraId="2906356C" w14:textId="77777777" w:rsidTr="00DA3CCD">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6DF7ADB6" w14:textId="77777777" w:rsidR="00DD76FD" w:rsidRPr="00E74297" w:rsidRDefault="00DD76FD" w:rsidP="00863348">
            <w:pPr>
              <w:pStyle w:val="TableText0"/>
              <w:keepLines/>
              <w:widowControl w:val="0"/>
            </w:pPr>
            <w:r w:rsidRPr="00E74297">
              <w:t>Median OS,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1D00026" w14:textId="77777777" w:rsidR="00DD76FD" w:rsidRPr="00E74297" w:rsidRDefault="00DD76FD" w:rsidP="00DA3CCD">
            <w:pPr>
              <w:pStyle w:val="TableText0"/>
              <w:keepLines/>
              <w:widowControl w:val="0"/>
              <w:jc w:val="center"/>
              <w:rPr>
                <w:rFonts w:cs="Times New Roman"/>
                <w:szCs w:val="20"/>
              </w:rPr>
            </w:pPr>
            <w:r w:rsidRPr="00E74297">
              <w:t>14.4 (13.0, 15.7)</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33A29456" w14:textId="77777777" w:rsidR="00DD76FD" w:rsidRPr="00E74297" w:rsidRDefault="00DD76FD" w:rsidP="00DA3CCD">
            <w:pPr>
              <w:pStyle w:val="TableText0"/>
              <w:keepLines/>
              <w:widowControl w:val="0"/>
              <w:jc w:val="center"/>
              <w:rPr>
                <w:rFonts w:cs="Times New Roman"/>
                <w:szCs w:val="20"/>
              </w:rPr>
            </w:pPr>
            <w:r w:rsidRPr="00E74297">
              <w:t>11.2 (10.1, 12.7)</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7F217B9C" w14:textId="77777777" w:rsidR="00DD76FD" w:rsidRPr="00E74297" w:rsidRDefault="00DD76FD" w:rsidP="00DA3CCD">
            <w:pPr>
              <w:pStyle w:val="TableText0"/>
              <w:keepLines/>
              <w:widowControl w:val="0"/>
              <w:jc w:val="center"/>
            </w:pPr>
            <w:r w:rsidRPr="00E74297">
              <w:t>3.2</w:t>
            </w:r>
          </w:p>
        </w:tc>
        <w:tc>
          <w:tcPr>
            <w:tcW w:w="879" w:type="pct"/>
            <w:tcBorders>
              <w:top w:val="nil"/>
              <w:left w:val="single" w:sz="4" w:space="0" w:color="auto"/>
              <w:bottom w:val="nil"/>
              <w:right w:val="single" w:sz="4" w:space="0" w:color="auto"/>
            </w:tcBorders>
            <w:shd w:val="clear" w:color="auto" w:fill="auto"/>
          </w:tcPr>
          <w:p w14:paraId="428FFDBE" w14:textId="77777777" w:rsidR="00DD76FD" w:rsidRPr="00E74297" w:rsidRDefault="00DD76FD" w:rsidP="00863348">
            <w:pPr>
              <w:pStyle w:val="TableText0"/>
              <w:keepLines/>
              <w:widowControl w:val="0"/>
              <w:jc w:val="center"/>
              <w:rPr>
                <w:szCs w:val="20"/>
              </w:rPr>
            </w:pPr>
          </w:p>
        </w:tc>
      </w:tr>
      <w:tr w:rsidR="00DD76FD" w:rsidRPr="00E74297" w14:paraId="1E3733C0" w14:textId="77777777" w:rsidTr="00DA3CCD">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6E3C2A14" w14:textId="77777777" w:rsidR="00DD76FD" w:rsidRPr="00E74297" w:rsidRDefault="00DD76FD" w:rsidP="00863348">
            <w:pPr>
              <w:pStyle w:val="TableText0"/>
              <w:keepLines/>
              <w:widowControl w:val="0"/>
            </w:pPr>
            <w:r w:rsidRPr="00E74297">
              <w:t xml:space="preserve">% Alive at 12 months (95% CI) </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152723CD" w14:textId="77777777" w:rsidR="00DD76FD" w:rsidRPr="00E74297" w:rsidRDefault="00DD76FD" w:rsidP="00DA3CCD">
            <w:pPr>
              <w:pStyle w:val="TableText0"/>
              <w:keepLines/>
              <w:widowControl w:val="0"/>
              <w:jc w:val="center"/>
            </w:pPr>
            <w:r w:rsidRPr="00E74297">
              <w:t>60.8 (54.6, 66.4)</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19951D8E" w14:textId="77777777" w:rsidR="00DD76FD" w:rsidRPr="00E74297" w:rsidRDefault="00DD76FD" w:rsidP="00DA3CCD">
            <w:pPr>
              <w:pStyle w:val="TableText0"/>
              <w:keepLines/>
              <w:widowControl w:val="0"/>
              <w:jc w:val="center"/>
              <w:rPr>
                <w:szCs w:val="20"/>
              </w:rPr>
            </w:pPr>
            <w:r w:rsidRPr="00E74297">
              <w:t>47.3 (41.1, 53.2)</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89B9F44" w14:textId="77777777" w:rsidR="00DD76FD" w:rsidRPr="00E74297" w:rsidRDefault="00DD76FD" w:rsidP="00DA3CCD">
            <w:pPr>
              <w:pStyle w:val="TableText0"/>
              <w:keepLines/>
              <w:widowControl w:val="0"/>
              <w:jc w:val="center"/>
            </w:pPr>
            <w:r w:rsidRPr="00E74297">
              <w:t>13.5%</w:t>
            </w:r>
          </w:p>
        </w:tc>
        <w:tc>
          <w:tcPr>
            <w:tcW w:w="879" w:type="pct"/>
            <w:tcBorders>
              <w:top w:val="nil"/>
              <w:left w:val="single" w:sz="4" w:space="0" w:color="auto"/>
              <w:bottom w:val="nil"/>
              <w:right w:val="single" w:sz="4" w:space="0" w:color="auto"/>
            </w:tcBorders>
            <w:shd w:val="clear" w:color="auto" w:fill="auto"/>
          </w:tcPr>
          <w:p w14:paraId="55399C8A" w14:textId="77777777" w:rsidR="00DD76FD" w:rsidRPr="00E74297" w:rsidRDefault="00DD76FD" w:rsidP="00863348">
            <w:pPr>
              <w:pStyle w:val="TableText0"/>
              <w:keepLines/>
              <w:widowControl w:val="0"/>
              <w:jc w:val="center"/>
            </w:pPr>
          </w:p>
        </w:tc>
      </w:tr>
      <w:tr w:rsidR="00DD76FD" w:rsidRPr="00E74297" w14:paraId="74902B19" w14:textId="77777777" w:rsidTr="00DA3CCD">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46C90984" w14:textId="1FC3420D" w:rsidR="00DD76FD" w:rsidRPr="00E74297" w:rsidRDefault="00DD76FD" w:rsidP="00863348">
            <w:pPr>
              <w:pStyle w:val="TableText0"/>
              <w:keepLines/>
              <w:widowControl w:val="0"/>
            </w:pPr>
            <w:r w:rsidRPr="00E74297">
              <w:t xml:space="preserve">% Alive at </w:t>
            </w:r>
            <w:r w:rsidR="00A22EC1" w:rsidRPr="00E74297">
              <w:t>24</w:t>
            </w:r>
            <w:r w:rsidR="009765C5" w:rsidRPr="00E74297">
              <w:t xml:space="preserve"> </w:t>
            </w:r>
            <w:r w:rsidRPr="00E74297">
              <w:t xml:space="preserve">months (95% CI) </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297EF2B5" w14:textId="0AC36849" w:rsidR="00DD76FD" w:rsidRPr="00E74297" w:rsidRDefault="00A22EC1" w:rsidP="00DA3CCD">
            <w:pPr>
              <w:pStyle w:val="TableText0"/>
              <w:keepLines/>
              <w:widowControl w:val="0"/>
              <w:jc w:val="center"/>
              <w:rPr>
                <w:szCs w:val="20"/>
              </w:rPr>
            </w:pPr>
            <w:r w:rsidRPr="00E74297">
              <w:t>24</w:t>
            </w:r>
            <w:r w:rsidR="004A28D4" w:rsidRPr="00E74297">
              <w:t>.</w:t>
            </w:r>
            <w:r w:rsidRPr="00E74297">
              <w:t>6% (18.8, 30.7)</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0631D6DC" w14:textId="2BA97554" w:rsidR="00DD76FD" w:rsidRPr="00E74297" w:rsidRDefault="00A22EC1" w:rsidP="00DA3CCD">
            <w:pPr>
              <w:pStyle w:val="TableText0"/>
              <w:keepLines/>
              <w:widowControl w:val="0"/>
              <w:jc w:val="center"/>
              <w:rPr>
                <w:szCs w:val="20"/>
              </w:rPr>
            </w:pPr>
            <w:r w:rsidRPr="00E74297">
              <w:t>21.4 (16.0, 27.3)</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410C65E0" w14:textId="1F06CF6A" w:rsidR="00DD76FD" w:rsidRPr="00E74297" w:rsidRDefault="00852E35" w:rsidP="00DA3CCD">
            <w:pPr>
              <w:pStyle w:val="TableText0"/>
              <w:keepLines/>
              <w:widowControl w:val="0"/>
              <w:jc w:val="center"/>
            </w:pPr>
            <w:r w:rsidRPr="00E74297">
              <w:t>3.2%</w:t>
            </w:r>
          </w:p>
        </w:tc>
        <w:tc>
          <w:tcPr>
            <w:tcW w:w="879" w:type="pct"/>
            <w:tcBorders>
              <w:top w:val="nil"/>
              <w:left w:val="single" w:sz="4" w:space="0" w:color="auto"/>
              <w:bottom w:val="nil"/>
              <w:right w:val="single" w:sz="4" w:space="0" w:color="auto"/>
            </w:tcBorders>
            <w:shd w:val="clear" w:color="auto" w:fill="auto"/>
          </w:tcPr>
          <w:p w14:paraId="13AD25CF" w14:textId="77777777" w:rsidR="00DD76FD" w:rsidRPr="00E74297" w:rsidRDefault="00DD76FD" w:rsidP="00863348">
            <w:pPr>
              <w:pStyle w:val="TableText0"/>
              <w:keepLines/>
              <w:widowControl w:val="0"/>
              <w:jc w:val="center"/>
            </w:pPr>
          </w:p>
        </w:tc>
      </w:tr>
    </w:tbl>
    <w:tbl>
      <w:tblPr>
        <w:tblW w:w="5000" w:type="pct"/>
        <w:tblLayout w:type="fixed"/>
        <w:tblCellMar>
          <w:left w:w="28" w:type="dxa"/>
          <w:right w:w="28" w:type="dxa"/>
        </w:tblCellMar>
        <w:tblLook w:val="04A0" w:firstRow="1" w:lastRow="0" w:firstColumn="1" w:lastColumn="0" w:noHBand="0" w:noVBand="1"/>
      </w:tblPr>
      <w:tblGrid>
        <w:gridCol w:w="1148"/>
        <w:gridCol w:w="6"/>
        <w:gridCol w:w="1128"/>
        <w:gridCol w:w="9"/>
        <w:gridCol w:w="1277"/>
        <w:gridCol w:w="1555"/>
        <w:gridCol w:w="1133"/>
        <w:gridCol w:w="1362"/>
        <w:gridCol w:w="1399"/>
      </w:tblGrid>
      <w:tr w:rsidR="00DD76FD" w:rsidRPr="00E74297" w14:paraId="7216DAB3" w14:textId="77777777" w:rsidTr="00863348">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59D24110" w14:textId="77777777" w:rsidR="00DD76FD" w:rsidRPr="00E74297" w:rsidRDefault="00DD76FD" w:rsidP="00863348">
            <w:pPr>
              <w:pStyle w:val="In-tableHeading"/>
              <w:rPr>
                <w:lang w:val="en-AU"/>
              </w:rPr>
            </w:pPr>
            <w:r w:rsidRPr="00E74297">
              <w:rPr>
                <w:lang w:val="en-AU"/>
              </w:rPr>
              <w:t xml:space="preserve">Harms </w:t>
            </w:r>
          </w:p>
        </w:tc>
      </w:tr>
      <w:tr w:rsidR="00DD76FD" w:rsidRPr="00E74297" w14:paraId="3CE078EB" w14:textId="77777777" w:rsidTr="00863348">
        <w:trPr>
          <w:trHeight w:val="70"/>
        </w:trPr>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D107B3" w14:textId="77777777" w:rsidR="00DD76FD" w:rsidRPr="00E74297" w:rsidRDefault="00DD76FD" w:rsidP="00863348">
            <w:pPr>
              <w:pStyle w:val="In-tableHeading"/>
              <w:rPr>
                <w:lang w:val="en-AU"/>
              </w:rPr>
            </w:pPr>
          </w:p>
        </w:tc>
        <w:tc>
          <w:tcPr>
            <w:tcW w:w="629" w:type="pct"/>
            <w:gridSpan w:val="2"/>
            <w:vMerge w:val="restart"/>
            <w:tcBorders>
              <w:top w:val="single" w:sz="4" w:space="0" w:color="auto"/>
              <w:left w:val="single" w:sz="4" w:space="0" w:color="auto"/>
              <w:bottom w:val="single" w:sz="4" w:space="0" w:color="auto"/>
              <w:right w:val="single" w:sz="4" w:space="0" w:color="auto"/>
            </w:tcBorders>
            <w:vAlign w:val="center"/>
          </w:tcPr>
          <w:p w14:paraId="7B2155D6" w14:textId="77777777" w:rsidR="00DD76FD" w:rsidRPr="00E74297" w:rsidRDefault="00DD76FD" w:rsidP="00863348">
            <w:pPr>
              <w:pStyle w:val="In-tableHeading"/>
              <w:jc w:val="center"/>
              <w:rPr>
                <w:lang w:val="en-AU"/>
              </w:rPr>
            </w:pPr>
            <w:r w:rsidRPr="00E74297">
              <w:rPr>
                <w:lang w:val="en-AU"/>
              </w:rPr>
              <w:t>SG</w:t>
            </w:r>
          </w:p>
        </w:tc>
        <w:tc>
          <w:tcPr>
            <w:tcW w:w="713" w:type="pct"/>
            <w:gridSpan w:val="2"/>
            <w:vMerge w:val="restart"/>
            <w:tcBorders>
              <w:top w:val="single" w:sz="4" w:space="0" w:color="auto"/>
              <w:left w:val="single" w:sz="4" w:space="0" w:color="auto"/>
              <w:bottom w:val="single" w:sz="4" w:space="0" w:color="auto"/>
              <w:right w:val="single" w:sz="4" w:space="0" w:color="auto"/>
            </w:tcBorders>
            <w:vAlign w:val="center"/>
          </w:tcPr>
          <w:p w14:paraId="48E6DDAA" w14:textId="77777777" w:rsidR="00DD76FD" w:rsidRPr="00E74297" w:rsidRDefault="00DD76FD" w:rsidP="00863348">
            <w:pPr>
              <w:pStyle w:val="In-tableHeading"/>
              <w:jc w:val="center"/>
              <w:rPr>
                <w:lang w:val="en-AU"/>
              </w:rPr>
            </w:pPr>
            <w:r w:rsidRPr="00E74297">
              <w:rPr>
                <w:lang w:val="en-AU"/>
              </w:rPr>
              <w:t>TPC</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5BD2A463" w14:textId="77777777" w:rsidR="00DD76FD" w:rsidRPr="00E74297" w:rsidRDefault="00DD76FD" w:rsidP="00863348">
            <w:pPr>
              <w:pStyle w:val="In-tableHeading"/>
              <w:jc w:val="center"/>
              <w:rPr>
                <w:lang w:val="en-AU"/>
              </w:rPr>
            </w:pPr>
            <w:r w:rsidRPr="00E74297">
              <w:rPr>
                <w:lang w:val="en-AU"/>
              </w:rPr>
              <w:t>RR</w:t>
            </w:r>
          </w:p>
          <w:p w14:paraId="3AF95DCE" w14:textId="77777777" w:rsidR="00DD76FD" w:rsidRPr="00E74297" w:rsidRDefault="00DD76FD" w:rsidP="00863348">
            <w:pPr>
              <w:pStyle w:val="In-tableHeading"/>
              <w:jc w:val="center"/>
              <w:rPr>
                <w:lang w:val="en-AU"/>
              </w:rPr>
            </w:pPr>
            <w:r w:rsidRPr="00E74297">
              <w:rPr>
                <w:lang w:val="en-AU"/>
              </w:rPr>
              <w:t>(95% CI)</w:t>
            </w:r>
          </w:p>
        </w:tc>
        <w:tc>
          <w:tcPr>
            <w:tcW w:w="1383" w:type="pct"/>
            <w:gridSpan w:val="2"/>
            <w:tcBorders>
              <w:top w:val="single" w:sz="4" w:space="0" w:color="auto"/>
              <w:left w:val="single" w:sz="4" w:space="0" w:color="auto"/>
              <w:bottom w:val="single" w:sz="4" w:space="0" w:color="auto"/>
              <w:right w:val="single" w:sz="4" w:space="0" w:color="auto"/>
            </w:tcBorders>
            <w:vAlign w:val="center"/>
          </w:tcPr>
          <w:p w14:paraId="0B907AA3" w14:textId="77777777" w:rsidR="00DD76FD" w:rsidRPr="00E74297" w:rsidRDefault="00DD76FD" w:rsidP="00863348">
            <w:pPr>
              <w:pStyle w:val="In-tableHeading"/>
              <w:jc w:val="center"/>
              <w:rPr>
                <w:lang w:val="en-AU"/>
              </w:rPr>
            </w:pPr>
            <w:r w:rsidRPr="00E74297">
              <w:rPr>
                <w:lang w:val="en-AU"/>
              </w:rPr>
              <w:t>Event rate/100 patients*</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40BD67AD" w14:textId="77777777" w:rsidR="00DD76FD" w:rsidRPr="00E74297" w:rsidRDefault="00DD76FD" w:rsidP="00863348">
            <w:pPr>
              <w:pStyle w:val="In-tableHeading"/>
              <w:jc w:val="center"/>
              <w:rPr>
                <w:lang w:val="en-AU"/>
              </w:rPr>
            </w:pPr>
            <w:r w:rsidRPr="00E74297">
              <w:rPr>
                <w:lang w:val="en-AU"/>
              </w:rPr>
              <w:t>RD</w:t>
            </w:r>
          </w:p>
          <w:p w14:paraId="3D3F34FC" w14:textId="77777777" w:rsidR="00DD76FD" w:rsidRPr="00E74297" w:rsidRDefault="00DD76FD" w:rsidP="00863348">
            <w:pPr>
              <w:pStyle w:val="In-tableHeading"/>
              <w:jc w:val="center"/>
              <w:rPr>
                <w:lang w:val="en-AU"/>
              </w:rPr>
            </w:pPr>
            <w:r w:rsidRPr="00E74297">
              <w:rPr>
                <w:lang w:val="en-AU"/>
              </w:rPr>
              <w:t>(95% CI)</w:t>
            </w:r>
          </w:p>
        </w:tc>
      </w:tr>
      <w:tr w:rsidR="00DD76FD" w:rsidRPr="00E74297" w14:paraId="5BD13C88" w14:textId="77777777" w:rsidTr="00863348">
        <w:trPr>
          <w:trHeight w:val="390"/>
        </w:trPr>
        <w:tc>
          <w:tcPr>
            <w:tcW w:w="6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8BB341" w14:textId="77777777" w:rsidR="00DD76FD" w:rsidRPr="00E74297" w:rsidRDefault="00DD76FD" w:rsidP="00863348">
            <w:pPr>
              <w:pStyle w:val="In-tableHeading"/>
              <w:rPr>
                <w:lang w:val="en-AU"/>
              </w:rPr>
            </w:pPr>
          </w:p>
        </w:tc>
        <w:tc>
          <w:tcPr>
            <w:tcW w:w="629" w:type="pct"/>
            <w:gridSpan w:val="2"/>
            <w:vMerge/>
            <w:tcBorders>
              <w:top w:val="single" w:sz="4" w:space="0" w:color="auto"/>
              <w:left w:val="single" w:sz="4" w:space="0" w:color="auto"/>
              <w:bottom w:val="single" w:sz="4" w:space="0" w:color="auto"/>
              <w:right w:val="single" w:sz="4" w:space="0" w:color="auto"/>
            </w:tcBorders>
            <w:vAlign w:val="center"/>
          </w:tcPr>
          <w:p w14:paraId="2C687CF6" w14:textId="77777777" w:rsidR="00DD76FD" w:rsidRPr="00E74297" w:rsidRDefault="00DD76FD" w:rsidP="00863348">
            <w:pPr>
              <w:pStyle w:val="In-tableHeading"/>
              <w:rPr>
                <w:lang w:val="en-AU"/>
              </w:rPr>
            </w:pPr>
          </w:p>
        </w:tc>
        <w:tc>
          <w:tcPr>
            <w:tcW w:w="713" w:type="pct"/>
            <w:gridSpan w:val="2"/>
            <w:vMerge/>
            <w:tcBorders>
              <w:top w:val="single" w:sz="4" w:space="0" w:color="auto"/>
              <w:left w:val="single" w:sz="4" w:space="0" w:color="auto"/>
              <w:bottom w:val="single" w:sz="4" w:space="0" w:color="auto"/>
              <w:right w:val="single" w:sz="4" w:space="0" w:color="auto"/>
            </w:tcBorders>
            <w:vAlign w:val="center"/>
          </w:tcPr>
          <w:p w14:paraId="3F8EB39F" w14:textId="77777777" w:rsidR="00DD76FD" w:rsidRPr="00E74297" w:rsidRDefault="00DD76FD" w:rsidP="00863348">
            <w:pPr>
              <w:pStyle w:val="In-tableHeading"/>
              <w:rPr>
                <w:lang w:val="en-AU"/>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608DB4D3" w14:textId="77777777" w:rsidR="00DD76FD" w:rsidRPr="00E74297" w:rsidRDefault="00DD76FD" w:rsidP="00863348">
            <w:pPr>
              <w:pStyle w:val="In-tableHeading"/>
              <w:rPr>
                <w:lang w:val="en-AU"/>
              </w:rPr>
            </w:pPr>
          </w:p>
        </w:tc>
        <w:tc>
          <w:tcPr>
            <w:tcW w:w="628" w:type="pct"/>
            <w:tcBorders>
              <w:top w:val="single" w:sz="4" w:space="0" w:color="auto"/>
              <w:left w:val="single" w:sz="4" w:space="0" w:color="auto"/>
              <w:bottom w:val="single" w:sz="4" w:space="0" w:color="auto"/>
              <w:right w:val="single" w:sz="4" w:space="0" w:color="auto"/>
            </w:tcBorders>
            <w:vAlign w:val="center"/>
          </w:tcPr>
          <w:p w14:paraId="375EE93B" w14:textId="77777777" w:rsidR="00DD76FD" w:rsidRPr="00E74297" w:rsidRDefault="00DD76FD" w:rsidP="00863348">
            <w:pPr>
              <w:pStyle w:val="In-tableHeading"/>
              <w:jc w:val="center"/>
              <w:rPr>
                <w:lang w:val="en-AU"/>
              </w:rPr>
            </w:pPr>
            <w:r w:rsidRPr="00E74297">
              <w:rPr>
                <w:lang w:val="en-AU"/>
              </w:rPr>
              <w:t>SG</w:t>
            </w:r>
          </w:p>
        </w:tc>
        <w:tc>
          <w:tcPr>
            <w:tcW w:w="755" w:type="pct"/>
            <w:tcBorders>
              <w:top w:val="single" w:sz="4" w:space="0" w:color="auto"/>
              <w:left w:val="single" w:sz="4" w:space="0" w:color="auto"/>
              <w:bottom w:val="single" w:sz="4" w:space="0" w:color="auto"/>
              <w:right w:val="single" w:sz="4" w:space="0" w:color="auto"/>
            </w:tcBorders>
            <w:vAlign w:val="center"/>
          </w:tcPr>
          <w:p w14:paraId="4F264976" w14:textId="77777777" w:rsidR="00DD76FD" w:rsidRPr="00E74297" w:rsidRDefault="00DD76FD" w:rsidP="00863348">
            <w:pPr>
              <w:pStyle w:val="In-tableHeading"/>
              <w:jc w:val="center"/>
              <w:rPr>
                <w:lang w:val="en-AU"/>
              </w:rPr>
            </w:pPr>
            <w:r w:rsidRPr="00E74297">
              <w:rPr>
                <w:lang w:val="en-AU"/>
              </w:rPr>
              <w:t>TPC</w:t>
            </w:r>
          </w:p>
        </w:tc>
        <w:tc>
          <w:tcPr>
            <w:tcW w:w="776" w:type="pct"/>
            <w:vMerge/>
            <w:tcBorders>
              <w:top w:val="single" w:sz="4" w:space="0" w:color="auto"/>
              <w:left w:val="single" w:sz="4" w:space="0" w:color="auto"/>
              <w:bottom w:val="single" w:sz="4" w:space="0" w:color="auto"/>
              <w:right w:val="single" w:sz="4" w:space="0" w:color="auto"/>
            </w:tcBorders>
            <w:vAlign w:val="center"/>
          </w:tcPr>
          <w:p w14:paraId="0ADD0338" w14:textId="77777777" w:rsidR="00DD76FD" w:rsidRPr="00E74297" w:rsidRDefault="00DD76FD" w:rsidP="00863348">
            <w:pPr>
              <w:pStyle w:val="In-tableHeading"/>
              <w:rPr>
                <w:lang w:val="en-AU"/>
              </w:rPr>
            </w:pPr>
          </w:p>
        </w:tc>
      </w:tr>
      <w:tr w:rsidR="00DD76FD" w:rsidRPr="00E74297" w14:paraId="39A70BC0" w14:textId="77777777" w:rsidTr="00863348">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0C084C" w14:textId="70E68BE7" w:rsidR="00DD76FD" w:rsidRPr="00E74297" w:rsidRDefault="003D20F2" w:rsidP="00863348">
            <w:pPr>
              <w:pStyle w:val="In-tableHeading"/>
              <w:jc w:val="both"/>
              <w:rPr>
                <w:lang w:val="en-AU"/>
              </w:rPr>
            </w:pPr>
            <w:r w:rsidRPr="00E74297">
              <w:rPr>
                <w:lang w:val="en-AU"/>
              </w:rPr>
              <w:t>TROPiCS-02</w:t>
            </w:r>
          </w:p>
        </w:tc>
      </w:tr>
      <w:tr w:rsidR="00DD76FD" w:rsidRPr="00E74297" w14:paraId="0BE64C77" w14:textId="77777777" w:rsidTr="00863348">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A8ACF" w14:textId="77777777" w:rsidR="00DD76FD" w:rsidRPr="00E74297" w:rsidRDefault="00DD76FD" w:rsidP="00863348">
            <w:pPr>
              <w:pStyle w:val="TableText0"/>
            </w:pPr>
            <w:r w:rsidRPr="00E74297">
              <w:t>Grade ≥ 3 TEAEs</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702BFAAB" w14:textId="77777777" w:rsidR="00DD76FD" w:rsidRPr="00E74297" w:rsidRDefault="00DD76FD" w:rsidP="00863348">
            <w:pPr>
              <w:pStyle w:val="TableText0"/>
              <w:jc w:val="center"/>
            </w:pPr>
            <w:r w:rsidRPr="00E74297">
              <w:t>198/268</w:t>
            </w:r>
          </w:p>
        </w:tc>
        <w:tc>
          <w:tcPr>
            <w:tcW w:w="708" w:type="pct"/>
            <w:tcBorders>
              <w:top w:val="single" w:sz="4" w:space="0" w:color="auto"/>
              <w:left w:val="single" w:sz="4" w:space="0" w:color="auto"/>
              <w:bottom w:val="single" w:sz="4" w:space="0" w:color="auto"/>
              <w:right w:val="single" w:sz="4" w:space="0" w:color="auto"/>
            </w:tcBorders>
            <w:vAlign w:val="center"/>
          </w:tcPr>
          <w:p w14:paraId="623C594C" w14:textId="77777777" w:rsidR="00DD76FD" w:rsidRPr="00E74297" w:rsidRDefault="00DD76FD" w:rsidP="00863348">
            <w:pPr>
              <w:pStyle w:val="TableText0"/>
              <w:jc w:val="center"/>
            </w:pPr>
            <w:r w:rsidRPr="00E74297">
              <w:t>150/249</w:t>
            </w:r>
          </w:p>
        </w:tc>
        <w:tc>
          <w:tcPr>
            <w:tcW w:w="862" w:type="pct"/>
            <w:tcBorders>
              <w:top w:val="single" w:sz="4" w:space="0" w:color="auto"/>
              <w:left w:val="single" w:sz="4" w:space="0" w:color="auto"/>
              <w:bottom w:val="single" w:sz="4" w:space="0" w:color="auto"/>
              <w:right w:val="single" w:sz="4" w:space="0" w:color="auto"/>
            </w:tcBorders>
            <w:vAlign w:val="center"/>
          </w:tcPr>
          <w:p w14:paraId="403A9718" w14:textId="77777777" w:rsidR="00DD76FD" w:rsidRPr="00E74297" w:rsidRDefault="00DD76FD" w:rsidP="00863348">
            <w:pPr>
              <w:pStyle w:val="TableText0"/>
              <w:jc w:val="center"/>
              <w:rPr>
                <w:b/>
              </w:rPr>
            </w:pPr>
            <w:r w:rsidRPr="00E74297">
              <w:rPr>
                <w:b/>
              </w:rPr>
              <w:t>1.23 (1.08, 1.39)</w:t>
            </w:r>
          </w:p>
        </w:tc>
        <w:tc>
          <w:tcPr>
            <w:tcW w:w="628" w:type="pct"/>
            <w:tcBorders>
              <w:top w:val="single" w:sz="4" w:space="0" w:color="auto"/>
              <w:left w:val="single" w:sz="4" w:space="0" w:color="auto"/>
              <w:bottom w:val="single" w:sz="4" w:space="0" w:color="auto"/>
              <w:right w:val="single" w:sz="4" w:space="0" w:color="auto"/>
            </w:tcBorders>
            <w:vAlign w:val="center"/>
          </w:tcPr>
          <w:p w14:paraId="22C34F6F" w14:textId="77777777" w:rsidR="00DD76FD" w:rsidRPr="00E74297" w:rsidRDefault="00DD76FD" w:rsidP="00863348">
            <w:pPr>
              <w:pStyle w:val="TableText0"/>
              <w:jc w:val="center"/>
            </w:pPr>
            <w:r w:rsidRPr="00E74297">
              <w:t>74</w:t>
            </w:r>
          </w:p>
        </w:tc>
        <w:tc>
          <w:tcPr>
            <w:tcW w:w="755" w:type="pct"/>
            <w:tcBorders>
              <w:top w:val="single" w:sz="4" w:space="0" w:color="auto"/>
              <w:left w:val="single" w:sz="4" w:space="0" w:color="auto"/>
              <w:bottom w:val="single" w:sz="4" w:space="0" w:color="auto"/>
              <w:right w:val="single" w:sz="4" w:space="0" w:color="auto"/>
            </w:tcBorders>
            <w:vAlign w:val="center"/>
          </w:tcPr>
          <w:p w14:paraId="39CB1563" w14:textId="77777777" w:rsidR="00DD76FD" w:rsidRPr="00E74297" w:rsidRDefault="00DD76FD" w:rsidP="00863348">
            <w:pPr>
              <w:pStyle w:val="TableText0"/>
              <w:jc w:val="center"/>
            </w:pPr>
            <w:r w:rsidRPr="00E74297">
              <w:t>60</w:t>
            </w:r>
          </w:p>
        </w:tc>
        <w:tc>
          <w:tcPr>
            <w:tcW w:w="776" w:type="pct"/>
            <w:tcBorders>
              <w:top w:val="single" w:sz="4" w:space="0" w:color="auto"/>
              <w:left w:val="single" w:sz="4" w:space="0" w:color="auto"/>
              <w:bottom w:val="single" w:sz="4" w:space="0" w:color="auto"/>
              <w:right w:val="single" w:sz="4" w:space="0" w:color="auto"/>
            </w:tcBorders>
            <w:vAlign w:val="center"/>
          </w:tcPr>
          <w:p w14:paraId="3F005C6B" w14:textId="77777777" w:rsidR="00DD76FD" w:rsidRPr="00E74297" w:rsidRDefault="00DD76FD" w:rsidP="00863348">
            <w:pPr>
              <w:pStyle w:val="TableText0"/>
              <w:jc w:val="center"/>
              <w:rPr>
                <w:b/>
              </w:rPr>
            </w:pPr>
            <w:r w:rsidRPr="00E74297">
              <w:rPr>
                <w:b/>
              </w:rPr>
              <w:t>0.14 (0.06, 0.22)</w:t>
            </w:r>
          </w:p>
        </w:tc>
      </w:tr>
      <w:tr w:rsidR="00DD76FD" w:rsidRPr="00E74297" w14:paraId="48AEE71A" w14:textId="77777777" w:rsidTr="00863348">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031AC" w14:textId="77777777" w:rsidR="00DD76FD" w:rsidRPr="00E74297" w:rsidRDefault="00DD76FD" w:rsidP="00863348">
            <w:pPr>
              <w:pStyle w:val="TableText0"/>
            </w:pPr>
            <w:r w:rsidRPr="00E74297">
              <w:t>Treatment emergent SAEs</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114E4F0E" w14:textId="77777777" w:rsidR="00DD76FD" w:rsidRPr="00E74297" w:rsidRDefault="00DD76FD" w:rsidP="00863348">
            <w:pPr>
              <w:pStyle w:val="TableText0"/>
              <w:jc w:val="center"/>
            </w:pPr>
            <w:r w:rsidRPr="00E74297">
              <w:t>74/268</w:t>
            </w:r>
          </w:p>
        </w:tc>
        <w:tc>
          <w:tcPr>
            <w:tcW w:w="708" w:type="pct"/>
            <w:tcBorders>
              <w:top w:val="single" w:sz="4" w:space="0" w:color="auto"/>
              <w:left w:val="single" w:sz="4" w:space="0" w:color="auto"/>
              <w:bottom w:val="single" w:sz="4" w:space="0" w:color="auto"/>
              <w:right w:val="single" w:sz="4" w:space="0" w:color="auto"/>
            </w:tcBorders>
            <w:vAlign w:val="center"/>
          </w:tcPr>
          <w:p w14:paraId="043B8F13" w14:textId="77777777" w:rsidR="00DD76FD" w:rsidRPr="00E74297" w:rsidRDefault="00DD76FD" w:rsidP="00863348">
            <w:pPr>
              <w:pStyle w:val="TableText0"/>
              <w:jc w:val="center"/>
            </w:pPr>
            <w:r w:rsidRPr="00E74297">
              <w:t>48/249</w:t>
            </w:r>
          </w:p>
        </w:tc>
        <w:tc>
          <w:tcPr>
            <w:tcW w:w="862" w:type="pct"/>
            <w:tcBorders>
              <w:top w:val="single" w:sz="4" w:space="0" w:color="auto"/>
              <w:left w:val="single" w:sz="4" w:space="0" w:color="auto"/>
              <w:bottom w:val="single" w:sz="4" w:space="0" w:color="auto"/>
              <w:right w:val="single" w:sz="4" w:space="0" w:color="auto"/>
            </w:tcBorders>
            <w:vAlign w:val="center"/>
          </w:tcPr>
          <w:p w14:paraId="7BEC8E36" w14:textId="77777777" w:rsidR="00DD76FD" w:rsidRPr="00E74297" w:rsidRDefault="00DD76FD" w:rsidP="00863348">
            <w:pPr>
              <w:pStyle w:val="TableText0"/>
              <w:jc w:val="center"/>
              <w:rPr>
                <w:b/>
              </w:rPr>
            </w:pPr>
            <w:r w:rsidRPr="00E74297">
              <w:rPr>
                <w:b/>
              </w:rPr>
              <w:t>1.43 (1.04, 1.97)</w:t>
            </w:r>
          </w:p>
        </w:tc>
        <w:tc>
          <w:tcPr>
            <w:tcW w:w="628" w:type="pct"/>
            <w:tcBorders>
              <w:top w:val="single" w:sz="4" w:space="0" w:color="auto"/>
              <w:left w:val="single" w:sz="4" w:space="0" w:color="auto"/>
              <w:bottom w:val="single" w:sz="4" w:space="0" w:color="auto"/>
              <w:right w:val="single" w:sz="4" w:space="0" w:color="auto"/>
            </w:tcBorders>
            <w:vAlign w:val="center"/>
          </w:tcPr>
          <w:p w14:paraId="3D18A44E" w14:textId="77777777" w:rsidR="00DD76FD" w:rsidRPr="00E74297" w:rsidRDefault="00DD76FD" w:rsidP="00863348">
            <w:pPr>
              <w:pStyle w:val="TableText0"/>
              <w:jc w:val="center"/>
            </w:pPr>
            <w:r w:rsidRPr="00E74297">
              <w:t>27</w:t>
            </w:r>
          </w:p>
        </w:tc>
        <w:tc>
          <w:tcPr>
            <w:tcW w:w="755" w:type="pct"/>
            <w:tcBorders>
              <w:top w:val="single" w:sz="4" w:space="0" w:color="auto"/>
              <w:left w:val="single" w:sz="4" w:space="0" w:color="auto"/>
              <w:bottom w:val="single" w:sz="4" w:space="0" w:color="auto"/>
              <w:right w:val="single" w:sz="4" w:space="0" w:color="auto"/>
            </w:tcBorders>
            <w:vAlign w:val="center"/>
          </w:tcPr>
          <w:p w14:paraId="75641362" w14:textId="77777777" w:rsidR="00DD76FD" w:rsidRPr="00E74297" w:rsidRDefault="00DD76FD" w:rsidP="00863348">
            <w:pPr>
              <w:pStyle w:val="TableText0"/>
              <w:jc w:val="center"/>
            </w:pPr>
            <w:r w:rsidRPr="00E74297">
              <w:t>19</w:t>
            </w:r>
          </w:p>
        </w:tc>
        <w:tc>
          <w:tcPr>
            <w:tcW w:w="776" w:type="pct"/>
            <w:tcBorders>
              <w:top w:val="single" w:sz="4" w:space="0" w:color="auto"/>
              <w:left w:val="single" w:sz="4" w:space="0" w:color="auto"/>
              <w:bottom w:val="single" w:sz="4" w:space="0" w:color="auto"/>
              <w:right w:val="single" w:sz="4" w:space="0" w:color="auto"/>
            </w:tcBorders>
            <w:vAlign w:val="center"/>
          </w:tcPr>
          <w:p w14:paraId="1B4888A5" w14:textId="77777777" w:rsidR="00DD76FD" w:rsidRPr="00E74297" w:rsidRDefault="00DD76FD" w:rsidP="00863348">
            <w:pPr>
              <w:pStyle w:val="TableText0"/>
              <w:jc w:val="center"/>
              <w:rPr>
                <w:b/>
              </w:rPr>
            </w:pPr>
            <w:r w:rsidRPr="00E74297">
              <w:rPr>
                <w:b/>
              </w:rPr>
              <w:t>0.08 (0.01, 0.16)</w:t>
            </w:r>
          </w:p>
        </w:tc>
      </w:tr>
      <w:tr w:rsidR="00DD76FD" w:rsidRPr="00E74297" w14:paraId="13F21727" w14:textId="77777777" w:rsidTr="00863348">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78E49D05" w14:textId="77777777" w:rsidR="00DD76FD" w:rsidRPr="00E74297" w:rsidRDefault="00DD76FD" w:rsidP="00863348">
            <w:pPr>
              <w:pStyle w:val="TableText0"/>
            </w:pPr>
            <w:r w:rsidRPr="00E74297">
              <w:t>Grade ≥ 3 neutropenia</w:t>
            </w:r>
          </w:p>
        </w:tc>
        <w:tc>
          <w:tcPr>
            <w:tcW w:w="634" w:type="pct"/>
            <w:gridSpan w:val="3"/>
            <w:tcBorders>
              <w:top w:val="single" w:sz="4" w:space="0" w:color="auto"/>
              <w:left w:val="single" w:sz="4" w:space="0" w:color="auto"/>
              <w:bottom w:val="single" w:sz="4" w:space="0" w:color="auto"/>
              <w:right w:val="single" w:sz="4" w:space="0" w:color="auto"/>
            </w:tcBorders>
            <w:vAlign w:val="center"/>
          </w:tcPr>
          <w:p w14:paraId="7568BB14" w14:textId="74298429" w:rsidR="00DD76FD" w:rsidRPr="00E74297" w:rsidRDefault="00DD76FD" w:rsidP="00863348">
            <w:pPr>
              <w:pStyle w:val="TableText0"/>
              <w:jc w:val="center"/>
            </w:pPr>
            <w:r w:rsidRPr="00E74297">
              <w:t>13</w:t>
            </w:r>
            <w:r w:rsidR="00C020CA" w:rsidRPr="00E74297">
              <w:t>8</w:t>
            </w:r>
            <w:r w:rsidRPr="00E74297">
              <w:t>/268</w:t>
            </w:r>
          </w:p>
        </w:tc>
        <w:tc>
          <w:tcPr>
            <w:tcW w:w="708" w:type="pct"/>
            <w:tcBorders>
              <w:top w:val="single" w:sz="4" w:space="0" w:color="auto"/>
              <w:left w:val="single" w:sz="4" w:space="0" w:color="auto"/>
              <w:bottom w:val="single" w:sz="4" w:space="0" w:color="auto"/>
              <w:right w:val="single" w:sz="4" w:space="0" w:color="auto"/>
            </w:tcBorders>
            <w:vAlign w:val="center"/>
          </w:tcPr>
          <w:p w14:paraId="4DDDEE9E" w14:textId="77777777" w:rsidR="00DD76FD" w:rsidRPr="00E74297" w:rsidRDefault="00DD76FD" w:rsidP="00863348">
            <w:pPr>
              <w:pStyle w:val="TableText0"/>
              <w:jc w:val="center"/>
            </w:pPr>
            <w:r w:rsidRPr="00E74297">
              <w:t>97/249</w:t>
            </w:r>
          </w:p>
        </w:tc>
        <w:tc>
          <w:tcPr>
            <w:tcW w:w="862" w:type="pct"/>
            <w:tcBorders>
              <w:top w:val="single" w:sz="4" w:space="0" w:color="auto"/>
              <w:left w:val="single" w:sz="4" w:space="0" w:color="auto"/>
              <w:bottom w:val="single" w:sz="4" w:space="0" w:color="auto"/>
              <w:right w:val="single" w:sz="4" w:space="0" w:color="auto"/>
            </w:tcBorders>
            <w:vAlign w:val="center"/>
          </w:tcPr>
          <w:p w14:paraId="56180315" w14:textId="1E4DB451" w:rsidR="00DD76FD" w:rsidRPr="00E74297" w:rsidRDefault="00DD76FD" w:rsidP="00863348">
            <w:pPr>
              <w:pStyle w:val="TableText0"/>
              <w:jc w:val="center"/>
              <w:rPr>
                <w:b/>
              </w:rPr>
            </w:pPr>
            <w:r w:rsidRPr="00E74297">
              <w:rPr>
                <w:b/>
              </w:rPr>
              <w:t>1.3</w:t>
            </w:r>
            <w:r w:rsidR="00C50C57" w:rsidRPr="00E74297">
              <w:rPr>
                <w:b/>
              </w:rPr>
              <w:t>2</w:t>
            </w:r>
            <w:r w:rsidRPr="00E74297">
              <w:rPr>
                <w:b/>
              </w:rPr>
              <w:t xml:space="preserve"> (1.10, 1.6</w:t>
            </w:r>
            <w:r w:rsidR="00C50C57" w:rsidRPr="00E74297">
              <w:rPr>
                <w:b/>
              </w:rPr>
              <w:t>0</w:t>
            </w:r>
            <w:r w:rsidRPr="00E74297">
              <w:rPr>
                <w:b/>
              </w:rPr>
              <w:t>)</w:t>
            </w:r>
          </w:p>
        </w:tc>
        <w:tc>
          <w:tcPr>
            <w:tcW w:w="628" w:type="pct"/>
            <w:tcBorders>
              <w:top w:val="single" w:sz="4" w:space="0" w:color="auto"/>
              <w:left w:val="single" w:sz="4" w:space="0" w:color="auto"/>
              <w:bottom w:val="single" w:sz="4" w:space="0" w:color="auto"/>
              <w:right w:val="single" w:sz="4" w:space="0" w:color="auto"/>
            </w:tcBorders>
            <w:vAlign w:val="center"/>
          </w:tcPr>
          <w:p w14:paraId="723B14BE" w14:textId="77777777" w:rsidR="00DD76FD" w:rsidRPr="00E74297" w:rsidRDefault="00DD76FD" w:rsidP="00863348">
            <w:pPr>
              <w:pStyle w:val="TableText0"/>
              <w:jc w:val="center"/>
            </w:pPr>
            <w:r w:rsidRPr="00E74297">
              <w:t>52</w:t>
            </w:r>
          </w:p>
        </w:tc>
        <w:tc>
          <w:tcPr>
            <w:tcW w:w="755" w:type="pct"/>
            <w:tcBorders>
              <w:top w:val="single" w:sz="4" w:space="0" w:color="auto"/>
              <w:left w:val="single" w:sz="4" w:space="0" w:color="auto"/>
              <w:bottom w:val="single" w:sz="4" w:space="0" w:color="auto"/>
              <w:right w:val="single" w:sz="4" w:space="0" w:color="auto"/>
            </w:tcBorders>
            <w:vAlign w:val="center"/>
          </w:tcPr>
          <w:p w14:paraId="5F97AE3D" w14:textId="77777777" w:rsidR="00DD76FD" w:rsidRPr="00E74297" w:rsidRDefault="00DD76FD" w:rsidP="00863348">
            <w:pPr>
              <w:pStyle w:val="TableText0"/>
              <w:jc w:val="center"/>
            </w:pPr>
            <w:r w:rsidRPr="00E74297">
              <w:t>39</w:t>
            </w:r>
          </w:p>
        </w:tc>
        <w:tc>
          <w:tcPr>
            <w:tcW w:w="776" w:type="pct"/>
            <w:tcBorders>
              <w:top w:val="single" w:sz="4" w:space="0" w:color="auto"/>
              <w:left w:val="single" w:sz="4" w:space="0" w:color="auto"/>
              <w:bottom w:val="single" w:sz="4" w:space="0" w:color="auto"/>
              <w:right w:val="single" w:sz="4" w:space="0" w:color="auto"/>
            </w:tcBorders>
            <w:vAlign w:val="center"/>
          </w:tcPr>
          <w:p w14:paraId="590445AE" w14:textId="260B42B2" w:rsidR="00DD76FD" w:rsidRPr="00E74297" w:rsidRDefault="00DD76FD" w:rsidP="00863348">
            <w:pPr>
              <w:pStyle w:val="TableText0"/>
              <w:jc w:val="center"/>
              <w:rPr>
                <w:b/>
              </w:rPr>
            </w:pPr>
            <w:r w:rsidRPr="00E74297">
              <w:rPr>
                <w:b/>
              </w:rPr>
              <w:t>0.13 (0.04, 0.2</w:t>
            </w:r>
            <w:r w:rsidR="00C50C57" w:rsidRPr="00E74297">
              <w:rPr>
                <w:b/>
              </w:rPr>
              <w:t>1</w:t>
            </w:r>
            <w:r w:rsidRPr="00E74297">
              <w:rPr>
                <w:b/>
              </w:rPr>
              <w:t>)</w:t>
            </w:r>
          </w:p>
        </w:tc>
      </w:tr>
      <w:tr w:rsidR="00DD76FD" w:rsidRPr="00E74297" w14:paraId="5CF2A2C3" w14:textId="77777777" w:rsidTr="00863348">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496EFF12" w14:textId="77777777" w:rsidR="00DD76FD" w:rsidRPr="00E74297" w:rsidRDefault="00DD76FD" w:rsidP="00863348">
            <w:pPr>
              <w:pStyle w:val="TableText0"/>
            </w:pPr>
            <w:r w:rsidRPr="00E74297">
              <w:t>Grade ≥ 3 leukopenia</w:t>
            </w:r>
          </w:p>
        </w:tc>
        <w:tc>
          <w:tcPr>
            <w:tcW w:w="634" w:type="pct"/>
            <w:gridSpan w:val="3"/>
            <w:tcBorders>
              <w:top w:val="single" w:sz="4" w:space="0" w:color="auto"/>
              <w:left w:val="single" w:sz="4" w:space="0" w:color="auto"/>
              <w:bottom w:val="single" w:sz="4" w:space="0" w:color="auto"/>
              <w:right w:val="single" w:sz="4" w:space="0" w:color="auto"/>
            </w:tcBorders>
            <w:vAlign w:val="center"/>
          </w:tcPr>
          <w:p w14:paraId="423C2F74" w14:textId="77777777" w:rsidR="00DD76FD" w:rsidRPr="00E74297" w:rsidRDefault="00DD76FD" w:rsidP="00863348">
            <w:pPr>
              <w:pStyle w:val="TableText0"/>
              <w:jc w:val="center"/>
            </w:pPr>
            <w:r w:rsidRPr="00E74297">
              <w:t>23/268</w:t>
            </w:r>
          </w:p>
        </w:tc>
        <w:tc>
          <w:tcPr>
            <w:tcW w:w="708" w:type="pct"/>
            <w:tcBorders>
              <w:top w:val="single" w:sz="4" w:space="0" w:color="auto"/>
              <w:left w:val="single" w:sz="4" w:space="0" w:color="auto"/>
              <w:bottom w:val="single" w:sz="4" w:space="0" w:color="auto"/>
              <w:right w:val="single" w:sz="4" w:space="0" w:color="auto"/>
            </w:tcBorders>
            <w:vAlign w:val="center"/>
          </w:tcPr>
          <w:p w14:paraId="19F54DC9" w14:textId="77777777" w:rsidR="00DD76FD" w:rsidRPr="00E74297" w:rsidRDefault="00DD76FD" w:rsidP="00863348">
            <w:pPr>
              <w:pStyle w:val="TableText0"/>
              <w:jc w:val="center"/>
            </w:pPr>
            <w:r w:rsidRPr="00E74297">
              <w:t>15/249</w:t>
            </w:r>
          </w:p>
        </w:tc>
        <w:tc>
          <w:tcPr>
            <w:tcW w:w="862" w:type="pct"/>
            <w:tcBorders>
              <w:top w:val="single" w:sz="4" w:space="0" w:color="auto"/>
              <w:left w:val="single" w:sz="4" w:space="0" w:color="auto"/>
              <w:bottom w:val="single" w:sz="4" w:space="0" w:color="auto"/>
              <w:right w:val="single" w:sz="4" w:space="0" w:color="auto"/>
            </w:tcBorders>
            <w:vAlign w:val="center"/>
          </w:tcPr>
          <w:p w14:paraId="72B5C6EC" w14:textId="77777777" w:rsidR="00DD76FD" w:rsidRPr="00E74297" w:rsidRDefault="00DD76FD" w:rsidP="00863348">
            <w:pPr>
              <w:pStyle w:val="TableText0"/>
              <w:jc w:val="center"/>
            </w:pPr>
            <w:r w:rsidRPr="00E74297">
              <w:t>1.42 (0.76, 2.67)</w:t>
            </w:r>
          </w:p>
        </w:tc>
        <w:tc>
          <w:tcPr>
            <w:tcW w:w="628" w:type="pct"/>
            <w:tcBorders>
              <w:top w:val="single" w:sz="4" w:space="0" w:color="auto"/>
              <w:left w:val="single" w:sz="4" w:space="0" w:color="auto"/>
              <w:bottom w:val="single" w:sz="4" w:space="0" w:color="auto"/>
              <w:right w:val="single" w:sz="4" w:space="0" w:color="auto"/>
            </w:tcBorders>
            <w:vAlign w:val="center"/>
          </w:tcPr>
          <w:p w14:paraId="429D40B3" w14:textId="77777777" w:rsidR="00DD76FD" w:rsidRPr="00E74297" w:rsidRDefault="00DD76FD" w:rsidP="00863348">
            <w:pPr>
              <w:pStyle w:val="TableText0"/>
              <w:jc w:val="center"/>
            </w:pPr>
            <w:r w:rsidRPr="00E74297">
              <w:t>9</w:t>
            </w:r>
          </w:p>
        </w:tc>
        <w:tc>
          <w:tcPr>
            <w:tcW w:w="755" w:type="pct"/>
            <w:tcBorders>
              <w:top w:val="single" w:sz="4" w:space="0" w:color="auto"/>
              <w:left w:val="single" w:sz="4" w:space="0" w:color="auto"/>
              <w:bottom w:val="single" w:sz="4" w:space="0" w:color="auto"/>
              <w:right w:val="single" w:sz="4" w:space="0" w:color="auto"/>
            </w:tcBorders>
            <w:vAlign w:val="center"/>
          </w:tcPr>
          <w:p w14:paraId="25C7DB56" w14:textId="77777777" w:rsidR="00DD76FD" w:rsidRPr="00E74297" w:rsidRDefault="00DD76FD" w:rsidP="00863348">
            <w:pPr>
              <w:pStyle w:val="TableText0"/>
              <w:jc w:val="center"/>
            </w:pPr>
            <w:r w:rsidRPr="00E74297">
              <w:t>6</w:t>
            </w:r>
          </w:p>
        </w:tc>
        <w:tc>
          <w:tcPr>
            <w:tcW w:w="776" w:type="pct"/>
            <w:tcBorders>
              <w:top w:val="single" w:sz="4" w:space="0" w:color="auto"/>
              <w:left w:val="single" w:sz="4" w:space="0" w:color="auto"/>
              <w:bottom w:val="single" w:sz="4" w:space="0" w:color="auto"/>
              <w:right w:val="single" w:sz="4" w:space="0" w:color="auto"/>
            </w:tcBorders>
            <w:vAlign w:val="center"/>
          </w:tcPr>
          <w:p w14:paraId="7F363094" w14:textId="190A7425" w:rsidR="00DD76FD" w:rsidRPr="00E74297" w:rsidRDefault="00DD76FD" w:rsidP="00863348">
            <w:pPr>
              <w:pStyle w:val="TableText0"/>
              <w:jc w:val="center"/>
            </w:pPr>
            <w:r w:rsidRPr="00E74297">
              <w:t>0.</w:t>
            </w:r>
            <w:r w:rsidR="006A4E52" w:rsidRPr="00E74297">
              <w:t>0</w:t>
            </w:r>
            <w:r w:rsidR="00447123" w:rsidRPr="00E74297">
              <w:t>3</w:t>
            </w:r>
            <w:r w:rsidR="007E0446" w:rsidRPr="00E74297">
              <w:t xml:space="preserve"> </w:t>
            </w:r>
            <w:r w:rsidRPr="00E74297">
              <w:t>(-0.02, 0.07)</w:t>
            </w:r>
          </w:p>
        </w:tc>
      </w:tr>
      <w:tr w:rsidR="00DD76FD" w:rsidRPr="00E74297" w14:paraId="6D6A7D60" w14:textId="77777777" w:rsidTr="00863348">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635AFC90" w14:textId="77777777" w:rsidR="00DD76FD" w:rsidRPr="00E74297" w:rsidRDefault="00DD76FD" w:rsidP="00863348">
            <w:pPr>
              <w:pStyle w:val="TableText0"/>
            </w:pPr>
            <w:r w:rsidRPr="00E74297">
              <w:t>Grade ≥ 3 diarrhoea</w:t>
            </w:r>
          </w:p>
        </w:tc>
        <w:tc>
          <w:tcPr>
            <w:tcW w:w="634" w:type="pct"/>
            <w:gridSpan w:val="3"/>
            <w:tcBorders>
              <w:top w:val="single" w:sz="4" w:space="0" w:color="auto"/>
              <w:left w:val="single" w:sz="4" w:space="0" w:color="auto"/>
              <w:bottom w:val="single" w:sz="4" w:space="0" w:color="auto"/>
              <w:right w:val="single" w:sz="4" w:space="0" w:color="auto"/>
            </w:tcBorders>
            <w:vAlign w:val="center"/>
          </w:tcPr>
          <w:p w14:paraId="34980577" w14:textId="77777777" w:rsidR="00DD76FD" w:rsidRPr="00E74297" w:rsidRDefault="00DD76FD" w:rsidP="00863348">
            <w:pPr>
              <w:pStyle w:val="TableText0"/>
              <w:jc w:val="center"/>
            </w:pPr>
            <w:r w:rsidRPr="00E74297">
              <w:t>27/268</w:t>
            </w:r>
          </w:p>
        </w:tc>
        <w:tc>
          <w:tcPr>
            <w:tcW w:w="708" w:type="pct"/>
            <w:tcBorders>
              <w:top w:val="single" w:sz="4" w:space="0" w:color="auto"/>
              <w:left w:val="single" w:sz="4" w:space="0" w:color="auto"/>
              <w:bottom w:val="single" w:sz="4" w:space="0" w:color="auto"/>
              <w:right w:val="single" w:sz="4" w:space="0" w:color="auto"/>
            </w:tcBorders>
            <w:vAlign w:val="center"/>
          </w:tcPr>
          <w:p w14:paraId="47168850" w14:textId="77777777" w:rsidR="00DD76FD" w:rsidRPr="00E74297" w:rsidRDefault="00DD76FD" w:rsidP="00863348">
            <w:pPr>
              <w:pStyle w:val="TableText0"/>
              <w:jc w:val="center"/>
            </w:pPr>
            <w:r w:rsidRPr="00E74297">
              <w:t>3/249</w:t>
            </w:r>
          </w:p>
        </w:tc>
        <w:tc>
          <w:tcPr>
            <w:tcW w:w="862" w:type="pct"/>
            <w:tcBorders>
              <w:top w:val="single" w:sz="4" w:space="0" w:color="auto"/>
              <w:left w:val="single" w:sz="4" w:space="0" w:color="auto"/>
              <w:bottom w:val="single" w:sz="4" w:space="0" w:color="auto"/>
              <w:right w:val="single" w:sz="4" w:space="0" w:color="auto"/>
            </w:tcBorders>
            <w:vAlign w:val="center"/>
          </w:tcPr>
          <w:p w14:paraId="467835FC" w14:textId="77777777" w:rsidR="00DD76FD" w:rsidRPr="00E74297" w:rsidRDefault="00DD76FD" w:rsidP="00863348">
            <w:pPr>
              <w:pStyle w:val="TableText0"/>
              <w:jc w:val="center"/>
              <w:rPr>
                <w:b/>
              </w:rPr>
            </w:pPr>
            <w:r w:rsidRPr="00E74297">
              <w:rPr>
                <w:b/>
              </w:rPr>
              <w:t>8.36 (2.57, 27.22)</w:t>
            </w:r>
          </w:p>
        </w:tc>
        <w:tc>
          <w:tcPr>
            <w:tcW w:w="628" w:type="pct"/>
            <w:tcBorders>
              <w:top w:val="single" w:sz="4" w:space="0" w:color="auto"/>
              <w:left w:val="single" w:sz="4" w:space="0" w:color="auto"/>
              <w:bottom w:val="single" w:sz="4" w:space="0" w:color="auto"/>
              <w:right w:val="single" w:sz="4" w:space="0" w:color="auto"/>
            </w:tcBorders>
            <w:vAlign w:val="center"/>
          </w:tcPr>
          <w:p w14:paraId="0CBBE4FC" w14:textId="77777777" w:rsidR="00DD76FD" w:rsidRPr="00E74297" w:rsidRDefault="00DD76FD" w:rsidP="00863348">
            <w:pPr>
              <w:pStyle w:val="TableText0"/>
              <w:jc w:val="center"/>
            </w:pPr>
            <w:r w:rsidRPr="00E74297">
              <w:t>10</w:t>
            </w:r>
          </w:p>
        </w:tc>
        <w:tc>
          <w:tcPr>
            <w:tcW w:w="755" w:type="pct"/>
            <w:tcBorders>
              <w:top w:val="single" w:sz="4" w:space="0" w:color="auto"/>
              <w:left w:val="single" w:sz="4" w:space="0" w:color="auto"/>
              <w:bottom w:val="single" w:sz="4" w:space="0" w:color="auto"/>
              <w:right w:val="single" w:sz="4" w:space="0" w:color="auto"/>
            </w:tcBorders>
            <w:vAlign w:val="center"/>
          </w:tcPr>
          <w:p w14:paraId="1F4C4242" w14:textId="77777777" w:rsidR="00DD76FD" w:rsidRPr="00E74297" w:rsidRDefault="00DD76FD" w:rsidP="00863348">
            <w:pPr>
              <w:pStyle w:val="TableText0"/>
              <w:jc w:val="center"/>
            </w:pPr>
            <w:r w:rsidRPr="00E74297">
              <w:t>1</w:t>
            </w:r>
          </w:p>
        </w:tc>
        <w:tc>
          <w:tcPr>
            <w:tcW w:w="776" w:type="pct"/>
            <w:tcBorders>
              <w:top w:val="single" w:sz="4" w:space="0" w:color="auto"/>
              <w:left w:val="single" w:sz="4" w:space="0" w:color="auto"/>
              <w:bottom w:val="single" w:sz="4" w:space="0" w:color="auto"/>
              <w:right w:val="single" w:sz="4" w:space="0" w:color="auto"/>
            </w:tcBorders>
            <w:vAlign w:val="center"/>
          </w:tcPr>
          <w:p w14:paraId="4B96A5FB" w14:textId="77777777" w:rsidR="00DD76FD" w:rsidRPr="00E74297" w:rsidRDefault="00DD76FD" w:rsidP="00863348">
            <w:pPr>
              <w:pStyle w:val="TableText0"/>
              <w:jc w:val="center"/>
              <w:rPr>
                <w:b/>
              </w:rPr>
            </w:pPr>
            <w:r w:rsidRPr="00E74297">
              <w:rPr>
                <w:b/>
              </w:rPr>
              <w:t>0.09 (0.05, 0.13)</w:t>
            </w:r>
          </w:p>
        </w:tc>
      </w:tr>
    </w:tbl>
    <w:p w14:paraId="2958BAFF" w14:textId="77777777" w:rsidR="00DD76FD" w:rsidRPr="00E74297" w:rsidRDefault="00DD76FD" w:rsidP="00DD76FD">
      <w:pPr>
        <w:pStyle w:val="FooterTableFigure"/>
        <w:rPr>
          <w:sz w:val="20"/>
        </w:rPr>
      </w:pPr>
      <w:r w:rsidRPr="00E74297">
        <w:t>Source: Table 2.5-1, p 58., Table 2.5-1, p 64., Table 2.5-10, p76., and Table 2.5-13, p79 of the submission.</w:t>
      </w:r>
    </w:p>
    <w:p w14:paraId="261DE836" w14:textId="77777777" w:rsidR="000E337C" w:rsidRPr="00E74297" w:rsidRDefault="000604A3" w:rsidP="00DD76FD">
      <w:pPr>
        <w:pStyle w:val="FooterTableFigure"/>
      </w:pPr>
      <w:r w:rsidRPr="00E74297">
        <w:t xml:space="preserve">CI = confidence interval; </w:t>
      </w:r>
      <w:r w:rsidR="00DD76FD" w:rsidRPr="00E74297">
        <w:t>HR = hazard ratio; PBO = placebo; RD = risk difference; RR = risk ratio</w:t>
      </w:r>
      <w:r w:rsidRPr="00E74297">
        <w:t>; SAE = serious adverse event; SG = sacituzumab govitecan; TEAE = treatment emergent adverse event; TPC = treatment of physician’s choice.</w:t>
      </w:r>
    </w:p>
    <w:p w14:paraId="4B701D60" w14:textId="14053062" w:rsidR="00DD76FD" w:rsidRPr="00E74297" w:rsidRDefault="00DD76FD" w:rsidP="00DD76FD">
      <w:pPr>
        <w:pStyle w:val="FooterTableFigure"/>
      </w:pPr>
      <w:r w:rsidRPr="00E74297">
        <w:rPr>
          <w:b/>
          <w:bCs/>
        </w:rPr>
        <w:t xml:space="preserve">Bold </w:t>
      </w:r>
      <w:r w:rsidRPr="00E74297">
        <w:t>= statistically significant</w:t>
      </w:r>
    </w:p>
    <w:p w14:paraId="79CE63A6" w14:textId="2B5DCAEE" w:rsidR="00F93A68" w:rsidRPr="00E74297" w:rsidRDefault="000604A3" w:rsidP="00DD76FD">
      <w:pPr>
        <w:pStyle w:val="FooterTableFigure"/>
      </w:pPr>
      <w:r w:rsidRPr="00E74297">
        <w:t>* Median duration of follow-up of 12.48 months</w:t>
      </w:r>
    </w:p>
    <w:p w14:paraId="2723D3A7" w14:textId="7D520147" w:rsidR="00DD76FD" w:rsidRPr="00E74297" w:rsidRDefault="00DD76FD" w:rsidP="00DD76FD">
      <w:pPr>
        <w:pStyle w:val="3-BodyText"/>
      </w:pPr>
      <w:bookmarkStart w:id="56" w:name="_Hlk132289214"/>
      <w:r w:rsidRPr="00E74297">
        <w:t>Based on direct evidence presented by the submission, for every 100 patients</w:t>
      </w:r>
      <w:r w:rsidR="002C5ED5" w:rsidRPr="00E74297">
        <w:t xml:space="preserve"> with unresectable locally advanced or metastatic HR+ and HER2- </w:t>
      </w:r>
      <w:r w:rsidR="00186C9A" w:rsidRPr="00E74297">
        <w:t xml:space="preserve">breast cancer </w:t>
      </w:r>
      <w:r w:rsidRPr="00E74297">
        <w:t xml:space="preserve">treated with SG </w:t>
      </w:r>
      <w:r w:rsidR="00C07A42" w:rsidRPr="00E74297">
        <w:t xml:space="preserve">instead of </w:t>
      </w:r>
      <w:r w:rsidRPr="00E74297">
        <w:t>TPC</w:t>
      </w:r>
      <w:r w:rsidR="002C5ED5" w:rsidRPr="00E74297">
        <w:t>:</w:t>
      </w:r>
    </w:p>
    <w:bookmarkEnd w:id="56"/>
    <w:p w14:paraId="2191B0BF" w14:textId="77777777" w:rsidR="000E337C" w:rsidRPr="00E74297" w:rsidRDefault="00DD76FD" w:rsidP="005B6CF9">
      <w:pPr>
        <w:pStyle w:val="3-BodyText"/>
        <w:numPr>
          <w:ilvl w:val="0"/>
          <w:numId w:val="8"/>
        </w:numPr>
        <w:ind w:left="1134"/>
      </w:pPr>
      <w:r w:rsidRPr="00E74297">
        <w:t xml:space="preserve">Approximately </w:t>
      </w:r>
      <w:r w:rsidR="00C020CA" w:rsidRPr="00E74297">
        <w:t>14</w:t>
      </w:r>
      <w:r w:rsidRPr="00E74297">
        <w:t xml:space="preserve"> additional patients will remain progression-free after </w:t>
      </w:r>
      <w:r w:rsidR="00C020CA" w:rsidRPr="00E74297">
        <w:t>12</w:t>
      </w:r>
      <w:r w:rsidRPr="00E74297">
        <w:t xml:space="preserve"> months</w:t>
      </w:r>
      <w:r w:rsidR="00F545B2" w:rsidRPr="00E74297">
        <w:t xml:space="preserve"> (median of 10.22 months follow-up)</w:t>
      </w:r>
      <w:r w:rsidRPr="00E74297">
        <w:t>.</w:t>
      </w:r>
    </w:p>
    <w:p w14:paraId="2F94D439" w14:textId="64621377" w:rsidR="00DD76FD" w:rsidRPr="00E74297" w:rsidRDefault="00DD76FD" w:rsidP="005B6CF9">
      <w:pPr>
        <w:pStyle w:val="3-BodyText"/>
        <w:numPr>
          <w:ilvl w:val="0"/>
          <w:numId w:val="8"/>
        </w:numPr>
        <w:ind w:left="1134"/>
      </w:pPr>
      <w:r w:rsidRPr="00E74297">
        <w:t xml:space="preserve">Approximately </w:t>
      </w:r>
      <w:r w:rsidR="00644488" w:rsidRPr="00E74297">
        <w:t>3</w:t>
      </w:r>
      <w:r w:rsidRPr="00E74297">
        <w:t xml:space="preserve"> additional patients will remain alive at </w:t>
      </w:r>
      <w:r w:rsidR="00644488" w:rsidRPr="00E74297">
        <w:t>24</w:t>
      </w:r>
      <w:r w:rsidRPr="00E74297">
        <w:t xml:space="preserve"> months</w:t>
      </w:r>
      <w:r w:rsidR="00F545B2" w:rsidRPr="00E74297">
        <w:t xml:space="preserve"> (median of 12.48 months follow-up)</w:t>
      </w:r>
      <w:r w:rsidRPr="00E74297">
        <w:t>.</w:t>
      </w:r>
    </w:p>
    <w:p w14:paraId="7B9E55E3" w14:textId="4101BB46" w:rsidR="00DD76FD" w:rsidRPr="00E74297" w:rsidRDefault="00D7150B" w:rsidP="00DD76FD">
      <w:pPr>
        <w:pStyle w:val="3-BodyText"/>
      </w:pPr>
      <w:r w:rsidRPr="00E74297">
        <w:t xml:space="preserve">Based on direct evidence presented by the submission, </w:t>
      </w:r>
      <w:r w:rsidR="00DD76FD" w:rsidRPr="00E74297">
        <w:t xml:space="preserve">for every 100 patients </w:t>
      </w:r>
      <w:r w:rsidR="007B6930" w:rsidRPr="00E74297">
        <w:t xml:space="preserve">with unresectable locally advanced or metastatic HR+ and HER2- </w:t>
      </w:r>
      <w:r w:rsidR="00186C9A" w:rsidRPr="00E74297">
        <w:t>breast cancer</w:t>
      </w:r>
      <w:r w:rsidR="007B6930" w:rsidRPr="00E74297">
        <w:t xml:space="preserve"> </w:t>
      </w:r>
      <w:r w:rsidR="00DD76FD" w:rsidRPr="00E74297">
        <w:t xml:space="preserve">treated with </w:t>
      </w:r>
      <w:r w:rsidR="003023E6" w:rsidRPr="00E74297">
        <w:t>SG</w:t>
      </w:r>
      <w:r w:rsidR="00DD76FD" w:rsidRPr="00E74297">
        <w:t xml:space="preserve"> </w:t>
      </w:r>
      <w:r w:rsidR="007B6930" w:rsidRPr="00E74297">
        <w:t>instead of</w:t>
      </w:r>
      <w:r w:rsidR="00DD76FD" w:rsidRPr="00E74297">
        <w:t xml:space="preserve"> TPC </w:t>
      </w:r>
      <w:r w:rsidR="007B6930" w:rsidRPr="00E74297">
        <w:t>for a</w:t>
      </w:r>
      <w:r w:rsidR="00DD76FD" w:rsidRPr="00E74297">
        <w:t xml:space="preserve"> median</w:t>
      </w:r>
      <w:r w:rsidR="00F545B2" w:rsidRPr="00E74297">
        <w:t xml:space="preserve"> </w:t>
      </w:r>
      <w:r w:rsidR="00DD76FD" w:rsidRPr="00E74297">
        <w:t>follow-up of 12.48 months:</w:t>
      </w:r>
    </w:p>
    <w:p w14:paraId="0451D4BD" w14:textId="2A78316D" w:rsidR="00DD76FD" w:rsidRPr="00E74297" w:rsidRDefault="00DD76FD" w:rsidP="005B6CF9">
      <w:pPr>
        <w:pStyle w:val="3-BodyText"/>
        <w:numPr>
          <w:ilvl w:val="0"/>
          <w:numId w:val="8"/>
        </w:numPr>
        <w:ind w:left="1134"/>
      </w:pPr>
      <w:r w:rsidRPr="00E74297">
        <w:t xml:space="preserve">Approximately </w:t>
      </w:r>
      <w:r w:rsidR="00C020CA" w:rsidRPr="00E74297">
        <w:t>8</w:t>
      </w:r>
      <w:r w:rsidRPr="00E74297">
        <w:t xml:space="preserve"> additional patients would experience</w:t>
      </w:r>
      <w:r w:rsidR="00370AB8" w:rsidRPr="00E74297">
        <w:t xml:space="preserve"> </w:t>
      </w:r>
      <w:r w:rsidR="00C020CA" w:rsidRPr="00E74297">
        <w:t>a serious adverse event</w:t>
      </w:r>
      <w:r w:rsidRPr="00E74297">
        <w:t>.</w:t>
      </w:r>
    </w:p>
    <w:p w14:paraId="525B0018" w14:textId="1E1838DA" w:rsidR="00DD76FD" w:rsidRPr="00E74297" w:rsidRDefault="00DD76FD" w:rsidP="005B6CF9">
      <w:pPr>
        <w:pStyle w:val="3-BodyText"/>
        <w:numPr>
          <w:ilvl w:val="0"/>
          <w:numId w:val="8"/>
        </w:numPr>
        <w:ind w:left="1134"/>
      </w:pPr>
      <w:r w:rsidRPr="00E74297">
        <w:lastRenderedPageBreak/>
        <w:t xml:space="preserve">Approximately </w:t>
      </w:r>
      <w:r w:rsidR="00C020CA" w:rsidRPr="00E74297">
        <w:t>1</w:t>
      </w:r>
      <w:r w:rsidRPr="00E74297">
        <w:t xml:space="preserve">3 additional patients would experience </w:t>
      </w:r>
      <w:r w:rsidR="00F545B2" w:rsidRPr="00E74297">
        <w:t>g</w:t>
      </w:r>
      <w:r w:rsidRPr="00E74297">
        <w:t xml:space="preserve">rade </w:t>
      </w:r>
      <w:r w:rsidR="007B6930" w:rsidRPr="00E74297">
        <w:rPr>
          <w:rFonts w:ascii="Calibri" w:hAnsi="Calibri" w:cs="Calibri"/>
        </w:rPr>
        <w:t>≥</w:t>
      </w:r>
      <w:r w:rsidRPr="00E74297">
        <w:t xml:space="preserve"> </w:t>
      </w:r>
      <w:r w:rsidR="00CA6974" w:rsidRPr="00E74297">
        <w:t>3</w:t>
      </w:r>
      <w:r w:rsidR="005574BA" w:rsidRPr="00E74297">
        <w:t xml:space="preserve"> decrease in neutrophil count</w:t>
      </w:r>
      <w:r w:rsidR="00A3487D" w:rsidRPr="00E74297">
        <w:t xml:space="preserve"> (neutropenia)</w:t>
      </w:r>
      <w:r w:rsidRPr="00E74297">
        <w:t>.</w:t>
      </w:r>
    </w:p>
    <w:p w14:paraId="081F83B8" w14:textId="18E10474" w:rsidR="00DD76FD" w:rsidRPr="00E74297" w:rsidRDefault="00DD76FD" w:rsidP="005B6CF9">
      <w:pPr>
        <w:pStyle w:val="3-BodyText"/>
        <w:numPr>
          <w:ilvl w:val="0"/>
          <w:numId w:val="8"/>
        </w:numPr>
        <w:ind w:left="1134"/>
      </w:pPr>
      <w:r w:rsidRPr="00E74297">
        <w:t xml:space="preserve">Approximately 9 additional patients would experience </w:t>
      </w:r>
      <w:r w:rsidR="00F545B2" w:rsidRPr="00E74297">
        <w:t>g</w:t>
      </w:r>
      <w:r w:rsidRPr="00E74297">
        <w:t xml:space="preserve">rade </w:t>
      </w:r>
      <w:r w:rsidR="007B6930" w:rsidRPr="00E74297">
        <w:rPr>
          <w:rFonts w:ascii="Calibri" w:hAnsi="Calibri" w:cs="Calibri"/>
        </w:rPr>
        <w:t>≥</w:t>
      </w:r>
      <w:r w:rsidRPr="00E74297">
        <w:t xml:space="preserve"> </w:t>
      </w:r>
      <w:r w:rsidR="00CA6974" w:rsidRPr="00E74297">
        <w:t>3</w:t>
      </w:r>
      <w:r w:rsidRPr="00E74297">
        <w:t xml:space="preserve"> diarrhoea.</w:t>
      </w:r>
    </w:p>
    <w:p w14:paraId="3C0CEC02" w14:textId="6929AC7A" w:rsidR="00DD76FD" w:rsidRPr="00E74297" w:rsidRDefault="00DD76FD" w:rsidP="00DD76FD">
      <w:pPr>
        <w:pStyle w:val="4-SubsectionHeading"/>
      </w:pPr>
      <w:bookmarkStart w:id="57" w:name="_Toc132638503"/>
      <w:bookmarkStart w:id="58" w:name="_Toc135207386"/>
      <w:r w:rsidRPr="00E74297">
        <w:t>Clinical claim</w:t>
      </w:r>
      <w:bookmarkEnd w:id="54"/>
      <w:bookmarkEnd w:id="57"/>
      <w:bookmarkEnd w:id="58"/>
    </w:p>
    <w:p w14:paraId="2D91F824" w14:textId="77777777" w:rsidR="000E337C" w:rsidRPr="00E74297" w:rsidRDefault="00DD76FD" w:rsidP="00F354D5">
      <w:pPr>
        <w:pStyle w:val="3-BodyText"/>
        <w:ind w:left="709" w:hanging="709"/>
        <w:rPr>
          <w:rFonts w:eastAsia="Calibri"/>
          <w:i/>
        </w:rPr>
      </w:pPr>
      <w:r w:rsidRPr="00E74297">
        <w:rPr>
          <w:rFonts w:eastAsia="Calibri"/>
        </w:rPr>
        <w:t xml:space="preserve">The submission described SG as superior in terms of effectiveness compared to TPC. </w:t>
      </w:r>
      <w:r w:rsidR="00255588" w:rsidRPr="00E74297">
        <w:rPr>
          <w:rFonts w:eastAsia="Calibri"/>
          <w:iCs/>
        </w:rPr>
        <w:t xml:space="preserve">The ESC considered that this clinical </w:t>
      </w:r>
      <w:r w:rsidRPr="00E74297">
        <w:rPr>
          <w:rFonts w:eastAsia="Calibri"/>
          <w:iCs/>
        </w:rPr>
        <w:t>claim was adequately supported for the ITT population</w:t>
      </w:r>
      <w:r w:rsidR="00255588" w:rsidRPr="00E74297">
        <w:rPr>
          <w:rFonts w:eastAsia="Calibri"/>
          <w:iCs/>
        </w:rPr>
        <w:t xml:space="preserve"> of the TROPiCS-02 trial, which was a heavily pre-treated patient population</w:t>
      </w:r>
      <w:r w:rsidRPr="00E74297">
        <w:rPr>
          <w:rFonts w:eastAsia="Calibri"/>
          <w:iCs/>
        </w:rPr>
        <w:t>.</w:t>
      </w:r>
      <w:r w:rsidR="00D30B7D" w:rsidRPr="00E74297">
        <w:rPr>
          <w:rFonts w:eastAsia="Calibri"/>
          <w:iCs/>
        </w:rPr>
        <w:t xml:space="preserve"> The ESC considered that the magnitude of benefit potentially depends on the split of different chemotherapies in TPC being applicable to Australian practice.</w:t>
      </w:r>
    </w:p>
    <w:p w14:paraId="236AEED4" w14:textId="634A1EF1" w:rsidR="00DD76FD" w:rsidRPr="00E74297" w:rsidRDefault="00DD76FD" w:rsidP="00F354D5">
      <w:pPr>
        <w:pStyle w:val="3-BodyText"/>
        <w:ind w:left="709" w:hanging="709"/>
        <w:rPr>
          <w:rFonts w:eastAsia="Calibri"/>
        </w:rPr>
      </w:pPr>
      <w:r w:rsidRPr="00E74297">
        <w:rPr>
          <w:rFonts w:eastAsia="Calibri"/>
        </w:rPr>
        <w:t>The submission described SG as inferior in terms of safety compared to TPC. Th</w:t>
      </w:r>
      <w:r w:rsidR="00255588" w:rsidRPr="00E74297">
        <w:rPr>
          <w:rFonts w:eastAsia="Calibri"/>
        </w:rPr>
        <w:t>e ESC considered that this</w:t>
      </w:r>
      <w:r w:rsidRPr="00E74297">
        <w:rPr>
          <w:rFonts w:eastAsia="Calibri"/>
        </w:rPr>
        <w:t xml:space="preserve"> claim was adequately supported.</w:t>
      </w:r>
    </w:p>
    <w:p w14:paraId="78613733" w14:textId="7FE1B417" w:rsidR="00D06CD4" w:rsidRPr="00E74297" w:rsidRDefault="00D06CD4" w:rsidP="00D06CD4">
      <w:pPr>
        <w:widowControl w:val="0"/>
        <w:numPr>
          <w:ilvl w:val="1"/>
          <w:numId w:val="1"/>
        </w:numPr>
        <w:spacing w:after="120"/>
        <w:rPr>
          <w:rFonts w:asciiTheme="minorHAnsi" w:hAnsiTheme="minorHAnsi"/>
          <w:snapToGrid w:val="0"/>
          <w:szCs w:val="20"/>
        </w:rPr>
      </w:pPr>
      <w:bookmarkStart w:id="59" w:name="_Hlk76376200"/>
      <w:r w:rsidRPr="00E74297">
        <w:rPr>
          <w:rFonts w:asciiTheme="minorHAnsi" w:hAnsiTheme="minorHAnsi"/>
          <w:iCs/>
          <w:snapToGrid w:val="0"/>
        </w:rPr>
        <w:t>The</w:t>
      </w:r>
      <w:r w:rsidRPr="00E74297">
        <w:rPr>
          <w:rFonts w:asciiTheme="minorHAnsi" w:hAnsiTheme="minorHAnsi"/>
          <w:snapToGrid w:val="0"/>
          <w:szCs w:val="20"/>
        </w:rPr>
        <w:t xml:space="preserve"> PBAC considered that the claim of superior comparative effectiveness was reasonable</w:t>
      </w:r>
      <w:r w:rsidR="0067789D" w:rsidRPr="00E74297">
        <w:rPr>
          <w:rFonts w:asciiTheme="minorHAnsi" w:hAnsiTheme="minorHAnsi"/>
          <w:snapToGrid w:val="0"/>
          <w:szCs w:val="20"/>
        </w:rPr>
        <w:t xml:space="preserve">, though the magnitude of benefit is </w:t>
      </w:r>
      <w:r w:rsidR="00C675F6" w:rsidRPr="00E74297">
        <w:rPr>
          <w:rFonts w:asciiTheme="minorHAnsi" w:hAnsiTheme="minorHAnsi"/>
          <w:snapToGrid w:val="0"/>
          <w:szCs w:val="20"/>
        </w:rPr>
        <w:t xml:space="preserve">modest </w:t>
      </w:r>
      <w:r w:rsidR="0067789D" w:rsidRPr="00E74297">
        <w:rPr>
          <w:rFonts w:asciiTheme="minorHAnsi" w:hAnsiTheme="minorHAnsi"/>
          <w:snapToGrid w:val="0"/>
          <w:szCs w:val="20"/>
        </w:rPr>
        <w:t xml:space="preserve">and </w:t>
      </w:r>
      <w:r w:rsidR="006479C4" w:rsidRPr="00E74297">
        <w:rPr>
          <w:rFonts w:asciiTheme="minorHAnsi" w:hAnsiTheme="minorHAnsi"/>
          <w:snapToGrid w:val="0"/>
          <w:szCs w:val="20"/>
        </w:rPr>
        <w:t>relies on the</w:t>
      </w:r>
      <w:r w:rsidR="0067789D" w:rsidRPr="00E74297">
        <w:rPr>
          <w:rFonts w:asciiTheme="minorHAnsi" w:hAnsiTheme="minorHAnsi"/>
          <w:snapToGrid w:val="0"/>
          <w:szCs w:val="20"/>
        </w:rPr>
        <w:t xml:space="preserve"> applicability of the split of different chemotherapies in the comparator arm</w:t>
      </w:r>
      <w:r w:rsidRPr="00E74297">
        <w:rPr>
          <w:rFonts w:asciiTheme="minorHAnsi" w:hAnsiTheme="minorHAnsi"/>
          <w:snapToGrid w:val="0"/>
          <w:szCs w:val="20"/>
        </w:rPr>
        <w:t>.</w:t>
      </w:r>
    </w:p>
    <w:p w14:paraId="448F8F05" w14:textId="31D7762A" w:rsidR="00D06CD4" w:rsidRPr="00E74297" w:rsidRDefault="00D06CD4" w:rsidP="00D06CD4">
      <w:pPr>
        <w:widowControl w:val="0"/>
        <w:numPr>
          <w:ilvl w:val="1"/>
          <w:numId w:val="1"/>
        </w:numPr>
        <w:spacing w:after="120"/>
        <w:rPr>
          <w:rFonts w:asciiTheme="minorHAnsi" w:hAnsiTheme="minorHAnsi"/>
          <w:snapToGrid w:val="0"/>
          <w:szCs w:val="20"/>
        </w:rPr>
      </w:pPr>
      <w:r w:rsidRPr="00E74297">
        <w:rPr>
          <w:rFonts w:asciiTheme="minorHAnsi" w:hAnsiTheme="minorHAnsi"/>
          <w:snapToGrid w:val="0"/>
          <w:szCs w:val="20"/>
        </w:rPr>
        <w:t>The PBAC considered that the claim of inferior comparative safety was reasonable.</w:t>
      </w:r>
    </w:p>
    <w:p w14:paraId="379BDF5B" w14:textId="77777777" w:rsidR="000E337C" w:rsidRPr="00E74297" w:rsidRDefault="00973FAF" w:rsidP="00973FAF">
      <w:pPr>
        <w:pStyle w:val="4-SubsectionHeading"/>
      </w:pPr>
      <w:bookmarkStart w:id="60" w:name="_Toc135207387"/>
      <w:bookmarkEnd w:id="59"/>
      <w:r w:rsidRPr="00E74297">
        <w:t>Economic analysis</w:t>
      </w:r>
      <w:bookmarkEnd w:id="60"/>
    </w:p>
    <w:p w14:paraId="6CCB1E74" w14:textId="53E948D4" w:rsidR="000624AF" w:rsidRPr="00E74297" w:rsidRDefault="000624AF" w:rsidP="000624AF">
      <w:pPr>
        <w:pStyle w:val="3-BodyText"/>
      </w:pPr>
      <w:r w:rsidRPr="00E74297">
        <w:t>The submission presented a stepped economic evaluation based on the direct randomised trial TROPiCS-02. The type of economic evaluation presented was a cost-utility analysis. The key components of the economic evaluation are presented below.</w:t>
      </w:r>
    </w:p>
    <w:p w14:paraId="475C4C17" w14:textId="427778FD" w:rsidR="000624AF" w:rsidRPr="00E74297" w:rsidRDefault="000624AF" w:rsidP="000624AF">
      <w:pPr>
        <w:pStyle w:val="Caption"/>
        <w:jc w:val="left"/>
        <w:rPr>
          <w:rStyle w:val="CommentReference"/>
          <w:b/>
          <w:szCs w:val="24"/>
        </w:rPr>
      </w:pPr>
      <w:r w:rsidRPr="00E74297">
        <w:lastRenderedPageBreak/>
        <w:t xml:space="preserve">Table </w:t>
      </w:r>
      <w:fldSimple w:instr=" SEQ Table \* ARABIC " w:fldLock="1">
        <w:r w:rsidR="00AE1DC7" w:rsidRPr="00E74297">
          <w:t>9</w:t>
        </w:r>
      </w:fldSimple>
      <w:r w:rsidRPr="00E74297">
        <w:t>:</w:t>
      </w:r>
      <w:r w:rsidRPr="00E74297">
        <w:rPr>
          <w:rStyle w:val="CommentReference"/>
          <w:b/>
          <w:szCs w:val="24"/>
        </w:rPr>
        <w:t xml:space="preserve"> Summary of model structure, key </w:t>
      </w:r>
      <w:r w:rsidR="00BC53F8" w:rsidRPr="00E74297">
        <w:rPr>
          <w:rStyle w:val="CommentReference"/>
          <w:b/>
          <w:szCs w:val="24"/>
        </w:rPr>
        <w:t>inputs,</w:t>
      </w:r>
      <w:r w:rsidRPr="00E74297">
        <w:rPr>
          <w:rStyle w:val="CommentReference"/>
          <w:b/>
          <w:szCs w:val="24"/>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3"/>
        <w:gridCol w:w="6894"/>
      </w:tblGrid>
      <w:tr w:rsidR="000624AF" w:rsidRPr="00E74297" w14:paraId="2735795A" w14:textId="77777777" w:rsidTr="006479C4">
        <w:trPr>
          <w:tblHeader/>
        </w:trPr>
        <w:tc>
          <w:tcPr>
            <w:tcW w:w="1177" w:type="pct"/>
            <w:shd w:val="clear" w:color="auto" w:fill="auto"/>
            <w:vAlign w:val="center"/>
          </w:tcPr>
          <w:p w14:paraId="3ADFE340" w14:textId="77777777" w:rsidR="000624AF" w:rsidRPr="00E74297" w:rsidRDefault="000624AF" w:rsidP="000624AF">
            <w:pPr>
              <w:pStyle w:val="In-tableHeading"/>
              <w:rPr>
                <w:lang w:val="en-AU"/>
              </w:rPr>
            </w:pPr>
            <w:r w:rsidRPr="00E74297">
              <w:rPr>
                <w:lang w:val="en-AU"/>
              </w:rPr>
              <w:t>Component</w:t>
            </w:r>
          </w:p>
        </w:tc>
        <w:tc>
          <w:tcPr>
            <w:tcW w:w="3823" w:type="pct"/>
            <w:shd w:val="clear" w:color="auto" w:fill="auto"/>
            <w:vAlign w:val="center"/>
          </w:tcPr>
          <w:p w14:paraId="3A1DE05F" w14:textId="77777777" w:rsidR="000624AF" w:rsidRPr="00E74297" w:rsidRDefault="000624AF" w:rsidP="000624AF">
            <w:pPr>
              <w:pStyle w:val="In-tableHeading"/>
              <w:rPr>
                <w:lang w:val="en-AU"/>
              </w:rPr>
            </w:pPr>
            <w:r w:rsidRPr="00E74297">
              <w:rPr>
                <w:lang w:val="en-AU"/>
              </w:rPr>
              <w:t>Summary</w:t>
            </w:r>
          </w:p>
        </w:tc>
      </w:tr>
      <w:tr w:rsidR="000624AF" w:rsidRPr="00E74297" w14:paraId="26C96378" w14:textId="77777777" w:rsidTr="006479C4">
        <w:tc>
          <w:tcPr>
            <w:tcW w:w="1177" w:type="pct"/>
            <w:shd w:val="clear" w:color="auto" w:fill="auto"/>
            <w:vAlign w:val="center"/>
          </w:tcPr>
          <w:p w14:paraId="497D2732" w14:textId="77777777" w:rsidR="000624AF" w:rsidRPr="00E74297" w:rsidRDefault="000624AF" w:rsidP="000624AF">
            <w:pPr>
              <w:pStyle w:val="TableText0"/>
            </w:pPr>
            <w:r w:rsidRPr="00E74297">
              <w:t>Treatments</w:t>
            </w:r>
          </w:p>
        </w:tc>
        <w:tc>
          <w:tcPr>
            <w:tcW w:w="3823" w:type="pct"/>
            <w:shd w:val="clear" w:color="auto" w:fill="auto"/>
            <w:vAlign w:val="center"/>
          </w:tcPr>
          <w:p w14:paraId="6155772A" w14:textId="3614177D" w:rsidR="000624AF" w:rsidRPr="00E74297" w:rsidRDefault="000624AF" w:rsidP="000624AF">
            <w:pPr>
              <w:pStyle w:val="TableText0"/>
            </w:pPr>
            <w:r w:rsidRPr="00E74297">
              <w:t>SG vs TPC (consisting of 48% eribulin, 23% vinorelbine, 21% gemcitabine and 8% capecitabine, in line with the TROPiCS-02 trial).</w:t>
            </w:r>
          </w:p>
        </w:tc>
      </w:tr>
      <w:tr w:rsidR="000624AF" w:rsidRPr="00E74297" w14:paraId="6034BD36" w14:textId="77777777" w:rsidTr="006479C4">
        <w:tc>
          <w:tcPr>
            <w:tcW w:w="1177" w:type="pct"/>
            <w:shd w:val="clear" w:color="auto" w:fill="auto"/>
            <w:vAlign w:val="center"/>
          </w:tcPr>
          <w:p w14:paraId="16F9CAF0" w14:textId="77777777" w:rsidR="000624AF" w:rsidRPr="00E74297" w:rsidRDefault="000624AF" w:rsidP="000624AF">
            <w:pPr>
              <w:pStyle w:val="TableText0"/>
            </w:pPr>
            <w:r w:rsidRPr="00E74297">
              <w:t>Time horizon</w:t>
            </w:r>
          </w:p>
        </w:tc>
        <w:tc>
          <w:tcPr>
            <w:tcW w:w="3823" w:type="pct"/>
            <w:shd w:val="clear" w:color="auto" w:fill="auto"/>
            <w:vAlign w:val="center"/>
          </w:tcPr>
          <w:p w14:paraId="07EB1296" w14:textId="3C2D1550" w:rsidR="000624AF" w:rsidRPr="00E74297" w:rsidRDefault="000624AF" w:rsidP="000624AF">
            <w:pPr>
              <w:pStyle w:val="TableText0"/>
              <w:rPr>
                <w:i/>
              </w:rPr>
            </w:pPr>
            <w:r w:rsidRPr="00E74297">
              <w:t>10 years in the model base case (vs a median follow-up of 10.22 months for PFS and 12.48 months for OS in the TROPiCS-02 clinical trial). The PBAC ha</w:t>
            </w:r>
            <w:r w:rsidR="00B247B9" w:rsidRPr="00E74297">
              <w:t>s</w:t>
            </w:r>
            <w:r w:rsidRPr="00E74297">
              <w:t xml:space="preserve"> previously indicated that a 7-year time horizon was appropriate for the second-line HR+ advanced breast cancer setting (section 10, everolimus Public Summary Document, March 2013 PBAC Meeting). </w:t>
            </w:r>
          </w:p>
        </w:tc>
      </w:tr>
      <w:tr w:rsidR="000624AF" w:rsidRPr="00E74297" w14:paraId="0F3481A4" w14:textId="77777777" w:rsidTr="006479C4">
        <w:tc>
          <w:tcPr>
            <w:tcW w:w="1177" w:type="pct"/>
            <w:shd w:val="clear" w:color="auto" w:fill="auto"/>
            <w:vAlign w:val="center"/>
          </w:tcPr>
          <w:p w14:paraId="624BADB6" w14:textId="77777777" w:rsidR="000624AF" w:rsidRPr="00E74297" w:rsidRDefault="000624AF" w:rsidP="000624AF">
            <w:pPr>
              <w:pStyle w:val="TableText0"/>
            </w:pPr>
            <w:r w:rsidRPr="00E74297">
              <w:t>Outcomes</w:t>
            </w:r>
          </w:p>
        </w:tc>
        <w:tc>
          <w:tcPr>
            <w:tcW w:w="3823" w:type="pct"/>
            <w:shd w:val="clear" w:color="auto" w:fill="auto"/>
            <w:vAlign w:val="center"/>
          </w:tcPr>
          <w:p w14:paraId="0C540AF1" w14:textId="77777777" w:rsidR="000624AF" w:rsidRPr="00E74297" w:rsidRDefault="000624AF" w:rsidP="000624AF">
            <w:pPr>
              <w:pStyle w:val="TableText0"/>
            </w:pPr>
            <w:r w:rsidRPr="00E74297">
              <w:t>Quality-adjusted life years, life-years gained.</w:t>
            </w:r>
          </w:p>
        </w:tc>
      </w:tr>
      <w:tr w:rsidR="000624AF" w:rsidRPr="00E74297" w14:paraId="41F70A47" w14:textId="77777777" w:rsidTr="006479C4">
        <w:tc>
          <w:tcPr>
            <w:tcW w:w="1177" w:type="pct"/>
            <w:shd w:val="clear" w:color="auto" w:fill="auto"/>
            <w:vAlign w:val="center"/>
          </w:tcPr>
          <w:p w14:paraId="6C5E2BFE" w14:textId="77777777" w:rsidR="000624AF" w:rsidRPr="00E74297" w:rsidRDefault="000624AF" w:rsidP="000624AF">
            <w:pPr>
              <w:pStyle w:val="TableText0"/>
            </w:pPr>
            <w:r w:rsidRPr="00E74297">
              <w:t>Methods used to generate results</w:t>
            </w:r>
          </w:p>
        </w:tc>
        <w:tc>
          <w:tcPr>
            <w:tcW w:w="3823" w:type="pct"/>
            <w:shd w:val="clear" w:color="auto" w:fill="auto"/>
            <w:vAlign w:val="center"/>
          </w:tcPr>
          <w:p w14:paraId="73CAB10C" w14:textId="77777777" w:rsidR="000624AF" w:rsidRPr="00E74297" w:rsidRDefault="000624AF" w:rsidP="000624AF">
            <w:pPr>
              <w:pStyle w:val="TableText0"/>
            </w:pPr>
            <w:r w:rsidRPr="00E74297">
              <w:t>Partitioned survival analysis.</w:t>
            </w:r>
          </w:p>
        </w:tc>
      </w:tr>
      <w:tr w:rsidR="000624AF" w:rsidRPr="00E74297" w14:paraId="4B1FBBF0" w14:textId="77777777" w:rsidTr="006479C4">
        <w:tc>
          <w:tcPr>
            <w:tcW w:w="1177" w:type="pct"/>
            <w:shd w:val="clear" w:color="auto" w:fill="auto"/>
            <w:vAlign w:val="center"/>
          </w:tcPr>
          <w:p w14:paraId="3D521571" w14:textId="77777777" w:rsidR="000624AF" w:rsidRPr="00E74297" w:rsidRDefault="000624AF" w:rsidP="000624AF">
            <w:pPr>
              <w:pStyle w:val="TableText0"/>
            </w:pPr>
            <w:r w:rsidRPr="00E74297">
              <w:t>Health states</w:t>
            </w:r>
          </w:p>
        </w:tc>
        <w:tc>
          <w:tcPr>
            <w:tcW w:w="3823" w:type="pct"/>
            <w:shd w:val="clear" w:color="auto" w:fill="auto"/>
            <w:vAlign w:val="center"/>
          </w:tcPr>
          <w:p w14:paraId="110D6D1D" w14:textId="77777777" w:rsidR="000624AF" w:rsidRPr="00E74297" w:rsidRDefault="000624AF" w:rsidP="000624AF">
            <w:pPr>
              <w:pStyle w:val="TableText0"/>
            </w:pPr>
            <w:r w:rsidRPr="00E74297">
              <w:t>Three health states: progression-free, progressed disease and dead.</w:t>
            </w:r>
          </w:p>
        </w:tc>
      </w:tr>
      <w:tr w:rsidR="000624AF" w:rsidRPr="00E74297" w14:paraId="1D66AAB5" w14:textId="77777777" w:rsidTr="006479C4">
        <w:tc>
          <w:tcPr>
            <w:tcW w:w="1177" w:type="pct"/>
            <w:shd w:val="clear" w:color="auto" w:fill="auto"/>
            <w:vAlign w:val="center"/>
          </w:tcPr>
          <w:p w14:paraId="1B79CE31" w14:textId="77777777" w:rsidR="000624AF" w:rsidRPr="00E74297" w:rsidRDefault="000624AF" w:rsidP="000624AF">
            <w:pPr>
              <w:pStyle w:val="TableText0"/>
            </w:pPr>
            <w:r w:rsidRPr="00E74297">
              <w:t>Cycle length</w:t>
            </w:r>
          </w:p>
        </w:tc>
        <w:tc>
          <w:tcPr>
            <w:tcW w:w="3823" w:type="pct"/>
            <w:shd w:val="clear" w:color="auto" w:fill="auto"/>
            <w:vAlign w:val="center"/>
          </w:tcPr>
          <w:p w14:paraId="2AE7E5C6" w14:textId="77777777" w:rsidR="000624AF" w:rsidRPr="00E74297" w:rsidRDefault="000624AF" w:rsidP="000624AF">
            <w:pPr>
              <w:pStyle w:val="TableText0"/>
            </w:pPr>
            <w:r w:rsidRPr="00E74297">
              <w:t>1 week.</w:t>
            </w:r>
          </w:p>
        </w:tc>
      </w:tr>
      <w:tr w:rsidR="000624AF" w:rsidRPr="00E74297" w14:paraId="7CB1561E" w14:textId="77777777" w:rsidTr="006479C4">
        <w:tc>
          <w:tcPr>
            <w:tcW w:w="1177" w:type="pct"/>
            <w:shd w:val="clear" w:color="auto" w:fill="auto"/>
            <w:vAlign w:val="center"/>
          </w:tcPr>
          <w:p w14:paraId="06AFAA10" w14:textId="77777777" w:rsidR="000624AF" w:rsidRPr="00E74297" w:rsidRDefault="000624AF" w:rsidP="000624AF">
            <w:pPr>
              <w:pStyle w:val="TableText0"/>
            </w:pPr>
            <w:r w:rsidRPr="00E74297">
              <w:t>Allocation to health states</w:t>
            </w:r>
          </w:p>
        </w:tc>
        <w:tc>
          <w:tcPr>
            <w:tcW w:w="3823" w:type="pct"/>
            <w:shd w:val="clear" w:color="auto" w:fill="auto"/>
            <w:vAlign w:val="center"/>
          </w:tcPr>
          <w:p w14:paraId="0149A013" w14:textId="77777777" w:rsidR="000E337C" w:rsidRPr="00E74297" w:rsidRDefault="000624AF" w:rsidP="000624AF">
            <w:pPr>
              <w:pStyle w:val="TableText0"/>
            </w:pPr>
            <w:r w:rsidRPr="00E74297">
              <w:t>Disease progression via PFS data from TROPiCS-02</w:t>
            </w:r>
          </w:p>
          <w:p w14:paraId="755944CD" w14:textId="71D486F0" w:rsidR="000624AF" w:rsidRPr="00E74297" w:rsidRDefault="000624AF" w:rsidP="000624AF">
            <w:pPr>
              <w:pStyle w:val="TableText0"/>
              <w:rPr>
                <w:i/>
              </w:rPr>
            </w:pPr>
            <w:r w:rsidRPr="00E74297">
              <w:t>Mortality via OS data from TROPiCS-02 and all-cause mortality data.</w:t>
            </w:r>
          </w:p>
        </w:tc>
      </w:tr>
      <w:tr w:rsidR="000624AF" w:rsidRPr="00E74297" w14:paraId="6DD02A91" w14:textId="77777777" w:rsidTr="006479C4">
        <w:tc>
          <w:tcPr>
            <w:tcW w:w="1177" w:type="pct"/>
            <w:shd w:val="clear" w:color="auto" w:fill="auto"/>
            <w:vAlign w:val="center"/>
          </w:tcPr>
          <w:p w14:paraId="3A41C199" w14:textId="77777777" w:rsidR="000624AF" w:rsidRPr="00E74297" w:rsidRDefault="000624AF" w:rsidP="000624AF">
            <w:pPr>
              <w:pStyle w:val="TableText0"/>
            </w:pPr>
            <w:r w:rsidRPr="00E74297">
              <w:t>Extrapolation method</w:t>
            </w:r>
          </w:p>
        </w:tc>
        <w:tc>
          <w:tcPr>
            <w:tcW w:w="3823" w:type="pct"/>
            <w:shd w:val="clear" w:color="auto" w:fill="auto"/>
            <w:vAlign w:val="center"/>
          </w:tcPr>
          <w:p w14:paraId="7BD6DE26" w14:textId="77777777" w:rsidR="000E337C" w:rsidRPr="00E74297" w:rsidRDefault="000624AF" w:rsidP="000624AF">
            <w:pPr>
              <w:pStyle w:val="CommentText"/>
            </w:pPr>
            <w:r w:rsidRPr="00E74297">
              <w:rPr>
                <w:rStyle w:val="TableTextChar0"/>
              </w:rPr>
              <w:t xml:space="preserve">KM data for TTD, PFS and OS were applied until the mean follow-up of TROPiCS-02 (13.1 months for all outcomes). </w:t>
            </w:r>
            <w:r w:rsidR="00C675F6" w:rsidRPr="00E74297">
              <w:rPr>
                <w:rStyle w:val="TableTextChar0"/>
              </w:rPr>
              <w:t>The evaluation considered that m</w:t>
            </w:r>
            <w:r w:rsidR="00C3347F" w:rsidRPr="00E74297">
              <w:rPr>
                <w:rStyle w:val="TableTextChar0"/>
              </w:rPr>
              <w:t>ore KM data</w:t>
            </w:r>
            <w:r w:rsidRPr="00E74297">
              <w:rPr>
                <w:rStyle w:val="TableTextChar0"/>
              </w:rPr>
              <w:t xml:space="preserve"> could be reliably included in the economic</w:t>
            </w:r>
            <w:r w:rsidR="00C675F6" w:rsidRPr="00E74297">
              <w:rPr>
                <w:rStyle w:val="TableTextChar0"/>
              </w:rPr>
              <w:t xml:space="preserve"> model</w:t>
            </w:r>
            <w:r w:rsidRPr="00E74297">
              <w:rPr>
                <w:rStyle w:val="TableTextChar0"/>
              </w:rPr>
              <w:t>. After this point, KM data were extrapolated using parametric functions.</w:t>
            </w:r>
          </w:p>
          <w:p w14:paraId="0CF7E99A" w14:textId="008EA830" w:rsidR="000624AF" w:rsidRPr="00E74297" w:rsidRDefault="000624AF" w:rsidP="000624AF">
            <w:pPr>
              <w:pStyle w:val="TableText0"/>
            </w:pPr>
          </w:p>
          <w:p w14:paraId="1DC9732B" w14:textId="66F5F1E2" w:rsidR="000624AF" w:rsidRPr="00E74297" w:rsidRDefault="000624AF" w:rsidP="000624AF">
            <w:pPr>
              <w:pStyle w:val="TableText0"/>
            </w:pPr>
            <w:r w:rsidRPr="00E74297">
              <w:t xml:space="preserve">Dependent parametric models were fitted to OS, PFS and TTD data. </w:t>
            </w:r>
            <w:r w:rsidR="00C3347F" w:rsidRPr="00E74297">
              <w:t>A</w:t>
            </w:r>
            <w:r w:rsidRPr="00E74297">
              <w:t>s KM data were relatively mature for all these outcomes, varying extrapolations between independent and dependent parametric functions do</w:t>
            </w:r>
            <w:r w:rsidR="007E7CEE" w:rsidRPr="00E74297">
              <w:t>es</w:t>
            </w:r>
            <w:r w:rsidRPr="00E74297">
              <w:t xml:space="preserve"> not have a substantial impact on the ICER.</w:t>
            </w:r>
          </w:p>
          <w:p w14:paraId="5453F144" w14:textId="77777777" w:rsidR="000624AF" w:rsidRPr="00E74297" w:rsidRDefault="000624AF" w:rsidP="000624AF">
            <w:pPr>
              <w:pStyle w:val="TableText0"/>
            </w:pPr>
          </w:p>
          <w:p w14:paraId="389CFB53" w14:textId="77777777" w:rsidR="000E337C" w:rsidRPr="00E74297" w:rsidRDefault="000624AF" w:rsidP="000624AF">
            <w:pPr>
              <w:pStyle w:val="TableText0"/>
            </w:pPr>
            <w:r w:rsidRPr="00E74297">
              <w:t>Dependent log-normal and exponential distributions were chosen to extrapolate PFS and TTD in both arms, respectively. Due to the maturity of these data, the extrapolations do not have a substantial impact on the economic evaluation.</w:t>
            </w:r>
          </w:p>
          <w:p w14:paraId="5DA8EBF5" w14:textId="7D1563A7" w:rsidR="000624AF" w:rsidRPr="00E74297" w:rsidRDefault="000624AF" w:rsidP="000624AF">
            <w:pPr>
              <w:pStyle w:val="TableText0"/>
            </w:pPr>
          </w:p>
          <w:p w14:paraId="3470FE15" w14:textId="77777777" w:rsidR="000624AF" w:rsidRPr="00E74297" w:rsidRDefault="000624AF" w:rsidP="000624AF">
            <w:pPr>
              <w:pStyle w:val="TableText0"/>
            </w:pPr>
            <w:r w:rsidRPr="00E74297">
              <w:rPr>
                <w:iCs/>
              </w:rPr>
              <w:t>80% of undiscounted LYs gained occur in the extrapolated period.</w:t>
            </w:r>
          </w:p>
        </w:tc>
      </w:tr>
      <w:tr w:rsidR="000624AF" w:rsidRPr="00E74297" w14:paraId="417D90C1" w14:textId="77777777" w:rsidTr="006479C4">
        <w:tc>
          <w:tcPr>
            <w:tcW w:w="1177" w:type="pct"/>
            <w:shd w:val="clear" w:color="auto" w:fill="auto"/>
            <w:vAlign w:val="center"/>
          </w:tcPr>
          <w:p w14:paraId="65FDECB1" w14:textId="77777777" w:rsidR="000624AF" w:rsidRPr="00E74297" w:rsidRDefault="000624AF" w:rsidP="000624AF">
            <w:pPr>
              <w:pStyle w:val="TableText0"/>
            </w:pPr>
            <w:r w:rsidRPr="00E74297">
              <w:t>Health related quality of life</w:t>
            </w:r>
          </w:p>
        </w:tc>
        <w:tc>
          <w:tcPr>
            <w:tcW w:w="3823" w:type="pct"/>
            <w:shd w:val="clear" w:color="auto" w:fill="auto"/>
            <w:vAlign w:val="center"/>
          </w:tcPr>
          <w:p w14:paraId="596E316B" w14:textId="77777777" w:rsidR="000624AF" w:rsidRPr="00E74297" w:rsidRDefault="000624AF" w:rsidP="000624AF">
            <w:pPr>
              <w:pStyle w:val="TableText0"/>
            </w:pPr>
            <w:r w:rsidRPr="00E74297">
              <w:t>Assumed the same as SG PBAC submission for mTNBC.</w:t>
            </w:r>
          </w:p>
          <w:p w14:paraId="736ABE05" w14:textId="77777777" w:rsidR="000624AF" w:rsidRPr="00E74297" w:rsidRDefault="000624AF" w:rsidP="000624AF">
            <w:pPr>
              <w:pStyle w:val="TableText0"/>
            </w:pPr>
            <w:r w:rsidRPr="00E74297">
              <w:t>SG PF: 0.746, TPC: PF: 0.662</w:t>
            </w:r>
          </w:p>
          <w:p w14:paraId="6108B216" w14:textId="77777777" w:rsidR="000624AF" w:rsidRPr="00E74297" w:rsidRDefault="000624AF" w:rsidP="000624AF">
            <w:pPr>
              <w:pStyle w:val="TableText0"/>
            </w:pPr>
            <w:r w:rsidRPr="00E74297">
              <w:t>PD: 0.605</w:t>
            </w:r>
          </w:p>
          <w:p w14:paraId="25A4E1F7" w14:textId="15F70047" w:rsidR="000624AF" w:rsidRPr="00E74297" w:rsidRDefault="000624AF" w:rsidP="000624AF">
            <w:pPr>
              <w:pStyle w:val="TableText0"/>
              <w:rPr>
                <w:i/>
              </w:rPr>
            </w:pPr>
            <w:r w:rsidRPr="00E74297">
              <w:t>The</w:t>
            </w:r>
            <w:r w:rsidR="00C21876" w:rsidRPr="00E74297">
              <w:t xml:space="preserve"> evaluation considered that the</w:t>
            </w:r>
            <w:r w:rsidRPr="00E74297">
              <w:t xml:space="preserve"> applicability of these health utilities over utilities estimated from TROPiCS-02 trial </w:t>
            </w:r>
            <w:r w:rsidR="00B247B9" w:rsidRPr="00E74297">
              <w:t>wa</w:t>
            </w:r>
            <w:r w:rsidRPr="00E74297">
              <w:t>s uncertain. Further, application of treatment-specific utilities for the PF health state was not well justified.</w:t>
            </w:r>
            <w:r w:rsidR="000F4A53" w:rsidRPr="00E74297">
              <w:t xml:space="preserve"> </w:t>
            </w:r>
          </w:p>
        </w:tc>
      </w:tr>
    </w:tbl>
    <w:p w14:paraId="4F8F538D" w14:textId="77777777" w:rsidR="000E337C" w:rsidRPr="00E74297" w:rsidRDefault="000624AF" w:rsidP="000624AF">
      <w:pPr>
        <w:pStyle w:val="FooterTableFigure"/>
      </w:pPr>
      <w:r w:rsidRPr="00E74297">
        <w:t>Source: Constructed during the evaluation.</w:t>
      </w:r>
    </w:p>
    <w:p w14:paraId="3B7683D5" w14:textId="66D08159" w:rsidR="000624AF" w:rsidRPr="00E74297" w:rsidRDefault="000624AF" w:rsidP="000624AF">
      <w:pPr>
        <w:pStyle w:val="FooterTableFigure"/>
      </w:pPr>
      <w:r w:rsidRPr="00E74297">
        <w:rPr>
          <w:iCs/>
        </w:rPr>
        <w:t>AIC = Akaike information criterion; AFT = accelerated failure time; BIC = Bayesian information criterion</w:t>
      </w:r>
      <w:r w:rsidRPr="00E74297">
        <w:t>; KM = Kaplan-Meier; mTNBC</w:t>
      </w:r>
      <w:r w:rsidR="0046761E">
        <w:t> </w:t>
      </w:r>
      <w:r w:rsidRPr="00E74297">
        <w:t>=</w:t>
      </w:r>
      <w:r w:rsidR="0046761E">
        <w:t> </w:t>
      </w:r>
      <w:r w:rsidRPr="00E74297">
        <w:t>metastatic triple negative breast cancer; OS = overall survival; PBAC = Pharmaceutical Benefits Advisory Committee; PD</w:t>
      </w:r>
      <w:r w:rsidR="0046761E">
        <w:t> </w:t>
      </w:r>
      <w:r w:rsidRPr="00E74297">
        <w:t>=</w:t>
      </w:r>
      <w:r w:rsidR="0046761E">
        <w:t> </w:t>
      </w:r>
      <w:r w:rsidRPr="00E74297">
        <w:t>progressed disease; PF = progression-free; PFS = progression free survival; PH = proportional hazards; SG = sacituzumab govitecan; TPC = treatment of physician choice (consisting of eribulin, capecitabine, gemcitabine or vinorelbine); TTD = time to treatment discontinuation.</w:t>
      </w:r>
    </w:p>
    <w:p w14:paraId="4CAC45E4" w14:textId="77777777" w:rsidR="000624AF" w:rsidRPr="00E74297" w:rsidRDefault="000624AF" w:rsidP="000624AF">
      <w:pPr>
        <w:pStyle w:val="FooterTableFigure"/>
      </w:pPr>
      <w:r w:rsidRPr="00E74297">
        <w:rPr>
          <w:vertAlign w:val="superscript"/>
        </w:rPr>
        <w:t>a</w:t>
      </w:r>
      <w:r w:rsidRPr="00E74297">
        <w:t xml:space="preserve"> Diagnostic plots provided by the submission include log-hazard, Schoenfeld residuals and quantile-quantile plots.</w:t>
      </w:r>
    </w:p>
    <w:p w14:paraId="2471B532" w14:textId="5132C9E8" w:rsidR="00272859" w:rsidRPr="00E74297" w:rsidRDefault="00272859" w:rsidP="000624AF">
      <w:pPr>
        <w:pStyle w:val="3-BodyText"/>
      </w:pPr>
      <w:bookmarkStart w:id="61" w:name="_Ref137528761"/>
      <w:r w:rsidRPr="00E74297">
        <w:t xml:space="preserve">The PBAC noted that the treatments used in the TPC arm aligned with use in the TROPiCS-02 trial, which was reasonable, however, the PBAC considered this represented a more heavily pre-treated population than would be expected under the sponsor’s proposed </w:t>
      </w:r>
      <w:r w:rsidR="00C3347F" w:rsidRPr="00E74297">
        <w:t xml:space="preserve">PBS </w:t>
      </w:r>
      <w:r w:rsidRPr="00E74297">
        <w:t>restrictions.</w:t>
      </w:r>
    </w:p>
    <w:p w14:paraId="0802088F" w14:textId="1E28219B" w:rsidR="000624AF" w:rsidRPr="00E74297" w:rsidRDefault="000624AF" w:rsidP="000624AF">
      <w:pPr>
        <w:pStyle w:val="3-BodyText"/>
      </w:pPr>
      <w:r w:rsidRPr="00E74297">
        <w:t xml:space="preserve">KM data from TROPiCS-02 were extrapolated from 13.1 months (mean follow-up) to the nominated time horizon of 10 years. </w:t>
      </w:r>
      <w:bookmarkEnd w:id="61"/>
      <w:r w:rsidR="006E5A37" w:rsidRPr="00E74297">
        <w:t xml:space="preserve">The ESC </w:t>
      </w:r>
      <w:r w:rsidR="00C2195C" w:rsidRPr="00E74297">
        <w:t xml:space="preserve">noted that the ICER was moderately sensitive to use of a 7-year time horizon (7% increase) as </w:t>
      </w:r>
      <w:r w:rsidR="00272859" w:rsidRPr="00E74297">
        <w:t xml:space="preserve">was </w:t>
      </w:r>
      <w:r w:rsidR="00C2195C" w:rsidRPr="00E74297">
        <w:t>previously accepted by the PBAC in this setting</w:t>
      </w:r>
      <w:r w:rsidR="00272859" w:rsidRPr="00E74297">
        <w:t xml:space="preserve"> (Section 10, everolimus PSD, March 2013 PBAC meeting)</w:t>
      </w:r>
      <w:r w:rsidR="00C2195C" w:rsidRPr="00E74297">
        <w:t>. The</w:t>
      </w:r>
      <w:r w:rsidR="00102BE3">
        <w:t> </w:t>
      </w:r>
      <w:r w:rsidR="00C2195C" w:rsidRPr="00E74297">
        <w:t xml:space="preserve">ESC </w:t>
      </w:r>
      <w:r w:rsidR="006E5A37" w:rsidRPr="00E74297">
        <w:t xml:space="preserve">considered that a 7-year time horizon was more appropriate in the second line setting and potentially </w:t>
      </w:r>
      <w:r w:rsidR="00C2195C" w:rsidRPr="00E74297">
        <w:t xml:space="preserve">a </w:t>
      </w:r>
      <w:r w:rsidR="006E5A37" w:rsidRPr="00E74297">
        <w:t>shorter</w:t>
      </w:r>
      <w:r w:rsidR="00C2195C" w:rsidRPr="00E74297">
        <w:t xml:space="preserve"> time horizon would be appropriate</w:t>
      </w:r>
      <w:r w:rsidR="006E5A37" w:rsidRPr="00E74297">
        <w:t xml:space="preserve"> for</w:t>
      </w:r>
      <w:r w:rsidR="00AA62FD" w:rsidRPr="00E74297">
        <w:t xml:space="preserve"> the</w:t>
      </w:r>
      <w:r w:rsidR="006E5A37" w:rsidRPr="00E74297">
        <w:t xml:space="preserve"> fourth </w:t>
      </w:r>
      <w:r w:rsidR="00C2195C" w:rsidRPr="00E74297">
        <w:lastRenderedPageBreak/>
        <w:t>or</w:t>
      </w:r>
      <w:r w:rsidR="006E5A37" w:rsidRPr="00E74297">
        <w:t xml:space="preserve"> later line treatment</w:t>
      </w:r>
      <w:r w:rsidR="00AA62FD" w:rsidRPr="00E74297">
        <w:t xml:space="preserve"> setting</w:t>
      </w:r>
      <w:r w:rsidR="006E5A37" w:rsidRPr="00E74297">
        <w:t xml:space="preserve">. </w:t>
      </w:r>
      <w:r w:rsidR="00272859" w:rsidRPr="00E74297">
        <w:t>The PBAC considered that if the clinical place and PBS restrictions for SG are amended to align with the population in TROPiCS-02 a time horizon of 5 years would be appropriate.</w:t>
      </w:r>
    </w:p>
    <w:p w14:paraId="37F4006A" w14:textId="40BACC08" w:rsidR="000E337C" w:rsidRPr="00E74297" w:rsidRDefault="000624AF" w:rsidP="00D96C3D">
      <w:pPr>
        <w:pStyle w:val="3-BodyText"/>
      </w:pPr>
      <w:r w:rsidRPr="00E74297">
        <w:t xml:space="preserve">The submission nominated the mean follow-up period in </w:t>
      </w:r>
      <w:r w:rsidR="00C22D28" w:rsidRPr="00E74297">
        <w:t xml:space="preserve">the pivotal </w:t>
      </w:r>
      <w:r w:rsidRPr="00E74297">
        <w:t xml:space="preserve">trial as the truncation time point for OS, 13.1 months. </w:t>
      </w:r>
      <w:r w:rsidR="00C22D28" w:rsidRPr="00E74297">
        <w:t xml:space="preserve">However, </w:t>
      </w:r>
      <w:r w:rsidRPr="00E74297">
        <w:t xml:space="preserve">KM curves in both arms remain stable beyond this time point. </w:t>
      </w:r>
      <w:r w:rsidR="00D60106" w:rsidRPr="00E74297">
        <w:t xml:space="preserve">The ESC considered that </w:t>
      </w:r>
      <w:r w:rsidR="00D96C3D" w:rsidRPr="00E74297">
        <w:t xml:space="preserve">based on </w:t>
      </w:r>
      <w:r w:rsidR="00D60106" w:rsidRPr="00E74297">
        <w:t>Gebski et al.</w:t>
      </w:r>
      <w:r w:rsidR="00D96C3D" w:rsidRPr="00E74297">
        <w:rPr>
          <w:rStyle w:val="FootnoteReference"/>
        </w:rPr>
        <w:footnoteReference w:id="9"/>
      </w:r>
      <w:r w:rsidR="00D60106" w:rsidRPr="00E74297">
        <w:t>,</w:t>
      </w:r>
      <w:r w:rsidRPr="00E74297">
        <w:t xml:space="preserve"> </w:t>
      </w:r>
      <w:r w:rsidR="00D96C3D" w:rsidRPr="00E74297">
        <w:t xml:space="preserve">a minimum n satisfying </w:t>
      </w:r>
      <w:r w:rsidR="00803350" w:rsidRPr="00E74297">
        <w:t>‘C</w:t>
      </w:r>
      <w:r w:rsidR="00D96C3D" w:rsidRPr="00E74297">
        <w:t>riterion 2</w:t>
      </w:r>
      <w:r w:rsidR="00803350" w:rsidRPr="00E74297">
        <w:t>’</w:t>
      </w:r>
      <w:r w:rsidR="00D96C3D" w:rsidRPr="00E74297">
        <w:t xml:space="preserve">, which tests whether one extra event would not decrease the estimated survival to below its full information </w:t>
      </w:r>
      <w:r w:rsidR="002F2474" w:rsidRPr="00E74297">
        <w:t xml:space="preserve">of a </w:t>
      </w:r>
      <w:r w:rsidR="00D96C3D" w:rsidRPr="00E74297">
        <w:t xml:space="preserve">one-sided 95% confidence boundary at time t, could be calculated. When applied to both the </w:t>
      </w:r>
      <w:r w:rsidR="00571CF9" w:rsidRPr="00E74297">
        <w:t>SG</w:t>
      </w:r>
      <w:r w:rsidR="00D96C3D" w:rsidRPr="00E74297">
        <w:t xml:space="preserve"> and TPC OS curves, </w:t>
      </w:r>
      <w:r w:rsidR="002F2474" w:rsidRPr="00E74297">
        <w:t>th</w:t>
      </w:r>
      <w:r w:rsidR="00803350" w:rsidRPr="00E74297">
        <w:t>e</w:t>
      </w:r>
      <w:r w:rsidR="002F2474" w:rsidRPr="00E74297">
        <w:t xml:space="preserve"> calculation</w:t>
      </w:r>
      <w:r w:rsidR="00231D25" w:rsidRPr="00E74297">
        <w:t>s</w:t>
      </w:r>
      <w:r w:rsidR="002F2474" w:rsidRPr="00E74297">
        <w:t xml:space="preserve"> </w:t>
      </w:r>
      <w:r w:rsidR="00D96C3D" w:rsidRPr="00E74297">
        <w:t xml:space="preserve">suggest that </w:t>
      </w:r>
      <w:r w:rsidR="00524A2F" w:rsidRPr="00E74297">
        <w:t xml:space="preserve">KM </w:t>
      </w:r>
      <w:r w:rsidR="00D96C3D" w:rsidRPr="00E74297">
        <w:t xml:space="preserve">estimates </w:t>
      </w:r>
      <w:r w:rsidR="002F2474" w:rsidRPr="00E74297">
        <w:t xml:space="preserve">up to </w:t>
      </w:r>
      <w:r w:rsidR="00D96C3D" w:rsidRPr="00E74297">
        <w:t>30</w:t>
      </w:r>
      <w:r w:rsidR="00524A2F" w:rsidRPr="00E74297">
        <w:t xml:space="preserve"> </w:t>
      </w:r>
      <w:r w:rsidR="00803350" w:rsidRPr="00E74297">
        <w:t>m</w:t>
      </w:r>
      <w:r w:rsidR="00D96C3D" w:rsidRPr="00E74297">
        <w:t>onth</w:t>
      </w:r>
      <w:r w:rsidR="00524A2F" w:rsidRPr="00E74297">
        <w:t>s</w:t>
      </w:r>
      <w:r w:rsidR="00D96C3D" w:rsidRPr="00E74297">
        <w:t xml:space="preserve"> still contain a sufficient number of </w:t>
      </w:r>
      <w:r w:rsidR="00D30B7D" w:rsidRPr="00E74297">
        <w:t>patients</w:t>
      </w:r>
      <w:r w:rsidR="00D96C3D" w:rsidRPr="00E74297">
        <w:t xml:space="preserve"> at risk for meaningful interpretation of the KM plot. </w:t>
      </w:r>
      <w:r w:rsidR="00D30B7D" w:rsidRPr="00E74297">
        <w:t>The ESC considered this analysis supports the use of KM data up to at least 24</w:t>
      </w:r>
      <w:r w:rsidR="00057A97">
        <w:t> </w:t>
      </w:r>
      <w:r w:rsidR="00D30B7D" w:rsidRPr="00E74297">
        <w:t>months</w:t>
      </w:r>
      <w:r w:rsidR="00B227F3" w:rsidRPr="00E74297">
        <w:t xml:space="preserve"> which increased the base case ICER by 31% (from </w:t>
      </w:r>
      <w:r w:rsidR="00AE1ED8" w:rsidRPr="00AE1ED8">
        <w:t>$75,000 to &lt; $95,000</w:t>
      </w:r>
      <w:r w:rsidR="00AE1ED8">
        <w:t xml:space="preserve"> </w:t>
      </w:r>
      <w:r w:rsidR="00B227F3" w:rsidRPr="00E74297">
        <w:t xml:space="preserve">to </w:t>
      </w:r>
      <w:r w:rsidR="00AE1ED8" w:rsidRPr="00AE1ED8">
        <w:t>$95,000 to &lt; $115,000</w:t>
      </w:r>
      <w:r w:rsidR="00B227F3" w:rsidRPr="00E74297">
        <w:t>/QALY gained)</w:t>
      </w:r>
      <w:r w:rsidR="00D30B7D" w:rsidRPr="00E74297">
        <w:t xml:space="preserve">. </w:t>
      </w:r>
      <w:r w:rsidR="00272859" w:rsidRPr="00E74297">
        <w:t>The pre-PBAC response</w:t>
      </w:r>
      <w:r w:rsidR="00BA04C5" w:rsidRPr="00E74297">
        <w:t xml:space="preserve"> </w:t>
      </w:r>
      <w:r w:rsidR="004111F2" w:rsidRPr="00E74297">
        <w:t xml:space="preserve">accepted the use of additional KM data and </w:t>
      </w:r>
      <w:r w:rsidR="00272859" w:rsidRPr="00E74297">
        <w:t xml:space="preserve">argued that truncation of OS KM data </w:t>
      </w:r>
      <w:r w:rsidR="004111F2" w:rsidRPr="00E74297">
        <w:t>should apply from 30</w:t>
      </w:r>
      <w:r w:rsidR="00057A97">
        <w:t> </w:t>
      </w:r>
      <w:r w:rsidR="004111F2" w:rsidRPr="00E74297">
        <w:t>months. This increased the base case ICER by 21% (</w:t>
      </w:r>
      <w:r w:rsidR="00B227F3" w:rsidRPr="00E74297">
        <w:t xml:space="preserve">to </w:t>
      </w:r>
      <w:r w:rsidR="00AE1ED8" w:rsidRPr="00AE1ED8">
        <w:t>$75,000 to &lt; $95,000</w:t>
      </w:r>
      <w:r w:rsidR="00AE1ED8">
        <w:t xml:space="preserve"> </w:t>
      </w:r>
      <w:r w:rsidR="004111F2" w:rsidRPr="00E74297">
        <w:t xml:space="preserve">per QALY gained). </w:t>
      </w:r>
      <w:r w:rsidR="00B227F3" w:rsidRPr="00E74297">
        <w:t>The PBAC considered that use of KM data up to 30 months (</w:t>
      </w:r>
      <w:r w:rsidR="003E4082" w:rsidRPr="00E74297">
        <w:t>the point at which the observed data become unreliable as a result of the small number of patients at risk) was consistent with the preferred approach as outlined in the PBAC guidelines.</w:t>
      </w:r>
    </w:p>
    <w:p w14:paraId="48E96C45" w14:textId="48852BF4" w:rsidR="000624AF" w:rsidRPr="00E74297" w:rsidRDefault="0076702F" w:rsidP="000624AF">
      <w:pPr>
        <w:pStyle w:val="TableFigureHeading"/>
      </w:pPr>
      <w:r w:rsidRPr="00E74297">
        <w:rPr>
          <w:rFonts w:cstheme="minorHAnsi"/>
          <w:szCs w:val="20"/>
        </w:rPr>
        <w:lastRenderedPageBreak/>
        <w:t xml:space="preserve">Figure </w:t>
      </w:r>
      <w:r w:rsidRPr="00E74297">
        <w:rPr>
          <w:rFonts w:cstheme="minorHAnsi"/>
          <w:szCs w:val="20"/>
        </w:rPr>
        <w:fldChar w:fldCharType="begin" w:fldLock="1"/>
      </w:r>
      <w:r w:rsidRPr="00E74297">
        <w:rPr>
          <w:rFonts w:cstheme="minorHAnsi"/>
          <w:szCs w:val="20"/>
        </w:rPr>
        <w:instrText xml:space="preserve"> SEQ Figure \* ARABIC </w:instrText>
      </w:r>
      <w:r w:rsidRPr="00E74297">
        <w:rPr>
          <w:rFonts w:cstheme="minorHAnsi"/>
          <w:szCs w:val="20"/>
        </w:rPr>
        <w:fldChar w:fldCharType="separate"/>
      </w:r>
      <w:r w:rsidR="00AE1DC7" w:rsidRPr="00E74297">
        <w:rPr>
          <w:rFonts w:cstheme="minorHAnsi"/>
          <w:szCs w:val="20"/>
        </w:rPr>
        <w:t>3</w:t>
      </w:r>
      <w:r w:rsidRPr="00E74297">
        <w:rPr>
          <w:rFonts w:cstheme="minorHAnsi"/>
          <w:szCs w:val="20"/>
        </w:rPr>
        <w:fldChar w:fldCharType="end"/>
      </w:r>
      <w:r w:rsidRPr="00E74297">
        <w:rPr>
          <w:rFonts w:cstheme="minorHAnsi"/>
          <w:szCs w:val="20"/>
        </w:rPr>
        <w:t>:</w:t>
      </w:r>
      <w:r w:rsidRPr="00E74297">
        <w:rPr>
          <w:rFonts w:cstheme="minorHAnsi"/>
          <w:szCs w:val="20"/>
        </w:rPr>
        <w:tab/>
      </w:r>
      <w:r w:rsidR="000624AF" w:rsidRPr="00E74297">
        <w:t>TROPiCS-2 OS KM data and truncation time points</w:t>
      </w:r>
    </w:p>
    <w:p w14:paraId="5847EC15" w14:textId="77777777" w:rsidR="000E337C" w:rsidRPr="00E74297" w:rsidRDefault="00C2195C" w:rsidP="000624AF">
      <w:pPr>
        <w:pStyle w:val="FooterTableFigure"/>
      </w:pPr>
      <w:r w:rsidRPr="00E74297">
        <w:rPr>
          <w:noProof/>
          <w:snapToGrid/>
        </w:rPr>
        <w:drawing>
          <wp:inline distT="0" distB="0" distL="0" distR="0" wp14:anchorId="0113F3B5" wp14:editId="5EFF6B0F">
            <wp:extent cx="5732145" cy="4189730"/>
            <wp:effectExtent l="0" t="0" r="1905" b="1270"/>
            <wp:docPr id="2" name="Picture 2" descr="Figure 3: TROPiCS-2 OS KM data and truncation time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3: TROPiCS-2 OS KM data and truncation time points"/>
                    <pic:cNvPicPr/>
                  </pic:nvPicPr>
                  <pic:blipFill>
                    <a:blip r:embed="rId10"/>
                    <a:stretch>
                      <a:fillRect/>
                    </a:stretch>
                  </pic:blipFill>
                  <pic:spPr>
                    <a:xfrm>
                      <a:off x="0" y="0"/>
                      <a:ext cx="5732145" cy="4189730"/>
                    </a:xfrm>
                    <a:prstGeom prst="rect">
                      <a:avLst/>
                    </a:prstGeom>
                  </pic:spPr>
                </pic:pic>
              </a:graphicData>
            </a:graphic>
          </wp:inline>
        </w:drawing>
      </w:r>
      <w:r w:rsidR="000624AF" w:rsidRPr="00E74297">
        <w:t>Source: Constructed during the evaluation from the “Attachment 07 – Trodelvy HR+HER2- mBC Economic model” Excel Workbook provided with the submission.</w:t>
      </w:r>
    </w:p>
    <w:p w14:paraId="49ECC0AD" w14:textId="6D36542B" w:rsidR="000E337C" w:rsidRPr="00E74297" w:rsidRDefault="000624AF" w:rsidP="000624AF">
      <w:pPr>
        <w:pStyle w:val="FooterTableFigure"/>
      </w:pPr>
      <w:r w:rsidRPr="00E74297">
        <w:t>KM = Kaplan-Meier; OS = overall survival; SG = sacituzumab govitecan; TPC = treatment of physician choice (consisting of eribulin, capecitabine, gemcitabine or vinorelbine).</w:t>
      </w:r>
    </w:p>
    <w:p w14:paraId="4F9A5617" w14:textId="59321603" w:rsidR="000624AF" w:rsidRPr="00E74297" w:rsidRDefault="000624AF" w:rsidP="00E9526D">
      <w:pPr>
        <w:pStyle w:val="3-BodyText"/>
        <w:rPr>
          <w:i/>
          <w:iCs/>
        </w:rPr>
      </w:pPr>
      <w:r w:rsidRPr="00E74297">
        <w:t xml:space="preserve">The submission applied dependently fitted standard survival functions to OS KM data and based on Akaike information criterion (AIC) and Bayesian information criterion (BIC), visual inspection and clinical plausibility in the comparator arm, a log-logistic distribution (the second-best fitting curve by AIC/BIC) was chosen. </w:t>
      </w:r>
      <w:r w:rsidR="003E4082" w:rsidRPr="00E74297">
        <w:t>T</w:t>
      </w:r>
      <w:r w:rsidRPr="00E74297">
        <w:t xml:space="preserve">he submission did not adequately justify choosing the second best-fitting curve over the best-fitting curve (gamma) which produced survival estimates in the comparator arm more in line with OS data taken from the EMBRACE trial, </w:t>
      </w:r>
      <w:r w:rsidRPr="00E74297">
        <w:rPr>
          <w:color w:val="000000" w:themeColor="text1"/>
        </w:rPr>
        <w:t xml:space="preserve">which compared eribulin against TPC in </w:t>
      </w:r>
      <w:r w:rsidR="0054661F" w:rsidRPr="00E74297">
        <w:rPr>
          <w:color w:val="000000" w:themeColor="text1"/>
        </w:rPr>
        <w:t>mBC</w:t>
      </w:r>
      <w:r w:rsidRPr="00E74297">
        <w:rPr>
          <w:color w:val="000000" w:themeColor="text1"/>
        </w:rPr>
        <w:t xml:space="preserve"> patients with a 5-year follow up period</w:t>
      </w:r>
      <w:r w:rsidRPr="00E74297">
        <w:t xml:space="preserve">. Using a dependent gamma distribution to model OS increased the ICER by 12% (from </w:t>
      </w:r>
      <w:r w:rsidR="00AE1ED8" w:rsidRPr="00AE1ED8">
        <w:t>$75,000 to &lt; $95,000</w:t>
      </w:r>
      <w:r w:rsidR="00AE1ED8">
        <w:t xml:space="preserve"> </w:t>
      </w:r>
      <w:r w:rsidRPr="00E74297">
        <w:t xml:space="preserve">per QALY gained to </w:t>
      </w:r>
      <w:r w:rsidR="00AE1ED8" w:rsidRPr="00AE1ED8">
        <w:t>$75,000 to &lt; $95,000</w:t>
      </w:r>
      <w:r w:rsidRPr="00E74297">
        <w:t xml:space="preserve"> per QALY gained). </w:t>
      </w:r>
      <w:r w:rsidR="00323CC0" w:rsidRPr="00E74297">
        <w:t>The PSCR considered that the updated results of the TROPICS-02 trial (mean follow up of 14.4 months) support</w:t>
      </w:r>
      <w:r w:rsidR="00A42A72" w:rsidRPr="00E74297">
        <w:t>ed</w:t>
      </w:r>
      <w:r w:rsidR="00323CC0" w:rsidRPr="00E74297">
        <w:t xml:space="preserve"> the use of the log-logistic function for long term extrapolation of OS. </w:t>
      </w:r>
      <w:r w:rsidR="00CD4DB1" w:rsidRPr="00E74297">
        <w:t>T</w:t>
      </w:r>
      <w:r w:rsidR="00D369E8" w:rsidRPr="00E74297">
        <w:t>he</w:t>
      </w:r>
      <w:r w:rsidR="00323CC0" w:rsidRPr="00E74297">
        <w:t xml:space="preserve"> PSCR </w:t>
      </w:r>
      <w:r w:rsidR="005E5EC0" w:rsidRPr="00E74297">
        <w:t>also</w:t>
      </w:r>
      <w:r w:rsidR="000E5F27" w:rsidRPr="00E74297">
        <w:t xml:space="preserve"> argued that the gamma extrapolation appears to underestimate 5</w:t>
      </w:r>
      <w:r w:rsidR="00AE1ED8">
        <w:noBreakHyphen/>
      </w:r>
      <w:r w:rsidR="000E5F27" w:rsidRPr="00E74297">
        <w:t xml:space="preserve">year survival rates for TPC compared to the EMBRACE trial (Study 305) with 0.6% of patients alive in the SG and TPC treatment arms versus 2.1% </w:t>
      </w:r>
      <w:r w:rsidR="00803350" w:rsidRPr="00E74297">
        <w:t xml:space="preserve">(weighted) </w:t>
      </w:r>
      <w:r w:rsidR="000E5F27" w:rsidRPr="00E74297">
        <w:t xml:space="preserve">survival </w:t>
      </w:r>
      <w:r w:rsidR="00803350" w:rsidRPr="00E74297">
        <w:t>observed in</w:t>
      </w:r>
      <w:r w:rsidR="000E5F27" w:rsidRPr="00E74297">
        <w:t xml:space="preserve"> the EMBRACE trial.</w:t>
      </w:r>
      <w:r w:rsidR="00EE25EE" w:rsidRPr="00E74297">
        <w:t xml:space="preserve"> The PBAC considered that although it was uncertain which was the most appropriate </w:t>
      </w:r>
      <w:r w:rsidR="00EE25EE" w:rsidRPr="00E74297">
        <w:lastRenderedPageBreak/>
        <w:t>parametric function for extrapolating the OS data, the Committee noted that the extended follow-up data potentially supported the use of the log-logistic function.</w:t>
      </w:r>
    </w:p>
    <w:p w14:paraId="6EE57DC1" w14:textId="5EECD80E" w:rsidR="000624AF" w:rsidRPr="00E74297" w:rsidRDefault="000624AF" w:rsidP="000624AF">
      <w:pPr>
        <w:pStyle w:val="3-BodyText"/>
      </w:pPr>
      <w:r w:rsidRPr="00E74297">
        <w:t xml:space="preserve">A comparison of OS extrapolation curves and EMBRACE trial data is presented in </w:t>
      </w:r>
      <w:r w:rsidR="0076702F" w:rsidRPr="00E74297">
        <w:fldChar w:fldCharType="begin" w:fldLock="1"/>
      </w:r>
      <w:r w:rsidR="0076702F" w:rsidRPr="00E74297">
        <w:instrText xml:space="preserve"> REF _Ref138242330 \h </w:instrText>
      </w:r>
      <w:r w:rsidR="0076702F" w:rsidRPr="00E74297">
        <w:fldChar w:fldCharType="separate"/>
      </w:r>
      <w:r w:rsidR="00AE1DC7" w:rsidRPr="00E74297">
        <w:rPr>
          <w:rFonts w:cstheme="minorHAnsi"/>
          <w:szCs w:val="20"/>
        </w:rPr>
        <w:t>Figure 4</w:t>
      </w:r>
      <w:r w:rsidR="0076702F" w:rsidRPr="00E74297">
        <w:fldChar w:fldCharType="end"/>
      </w:r>
      <w:r w:rsidR="0076702F" w:rsidRPr="00E74297">
        <w:t>.</w:t>
      </w:r>
    </w:p>
    <w:p w14:paraId="7516474D" w14:textId="656C8D38" w:rsidR="000624AF" w:rsidRPr="00E74297" w:rsidRDefault="0076702F" w:rsidP="000624AF">
      <w:pPr>
        <w:pStyle w:val="Caption"/>
      </w:pPr>
      <w:bookmarkStart w:id="62" w:name="_Ref138242330"/>
      <w:r w:rsidRPr="00E74297">
        <w:rPr>
          <w:rFonts w:cstheme="minorHAnsi"/>
          <w:szCs w:val="20"/>
        </w:rPr>
        <w:t xml:space="preserve">Figure </w:t>
      </w:r>
      <w:r w:rsidRPr="00E74297">
        <w:rPr>
          <w:rFonts w:cstheme="minorHAnsi"/>
          <w:szCs w:val="20"/>
        </w:rPr>
        <w:fldChar w:fldCharType="begin" w:fldLock="1"/>
      </w:r>
      <w:r w:rsidRPr="00E74297">
        <w:rPr>
          <w:rFonts w:cstheme="minorHAnsi"/>
          <w:szCs w:val="20"/>
        </w:rPr>
        <w:instrText xml:space="preserve"> SEQ Figure \* ARABIC </w:instrText>
      </w:r>
      <w:r w:rsidRPr="00E74297">
        <w:rPr>
          <w:rFonts w:cstheme="minorHAnsi"/>
          <w:szCs w:val="20"/>
        </w:rPr>
        <w:fldChar w:fldCharType="separate"/>
      </w:r>
      <w:r w:rsidR="00AE1DC7" w:rsidRPr="00E74297">
        <w:rPr>
          <w:rFonts w:cstheme="minorHAnsi"/>
          <w:szCs w:val="20"/>
        </w:rPr>
        <w:t>4</w:t>
      </w:r>
      <w:r w:rsidRPr="00E74297">
        <w:rPr>
          <w:rFonts w:cstheme="minorHAnsi"/>
          <w:szCs w:val="20"/>
        </w:rPr>
        <w:fldChar w:fldCharType="end"/>
      </w:r>
      <w:bookmarkEnd w:id="62"/>
      <w:r w:rsidRPr="00E74297">
        <w:rPr>
          <w:rFonts w:cstheme="minorHAnsi"/>
          <w:szCs w:val="20"/>
        </w:rPr>
        <w:t>:</w:t>
      </w:r>
      <w:r w:rsidRPr="00E74297">
        <w:rPr>
          <w:rFonts w:cstheme="minorHAnsi"/>
          <w:szCs w:val="20"/>
        </w:rPr>
        <w:tab/>
      </w:r>
      <w:r w:rsidR="000624AF" w:rsidRPr="00E74297">
        <w:t>Comparison of OS extrapolation curves and external data</w:t>
      </w:r>
    </w:p>
    <w:p w14:paraId="72BA4E47" w14:textId="77777777" w:rsidR="000624AF" w:rsidRPr="00E74297" w:rsidRDefault="000624AF" w:rsidP="000624AF">
      <w:pPr>
        <w:keepNext/>
      </w:pPr>
      <w:r w:rsidRPr="00E74297">
        <w:rPr>
          <w:noProof/>
        </w:rPr>
        <w:drawing>
          <wp:inline distT="0" distB="0" distL="0" distR="0" wp14:anchorId="08B1ABAC" wp14:editId="71348840">
            <wp:extent cx="5852795" cy="4359275"/>
            <wp:effectExtent l="0" t="0" r="0" b="3175"/>
            <wp:docPr id="3" name="Picture 3" descr="Figure 4: Comparison of OS extrapolation curves and externa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4: Comparison of OS extrapolation curves and external da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795" cy="4359275"/>
                    </a:xfrm>
                    <a:prstGeom prst="rect">
                      <a:avLst/>
                    </a:prstGeom>
                    <a:noFill/>
                  </pic:spPr>
                </pic:pic>
              </a:graphicData>
            </a:graphic>
          </wp:inline>
        </w:drawing>
      </w:r>
    </w:p>
    <w:p w14:paraId="513ABD77" w14:textId="77777777" w:rsidR="000E337C" w:rsidRPr="00E74297" w:rsidRDefault="000624AF" w:rsidP="000624AF">
      <w:pPr>
        <w:pStyle w:val="TableFigureFooter"/>
        <w:keepNext/>
      </w:pPr>
      <w:r w:rsidRPr="00E74297">
        <w:t>Source: Constructed during the evaluation from the “Attachment 07 – Trodelvy HR+HER2- mBC Economic model” Excel Workbook provided with the submission.</w:t>
      </w:r>
    </w:p>
    <w:p w14:paraId="474B7836" w14:textId="1AA89A78" w:rsidR="000624AF" w:rsidRPr="00E74297" w:rsidRDefault="000624AF" w:rsidP="000624AF">
      <w:pPr>
        <w:pStyle w:val="TableFigureFooter"/>
        <w:keepNext/>
      </w:pPr>
      <w:r w:rsidRPr="00E74297">
        <w:t>KM = Kaplan-Meier; OS = overall survival; SG = sacituzumab govitecan; TPC = treatment of physician choice (consisting of eribulin, capecitabine, gemcitabine or vinorelbine).</w:t>
      </w:r>
    </w:p>
    <w:p w14:paraId="354F84A9" w14:textId="77777777" w:rsidR="000624AF" w:rsidRPr="00E74297" w:rsidRDefault="000624AF" w:rsidP="000624AF">
      <w:pPr>
        <w:pStyle w:val="TableFigureFooter"/>
        <w:keepNext/>
      </w:pPr>
      <w:r w:rsidRPr="00E74297">
        <w:t>Note: EMBRACE trial OS data was provided by in the submission and weighted 48% eribulin arm and 52% TPC arm.</w:t>
      </w:r>
    </w:p>
    <w:p w14:paraId="2E741292" w14:textId="77777777" w:rsidR="000E337C" w:rsidRPr="00E74297" w:rsidRDefault="000624AF" w:rsidP="000624AF">
      <w:pPr>
        <w:pStyle w:val="TableFigureFooter"/>
        <w:keepNext/>
      </w:pPr>
      <w:r w:rsidRPr="00E74297">
        <w:t>* Denotes the submission’s base case</w:t>
      </w:r>
    </w:p>
    <w:p w14:paraId="5F7BC29A" w14:textId="4343E42D" w:rsidR="000624AF" w:rsidRPr="00E74297" w:rsidRDefault="005E5EC0" w:rsidP="005E5EC0">
      <w:pPr>
        <w:pStyle w:val="3-BodyText"/>
      </w:pPr>
      <w:r w:rsidRPr="00E74297">
        <w:t>A</w:t>
      </w:r>
      <w:r w:rsidR="000624AF" w:rsidRPr="00E74297">
        <w:t xml:space="preserve">s the KM data for PFS were relatively mature (approximately 20% of patients remaining free of disease progression or death at the base case data truncation point), </w:t>
      </w:r>
      <w:r w:rsidRPr="00E74297">
        <w:t>t</w:t>
      </w:r>
      <w:r w:rsidR="000624AF" w:rsidRPr="00E74297">
        <w:t>he economic model was not sensitive to the parametric model used to extrapolate PFS.</w:t>
      </w:r>
    </w:p>
    <w:p w14:paraId="335EE53E" w14:textId="77777777" w:rsidR="000E337C" w:rsidRPr="00E74297" w:rsidRDefault="000624AF" w:rsidP="000624AF">
      <w:pPr>
        <w:pStyle w:val="3-BodyText"/>
      </w:pPr>
      <w:r w:rsidRPr="00E74297">
        <w:t xml:space="preserve">In the base case analysis, utility values included only those related to health state utility, as the submission had adjusted the health state utilities for decrements caused by adverse events (AEs). </w:t>
      </w:r>
      <w:r w:rsidRPr="00E74297">
        <w:rPr>
          <w:iCs/>
        </w:rPr>
        <w:t xml:space="preserve">The methodology behind this adjustment could not be verified, </w:t>
      </w:r>
      <w:r w:rsidRPr="00E74297">
        <w:t>the application of specific AE disutilities may be a more preferable and transparent approach.</w:t>
      </w:r>
    </w:p>
    <w:p w14:paraId="7B7DDD8A" w14:textId="77777777" w:rsidR="000E337C" w:rsidRPr="00E74297" w:rsidRDefault="00532A33" w:rsidP="00532A33">
      <w:pPr>
        <w:pStyle w:val="3-BodyText"/>
      </w:pPr>
      <w:r w:rsidRPr="00E74297">
        <w:lastRenderedPageBreak/>
        <w:t>H</w:t>
      </w:r>
      <w:r w:rsidR="000624AF" w:rsidRPr="00E74297">
        <w:t>ealth state quality-of-life data were captured in the TROPiCS-02 trial,</w:t>
      </w:r>
      <w:r w:rsidRPr="00E74297">
        <w:t xml:space="preserve"> however</w:t>
      </w:r>
      <w:r w:rsidR="000624AF" w:rsidRPr="00E74297">
        <w:t xml:space="preserve"> the base case analysis included health state utilities that were sourced from the economic evaluation of SG vs TPC for mTNBC which was </w:t>
      </w:r>
      <w:r w:rsidR="004C4EC0" w:rsidRPr="00E74297">
        <w:t>considered by</w:t>
      </w:r>
      <w:r w:rsidR="000624AF" w:rsidRPr="00E74297">
        <w:t xml:space="preserve"> the PBAC </w:t>
      </w:r>
      <w:r w:rsidR="00140B7C" w:rsidRPr="00E74297">
        <w:t>at</w:t>
      </w:r>
      <w:r w:rsidR="000624AF" w:rsidRPr="00E74297">
        <w:t xml:space="preserve"> the March 2022 meeting. The submission’s justification for this approach was that the difference between the progression free (PF) and progressed disease (PD) utility, based on the TROPiCS-02 data, was smaller than those previously applied in literature and what the PBAC had previously seen (in the context of SG for mTNBC) (Table 9, sacituzumab govitecan </w:t>
      </w:r>
      <w:r w:rsidR="00BE0137" w:rsidRPr="00E74297">
        <w:t>PSD</w:t>
      </w:r>
      <w:r w:rsidR="000624AF" w:rsidRPr="00E74297">
        <w:t>, March 2022 PBAC Meeting). However, the applied utility values may have limited applicability to the proposed evaluation as mTNBC is more aggressive and has a poorer prognosis</w:t>
      </w:r>
      <w:r w:rsidR="00140B7C" w:rsidRPr="00E74297">
        <w:t xml:space="preserve"> in a younger group of patients</w:t>
      </w:r>
      <w:r w:rsidR="000624AF" w:rsidRPr="00E74297">
        <w:t xml:space="preserve"> than the proposed population of HR+ breast cancer</w:t>
      </w:r>
      <w:r w:rsidRPr="00E74297">
        <w:t>.</w:t>
      </w:r>
      <w:r w:rsidR="000F1264" w:rsidRPr="00E74297">
        <w:rPr>
          <w:rStyle w:val="FootnoteReference"/>
        </w:rPr>
        <w:footnoteReference w:id="10"/>
      </w:r>
    </w:p>
    <w:p w14:paraId="3A9B7632" w14:textId="71835963" w:rsidR="000E337C" w:rsidRPr="00E74297" w:rsidRDefault="00140B7C" w:rsidP="00532A33">
      <w:pPr>
        <w:pStyle w:val="3-BodyText"/>
      </w:pPr>
      <w:r w:rsidRPr="00E74297">
        <w:t>T</w:t>
      </w:r>
      <w:r w:rsidR="00532A33" w:rsidRPr="00E74297">
        <w:t xml:space="preserve">he </w:t>
      </w:r>
      <w:r w:rsidR="000624AF" w:rsidRPr="00E74297">
        <w:t xml:space="preserve">submission </w:t>
      </w:r>
      <w:r w:rsidRPr="00E74297">
        <w:t xml:space="preserve">also </w:t>
      </w:r>
      <w:r w:rsidR="000624AF" w:rsidRPr="00E74297">
        <w:t>applied treatment-specific utilities for the PF health state and an identical health state utility for PD across the two treatment arms. The PBAC previously accepted treatment-specific PFS utilities in the mTNBC setting due to consumer comments outlining the value of additional survival in this patient population (para 7.14, sacituzumab govitecan PSD, March 2022 PBAC Meeting), however this may not be applicable in the HR+ setting, given the differences in patient/disease characteristics and available treatment options between mTNBC and metastatic HR+/HER2- breast cancer.</w:t>
      </w:r>
      <w:r w:rsidR="00F52C29" w:rsidRPr="00E74297">
        <w:t xml:space="preserve"> </w:t>
      </w:r>
      <w:r w:rsidR="00B84AD9" w:rsidRPr="00E74297">
        <w:t xml:space="preserve">The PSCR argued that while </w:t>
      </w:r>
      <w:r w:rsidR="00C13D36" w:rsidRPr="00E74297">
        <w:t xml:space="preserve">at the time of diagnosis </w:t>
      </w:r>
      <w:r w:rsidR="00B84AD9" w:rsidRPr="00E74297">
        <w:t>there are more treatment options available</w:t>
      </w:r>
      <w:r w:rsidR="00AD1D5B" w:rsidRPr="00E74297">
        <w:t xml:space="preserve"> in the</w:t>
      </w:r>
      <w:r w:rsidR="00B84AD9" w:rsidRPr="00E74297">
        <w:t xml:space="preserve"> HR+ setting compared with TNBC,</w:t>
      </w:r>
      <w:r w:rsidR="000F4A53" w:rsidRPr="00E74297">
        <w:t xml:space="preserve"> </w:t>
      </w:r>
      <w:r w:rsidR="00B84AD9" w:rsidRPr="00E74297">
        <w:t>once patients progress to have metastatic disease there is little difference between</w:t>
      </w:r>
      <w:r w:rsidR="00AD1D5B" w:rsidRPr="00E74297">
        <w:t xml:space="preserve"> </w:t>
      </w:r>
      <w:r w:rsidR="00C13D36" w:rsidRPr="00E74297">
        <w:t xml:space="preserve">available </w:t>
      </w:r>
      <w:r w:rsidR="00B84AD9" w:rsidRPr="00E74297">
        <w:t>treatment option</w:t>
      </w:r>
      <w:r w:rsidR="006A4BC2" w:rsidRPr="00E74297">
        <w:t>s, symptoms, and prognosis,</w:t>
      </w:r>
      <w:r w:rsidR="00AD1D5B" w:rsidRPr="00E74297">
        <w:t xml:space="preserve"> and </w:t>
      </w:r>
      <w:r w:rsidR="00C13D36" w:rsidRPr="00E74297">
        <w:t xml:space="preserve">comparable value would be attributed to </w:t>
      </w:r>
      <w:r w:rsidR="00AD1D5B" w:rsidRPr="00E74297">
        <w:t>additional survival</w:t>
      </w:r>
      <w:r w:rsidR="00B84AD9" w:rsidRPr="00E74297">
        <w:t>.</w:t>
      </w:r>
    </w:p>
    <w:p w14:paraId="66BCBDD0" w14:textId="26A8F3BE" w:rsidR="000624AF" w:rsidRPr="00E74297" w:rsidRDefault="000E670E" w:rsidP="00746654">
      <w:pPr>
        <w:pStyle w:val="3-BodyText"/>
        <w:rPr>
          <w:iCs/>
        </w:rPr>
      </w:pPr>
      <w:r w:rsidRPr="00E74297">
        <w:rPr>
          <w:iCs/>
        </w:rPr>
        <w:t>Overall, the</w:t>
      </w:r>
      <w:r w:rsidR="00757356" w:rsidRPr="00E74297">
        <w:rPr>
          <w:iCs/>
        </w:rPr>
        <w:t xml:space="preserve"> </w:t>
      </w:r>
      <w:r w:rsidR="00134AFF" w:rsidRPr="00E74297">
        <w:rPr>
          <w:iCs/>
        </w:rPr>
        <w:t>PBAC agreed with the ESC</w:t>
      </w:r>
      <w:r w:rsidR="00757356" w:rsidRPr="00E74297">
        <w:rPr>
          <w:iCs/>
        </w:rPr>
        <w:t xml:space="preserve"> that </w:t>
      </w:r>
      <w:r w:rsidR="0057066B" w:rsidRPr="00E74297">
        <w:rPr>
          <w:iCs/>
        </w:rPr>
        <w:t>the</w:t>
      </w:r>
      <w:r w:rsidR="00757356" w:rsidRPr="00E74297">
        <w:rPr>
          <w:iCs/>
        </w:rPr>
        <w:t xml:space="preserve"> </w:t>
      </w:r>
      <w:r w:rsidR="0057066B" w:rsidRPr="00E74297">
        <w:rPr>
          <w:iCs/>
        </w:rPr>
        <w:t xml:space="preserve">use of treatment specific utilities was poorly justified in the submission and considered that the </w:t>
      </w:r>
      <w:r w:rsidR="00EB74D5" w:rsidRPr="00E74297">
        <w:rPr>
          <w:iCs/>
        </w:rPr>
        <w:t>relevance</w:t>
      </w:r>
      <w:r w:rsidR="0057066B" w:rsidRPr="00E74297">
        <w:rPr>
          <w:iCs/>
        </w:rPr>
        <w:t xml:space="preserve"> of utilities derived from the mTNBC setting </w:t>
      </w:r>
      <w:r w:rsidR="00EB74D5" w:rsidRPr="00E74297">
        <w:rPr>
          <w:iCs/>
        </w:rPr>
        <w:t>was uncertain</w:t>
      </w:r>
      <w:r w:rsidR="0057066B" w:rsidRPr="00E74297">
        <w:rPr>
          <w:iCs/>
        </w:rPr>
        <w:t xml:space="preserve">. </w:t>
      </w:r>
      <w:r w:rsidR="008B11C4" w:rsidRPr="00E74297">
        <w:rPr>
          <w:iCs/>
        </w:rPr>
        <w:t>The PBAC considered that treatment-specific utilities in TNBC are not applicable to the HR+ setting as TNBC patients tend to have more aggressive disease, more visceral disease and tend to be younger, with more value placed on small survival gains. The PBAC considered that the economic model should apply utility values from the TROPiCS-02 trial</w:t>
      </w:r>
      <w:r w:rsidR="002E11B2" w:rsidRPr="00E74297">
        <w:rPr>
          <w:iCs/>
        </w:rPr>
        <w:t xml:space="preserve"> and noted that this increased the ICER by 7%</w:t>
      </w:r>
      <w:r w:rsidR="008B11C4" w:rsidRPr="00E74297">
        <w:rPr>
          <w:iCs/>
        </w:rPr>
        <w:t>.</w:t>
      </w:r>
    </w:p>
    <w:p w14:paraId="4C8EA070" w14:textId="77777777" w:rsidR="000E337C" w:rsidRPr="00E74297" w:rsidRDefault="000624AF" w:rsidP="000624AF">
      <w:pPr>
        <w:pStyle w:val="3-BodyText"/>
      </w:pPr>
      <w:r w:rsidRPr="00E74297">
        <w:t xml:space="preserve">Time to treatment discontinuation (TTD) data from TROPiCS-02 trial was used to model duration of treatment in the economic model by applying KM TTD data from TROPiCS-02 up to the mean follow-up time (13.1 months). Dependent exponential distributions were used for </w:t>
      </w:r>
      <w:r w:rsidR="00EB74D5" w:rsidRPr="00E74297">
        <w:t xml:space="preserve">parametric extrapolation over the remaining time horizon for </w:t>
      </w:r>
      <w:r w:rsidRPr="00E74297">
        <w:t xml:space="preserve">both arms in the base case analysis. The mean treatment duration for SG and TPC in the base case of the model was 6.08 months and 3.78 months, respectively. </w:t>
      </w:r>
      <w:r w:rsidR="00606CE9" w:rsidRPr="00E74297">
        <w:t>The PBAC considered that as</w:t>
      </w:r>
      <w:r w:rsidRPr="00E74297">
        <w:t xml:space="preserve"> TTD data </w:t>
      </w:r>
      <w:r w:rsidR="00606CE9" w:rsidRPr="00E74297">
        <w:t xml:space="preserve">were mature </w:t>
      </w:r>
      <w:r w:rsidRPr="00E74297">
        <w:t xml:space="preserve">(2% and 1% of patients remaining on </w:t>
      </w:r>
      <w:r w:rsidRPr="00E74297">
        <w:lastRenderedPageBreak/>
        <w:t xml:space="preserve">treatment in the SG and TPC arms at the end of the observed period), TTD data without extrapolation </w:t>
      </w:r>
      <w:r w:rsidR="00606CE9" w:rsidRPr="00E74297">
        <w:t>sh</w:t>
      </w:r>
      <w:r w:rsidRPr="00E74297">
        <w:t>ould be used.</w:t>
      </w:r>
    </w:p>
    <w:p w14:paraId="0C06A3C0" w14:textId="6EA7DA17" w:rsidR="000624AF" w:rsidRPr="00E74297" w:rsidRDefault="000624AF" w:rsidP="000624AF">
      <w:pPr>
        <w:pStyle w:val="3-BodyText"/>
      </w:pPr>
      <w:bookmarkStart w:id="63" w:name="_Ref137287062"/>
      <w:bookmarkStart w:id="64" w:name="_Ref132362180"/>
      <w:r w:rsidRPr="00E74297">
        <w:t>The</w:t>
      </w:r>
      <w:r w:rsidR="00A70AFF" w:rsidRPr="00E74297">
        <w:t xml:space="preserve"> ESC noted that the</w:t>
      </w:r>
      <w:r w:rsidRPr="00E74297">
        <w:t xml:space="preserve"> submission assumed vial sharing would occur in the base case analysis for SG and the comparator drugs. Th</w:t>
      </w:r>
      <w:r w:rsidR="00A70AFF" w:rsidRPr="00E74297">
        <w:t>e evaluation considered that this</w:t>
      </w:r>
      <w:r w:rsidRPr="00E74297">
        <w:t xml:space="preserve"> was not reasonable and is not consistent with the PBAC guidelines. </w:t>
      </w:r>
      <w:r w:rsidR="00FE37E7" w:rsidRPr="00E74297">
        <w:t>Including</w:t>
      </w:r>
      <w:r w:rsidRPr="00E74297">
        <w:t xml:space="preserve"> wastage </w:t>
      </w:r>
      <w:r w:rsidR="00FE37E7" w:rsidRPr="00E74297">
        <w:t xml:space="preserve">resulted </w:t>
      </w:r>
      <w:r w:rsidRPr="00E74297">
        <w:t xml:space="preserve">in a 22% increase in the ICER (from </w:t>
      </w:r>
      <w:r w:rsidR="00AE1ED8" w:rsidRPr="00AE1ED8">
        <w:t>$75,000 to &lt; $95,000</w:t>
      </w:r>
      <w:r w:rsidRPr="00E74297">
        <w:t xml:space="preserve"> per QALY gained to </w:t>
      </w:r>
      <w:r w:rsidR="00AE1ED8" w:rsidRPr="00AE1ED8">
        <w:t>$75,000 to &lt; $95,000</w:t>
      </w:r>
      <w:r w:rsidRPr="00E74297">
        <w:t xml:space="preserve"> per QALY gained). </w:t>
      </w:r>
      <w:r w:rsidR="00433160" w:rsidRPr="00E74297">
        <w:t xml:space="preserve">The PSCR argued that the assumption of vial sharing (no wastage) was consistent with the cost-effectiveness model accepted by the PBAC for mTNBC and noted that the EFC Review (Interim Report July 2022) stated that vial sharing in Australia is extensive and is considered critical to minimise drug wastage and is fundamental to compounder viability. </w:t>
      </w:r>
      <w:r w:rsidR="00093D53" w:rsidRPr="00E74297">
        <w:t>However</w:t>
      </w:r>
      <w:r w:rsidR="00433160" w:rsidRPr="00E74297">
        <w:t>, it is stated in the</w:t>
      </w:r>
      <w:r w:rsidR="00A70AFF" w:rsidRPr="00E74297">
        <w:t xml:space="preserve"> draft</w:t>
      </w:r>
      <w:r w:rsidR="00433160" w:rsidRPr="00E74297">
        <w:t xml:space="preserve"> Product Information (PI)</w:t>
      </w:r>
      <w:r w:rsidR="00472F56" w:rsidRPr="00E74297">
        <w:t xml:space="preserve"> for SG that</w:t>
      </w:r>
      <w:r w:rsidR="00433160" w:rsidRPr="00E74297">
        <w:t xml:space="preserve"> </w:t>
      </w:r>
      <w:r w:rsidR="00472F56" w:rsidRPr="00E74297">
        <w:t>‘The product is for use in one patient on one occasion only. Discard any unused portion’</w:t>
      </w:r>
      <w:r w:rsidR="009131E5" w:rsidRPr="00E74297">
        <w:t xml:space="preserve"> </w:t>
      </w:r>
      <w:r w:rsidR="00472F56" w:rsidRPr="00E74297">
        <w:t>, suggesting wastage is likely to occur. The</w:t>
      </w:r>
      <w:r w:rsidR="008B11C4" w:rsidRPr="00E74297">
        <w:t xml:space="preserve"> PBAC agreed with the</w:t>
      </w:r>
      <w:r w:rsidR="00472F56" w:rsidRPr="00E74297">
        <w:t xml:space="preserve"> ESC </w:t>
      </w:r>
      <w:bookmarkEnd w:id="63"/>
      <w:r w:rsidR="0057066B" w:rsidRPr="00E74297">
        <w:t>that it was not appropriate for the economic model to no</w:t>
      </w:r>
      <w:r w:rsidR="009131E5" w:rsidRPr="00E74297">
        <w:t>t</w:t>
      </w:r>
      <w:r w:rsidR="0057066B" w:rsidRPr="00E74297">
        <w:t xml:space="preserve"> include an assumption of wastage.</w:t>
      </w:r>
    </w:p>
    <w:p w14:paraId="62B2BEFB" w14:textId="5709252C" w:rsidR="008F7BBF" w:rsidRPr="00E74297" w:rsidRDefault="006A26CD" w:rsidP="006A26CD">
      <w:pPr>
        <w:pStyle w:val="3-BodyText"/>
        <w:rPr>
          <w:rStyle w:val="normaltextrun"/>
        </w:rPr>
      </w:pPr>
      <w:bookmarkStart w:id="65" w:name="_Ref134785024"/>
      <w:r w:rsidRPr="00E74297">
        <w:t>The ESC noted that a</w:t>
      </w:r>
      <w:r w:rsidR="000624AF" w:rsidRPr="00E74297">
        <w:t xml:space="preserve"> relative dose intensity (RDI) of 70% and 100% was assumed for SG and TPC drugs in the base case analysis </w:t>
      </w:r>
      <w:r w:rsidR="004810C7" w:rsidRPr="00E74297">
        <w:t xml:space="preserve">compared with </w:t>
      </w:r>
      <w:r w:rsidR="000624AF" w:rsidRPr="00E74297">
        <w:t xml:space="preserve">92% and </w:t>
      </w:r>
      <w:r w:rsidR="00A704E4" w:rsidRPr="00E74297">
        <w:t>88</w:t>
      </w:r>
      <w:r w:rsidR="000624AF" w:rsidRPr="00E74297">
        <w:t>% (weighted</w:t>
      </w:r>
      <w:r w:rsidRPr="00E74297">
        <w:t xml:space="preserve">; eribulin: </w:t>
      </w:r>
      <w:r w:rsidR="00A704E4" w:rsidRPr="00E74297">
        <w:t>90</w:t>
      </w:r>
      <w:r w:rsidRPr="00E74297">
        <w:t xml:space="preserve">%, capecitabine: </w:t>
      </w:r>
      <w:r w:rsidR="00A704E4" w:rsidRPr="00E74297">
        <w:t>86</w:t>
      </w:r>
      <w:r w:rsidRPr="00E74297">
        <w:t xml:space="preserve">%, gemcitabine: </w:t>
      </w:r>
      <w:r w:rsidR="00A704E4" w:rsidRPr="00E74297">
        <w:t>84</w:t>
      </w:r>
      <w:r w:rsidRPr="00E74297">
        <w:t>%, vinorelbine:</w:t>
      </w:r>
      <w:r w:rsidR="00A704E4" w:rsidRPr="00E74297">
        <w:t xml:space="preserve"> 90%</w:t>
      </w:r>
      <w:r w:rsidR="000624AF" w:rsidRPr="00E74297">
        <w:t>) reported in the key trial</w:t>
      </w:r>
      <w:r w:rsidR="004810C7" w:rsidRPr="00E74297">
        <w:t xml:space="preserve"> without adjustment to the treatment effect</w:t>
      </w:r>
      <w:r w:rsidR="000624AF" w:rsidRPr="00E74297">
        <w:t xml:space="preserve">. The RDIs applied were based on the PBAC’s previous consideration of SG in mTNBC (para 7.15, sacituzumab govitecan </w:t>
      </w:r>
      <w:r w:rsidR="00713E6A" w:rsidRPr="00E74297">
        <w:t>PSD</w:t>
      </w:r>
      <w:r w:rsidR="000624AF" w:rsidRPr="00E74297">
        <w:t xml:space="preserve">, March 2022 PBAC Meeting). </w:t>
      </w:r>
      <w:bookmarkEnd w:id="65"/>
      <w:r w:rsidR="00AC0152" w:rsidRPr="00E74297">
        <w:rPr>
          <w:rStyle w:val="normaltextrun"/>
          <w:rFonts w:cs="Calibri"/>
          <w:color w:val="000000"/>
          <w:shd w:val="clear" w:color="auto" w:fill="FFFFFF"/>
        </w:rPr>
        <w:t xml:space="preserve">The PSCR </w:t>
      </w:r>
      <w:r w:rsidR="008F7BBF" w:rsidRPr="00E74297">
        <w:rPr>
          <w:rStyle w:val="normaltextrun"/>
          <w:rFonts w:cs="Calibri"/>
          <w:color w:val="000000"/>
          <w:shd w:val="clear" w:color="auto" w:fill="FFFFFF"/>
        </w:rPr>
        <w:t xml:space="preserve">stated that the RDI </w:t>
      </w:r>
      <w:r w:rsidR="008F0FCF" w:rsidRPr="00E74297">
        <w:rPr>
          <w:rStyle w:val="normaltextrun"/>
          <w:rFonts w:cs="Calibri"/>
          <w:color w:val="000000"/>
          <w:shd w:val="clear" w:color="auto" w:fill="FFFFFF"/>
        </w:rPr>
        <w:t xml:space="preserve">reported in the TROPiCS-02 trial </w:t>
      </w:r>
      <w:r w:rsidR="008F7BBF" w:rsidRPr="00E74297">
        <w:rPr>
          <w:rStyle w:val="normaltextrun"/>
          <w:rFonts w:cs="Calibri"/>
          <w:color w:val="000000"/>
          <w:shd w:val="clear" w:color="auto" w:fill="FFFFFF"/>
        </w:rPr>
        <w:t>did not account for dose interruptions, delays, or reductions from the recommended dosing schedule</w:t>
      </w:r>
      <w:r w:rsidR="002809C8" w:rsidRPr="00E74297">
        <w:rPr>
          <w:rStyle w:val="normaltextrun"/>
          <w:rFonts w:cs="Calibri"/>
          <w:color w:val="000000"/>
          <w:shd w:val="clear" w:color="auto" w:fill="FFFFFF"/>
        </w:rPr>
        <w:t xml:space="preserve">. </w:t>
      </w:r>
      <w:r w:rsidRPr="00E74297">
        <w:rPr>
          <w:rStyle w:val="normaltextrun"/>
          <w:rFonts w:cs="Calibri"/>
          <w:color w:val="000000"/>
          <w:shd w:val="clear" w:color="auto" w:fill="FFFFFF"/>
        </w:rPr>
        <w:t xml:space="preserve">The </w:t>
      </w:r>
      <w:r w:rsidR="0097255D" w:rsidRPr="00E74297">
        <w:rPr>
          <w:rStyle w:val="normaltextrun"/>
          <w:rFonts w:cs="Calibri"/>
          <w:color w:val="000000"/>
          <w:shd w:val="clear" w:color="auto" w:fill="FFFFFF"/>
        </w:rPr>
        <w:t xml:space="preserve">PBAC </w:t>
      </w:r>
      <w:r w:rsidRPr="00E74297">
        <w:rPr>
          <w:rStyle w:val="normaltextrun"/>
          <w:rFonts w:cs="Calibri"/>
          <w:color w:val="000000"/>
          <w:shd w:val="clear" w:color="auto" w:fill="FFFFFF"/>
        </w:rPr>
        <w:t xml:space="preserve">considered that </w:t>
      </w:r>
      <w:r w:rsidRPr="00E74297">
        <w:t xml:space="preserve">the </w:t>
      </w:r>
      <w:r w:rsidR="0097255D" w:rsidRPr="00E74297">
        <w:t>application of 70% RDI for SG was reasonable, based on the substantial toxicity in the TROPiCS-02 trial which is likely to be similar to that in the mTNBC setting</w:t>
      </w:r>
      <w:r w:rsidRPr="00E74297">
        <w:t>.</w:t>
      </w:r>
    </w:p>
    <w:p w14:paraId="4374AC3C" w14:textId="4A83D821" w:rsidR="000624AF" w:rsidRPr="00E74297" w:rsidRDefault="000624AF" w:rsidP="000624AF">
      <w:pPr>
        <w:pStyle w:val="3-BodyText"/>
        <w:spacing w:before="120"/>
      </w:pPr>
      <w:bookmarkStart w:id="66" w:name="_Ref137528803"/>
      <w:bookmarkEnd w:id="64"/>
      <w:r w:rsidRPr="00E74297">
        <w:t xml:space="preserve">The economic model included the cost of subsequent treatments once patients experienced disease progression. </w:t>
      </w:r>
      <w:r w:rsidR="007D45A8" w:rsidRPr="00E74297">
        <w:t>T</w:t>
      </w:r>
      <w:r w:rsidRPr="00E74297">
        <w:t xml:space="preserve">he treatments received and </w:t>
      </w:r>
      <w:r w:rsidR="007D45A8" w:rsidRPr="00E74297">
        <w:t xml:space="preserve">the </w:t>
      </w:r>
      <w:r w:rsidRPr="00E74297">
        <w:t xml:space="preserve">duration of treatment </w:t>
      </w:r>
      <w:r w:rsidR="007D45A8" w:rsidRPr="00E74297">
        <w:t>that was</w:t>
      </w:r>
      <w:r w:rsidRPr="00E74297">
        <w:t xml:space="preserve"> observed in the TROPiCS-02 trial</w:t>
      </w:r>
      <w:r w:rsidR="007D45A8" w:rsidRPr="00E74297">
        <w:t xml:space="preserve"> was applied to the economic model</w:t>
      </w:r>
      <w:r w:rsidRPr="00E74297">
        <w:t xml:space="preserve">. </w:t>
      </w:r>
      <w:r w:rsidR="004810C7" w:rsidRPr="00E74297">
        <w:t xml:space="preserve">The ESC noted that this </w:t>
      </w:r>
      <w:r w:rsidRPr="00E74297">
        <w:t>approach assumed some patients (7.9%) in the TPC arm would receive and incur the cost of SG</w:t>
      </w:r>
      <w:r w:rsidR="0097255D" w:rsidRPr="00E74297">
        <w:t>. The PBAC considered this was n</w:t>
      </w:r>
      <w:r w:rsidRPr="00E74297">
        <w:t xml:space="preserve">ot reasonable as SG is not currently available in the proposed setting for this indication. The removal of SG from subsequent treatment options for patients in the TPC arm of the model results in a 10% increase to the ICER (from </w:t>
      </w:r>
      <w:r w:rsidR="00AE1ED8" w:rsidRPr="00AE1ED8">
        <w:t>$75,000 to &lt; $95,000</w:t>
      </w:r>
      <w:r w:rsidRPr="00E74297">
        <w:t xml:space="preserve"> per QALY gained to </w:t>
      </w:r>
      <w:r w:rsidR="00AE1ED8" w:rsidRPr="00AE1ED8">
        <w:t>$75,000 to &lt; $95,000</w:t>
      </w:r>
      <w:r w:rsidRPr="00E74297">
        <w:t xml:space="preserve"> per QALY gained). </w:t>
      </w:r>
      <w:r w:rsidR="007D45A8" w:rsidRPr="00E74297">
        <w:t xml:space="preserve">The </w:t>
      </w:r>
      <w:r w:rsidR="0097255D" w:rsidRPr="00E74297">
        <w:t>PBAC also considered it was not appropriate t</w:t>
      </w:r>
      <w:r w:rsidR="007D45A8" w:rsidRPr="00E74297">
        <w:t>hat</w:t>
      </w:r>
      <w:r w:rsidRPr="00E74297">
        <w:t xml:space="preserve"> all patients </w:t>
      </w:r>
      <w:r w:rsidR="007D45A8" w:rsidRPr="00E74297">
        <w:t xml:space="preserve">in the economic model were assumed to </w:t>
      </w:r>
      <w:r w:rsidRPr="00E74297">
        <w:t xml:space="preserve">receive subsequent therapies despite only 66% and 60% of patients in the SG and TPC arms, respectively, receiving subsequent treatment in the key trial. </w:t>
      </w:r>
      <w:r w:rsidR="0097255D" w:rsidRPr="00E74297">
        <w:t xml:space="preserve">The PBAC considered that </w:t>
      </w:r>
      <w:r w:rsidRPr="00E74297">
        <w:t xml:space="preserve">applying the proportions observed in the trial to the economic model </w:t>
      </w:r>
      <w:r w:rsidR="0097255D" w:rsidRPr="00E74297">
        <w:t>was appropriate. This</w:t>
      </w:r>
      <w:r w:rsidR="00102BE3">
        <w:t> </w:t>
      </w:r>
      <w:r w:rsidR="0097255D" w:rsidRPr="00E74297">
        <w:t xml:space="preserve">increased </w:t>
      </w:r>
      <w:r w:rsidRPr="00E74297">
        <w:t xml:space="preserve">the ICER </w:t>
      </w:r>
      <w:r w:rsidR="0097255D" w:rsidRPr="00E74297">
        <w:t>by 4% (</w:t>
      </w:r>
      <w:r w:rsidRPr="00E74297">
        <w:t xml:space="preserve">from </w:t>
      </w:r>
      <w:r w:rsidR="00AE1ED8" w:rsidRPr="00AE1ED8">
        <w:t>$75,000 to &lt; $95,000</w:t>
      </w:r>
      <w:r w:rsidRPr="00E74297">
        <w:t xml:space="preserve"> to </w:t>
      </w:r>
      <w:r w:rsidR="00AE1ED8" w:rsidRPr="00AE1ED8">
        <w:t>$75,000 to &lt; $95,000</w:t>
      </w:r>
      <w:r w:rsidR="00AE1ED8">
        <w:t xml:space="preserve"> </w:t>
      </w:r>
      <w:r w:rsidRPr="00E74297">
        <w:t>per QALY gained.</w:t>
      </w:r>
      <w:bookmarkEnd w:id="66"/>
    </w:p>
    <w:p w14:paraId="0B5EC670" w14:textId="121AFECD" w:rsidR="000E337C" w:rsidRPr="00E74297" w:rsidRDefault="000624AF" w:rsidP="000624AF">
      <w:pPr>
        <w:pStyle w:val="3-BodyText"/>
        <w:rPr>
          <w:rStyle w:val="ui-provider"/>
        </w:rPr>
      </w:pPr>
      <w:r w:rsidRPr="00E74297">
        <w:t xml:space="preserve">The submission assumed that certain disease management and monitoring costs (initial oncologist visit, full blood count, liver function and renal function tests) in the </w:t>
      </w:r>
      <w:r w:rsidRPr="00E74297">
        <w:lastRenderedPageBreak/>
        <w:t>PF health state would differ by treatment arm. This was not well-justified however was noted to disfavour SG. No disease management costs associated with the PD health state were modelled as the submission assumed that the one-off terminal care cost ($42,528) applied on death would include these costs. This cost was derived from a study conducted by Reeve et al.</w:t>
      </w:r>
      <w:r w:rsidRPr="00E74297">
        <w:rPr>
          <w:rStyle w:val="FootnoteReference"/>
        </w:rPr>
        <w:footnoteReference w:id="11"/>
      </w:r>
      <w:r w:rsidRPr="00E74297">
        <w:t xml:space="preserve"> </w:t>
      </w:r>
      <w:r w:rsidRPr="00E74297">
        <w:rPr>
          <w:rStyle w:val="normaltextrun"/>
          <w:rFonts w:cs="Calibri"/>
          <w:color w:val="000000"/>
          <w:shd w:val="clear" w:color="auto" w:fill="FFFFFF"/>
        </w:rPr>
        <w:t>which calculated health care utilisation and costs of Australian cancer and non-cancer patients within the last 6 months of life</w:t>
      </w:r>
      <w:r w:rsidRPr="00E74297">
        <w:rPr>
          <w:rStyle w:val="normaltextrun"/>
          <w:rFonts w:cs="Calibri"/>
          <w:iCs/>
          <w:color w:val="000000"/>
          <w:shd w:val="clear" w:color="auto" w:fill="FFFFFF"/>
        </w:rPr>
        <w:t>.</w:t>
      </w:r>
      <w:r w:rsidRPr="00E74297">
        <w:t xml:space="preserve"> This</w:t>
      </w:r>
      <w:r w:rsidR="00102BE3">
        <w:t> </w:t>
      </w:r>
      <w:r w:rsidRPr="00E74297">
        <w:t xml:space="preserve">study has limited applicability to the modelled context, as time in the PD health state exceeded 6 months and so </w:t>
      </w:r>
      <w:r w:rsidRPr="00E74297">
        <w:rPr>
          <w:rStyle w:val="normaltextrun"/>
          <w:rFonts w:cs="Calibri"/>
          <w:iCs/>
          <w:color w:val="000000"/>
          <w:shd w:val="clear" w:color="auto" w:fill="FFFFFF"/>
        </w:rPr>
        <w:t xml:space="preserve">some disease monitoring and management costs would not be captured. Additionally, as more time is spent alive in the SG arm, terminal care costs (and hence PD health state costs), which are applied upon transition to death are subjected to more discounting than the comparator. This was the same approach applied in the SG mTNBC submission where the PBAC accepted revised costs provided in the pre-PBAC response, </w:t>
      </w:r>
      <w:r w:rsidRPr="00E74297">
        <w:rPr>
          <w:rStyle w:val="ui-provider"/>
        </w:rPr>
        <w:t xml:space="preserve">$62.38/week for PD health state costs; and $6,050 once-off terminal care costs (para 6.56, sacituzumab govitecan </w:t>
      </w:r>
      <w:r w:rsidR="002D6A2B" w:rsidRPr="00E74297">
        <w:rPr>
          <w:rStyle w:val="ui-provider"/>
        </w:rPr>
        <w:t>PSD</w:t>
      </w:r>
      <w:r w:rsidRPr="00E74297">
        <w:rPr>
          <w:rStyle w:val="ui-provider"/>
        </w:rPr>
        <w:t xml:space="preserve">, March 2022 PBAC Meeting). This change resulted in a minor increase in the ICER (5%, see </w:t>
      </w:r>
      <w:r w:rsidRPr="00E74297">
        <w:rPr>
          <w:rStyle w:val="ui-provider"/>
        </w:rPr>
        <w:fldChar w:fldCharType="begin" w:fldLock="1"/>
      </w:r>
      <w:r w:rsidRPr="00E74297">
        <w:rPr>
          <w:rStyle w:val="ui-provider"/>
        </w:rPr>
        <w:instrText xml:space="preserve"> REF _Ref134435905 \h  \* MERGEFORMAT </w:instrText>
      </w:r>
      <w:r w:rsidRPr="00E74297">
        <w:rPr>
          <w:rStyle w:val="ui-provider"/>
        </w:rPr>
      </w:r>
      <w:r w:rsidRPr="00E74297">
        <w:rPr>
          <w:rStyle w:val="ui-provider"/>
        </w:rPr>
        <w:fldChar w:fldCharType="separate"/>
      </w:r>
      <w:r w:rsidR="00AE1DC7" w:rsidRPr="00E74297">
        <w:t>Table 13</w:t>
      </w:r>
      <w:r w:rsidRPr="00E74297">
        <w:rPr>
          <w:rStyle w:val="ui-provider"/>
        </w:rPr>
        <w:fldChar w:fldCharType="end"/>
      </w:r>
      <w:r w:rsidRPr="00E74297">
        <w:rPr>
          <w:rStyle w:val="ui-provider"/>
        </w:rPr>
        <w:t>).</w:t>
      </w:r>
    </w:p>
    <w:p w14:paraId="1AACE762" w14:textId="6FB4EFC2" w:rsidR="000624AF" w:rsidRPr="00E74297" w:rsidRDefault="000624AF" w:rsidP="000624AF">
      <w:pPr>
        <w:pStyle w:val="3-BodyText"/>
      </w:pPr>
      <w:r w:rsidRPr="00E74297">
        <w:t xml:space="preserve">The key drivers of the model are presented in </w:t>
      </w:r>
      <w:r w:rsidRPr="00E74297">
        <w:fldChar w:fldCharType="begin" w:fldLock="1"/>
      </w:r>
      <w:r w:rsidRPr="00E74297">
        <w:instrText xml:space="preserve"> REF _Ref104805122 \h </w:instrText>
      </w:r>
      <w:r w:rsidRPr="00E74297">
        <w:fldChar w:fldCharType="separate"/>
      </w:r>
      <w:r w:rsidR="00AE1DC7" w:rsidRPr="00E74297">
        <w:t>Table 10</w:t>
      </w:r>
      <w:r w:rsidRPr="00E74297">
        <w:fldChar w:fldCharType="end"/>
      </w:r>
      <w:r w:rsidRPr="00E74297">
        <w:t>.</w:t>
      </w:r>
    </w:p>
    <w:p w14:paraId="76356D3F" w14:textId="2309F8B1" w:rsidR="000624AF" w:rsidRPr="00E74297" w:rsidRDefault="000624AF" w:rsidP="00AF2668">
      <w:pPr>
        <w:pStyle w:val="Caption"/>
        <w:jc w:val="left"/>
        <w:rPr>
          <w:rStyle w:val="CommentReference"/>
          <w:b/>
          <w:szCs w:val="24"/>
        </w:rPr>
      </w:pPr>
      <w:bookmarkStart w:id="67" w:name="_Ref104805122"/>
      <w:r w:rsidRPr="00E74297">
        <w:lastRenderedPageBreak/>
        <w:t xml:space="preserve">Table </w:t>
      </w:r>
      <w:fldSimple w:instr=" SEQ Table \* ARABIC " w:fldLock="1">
        <w:r w:rsidR="00AE1DC7" w:rsidRPr="00E74297">
          <w:t>10</w:t>
        </w:r>
      </w:fldSimple>
      <w:bookmarkEnd w:id="67"/>
      <w:r w:rsidRPr="00E74297">
        <w:t>:</w:t>
      </w:r>
      <w:r w:rsidRPr="00E74297">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2"/>
        <w:gridCol w:w="3969"/>
        <w:gridCol w:w="3776"/>
      </w:tblGrid>
      <w:tr w:rsidR="000624AF" w:rsidRPr="00E74297" w14:paraId="32AFB10C" w14:textId="77777777" w:rsidTr="002D6A2B">
        <w:trPr>
          <w:tblHeader/>
        </w:trPr>
        <w:tc>
          <w:tcPr>
            <w:tcW w:w="705" w:type="pct"/>
            <w:shd w:val="clear" w:color="auto" w:fill="auto"/>
            <w:vAlign w:val="center"/>
          </w:tcPr>
          <w:p w14:paraId="7AACF122" w14:textId="77777777" w:rsidR="000624AF" w:rsidRPr="00E74297" w:rsidRDefault="000624AF" w:rsidP="00AF2668">
            <w:pPr>
              <w:pStyle w:val="In-tableHeading"/>
              <w:keepLines/>
              <w:jc w:val="center"/>
              <w:rPr>
                <w:lang w:val="en-AU"/>
              </w:rPr>
            </w:pPr>
            <w:r w:rsidRPr="00E74297">
              <w:rPr>
                <w:lang w:val="en-AU"/>
              </w:rPr>
              <w:t>Description</w:t>
            </w:r>
          </w:p>
        </w:tc>
        <w:tc>
          <w:tcPr>
            <w:tcW w:w="2201" w:type="pct"/>
            <w:shd w:val="clear" w:color="auto" w:fill="auto"/>
            <w:vAlign w:val="center"/>
          </w:tcPr>
          <w:p w14:paraId="57ABB13E" w14:textId="77777777" w:rsidR="000624AF" w:rsidRPr="00E74297" w:rsidRDefault="000624AF" w:rsidP="00AF2668">
            <w:pPr>
              <w:pStyle w:val="In-tableHeading"/>
              <w:keepLines/>
              <w:jc w:val="center"/>
              <w:rPr>
                <w:lang w:val="en-AU"/>
              </w:rPr>
            </w:pPr>
            <w:r w:rsidRPr="00E74297">
              <w:rPr>
                <w:lang w:val="en-AU"/>
              </w:rPr>
              <w:t>Method/Value</w:t>
            </w:r>
          </w:p>
        </w:tc>
        <w:tc>
          <w:tcPr>
            <w:tcW w:w="2094" w:type="pct"/>
            <w:shd w:val="clear" w:color="auto" w:fill="auto"/>
            <w:vAlign w:val="center"/>
          </w:tcPr>
          <w:p w14:paraId="70BB7628" w14:textId="77777777" w:rsidR="000624AF" w:rsidRPr="00E74297" w:rsidRDefault="000624AF" w:rsidP="00AF2668">
            <w:pPr>
              <w:pStyle w:val="In-tableHeading"/>
              <w:keepLines/>
              <w:jc w:val="center"/>
              <w:rPr>
                <w:lang w:val="en-AU"/>
              </w:rPr>
            </w:pPr>
            <w:r w:rsidRPr="00E74297">
              <w:rPr>
                <w:lang w:val="en-AU"/>
              </w:rPr>
              <w:t>Impact</w:t>
            </w:r>
          </w:p>
          <w:p w14:paraId="62B0C62E" w14:textId="276C4E2D" w:rsidR="000624AF" w:rsidRPr="00E74297" w:rsidRDefault="000624AF" w:rsidP="00AF2668">
            <w:pPr>
              <w:pStyle w:val="In-tableHeading"/>
              <w:keepLines/>
              <w:jc w:val="center"/>
              <w:rPr>
                <w:lang w:val="en-AU"/>
              </w:rPr>
            </w:pPr>
            <w:r w:rsidRPr="00E74297">
              <w:rPr>
                <w:rFonts w:cs="Arial"/>
                <w:szCs w:val="20"/>
                <w:lang w:val="en-AU"/>
              </w:rPr>
              <w:t>Base case: $</w:t>
            </w:r>
            <w:r w:rsidR="006F55C1" w:rsidRPr="006F55C1">
              <w:rPr>
                <w:rFonts w:cs="Arial"/>
                <w:color w:val="000000"/>
                <w:szCs w:val="20"/>
                <w:shd w:val="solid" w:color="000000" w:fill="000000"/>
                <w:lang w:val="en-AU"/>
                <w14:textFill>
                  <w14:solidFill>
                    <w14:srgbClr w14:val="000000">
                      <w14:alpha w14:val="100000"/>
                    </w14:srgbClr>
                  </w14:solidFill>
                </w14:textFill>
              </w:rPr>
              <w:t>|</w:t>
            </w:r>
            <w:r w:rsidR="008A3571">
              <w:rPr>
                <w:rFonts w:cs="Arial Narrow"/>
                <w:sz w:val="18"/>
                <w:szCs w:val="18"/>
                <w:vertAlign w:val="superscript"/>
              </w:rPr>
              <w:t>2</w:t>
            </w:r>
            <w:r w:rsidRPr="00E74297">
              <w:rPr>
                <w:rFonts w:cs="Arial"/>
                <w:szCs w:val="20"/>
                <w:lang w:val="en-AU"/>
              </w:rPr>
              <w:t>/QALY gained</w:t>
            </w:r>
          </w:p>
        </w:tc>
      </w:tr>
      <w:tr w:rsidR="000624AF" w:rsidRPr="00E74297" w14:paraId="4DFF62F3" w14:textId="77777777" w:rsidTr="002D6A2B">
        <w:tc>
          <w:tcPr>
            <w:tcW w:w="705" w:type="pct"/>
            <w:shd w:val="clear" w:color="auto" w:fill="auto"/>
            <w:vAlign w:val="center"/>
          </w:tcPr>
          <w:p w14:paraId="1927E723" w14:textId="77777777" w:rsidR="000624AF" w:rsidRPr="00E74297" w:rsidRDefault="000624AF" w:rsidP="00AF2668">
            <w:pPr>
              <w:pStyle w:val="TableText0"/>
              <w:keepLines/>
            </w:pPr>
            <w:r w:rsidRPr="00E74297">
              <w:t>RDI of SG and TPC</w:t>
            </w:r>
          </w:p>
        </w:tc>
        <w:tc>
          <w:tcPr>
            <w:tcW w:w="2201" w:type="pct"/>
            <w:shd w:val="clear" w:color="auto" w:fill="auto"/>
            <w:vAlign w:val="center"/>
          </w:tcPr>
          <w:p w14:paraId="2ADAF206" w14:textId="3F11E348" w:rsidR="000624AF" w:rsidRPr="00E74297" w:rsidRDefault="000624AF" w:rsidP="00AF2668">
            <w:pPr>
              <w:pStyle w:val="TableText0"/>
              <w:keepLines/>
            </w:pPr>
            <w:r w:rsidRPr="00E74297">
              <w:t xml:space="preserve">RDI of 70% for SG and 100% for TPC. Based on the SG submission for mTNBC. </w:t>
            </w:r>
          </w:p>
        </w:tc>
        <w:tc>
          <w:tcPr>
            <w:tcW w:w="2094" w:type="pct"/>
            <w:shd w:val="clear" w:color="auto" w:fill="auto"/>
            <w:vAlign w:val="center"/>
          </w:tcPr>
          <w:p w14:paraId="2C838E86" w14:textId="7587F6C9" w:rsidR="000624AF" w:rsidRPr="00E74297" w:rsidRDefault="000624AF" w:rsidP="00AF2668">
            <w:pPr>
              <w:pStyle w:val="TableText0"/>
              <w:keepLines/>
            </w:pPr>
            <w:r w:rsidRPr="00E74297">
              <w:t>High, favours SG. Using an RDI of 92% for SG increased the ICER to $</w:t>
            </w:r>
            <w:r w:rsidR="006F55C1" w:rsidRPr="001777F5">
              <w:rPr>
                <w:color w:val="000000"/>
                <w:spacing w:val="45"/>
                <w:shd w:val="solid" w:color="000000" w:fill="000000"/>
                <w:fitText w:val="330" w:id="-1168282621"/>
                <w14:textFill>
                  <w14:solidFill>
                    <w14:srgbClr w14:val="000000">
                      <w14:alpha w14:val="100000"/>
                    </w14:srgbClr>
                  </w14:solidFill>
                </w14:textFill>
              </w:rPr>
              <w:t>|||</w:t>
            </w:r>
            <w:r w:rsidR="006F55C1" w:rsidRPr="001777F5">
              <w:rPr>
                <w:color w:val="000000"/>
                <w:spacing w:val="15"/>
                <w:shd w:val="solid" w:color="000000" w:fill="000000"/>
                <w:fitText w:val="330" w:id="-1168282621"/>
                <w14:textFill>
                  <w14:solidFill>
                    <w14:srgbClr w14:val="000000">
                      <w14:alpha w14:val="100000"/>
                    </w14:srgbClr>
                  </w14:solidFill>
                </w14:textFill>
              </w:rPr>
              <w:t>|</w:t>
            </w:r>
            <w:r w:rsidR="00DE481A" w:rsidRPr="00DE481A">
              <w:rPr>
                <w:rFonts w:cs="Arial Narrow"/>
                <w:sz w:val="18"/>
                <w:szCs w:val="18"/>
                <w:vertAlign w:val="superscript"/>
              </w:rPr>
              <w:t>1</w:t>
            </w:r>
            <w:r w:rsidRPr="00E74297">
              <w:t>/QALY gained.</w:t>
            </w:r>
          </w:p>
        </w:tc>
      </w:tr>
      <w:tr w:rsidR="000624AF" w:rsidRPr="00E74297" w14:paraId="4DE81CF8" w14:textId="77777777" w:rsidTr="002D6A2B">
        <w:tc>
          <w:tcPr>
            <w:tcW w:w="705" w:type="pct"/>
            <w:shd w:val="clear" w:color="auto" w:fill="auto"/>
            <w:vAlign w:val="center"/>
          </w:tcPr>
          <w:p w14:paraId="5983EDED" w14:textId="77777777" w:rsidR="000624AF" w:rsidRPr="00E74297" w:rsidRDefault="000624AF" w:rsidP="00AF2668">
            <w:pPr>
              <w:pStyle w:val="TableText0"/>
              <w:keepLines/>
            </w:pPr>
            <w:r w:rsidRPr="00E74297">
              <w:t>OS KM data truncation time point</w:t>
            </w:r>
          </w:p>
        </w:tc>
        <w:tc>
          <w:tcPr>
            <w:tcW w:w="2201" w:type="pct"/>
            <w:shd w:val="clear" w:color="auto" w:fill="auto"/>
            <w:vAlign w:val="center"/>
          </w:tcPr>
          <w:p w14:paraId="354B7B49" w14:textId="09D74EBF" w:rsidR="000624AF" w:rsidRPr="00E74297" w:rsidRDefault="000624AF" w:rsidP="00AF2668">
            <w:pPr>
              <w:pStyle w:val="TableText0"/>
              <w:keepLines/>
            </w:pPr>
            <w:r w:rsidRPr="00E74297">
              <w:t xml:space="preserve">OS KM truncation time point was 13.1 months (mean follow-up period in the trial) for both arms. </w:t>
            </w:r>
          </w:p>
        </w:tc>
        <w:tc>
          <w:tcPr>
            <w:tcW w:w="2094" w:type="pct"/>
            <w:shd w:val="clear" w:color="auto" w:fill="auto"/>
            <w:vAlign w:val="center"/>
          </w:tcPr>
          <w:p w14:paraId="2BC55F5C" w14:textId="07D96CBB" w:rsidR="000624AF" w:rsidRPr="00E74297" w:rsidRDefault="000624AF" w:rsidP="00AF2668">
            <w:pPr>
              <w:pStyle w:val="TableText0"/>
              <w:keepLines/>
            </w:pPr>
            <w:r w:rsidRPr="00E74297">
              <w:t>High, favours SG. Using more KM data increased the ICER to $</w:t>
            </w:r>
            <w:r w:rsidR="006F55C1" w:rsidRPr="001777F5">
              <w:rPr>
                <w:color w:val="000000"/>
                <w:spacing w:val="45"/>
                <w:shd w:val="solid" w:color="000000" w:fill="000000"/>
                <w:fitText w:val="330" w:id="-1168282620"/>
                <w14:textFill>
                  <w14:solidFill>
                    <w14:srgbClr w14:val="000000">
                      <w14:alpha w14:val="100000"/>
                    </w14:srgbClr>
                  </w14:solidFill>
                </w14:textFill>
              </w:rPr>
              <w:t>|||</w:t>
            </w:r>
            <w:r w:rsidR="006F55C1" w:rsidRPr="001777F5">
              <w:rPr>
                <w:color w:val="000000"/>
                <w:spacing w:val="15"/>
                <w:shd w:val="solid" w:color="000000" w:fill="000000"/>
                <w:fitText w:val="330" w:id="-1168282620"/>
                <w14:textFill>
                  <w14:solidFill>
                    <w14:srgbClr w14:val="000000">
                      <w14:alpha w14:val="100000"/>
                    </w14:srgbClr>
                  </w14:solidFill>
                </w14:textFill>
              </w:rPr>
              <w:t>|</w:t>
            </w:r>
            <w:r w:rsidR="00DE481A" w:rsidRPr="00DE481A">
              <w:rPr>
                <w:rFonts w:cs="Arial Narrow"/>
                <w:sz w:val="18"/>
                <w:szCs w:val="18"/>
                <w:vertAlign w:val="superscript"/>
              </w:rPr>
              <w:t>1</w:t>
            </w:r>
            <w:r w:rsidRPr="00E74297">
              <w:t>/QALY gained</w:t>
            </w:r>
            <w:r w:rsidR="004111F2" w:rsidRPr="00E74297">
              <w:t xml:space="preserve"> (up to 24 months) or $</w:t>
            </w:r>
            <w:r w:rsidR="006F55C1" w:rsidRPr="001777F5">
              <w:rPr>
                <w:color w:val="000000"/>
                <w:spacing w:val="45"/>
                <w:shd w:val="solid" w:color="000000" w:fill="000000"/>
                <w:fitText w:val="330" w:id="-1168282619"/>
                <w14:textFill>
                  <w14:solidFill>
                    <w14:srgbClr w14:val="000000">
                      <w14:alpha w14:val="100000"/>
                    </w14:srgbClr>
                  </w14:solidFill>
                </w14:textFill>
              </w:rPr>
              <w:t>|||</w:t>
            </w:r>
            <w:r w:rsidR="006F55C1" w:rsidRPr="001777F5">
              <w:rPr>
                <w:color w:val="000000"/>
                <w:spacing w:val="15"/>
                <w:shd w:val="solid" w:color="000000" w:fill="000000"/>
                <w:fitText w:val="330" w:id="-1168282619"/>
                <w14:textFill>
                  <w14:solidFill>
                    <w14:srgbClr w14:val="000000">
                      <w14:alpha w14:val="100000"/>
                    </w14:srgbClr>
                  </w14:solidFill>
                </w14:textFill>
              </w:rPr>
              <w:t>|</w:t>
            </w:r>
            <w:r w:rsidR="00DE481A">
              <w:rPr>
                <w:rFonts w:cs="Arial Narrow"/>
                <w:sz w:val="18"/>
                <w:szCs w:val="18"/>
                <w:vertAlign w:val="superscript"/>
              </w:rPr>
              <w:t>2</w:t>
            </w:r>
            <w:r w:rsidR="004111F2" w:rsidRPr="00E74297">
              <w:t>/QALY gained (up to 30 months)</w:t>
            </w:r>
            <w:r w:rsidRPr="00E74297">
              <w:t xml:space="preserve">. </w:t>
            </w:r>
          </w:p>
        </w:tc>
      </w:tr>
      <w:tr w:rsidR="000624AF" w:rsidRPr="00E74297" w14:paraId="1E382EA5" w14:textId="77777777" w:rsidTr="002D6A2B">
        <w:tc>
          <w:tcPr>
            <w:tcW w:w="705" w:type="pct"/>
            <w:shd w:val="clear" w:color="auto" w:fill="auto"/>
            <w:vAlign w:val="center"/>
          </w:tcPr>
          <w:p w14:paraId="5CAC3A0C" w14:textId="77777777" w:rsidR="000624AF" w:rsidRPr="00E74297" w:rsidRDefault="000624AF" w:rsidP="00AF2668">
            <w:pPr>
              <w:pStyle w:val="TableText0"/>
              <w:keepLines/>
            </w:pPr>
            <w:r w:rsidRPr="00E74297">
              <w:t>Vial sharing/wastage</w:t>
            </w:r>
          </w:p>
        </w:tc>
        <w:tc>
          <w:tcPr>
            <w:tcW w:w="2201" w:type="pct"/>
            <w:shd w:val="clear" w:color="auto" w:fill="auto"/>
            <w:vAlign w:val="center"/>
          </w:tcPr>
          <w:p w14:paraId="563BC409" w14:textId="77777777" w:rsidR="000624AF" w:rsidRPr="00E74297" w:rsidRDefault="000624AF" w:rsidP="00AF2668">
            <w:pPr>
              <w:pStyle w:val="TableText0"/>
              <w:keepLines/>
            </w:pPr>
            <w:r w:rsidRPr="00E74297">
              <w:t>Base case analysis assumed vial sharing (no wastage). This is not consistent with the PBAC guidelines, wastage option included in the economic model was incorrectly applied.</w:t>
            </w:r>
          </w:p>
        </w:tc>
        <w:tc>
          <w:tcPr>
            <w:tcW w:w="2094" w:type="pct"/>
            <w:shd w:val="clear" w:color="auto" w:fill="auto"/>
            <w:vAlign w:val="center"/>
          </w:tcPr>
          <w:p w14:paraId="4DDC79C4" w14:textId="2BB67D1C" w:rsidR="000624AF" w:rsidRPr="00E74297" w:rsidRDefault="000624AF" w:rsidP="00AF2668">
            <w:pPr>
              <w:pStyle w:val="TableText0"/>
              <w:keepLines/>
            </w:pPr>
            <w:r w:rsidRPr="00E74297">
              <w:t>High, favours SG. Using a correct wastage approach for PF IV therapies increased the ICER to $</w:t>
            </w:r>
            <w:r w:rsidR="006F55C1" w:rsidRPr="006F55C1">
              <w:rPr>
                <w:color w:val="000000"/>
                <w:spacing w:val="48"/>
                <w:shd w:val="solid" w:color="000000" w:fill="000000"/>
                <w:fitText w:val="315" w:id="-1168282618"/>
                <w14:textFill>
                  <w14:solidFill>
                    <w14:srgbClr w14:val="000000">
                      <w14:alpha w14:val="100000"/>
                    </w14:srgbClr>
                  </w14:solidFill>
                </w14:textFill>
              </w:rPr>
              <w:t>|||</w:t>
            </w:r>
            <w:r w:rsidR="006F55C1" w:rsidRPr="006F55C1">
              <w:rPr>
                <w:color w:val="000000"/>
                <w:spacing w:val="1"/>
                <w:shd w:val="solid" w:color="000000" w:fill="000000"/>
                <w:fitText w:val="315" w:id="-1168282618"/>
                <w14:textFill>
                  <w14:solidFill>
                    <w14:srgbClr w14:val="000000">
                      <w14:alpha w14:val="100000"/>
                    </w14:srgbClr>
                  </w14:solidFill>
                </w14:textFill>
              </w:rPr>
              <w:t>|</w:t>
            </w:r>
            <w:r w:rsidR="00DE481A">
              <w:rPr>
                <w:rFonts w:cs="Arial Narrow"/>
                <w:sz w:val="18"/>
                <w:szCs w:val="18"/>
                <w:vertAlign w:val="superscript"/>
              </w:rPr>
              <w:t>2</w:t>
            </w:r>
            <w:r w:rsidRPr="00E74297">
              <w:t>.</w:t>
            </w:r>
          </w:p>
        </w:tc>
      </w:tr>
      <w:tr w:rsidR="000624AF" w:rsidRPr="00E74297" w14:paraId="6AA1ED80" w14:textId="77777777" w:rsidTr="002D6A2B">
        <w:tc>
          <w:tcPr>
            <w:tcW w:w="705" w:type="pct"/>
            <w:shd w:val="clear" w:color="auto" w:fill="auto"/>
            <w:vAlign w:val="center"/>
          </w:tcPr>
          <w:p w14:paraId="6C622CA2" w14:textId="77777777" w:rsidR="000624AF" w:rsidRPr="00E74297" w:rsidRDefault="000624AF" w:rsidP="00AF2668">
            <w:pPr>
              <w:pStyle w:val="TableText0"/>
              <w:keepLines/>
            </w:pPr>
            <w:r w:rsidRPr="00E74297">
              <w:t>Health state utilities</w:t>
            </w:r>
          </w:p>
        </w:tc>
        <w:tc>
          <w:tcPr>
            <w:tcW w:w="2201" w:type="pct"/>
            <w:shd w:val="clear" w:color="auto" w:fill="auto"/>
            <w:vAlign w:val="center"/>
          </w:tcPr>
          <w:p w14:paraId="0D5721A4" w14:textId="7611EBEF" w:rsidR="000624AF" w:rsidRPr="00E74297" w:rsidRDefault="000624AF" w:rsidP="00AF2668">
            <w:pPr>
              <w:pStyle w:val="TableText0"/>
              <w:keepLines/>
            </w:pPr>
            <w:r w:rsidRPr="00E74297">
              <w:t>Utility values derived from SG for the March 2022 mTNBC submission</w:t>
            </w:r>
            <w:r w:rsidR="002D6A2B" w:rsidRPr="00E74297">
              <w:t xml:space="preserve">, including </w:t>
            </w:r>
            <w:r w:rsidRPr="00E74297">
              <w:t xml:space="preserve">treatment-specific PF utilities. </w:t>
            </w:r>
          </w:p>
        </w:tc>
        <w:tc>
          <w:tcPr>
            <w:tcW w:w="2094" w:type="pct"/>
            <w:shd w:val="clear" w:color="auto" w:fill="auto"/>
            <w:vAlign w:val="center"/>
          </w:tcPr>
          <w:p w14:paraId="62B23B83" w14:textId="3A55D4CB" w:rsidR="000624AF" w:rsidRPr="00E74297" w:rsidRDefault="000624AF" w:rsidP="00AF2668">
            <w:pPr>
              <w:pStyle w:val="TableText0"/>
              <w:keepLines/>
              <w:rPr>
                <w:i/>
              </w:rPr>
            </w:pPr>
            <w:r w:rsidRPr="00E74297">
              <w:t>Moderate, favours SG. Using a PF utility of 0.782 (from the key trial) increased the ICER to $</w:t>
            </w:r>
            <w:r w:rsidR="006F55C1" w:rsidRPr="001777F5">
              <w:rPr>
                <w:color w:val="000000"/>
                <w:spacing w:val="45"/>
                <w:shd w:val="solid" w:color="000000" w:fill="000000"/>
                <w:fitText w:val="330" w:id="-1168282617"/>
                <w14:textFill>
                  <w14:solidFill>
                    <w14:srgbClr w14:val="000000">
                      <w14:alpha w14:val="100000"/>
                    </w14:srgbClr>
                  </w14:solidFill>
                </w14:textFill>
              </w:rPr>
              <w:t>|||</w:t>
            </w:r>
            <w:r w:rsidR="006F55C1" w:rsidRPr="001777F5">
              <w:rPr>
                <w:color w:val="000000"/>
                <w:spacing w:val="15"/>
                <w:shd w:val="solid" w:color="000000" w:fill="000000"/>
                <w:fitText w:val="330" w:id="-1168282617"/>
                <w14:textFill>
                  <w14:solidFill>
                    <w14:srgbClr w14:val="000000">
                      <w14:alpha w14:val="100000"/>
                    </w14:srgbClr>
                  </w14:solidFill>
                </w14:textFill>
              </w:rPr>
              <w:t>|</w:t>
            </w:r>
            <w:r w:rsidR="00DE481A">
              <w:rPr>
                <w:rFonts w:cs="Arial Narrow"/>
                <w:sz w:val="18"/>
                <w:szCs w:val="18"/>
                <w:vertAlign w:val="superscript"/>
              </w:rPr>
              <w:t>2</w:t>
            </w:r>
            <w:r w:rsidRPr="00E74297">
              <w:t>/QALY gained.</w:t>
            </w:r>
            <w:r w:rsidRPr="00E74297">
              <w:rPr>
                <w:rFonts w:cs="Arial"/>
                <w:color w:val="3366FF"/>
                <w:szCs w:val="20"/>
              </w:rPr>
              <w:t xml:space="preserve"> </w:t>
            </w:r>
          </w:p>
        </w:tc>
      </w:tr>
      <w:tr w:rsidR="000624AF" w:rsidRPr="00E74297" w14:paraId="385972A2" w14:textId="77777777" w:rsidTr="002D6A2B">
        <w:tc>
          <w:tcPr>
            <w:tcW w:w="705" w:type="pct"/>
            <w:shd w:val="clear" w:color="auto" w:fill="auto"/>
            <w:vAlign w:val="center"/>
          </w:tcPr>
          <w:p w14:paraId="61212A54" w14:textId="77777777" w:rsidR="000624AF" w:rsidRPr="00E74297" w:rsidRDefault="000624AF" w:rsidP="00AF2668">
            <w:pPr>
              <w:pStyle w:val="TableText0"/>
              <w:keepLines/>
            </w:pPr>
            <w:r w:rsidRPr="00E74297">
              <w:t xml:space="preserve">OS parametric extrapolation. </w:t>
            </w:r>
          </w:p>
        </w:tc>
        <w:tc>
          <w:tcPr>
            <w:tcW w:w="2201" w:type="pct"/>
            <w:shd w:val="clear" w:color="auto" w:fill="auto"/>
            <w:vAlign w:val="center"/>
          </w:tcPr>
          <w:p w14:paraId="5061C8C2" w14:textId="4A058F97" w:rsidR="000624AF" w:rsidRPr="00E74297" w:rsidRDefault="000624AF" w:rsidP="00AF2668">
            <w:pPr>
              <w:pStyle w:val="TableText0"/>
              <w:keepLines/>
            </w:pPr>
            <w:r w:rsidRPr="00E74297">
              <w:t xml:space="preserve">Dependent log-logistic distribution in both arms on the basis of visual fit and clinical plausibility. </w:t>
            </w:r>
          </w:p>
        </w:tc>
        <w:tc>
          <w:tcPr>
            <w:tcW w:w="2094" w:type="pct"/>
            <w:shd w:val="clear" w:color="auto" w:fill="auto"/>
            <w:vAlign w:val="center"/>
          </w:tcPr>
          <w:p w14:paraId="525F9810" w14:textId="3FC9B0A7" w:rsidR="000624AF" w:rsidRPr="00E74297" w:rsidRDefault="000624AF" w:rsidP="00AF2668">
            <w:pPr>
              <w:pStyle w:val="TableText0"/>
              <w:keepLines/>
            </w:pPr>
            <w:r w:rsidRPr="00E74297">
              <w:t>Moderate, favours SG. Using dependent gamma curves in both arms increased the ICER to $</w:t>
            </w:r>
            <w:r w:rsidR="006F55C1" w:rsidRPr="001777F5">
              <w:rPr>
                <w:color w:val="000000"/>
                <w:spacing w:val="45"/>
                <w:shd w:val="solid" w:color="000000" w:fill="000000"/>
                <w:fitText w:val="330" w:id="-1168282616"/>
                <w14:textFill>
                  <w14:solidFill>
                    <w14:srgbClr w14:val="000000">
                      <w14:alpha w14:val="100000"/>
                    </w14:srgbClr>
                  </w14:solidFill>
                </w14:textFill>
              </w:rPr>
              <w:t>|||</w:t>
            </w:r>
            <w:r w:rsidR="006F55C1" w:rsidRPr="001777F5">
              <w:rPr>
                <w:color w:val="000000"/>
                <w:spacing w:val="15"/>
                <w:shd w:val="solid" w:color="000000" w:fill="000000"/>
                <w:fitText w:val="330" w:id="-1168282616"/>
                <w14:textFill>
                  <w14:solidFill>
                    <w14:srgbClr w14:val="000000">
                      <w14:alpha w14:val="100000"/>
                    </w14:srgbClr>
                  </w14:solidFill>
                </w14:textFill>
              </w:rPr>
              <w:t>|</w:t>
            </w:r>
            <w:r w:rsidR="00DE481A">
              <w:rPr>
                <w:rFonts w:cs="Arial Narrow"/>
                <w:sz w:val="18"/>
                <w:szCs w:val="18"/>
                <w:vertAlign w:val="superscript"/>
              </w:rPr>
              <w:t>2</w:t>
            </w:r>
            <w:r w:rsidRPr="00E74297">
              <w:t>/QALY gained, using independent gamma curves increased the ICER to $</w:t>
            </w:r>
            <w:r w:rsidR="006F55C1" w:rsidRPr="001777F5">
              <w:rPr>
                <w:color w:val="000000"/>
                <w:spacing w:val="45"/>
                <w:shd w:val="solid" w:color="000000" w:fill="000000"/>
                <w:fitText w:val="330" w:id="-1168282615"/>
                <w14:textFill>
                  <w14:solidFill>
                    <w14:srgbClr w14:val="000000">
                      <w14:alpha w14:val="100000"/>
                    </w14:srgbClr>
                  </w14:solidFill>
                </w14:textFill>
              </w:rPr>
              <w:t>|||</w:t>
            </w:r>
            <w:r w:rsidR="006F55C1" w:rsidRPr="001777F5">
              <w:rPr>
                <w:color w:val="000000"/>
                <w:spacing w:val="15"/>
                <w:shd w:val="solid" w:color="000000" w:fill="000000"/>
                <w:fitText w:val="330" w:id="-1168282615"/>
                <w14:textFill>
                  <w14:solidFill>
                    <w14:srgbClr w14:val="000000">
                      <w14:alpha w14:val="100000"/>
                    </w14:srgbClr>
                  </w14:solidFill>
                </w14:textFill>
              </w:rPr>
              <w:t>|</w:t>
            </w:r>
            <w:r w:rsidR="00DE481A">
              <w:rPr>
                <w:rFonts w:cs="Arial Narrow"/>
                <w:sz w:val="18"/>
                <w:szCs w:val="18"/>
                <w:vertAlign w:val="superscript"/>
              </w:rPr>
              <w:t>2</w:t>
            </w:r>
            <w:r w:rsidRPr="00E74297">
              <w:t>/QALY.</w:t>
            </w:r>
          </w:p>
        </w:tc>
      </w:tr>
      <w:tr w:rsidR="000624AF" w:rsidRPr="00E74297" w14:paraId="54CAD150" w14:textId="77777777" w:rsidTr="002D6A2B">
        <w:tc>
          <w:tcPr>
            <w:tcW w:w="705" w:type="pct"/>
            <w:shd w:val="clear" w:color="auto" w:fill="auto"/>
            <w:vAlign w:val="center"/>
          </w:tcPr>
          <w:p w14:paraId="5A8F7C01" w14:textId="77777777" w:rsidR="000624AF" w:rsidRPr="00E74297" w:rsidRDefault="000624AF" w:rsidP="00AF2668">
            <w:pPr>
              <w:pStyle w:val="TableText0"/>
              <w:keepLines/>
            </w:pPr>
            <w:r w:rsidRPr="00E74297">
              <w:t>Subsequent treatments</w:t>
            </w:r>
          </w:p>
        </w:tc>
        <w:tc>
          <w:tcPr>
            <w:tcW w:w="2201" w:type="pct"/>
            <w:shd w:val="clear" w:color="auto" w:fill="auto"/>
            <w:vAlign w:val="center"/>
          </w:tcPr>
          <w:p w14:paraId="4D951352" w14:textId="5823ADB0" w:rsidR="000624AF" w:rsidRPr="00E74297" w:rsidRDefault="000624AF" w:rsidP="00AF2668">
            <w:pPr>
              <w:pStyle w:val="TableText0"/>
              <w:keepLines/>
            </w:pPr>
            <w:r w:rsidRPr="00E74297">
              <w:t xml:space="preserve">Assumed that 7.9% of TPC patients who progress would receive SG and that all patients from both arms would receive subsequent therapy. </w:t>
            </w:r>
          </w:p>
        </w:tc>
        <w:tc>
          <w:tcPr>
            <w:tcW w:w="2094" w:type="pct"/>
            <w:shd w:val="clear" w:color="auto" w:fill="auto"/>
            <w:vAlign w:val="center"/>
          </w:tcPr>
          <w:p w14:paraId="6B130C46" w14:textId="1667A13F" w:rsidR="000624AF" w:rsidRPr="00E74297" w:rsidRDefault="000624AF" w:rsidP="00AF2668">
            <w:pPr>
              <w:pStyle w:val="TableText0"/>
              <w:keepLines/>
            </w:pPr>
            <w:r w:rsidRPr="00E74297">
              <w:t>Moderate, favours SG. Assuming no SG in subsequent treatments and 34% and 40% of patients do not receive subsequent treatment in the PD health state in the SG and TPC arms, respectively (and proportionally re-distributing patients) increased the ICER to $</w:t>
            </w:r>
            <w:r w:rsidR="006F55C1" w:rsidRPr="001777F5">
              <w:rPr>
                <w:color w:val="000000"/>
                <w:spacing w:val="45"/>
                <w:shd w:val="solid" w:color="000000" w:fill="000000"/>
                <w:fitText w:val="330" w:id="-1168282614"/>
                <w14:textFill>
                  <w14:solidFill>
                    <w14:srgbClr w14:val="000000">
                      <w14:alpha w14:val="100000"/>
                    </w14:srgbClr>
                  </w14:solidFill>
                </w14:textFill>
              </w:rPr>
              <w:t>|||</w:t>
            </w:r>
            <w:r w:rsidR="006F55C1" w:rsidRPr="001777F5">
              <w:rPr>
                <w:color w:val="000000"/>
                <w:spacing w:val="15"/>
                <w:shd w:val="solid" w:color="000000" w:fill="000000"/>
                <w:fitText w:val="330" w:id="-1168282614"/>
                <w14:textFill>
                  <w14:solidFill>
                    <w14:srgbClr w14:val="000000">
                      <w14:alpha w14:val="100000"/>
                    </w14:srgbClr>
                  </w14:solidFill>
                </w14:textFill>
              </w:rPr>
              <w:t>|</w:t>
            </w:r>
            <w:r w:rsidR="00DE481A">
              <w:rPr>
                <w:rFonts w:cs="Arial Narrow"/>
                <w:sz w:val="18"/>
                <w:szCs w:val="18"/>
                <w:vertAlign w:val="superscript"/>
              </w:rPr>
              <w:t>2</w:t>
            </w:r>
            <w:r w:rsidRPr="00E74297">
              <w:t>/QALY gained.</w:t>
            </w:r>
          </w:p>
        </w:tc>
      </w:tr>
    </w:tbl>
    <w:p w14:paraId="349F2555" w14:textId="365E4290" w:rsidR="00C91799" w:rsidRPr="00E74297" w:rsidRDefault="000624AF" w:rsidP="00AF2668">
      <w:pPr>
        <w:pStyle w:val="TableFigureFooter"/>
        <w:keepNext/>
        <w:keepLines/>
        <w:spacing w:after="0"/>
      </w:pPr>
      <w:r w:rsidRPr="00E74297">
        <w:t>Source: Constructed during the evaluation from the “Attachment 07 – Trodelvy HR+HER2- mBC Economic model” Excel Workbook provided with the submission.</w:t>
      </w:r>
    </w:p>
    <w:p w14:paraId="651C1D34" w14:textId="1F59C9FC" w:rsidR="000624AF" w:rsidRDefault="000624AF" w:rsidP="00AF2668">
      <w:pPr>
        <w:pStyle w:val="TableFigureFooter"/>
        <w:keepNext/>
        <w:keepLines/>
        <w:spacing w:after="0"/>
      </w:pPr>
      <w:r w:rsidRPr="00E74297">
        <w:rPr>
          <w:iCs/>
        </w:rPr>
        <w:t xml:space="preserve">AIC = Akaike information criterion; BIC = Bayesian information criterion; </w:t>
      </w:r>
      <w:r w:rsidRPr="00E74297">
        <w:t xml:space="preserve">ICER = incremental cost-effectiveness ratio; IV = intravenous; KM = Kaplan-Meier; mTNBC = metastatic triple negative breast cancer; OS = overall survival; PBAC = pharmaceutical benefits advisory committee; PF = progression free; </w:t>
      </w:r>
      <w:r w:rsidR="002D6A2B" w:rsidRPr="00E74297">
        <w:t xml:space="preserve">PSD = public summary document; </w:t>
      </w:r>
      <w:r w:rsidRPr="00E74297">
        <w:t>QALY = quality adjusted life year; RDI = relative dose intensity; SG = sacituzumab govitecan; TPC = treatment of physician choice (consisting of eribulin, capecitabine, gemcitabine or vinorelbine).</w:t>
      </w:r>
    </w:p>
    <w:p w14:paraId="31F54969" w14:textId="77777777" w:rsidR="00DE481A" w:rsidRPr="007D6FC5" w:rsidRDefault="00DE481A" w:rsidP="00AF2668">
      <w:pPr>
        <w:pStyle w:val="FooterTableFigure"/>
        <w:keepNext/>
        <w:keepLines/>
        <w:spacing w:after="0"/>
        <w:rPr>
          <w:i/>
          <w:iCs/>
        </w:rPr>
      </w:pPr>
      <w:r w:rsidRPr="007D6FC5">
        <w:rPr>
          <w:i/>
          <w:iCs/>
        </w:rPr>
        <w:t>The redacted values correspond to the following ranges</w:t>
      </w:r>
      <w:r>
        <w:rPr>
          <w:i/>
          <w:iCs/>
        </w:rPr>
        <w:t>:</w:t>
      </w:r>
    </w:p>
    <w:p w14:paraId="2A0E1DC2" w14:textId="77777777" w:rsidR="00DE481A" w:rsidRDefault="00DE481A" w:rsidP="00AF2668">
      <w:pPr>
        <w:keepNext/>
        <w:keepLines/>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1</w:t>
      </w:r>
      <w:r>
        <w:rPr>
          <w:rFonts w:ascii="Arial Narrow" w:hAnsi="Arial Narrow" w:cs="Arial Narrow"/>
          <w:i/>
          <w:iCs/>
          <w:sz w:val="18"/>
          <w:szCs w:val="18"/>
        </w:rPr>
        <w:t xml:space="preserve"> </w:t>
      </w:r>
      <w:r w:rsidRPr="00DE481A">
        <w:rPr>
          <w:rFonts w:ascii="Arial Narrow" w:hAnsi="Arial Narrow" w:cs="Arial Narrow"/>
          <w:i/>
          <w:iCs/>
          <w:sz w:val="18"/>
          <w:szCs w:val="18"/>
        </w:rPr>
        <w:t>$95,000 to &lt; $115,000</w:t>
      </w:r>
    </w:p>
    <w:p w14:paraId="52A69D4A" w14:textId="3F4DDAF5" w:rsidR="00DE481A" w:rsidRPr="00AF2668" w:rsidRDefault="00DE481A" w:rsidP="00AF2668">
      <w:pPr>
        <w:autoSpaceDE w:val="0"/>
        <w:autoSpaceDN w:val="0"/>
        <w:adjustRightInd w:val="0"/>
        <w:spacing w:after="120"/>
        <w:jc w:val="left"/>
        <w:rPr>
          <w:rFonts w:ascii="Arial Narrow" w:hAnsi="Arial Narrow" w:cs="Arial Narrow"/>
          <w:i/>
          <w:iCs/>
          <w:sz w:val="18"/>
          <w:szCs w:val="18"/>
        </w:rPr>
      </w:pPr>
      <w:r>
        <w:rPr>
          <w:rFonts w:ascii="Arial Narrow" w:hAnsi="Arial Narrow" w:cs="Arial Narrow"/>
          <w:i/>
          <w:iCs/>
          <w:sz w:val="18"/>
          <w:szCs w:val="18"/>
          <w:vertAlign w:val="superscript"/>
        </w:rPr>
        <w:t>2</w:t>
      </w:r>
      <w:r>
        <w:rPr>
          <w:rFonts w:ascii="Arial Narrow" w:hAnsi="Arial Narrow" w:cs="Arial Narrow"/>
          <w:i/>
          <w:iCs/>
          <w:sz w:val="18"/>
          <w:szCs w:val="18"/>
        </w:rPr>
        <w:t xml:space="preserve"> </w:t>
      </w:r>
      <w:r w:rsidRPr="00DE481A">
        <w:rPr>
          <w:rFonts w:ascii="Arial Narrow" w:hAnsi="Arial Narrow" w:cs="Arial Narrow"/>
          <w:i/>
          <w:iCs/>
          <w:sz w:val="18"/>
          <w:szCs w:val="18"/>
        </w:rPr>
        <w:t>$75,000 to &lt; $95,000</w:t>
      </w:r>
    </w:p>
    <w:p w14:paraId="19F46155" w14:textId="77777777" w:rsidR="009D6510" w:rsidRPr="00E74297" w:rsidRDefault="000624AF" w:rsidP="000624AF">
      <w:pPr>
        <w:pStyle w:val="3-BodyText"/>
      </w:pPr>
      <w:bookmarkStart w:id="68" w:name="_Ref137374307"/>
      <w:bookmarkStart w:id="69" w:name="_Ref132377334"/>
      <w:r w:rsidRPr="00E74297">
        <w:t xml:space="preserve">Results of the stepped economic evaluation are presented in </w:t>
      </w:r>
      <w:r w:rsidRPr="00E74297">
        <w:fldChar w:fldCharType="begin" w:fldLock="1"/>
      </w:r>
      <w:r w:rsidRPr="00E74297">
        <w:instrText xml:space="preserve"> REF _Ref132652086 \h </w:instrText>
      </w:r>
      <w:r w:rsidRPr="00E74297">
        <w:fldChar w:fldCharType="separate"/>
      </w:r>
      <w:r w:rsidR="00AE1DC7" w:rsidRPr="00E74297">
        <w:t>Table 11</w:t>
      </w:r>
      <w:r w:rsidRPr="00E74297">
        <w:fldChar w:fldCharType="end"/>
      </w:r>
      <w:r w:rsidRPr="00E74297">
        <w:t>. Steps have been rearranged during the evaluation to include subsequent treatment, disease management, monitoring and terminal care costs in a separate, final step. This enables the effect of certain cost parameters, which have been identified as uncertain, on the model to be observed (see Step 5). These costs resulted in a</w:t>
      </w:r>
      <w:r w:rsidR="00093D53" w:rsidRPr="00E74297">
        <w:t xml:space="preserve"> relatively</w:t>
      </w:r>
      <w:r w:rsidRPr="00E74297">
        <w:t xml:space="preserve"> small reduction in the ICER. The largest reduction was associated with the extrapolation of health outcomes, as raised previously OS extrapolations favour SG considerably.</w:t>
      </w:r>
      <w:bookmarkEnd w:id="68"/>
    </w:p>
    <w:p w14:paraId="4D02C7FF" w14:textId="5E5264DD" w:rsidR="000624AF" w:rsidRPr="00E74297" w:rsidRDefault="000624AF" w:rsidP="000624AF">
      <w:pPr>
        <w:pStyle w:val="Caption"/>
        <w:rPr>
          <w:rStyle w:val="CommentReference"/>
          <w:b/>
          <w:szCs w:val="24"/>
        </w:rPr>
      </w:pPr>
      <w:bookmarkStart w:id="70" w:name="_Ref132652086"/>
      <w:r w:rsidRPr="00E74297">
        <w:lastRenderedPageBreak/>
        <w:t xml:space="preserve">Table </w:t>
      </w:r>
      <w:fldSimple w:instr=" SEQ Table \* ARABIC " w:fldLock="1">
        <w:r w:rsidR="00AE1DC7" w:rsidRPr="00E74297">
          <w:t>11</w:t>
        </w:r>
      </w:fldSimple>
      <w:bookmarkEnd w:id="69"/>
      <w:bookmarkEnd w:id="70"/>
      <w:r w:rsidRPr="00E74297">
        <w:t xml:space="preserve">: </w:t>
      </w:r>
      <w:r w:rsidRPr="00E74297">
        <w:rPr>
          <w:rStyle w:val="CommentReference"/>
          <w:b/>
          <w:szCs w:val="24"/>
        </w:rPr>
        <w:t>Results of the stepped economic evaluation</w:t>
      </w:r>
      <w:r w:rsidRPr="00E74297">
        <w:rPr>
          <w:rStyle w:val="CommentReference"/>
          <w:b/>
          <w:szCs w:val="24"/>
          <w:vertAlign w:val="superscript"/>
        </w:rPr>
        <w:t>a</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Pr>
      <w:tblGrid>
        <w:gridCol w:w="425"/>
        <w:gridCol w:w="2134"/>
        <w:gridCol w:w="698"/>
        <w:gridCol w:w="707"/>
        <w:gridCol w:w="994"/>
        <w:gridCol w:w="990"/>
        <w:gridCol w:w="988"/>
        <w:gridCol w:w="999"/>
        <w:gridCol w:w="1132"/>
      </w:tblGrid>
      <w:tr w:rsidR="000624AF" w:rsidRPr="00E74297" w14:paraId="2D865316" w14:textId="77777777" w:rsidTr="000624AF">
        <w:trPr>
          <w:cantSplit/>
          <w:tblHeader/>
        </w:trPr>
        <w:tc>
          <w:tcPr>
            <w:tcW w:w="234" w:type="pct"/>
            <w:vMerge w:val="restart"/>
            <w:shd w:val="clear" w:color="auto" w:fill="FFFFFF" w:themeFill="background1"/>
            <w:vAlign w:val="center"/>
          </w:tcPr>
          <w:p w14:paraId="7EBF655D" w14:textId="77777777" w:rsidR="000624AF" w:rsidRPr="00E74297" w:rsidRDefault="000624AF" w:rsidP="000624AF">
            <w:pPr>
              <w:pStyle w:val="In-tableHeading"/>
              <w:keepNext w:val="0"/>
              <w:widowControl w:val="0"/>
              <w:jc w:val="center"/>
              <w:rPr>
                <w:szCs w:val="20"/>
                <w:lang w:val="en-AU"/>
              </w:rPr>
            </w:pPr>
            <w:r w:rsidRPr="00E74297">
              <w:rPr>
                <w:szCs w:val="20"/>
                <w:lang w:val="en-AU"/>
              </w:rPr>
              <w:t>Step</w:t>
            </w:r>
          </w:p>
        </w:tc>
        <w:tc>
          <w:tcPr>
            <w:tcW w:w="1177" w:type="pct"/>
            <w:vMerge w:val="restart"/>
            <w:shd w:val="clear" w:color="auto" w:fill="FFFFFF" w:themeFill="background1"/>
            <w:vAlign w:val="center"/>
          </w:tcPr>
          <w:p w14:paraId="0FA0AEED" w14:textId="77777777" w:rsidR="000624AF" w:rsidRPr="00E74297" w:rsidRDefault="000624AF" w:rsidP="000624AF">
            <w:pPr>
              <w:pStyle w:val="In-tableHeading"/>
              <w:keepNext w:val="0"/>
              <w:widowControl w:val="0"/>
              <w:jc w:val="center"/>
              <w:rPr>
                <w:szCs w:val="20"/>
                <w:lang w:val="en-AU"/>
              </w:rPr>
            </w:pPr>
            <w:r w:rsidRPr="00E74297">
              <w:rPr>
                <w:szCs w:val="20"/>
                <w:lang w:val="en-AU"/>
              </w:rPr>
              <w:t>Data</w:t>
            </w:r>
          </w:p>
        </w:tc>
        <w:tc>
          <w:tcPr>
            <w:tcW w:w="1323" w:type="pct"/>
            <w:gridSpan w:val="3"/>
            <w:shd w:val="clear" w:color="auto" w:fill="FFFFFF" w:themeFill="background1"/>
            <w:vAlign w:val="center"/>
          </w:tcPr>
          <w:p w14:paraId="2263839B" w14:textId="77777777" w:rsidR="000624AF" w:rsidRPr="00E74297" w:rsidRDefault="000624AF" w:rsidP="000624AF">
            <w:pPr>
              <w:pStyle w:val="In-tableHeading"/>
              <w:keepNext w:val="0"/>
              <w:widowControl w:val="0"/>
              <w:jc w:val="center"/>
              <w:rPr>
                <w:szCs w:val="20"/>
                <w:lang w:val="en-AU"/>
              </w:rPr>
            </w:pPr>
            <w:r w:rsidRPr="00E74297">
              <w:rPr>
                <w:szCs w:val="20"/>
                <w:lang w:val="en-AU"/>
              </w:rPr>
              <w:t>Costs</w:t>
            </w:r>
          </w:p>
        </w:tc>
        <w:tc>
          <w:tcPr>
            <w:tcW w:w="1642" w:type="pct"/>
            <w:gridSpan w:val="3"/>
            <w:shd w:val="clear" w:color="auto" w:fill="FFFFFF" w:themeFill="background1"/>
            <w:vAlign w:val="center"/>
          </w:tcPr>
          <w:p w14:paraId="5EBC8C0D" w14:textId="77777777" w:rsidR="000624AF" w:rsidRPr="00E74297" w:rsidRDefault="000624AF" w:rsidP="000624AF">
            <w:pPr>
              <w:pStyle w:val="In-tableHeading"/>
              <w:keepNext w:val="0"/>
              <w:widowControl w:val="0"/>
              <w:jc w:val="center"/>
              <w:rPr>
                <w:szCs w:val="20"/>
                <w:lang w:val="en-AU"/>
              </w:rPr>
            </w:pPr>
            <w:r w:rsidRPr="00E74297">
              <w:rPr>
                <w:szCs w:val="20"/>
                <w:lang w:val="en-AU"/>
              </w:rPr>
              <w:t>Health outcomes</w:t>
            </w:r>
          </w:p>
        </w:tc>
        <w:tc>
          <w:tcPr>
            <w:tcW w:w="624" w:type="pct"/>
            <w:vMerge w:val="restart"/>
            <w:shd w:val="clear" w:color="auto" w:fill="FFFFFF" w:themeFill="background1"/>
            <w:vAlign w:val="center"/>
          </w:tcPr>
          <w:p w14:paraId="0255B827" w14:textId="77777777" w:rsidR="000624AF" w:rsidRPr="00E74297" w:rsidRDefault="000624AF" w:rsidP="000624AF">
            <w:pPr>
              <w:pStyle w:val="In-tableHeading"/>
              <w:keepNext w:val="0"/>
              <w:widowControl w:val="0"/>
              <w:jc w:val="center"/>
              <w:rPr>
                <w:szCs w:val="20"/>
                <w:lang w:val="en-AU"/>
              </w:rPr>
            </w:pPr>
            <w:r w:rsidRPr="00E74297">
              <w:rPr>
                <w:szCs w:val="20"/>
                <w:lang w:val="en-AU"/>
              </w:rPr>
              <w:t>Incremental cost-effectiveness ratios</w:t>
            </w:r>
          </w:p>
        </w:tc>
      </w:tr>
      <w:tr w:rsidR="000624AF" w:rsidRPr="00E74297" w14:paraId="16638617" w14:textId="77777777" w:rsidTr="006F55C1">
        <w:trPr>
          <w:cantSplit/>
          <w:tblHeader/>
        </w:trPr>
        <w:tc>
          <w:tcPr>
            <w:tcW w:w="234" w:type="pct"/>
            <w:vMerge/>
            <w:shd w:val="clear" w:color="auto" w:fill="FFFFFF" w:themeFill="background1"/>
          </w:tcPr>
          <w:p w14:paraId="152E3F33" w14:textId="77777777" w:rsidR="000624AF" w:rsidRPr="00E74297" w:rsidRDefault="000624AF" w:rsidP="000624AF">
            <w:pPr>
              <w:pStyle w:val="In-tableHeading"/>
              <w:keepNext w:val="0"/>
              <w:widowControl w:val="0"/>
              <w:jc w:val="center"/>
              <w:rPr>
                <w:szCs w:val="20"/>
                <w:lang w:val="en-AU"/>
              </w:rPr>
            </w:pPr>
          </w:p>
        </w:tc>
        <w:tc>
          <w:tcPr>
            <w:tcW w:w="1177" w:type="pct"/>
            <w:vMerge/>
            <w:shd w:val="clear" w:color="auto" w:fill="FFFFFF" w:themeFill="background1"/>
            <w:vAlign w:val="center"/>
          </w:tcPr>
          <w:p w14:paraId="2A3B4798" w14:textId="77777777" w:rsidR="000624AF" w:rsidRPr="00E74297" w:rsidRDefault="000624AF" w:rsidP="000624AF">
            <w:pPr>
              <w:pStyle w:val="In-tableHeading"/>
              <w:keepNext w:val="0"/>
              <w:widowControl w:val="0"/>
              <w:jc w:val="center"/>
              <w:rPr>
                <w:szCs w:val="20"/>
                <w:lang w:val="en-AU"/>
              </w:rPr>
            </w:pPr>
          </w:p>
        </w:tc>
        <w:tc>
          <w:tcPr>
            <w:tcW w:w="385" w:type="pct"/>
            <w:tcBorders>
              <w:bottom w:val="single" w:sz="4" w:space="0" w:color="auto"/>
            </w:tcBorders>
            <w:shd w:val="clear" w:color="auto" w:fill="FFFFFF" w:themeFill="background1"/>
            <w:vAlign w:val="center"/>
          </w:tcPr>
          <w:p w14:paraId="414872AA" w14:textId="77777777" w:rsidR="000624AF" w:rsidRDefault="000624AF" w:rsidP="000624AF">
            <w:pPr>
              <w:pStyle w:val="In-tableHeading"/>
              <w:keepNext w:val="0"/>
              <w:widowControl w:val="0"/>
              <w:jc w:val="center"/>
              <w:rPr>
                <w:szCs w:val="20"/>
                <w:lang w:val="en-AU"/>
              </w:rPr>
            </w:pPr>
            <w:r w:rsidRPr="00E74297">
              <w:rPr>
                <w:szCs w:val="20"/>
                <w:lang w:val="en-AU"/>
              </w:rPr>
              <w:t>SG</w:t>
            </w:r>
          </w:p>
          <w:p w14:paraId="3F36514F" w14:textId="3A98E937" w:rsidR="00DE481A" w:rsidRPr="00E74297" w:rsidRDefault="00DE481A" w:rsidP="000624AF">
            <w:pPr>
              <w:pStyle w:val="In-tableHeading"/>
              <w:keepNext w:val="0"/>
              <w:widowControl w:val="0"/>
              <w:jc w:val="center"/>
              <w:rPr>
                <w:szCs w:val="20"/>
                <w:lang w:val="en-AU"/>
              </w:rPr>
            </w:pPr>
            <w:r>
              <w:rPr>
                <w:szCs w:val="20"/>
                <w:lang w:val="en-AU"/>
              </w:rPr>
              <w:t>($)</w:t>
            </w:r>
          </w:p>
        </w:tc>
        <w:tc>
          <w:tcPr>
            <w:tcW w:w="390" w:type="pct"/>
            <w:shd w:val="clear" w:color="auto" w:fill="FFFFFF" w:themeFill="background1"/>
            <w:vAlign w:val="center"/>
          </w:tcPr>
          <w:p w14:paraId="21DA1B4B" w14:textId="77777777" w:rsidR="000624AF" w:rsidRPr="00E74297" w:rsidRDefault="000624AF" w:rsidP="000624AF">
            <w:pPr>
              <w:pStyle w:val="In-tableHeading"/>
              <w:keepNext w:val="0"/>
              <w:widowControl w:val="0"/>
              <w:jc w:val="center"/>
              <w:rPr>
                <w:szCs w:val="20"/>
                <w:lang w:val="en-AU"/>
              </w:rPr>
            </w:pPr>
            <w:r w:rsidRPr="00E74297">
              <w:rPr>
                <w:szCs w:val="20"/>
                <w:lang w:val="en-AU"/>
              </w:rPr>
              <w:t>TPC</w:t>
            </w:r>
          </w:p>
        </w:tc>
        <w:tc>
          <w:tcPr>
            <w:tcW w:w="548" w:type="pct"/>
            <w:tcBorders>
              <w:bottom w:val="single" w:sz="4" w:space="0" w:color="auto"/>
            </w:tcBorders>
            <w:shd w:val="clear" w:color="auto" w:fill="FFFFFF" w:themeFill="background1"/>
            <w:vAlign w:val="center"/>
          </w:tcPr>
          <w:p w14:paraId="50762AEC" w14:textId="77777777" w:rsidR="000624AF" w:rsidRDefault="000624AF" w:rsidP="000624AF">
            <w:pPr>
              <w:pStyle w:val="In-tableHeading"/>
              <w:keepNext w:val="0"/>
              <w:widowControl w:val="0"/>
              <w:jc w:val="center"/>
              <w:rPr>
                <w:szCs w:val="20"/>
                <w:lang w:val="en-AU"/>
              </w:rPr>
            </w:pPr>
            <w:r w:rsidRPr="00E74297">
              <w:rPr>
                <w:szCs w:val="20"/>
                <w:lang w:val="en-AU"/>
              </w:rPr>
              <w:t>Incremental</w:t>
            </w:r>
          </w:p>
          <w:p w14:paraId="4755CCAF" w14:textId="1D7D0074" w:rsidR="00DE481A" w:rsidRPr="00E74297" w:rsidRDefault="00DE481A" w:rsidP="000624AF">
            <w:pPr>
              <w:pStyle w:val="In-tableHeading"/>
              <w:keepNext w:val="0"/>
              <w:widowControl w:val="0"/>
              <w:jc w:val="center"/>
              <w:rPr>
                <w:szCs w:val="20"/>
                <w:lang w:val="en-AU"/>
              </w:rPr>
            </w:pPr>
            <w:r>
              <w:rPr>
                <w:szCs w:val="20"/>
                <w:lang w:val="en-AU"/>
              </w:rPr>
              <w:t>($)</w:t>
            </w:r>
          </w:p>
        </w:tc>
        <w:tc>
          <w:tcPr>
            <w:tcW w:w="546" w:type="pct"/>
            <w:shd w:val="clear" w:color="auto" w:fill="FFFFFF" w:themeFill="background1"/>
            <w:vAlign w:val="center"/>
          </w:tcPr>
          <w:p w14:paraId="419A3781" w14:textId="77777777" w:rsidR="000624AF" w:rsidRPr="00E74297" w:rsidRDefault="000624AF" w:rsidP="000624AF">
            <w:pPr>
              <w:pStyle w:val="In-tableHeading"/>
              <w:keepNext w:val="0"/>
              <w:widowControl w:val="0"/>
              <w:jc w:val="center"/>
              <w:rPr>
                <w:szCs w:val="20"/>
                <w:lang w:val="en-AU"/>
              </w:rPr>
            </w:pPr>
            <w:r w:rsidRPr="00E74297">
              <w:rPr>
                <w:szCs w:val="20"/>
                <w:lang w:val="en-AU"/>
              </w:rPr>
              <w:t>SG</w:t>
            </w:r>
          </w:p>
        </w:tc>
        <w:tc>
          <w:tcPr>
            <w:tcW w:w="545" w:type="pct"/>
            <w:shd w:val="clear" w:color="auto" w:fill="FFFFFF" w:themeFill="background1"/>
            <w:vAlign w:val="center"/>
          </w:tcPr>
          <w:p w14:paraId="54503936" w14:textId="77777777" w:rsidR="000624AF" w:rsidRPr="00E74297" w:rsidRDefault="000624AF" w:rsidP="000624AF">
            <w:pPr>
              <w:pStyle w:val="In-tableHeading"/>
              <w:keepNext w:val="0"/>
              <w:widowControl w:val="0"/>
              <w:jc w:val="center"/>
              <w:rPr>
                <w:szCs w:val="20"/>
                <w:lang w:val="en-AU"/>
              </w:rPr>
            </w:pPr>
            <w:r w:rsidRPr="00E74297">
              <w:rPr>
                <w:szCs w:val="20"/>
                <w:lang w:val="en-AU"/>
              </w:rPr>
              <w:t>TPC</w:t>
            </w:r>
          </w:p>
        </w:tc>
        <w:tc>
          <w:tcPr>
            <w:tcW w:w="550" w:type="pct"/>
            <w:shd w:val="clear" w:color="auto" w:fill="FFFFFF" w:themeFill="background1"/>
            <w:vAlign w:val="center"/>
          </w:tcPr>
          <w:p w14:paraId="24AFB54B" w14:textId="77777777" w:rsidR="000624AF" w:rsidRPr="00E74297" w:rsidRDefault="000624AF" w:rsidP="000624AF">
            <w:pPr>
              <w:pStyle w:val="In-tableHeading"/>
              <w:keepNext w:val="0"/>
              <w:widowControl w:val="0"/>
              <w:jc w:val="center"/>
              <w:rPr>
                <w:szCs w:val="20"/>
                <w:lang w:val="en-AU"/>
              </w:rPr>
            </w:pPr>
            <w:r w:rsidRPr="00E74297">
              <w:rPr>
                <w:szCs w:val="20"/>
                <w:lang w:val="en-AU"/>
              </w:rPr>
              <w:t>Incremental</w:t>
            </w:r>
          </w:p>
        </w:tc>
        <w:tc>
          <w:tcPr>
            <w:tcW w:w="624" w:type="pct"/>
            <w:vMerge/>
            <w:shd w:val="clear" w:color="auto" w:fill="FFFFFF" w:themeFill="background1"/>
            <w:vAlign w:val="center"/>
          </w:tcPr>
          <w:p w14:paraId="03CACE93" w14:textId="77777777" w:rsidR="000624AF" w:rsidRPr="00E74297" w:rsidRDefault="000624AF" w:rsidP="000624AF">
            <w:pPr>
              <w:pStyle w:val="Tabletext"/>
              <w:widowControl w:val="0"/>
              <w:jc w:val="center"/>
              <w:rPr>
                <w:szCs w:val="20"/>
              </w:rPr>
            </w:pPr>
          </w:p>
        </w:tc>
      </w:tr>
      <w:tr w:rsidR="000624AF" w:rsidRPr="00E74297" w14:paraId="7FD9E1F4" w14:textId="77777777" w:rsidTr="006F55C1">
        <w:trPr>
          <w:cantSplit/>
        </w:trPr>
        <w:tc>
          <w:tcPr>
            <w:tcW w:w="234" w:type="pct"/>
            <w:shd w:val="clear" w:color="auto" w:fill="FFFFFF" w:themeFill="background1"/>
            <w:vAlign w:val="center"/>
          </w:tcPr>
          <w:p w14:paraId="031BEC09" w14:textId="77777777" w:rsidR="000624AF" w:rsidRPr="00E74297" w:rsidRDefault="000624AF" w:rsidP="000624AF">
            <w:pPr>
              <w:pStyle w:val="TableText0"/>
              <w:jc w:val="center"/>
              <w:rPr>
                <w:szCs w:val="20"/>
              </w:rPr>
            </w:pPr>
            <w:r w:rsidRPr="00E74297">
              <w:rPr>
                <w:szCs w:val="20"/>
              </w:rPr>
              <w:t>1</w:t>
            </w:r>
          </w:p>
        </w:tc>
        <w:tc>
          <w:tcPr>
            <w:tcW w:w="1177" w:type="pct"/>
            <w:shd w:val="clear" w:color="auto" w:fill="FFFFFF" w:themeFill="background1"/>
            <w:vAlign w:val="center"/>
          </w:tcPr>
          <w:p w14:paraId="613ADA47" w14:textId="77777777" w:rsidR="000624AF" w:rsidRPr="00E74297" w:rsidRDefault="000624AF" w:rsidP="000624AF">
            <w:pPr>
              <w:pStyle w:val="TableText0"/>
              <w:rPr>
                <w:szCs w:val="20"/>
              </w:rPr>
            </w:pPr>
            <w:r w:rsidRPr="00E74297">
              <w:rPr>
                <w:szCs w:val="20"/>
              </w:rPr>
              <w:t>Trial based (TROPiCS-02) economic evaluation (time horizon of 13 months).</w:t>
            </w:r>
          </w:p>
        </w:tc>
        <w:tc>
          <w:tcPr>
            <w:tcW w:w="385" w:type="pct"/>
            <w:tcBorders>
              <w:bottom w:val="single" w:sz="4" w:space="0" w:color="auto"/>
            </w:tcBorders>
            <w:shd w:val="solid" w:color="000000" w:fill="000000"/>
            <w:vAlign w:val="center"/>
          </w:tcPr>
          <w:p w14:paraId="29D4BACD" w14:textId="77278EFF" w:rsidR="000624AF" w:rsidRPr="00DE481A" w:rsidRDefault="006F55C1" w:rsidP="000624AF">
            <w:pPr>
              <w:pStyle w:val="TableText0"/>
              <w:jc w:val="center"/>
              <w:rPr>
                <w:szCs w:val="20"/>
                <w:highlight w:val="darkGray"/>
              </w:rPr>
            </w:pPr>
            <w:r w:rsidRPr="006F55C1">
              <w:rPr>
                <w:rFonts w:cstheme="minorHAnsi"/>
                <w:color w:val="000000"/>
                <w:spacing w:val="48"/>
                <w:szCs w:val="20"/>
                <w:fitText w:val="225" w:id="-1168282613"/>
                <w14:textFill>
                  <w14:solidFill>
                    <w14:srgbClr w14:val="000000">
                      <w14:alpha w14:val="100000"/>
                    </w14:srgbClr>
                  </w14:solidFill>
                </w14:textFill>
              </w:rPr>
              <w:t>||</w:t>
            </w:r>
            <w:r w:rsidRPr="006F55C1">
              <w:rPr>
                <w:rFonts w:cstheme="minorHAnsi"/>
                <w:color w:val="000000"/>
                <w:spacing w:val="2"/>
                <w:szCs w:val="20"/>
                <w:fitText w:val="225" w:id="-1168282613"/>
                <w14:textFill>
                  <w14:solidFill>
                    <w14:srgbClr w14:val="000000">
                      <w14:alpha w14:val="100000"/>
                    </w14:srgbClr>
                  </w14:solidFill>
                </w14:textFill>
              </w:rPr>
              <w:t>|</w:t>
            </w:r>
          </w:p>
        </w:tc>
        <w:tc>
          <w:tcPr>
            <w:tcW w:w="390" w:type="pct"/>
            <w:shd w:val="clear" w:color="auto" w:fill="FFFFFF" w:themeFill="background1"/>
            <w:vAlign w:val="center"/>
          </w:tcPr>
          <w:p w14:paraId="610F0F41" w14:textId="77777777" w:rsidR="000624AF" w:rsidRPr="00E74297" w:rsidRDefault="000624AF" w:rsidP="000624AF">
            <w:pPr>
              <w:pStyle w:val="TableText0"/>
              <w:jc w:val="center"/>
              <w:rPr>
                <w:szCs w:val="20"/>
              </w:rPr>
            </w:pPr>
            <w:r w:rsidRPr="00E74297">
              <w:rPr>
                <w:rFonts w:cstheme="minorHAnsi"/>
                <w:szCs w:val="20"/>
              </w:rPr>
              <w:t>$5,166</w:t>
            </w:r>
          </w:p>
        </w:tc>
        <w:tc>
          <w:tcPr>
            <w:tcW w:w="548" w:type="pct"/>
            <w:tcBorders>
              <w:bottom w:val="single" w:sz="4" w:space="0" w:color="auto"/>
            </w:tcBorders>
            <w:shd w:val="solid" w:color="000000" w:fill="000000"/>
            <w:vAlign w:val="center"/>
          </w:tcPr>
          <w:p w14:paraId="19C92714" w14:textId="643074A7" w:rsidR="000624AF" w:rsidRPr="00DE481A" w:rsidRDefault="006F55C1" w:rsidP="000624AF">
            <w:pPr>
              <w:pStyle w:val="TableText0"/>
              <w:jc w:val="center"/>
              <w:rPr>
                <w:szCs w:val="20"/>
                <w:highlight w:val="darkGray"/>
              </w:rPr>
            </w:pPr>
            <w:r w:rsidRPr="006F55C1">
              <w:rPr>
                <w:rFonts w:cstheme="minorHAnsi" w:hint="eastAsia"/>
                <w:color w:val="000000"/>
                <w:w w:val="16"/>
                <w:szCs w:val="20"/>
                <w:fitText w:val="75" w:id="-1168282612"/>
                <w14:textFill>
                  <w14:solidFill>
                    <w14:srgbClr w14:val="000000">
                      <w14:alpha w14:val="100000"/>
                    </w14:srgbClr>
                  </w14:solidFill>
                </w14:textFill>
              </w:rPr>
              <w:t xml:space="preserve">　</w:t>
            </w:r>
            <w:r w:rsidRPr="006F55C1">
              <w:rPr>
                <w:rFonts w:cstheme="minorHAnsi"/>
                <w:color w:val="000000"/>
                <w:w w:val="16"/>
                <w:szCs w:val="20"/>
                <w:fitText w:val="75" w:id="-1168282612"/>
                <w14:textFill>
                  <w14:solidFill>
                    <w14:srgbClr w14:val="000000">
                      <w14:alpha w14:val="100000"/>
                    </w14:srgbClr>
                  </w14:solidFill>
                </w14:textFill>
              </w:rPr>
              <w:t>|</w:t>
            </w:r>
            <w:r w:rsidRPr="006F55C1">
              <w:rPr>
                <w:rFonts w:cstheme="minorHAnsi" w:hint="eastAsia"/>
                <w:color w:val="000000"/>
                <w:w w:val="16"/>
                <w:szCs w:val="20"/>
                <w:fitText w:val="75" w:id="-1168282612"/>
                <w14:textFill>
                  <w14:solidFill>
                    <w14:srgbClr w14:val="000000">
                      <w14:alpha w14:val="100000"/>
                    </w14:srgbClr>
                  </w14:solidFill>
                </w14:textFill>
              </w:rPr>
              <w:t xml:space="preserve">　</w:t>
            </w:r>
          </w:p>
        </w:tc>
        <w:tc>
          <w:tcPr>
            <w:tcW w:w="546" w:type="pct"/>
            <w:shd w:val="clear" w:color="auto" w:fill="FFFFFF" w:themeFill="background1"/>
            <w:vAlign w:val="center"/>
          </w:tcPr>
          <w:p w14:paraId="54ECE469" w14:textId="77777777" w:rsidR="000624AF" w:rsidRPr="00E74297" w:rsidRDefault="000624AF" w:rsidP="000624AF">
            <w:pPr>
              <w:pStyle w:val="TableText0"/>
              <w:jc w:val="center"/>
              <w:rPr>
                <w:rFonts w:cstheme="minorHAnsi"/>
                <w:szCs w:val="20"/>
              </w:rPr>
            </w:pPr>
            <w:r w:rsidRPr="00E74297">
              <w:rPr>
                <w:rFonts w:cstheme="minorHAnsi"/>
                <w:szCs w:val="20"/>
              </w:rPr>
              <w:t>PFLYs:</w:t>
            </w:r>
            <w:r w:rsidRPr="00E74297">
              <w:rPr>
                <w:szCs w:val="20"/>
              </w:rPr>
              <w:t xml:space="preserve"> </w:t>
            </w:r>
            <w:r w:rsidRPr="00E74297">
              <w:rPr>
                <w:rFonts w:cstheme="minorHAnsi"/>
                <w:szCs w:val="20"/>
              </w:rPr>
              <w:t>0.54</w:t>
            </w:r>
          </w:p>
          <w:p w14:paraId="1F036830" w14:textId="77777777" w:rsidR="000624AF" w:rsidRPr="00E74297" w:rsidRDefault="000624AF" w:rsidP="000624AF">
            <w:pPr>
              <w:pStyle w:val="TableText0"/>
              <w:jc w:val="center"/>
              <w:rPr>
                <w:szCs w:val="20"/>
              </w:rPr>
            </w:pPr>
            <w:r w:rsidRPr="00E74297">
              <w:rPr>
                <w:rFonts w:cstheme="minorHAnsi"/>
                <w:szCs w:val="20"/>
              </w:rPr>
              <w:t>LYs: 0.89</w:t>
            </w:r>
          </w:p>
        </w:tc>
        <w:tc>
          <w:tcPr>
            <w:tcW w:w="545" w:type="pct"/>
            <w:shd w:val="clear" w:color="auto" w:fill="FFFFFF" w:themeFill="background1"/>
            <w:vAlign w:val="center"/>
          </w:tcPr>
          <w:p w14:paraId="60C0BD52" w14:textId="77777777" w:rsidR="000624AF" w:rsidRPr="00E74297" w:rsidRDefault="000624AF" w:rsidP="000624AF">
            <w:pPr>
              <w:pStyle w:val="TableText0"/>
              <w:jc w:val="center"/>
              <w:rPr>
                <w:rFonts w:cstheme="minorHAnsi"/>
                <w:szCs w:val="20"/>
              </w:rPr>
            </w:pPr>
            <w:r w:rsidRPr="00E74297">
              <w:rPr>
                <w:rFonts w:cstheme="minorHAnsi"/>
                <w:szCs w:val="20"/>
              </w:rPr>
              <w:t>PFLYs: 0.41</w:t>
            </w:r>
          </w:p>
          <w:p w14:paraId="5D2BE25B" w14:textId="77777777" w:rsidR="000624AF" w:rsidRPr="00E74297" w:rsidRDefault="000624AF" w:rsidP="000624AF">
            <w:pPr>
              <w:pStyle w:val="TableText0"/>
              <w:jc w:val="center"/>
              <w:rPr>
                <w:szCs w:val="20"/>
              </w:rPr>
            </w:pPr>
            <w:r w:rsidRPr="00E74297">
              <w:rPr>
                <w:rFonts w:cstheme="minorHAnsi"/>
                <w:szCs w:val="20"/>
              </w:rPr>
              <w:t>LYs: 0.81</w:t>
            </w:r>
          </w:p>
        </w:tc>
        <w:tc>
          <w:tcPr>
            <w:tcW w:w="550" w:type="pct"/>
            <w:shd w:val="clear" w:color="auto" w:fill="FFFFFF" w:themeFill="background1"/>
            <w:vAlign w:val="center"/>
          </w:tcPr>
          <w:p w14:paraId="7797A8A7" w14:textId="77777777" w:rsidR="000624AF" w:rsidRPr="00E74297" w:rsidRDefault="000624AF" w:rsidP="000624AF">
            <w:pPr>
              <w:pStyle w:val="TableText0"/>
              <w:jc w:val="center"/>
              <w:rPr>
                <w:rFonts w:cstheme="minorHAnsi"/>
                <w:szCs w:val="20"/>
              </w:rPr>
            </w:pPr>
            <w:r w:rsidRPr="00E74297">
              <w:rPr>
                <w:rFonts w:cstheme="minorHAnsi"/>
                <w:szCs w:val="20"/>
              </w:rPr>
              <w:t>PFLYs: 0.13</w:t>
            </w:r>
          </w:p>
          <w:p w14:paraId="102E0894" w14:textId="77777777" w:rsidR="000624AF" w:rsidRPr="00E74297" w:rsidRDefault="000624AF" w:rsidP="000624AF">
            <w:pPr>
              <w:pStyle w:val="TableText0"/>
              <w:jc w:val="center"/>
              <w:rPr>
                <w:szCs w:val="20"/>
              </w:rPr>
            </w:pPr>
            <w:r w:rsidRPr="00E74297">
              <w:rPr>
                <w:rFonts w:cstheme="minorHAnsi"/>
                <w:szCs w:val="20"/>
              </w:rPr>
              <w:t>LYs: 0.08</w:t>
            </w:r>
          </w:p>
        </w:tc>
        <w:tc>
          <w:tcPr>
            <w:tcW w:w="624" w:type="pct"/>
            <w:shd w:val="clear" w:color="auto" w:fill="FFFFFF" w:themeFill="background1"/>
            <w:vAlign w:val="center"/>
          </w:tcPr>
          <w:p w14:paraId="510BDD9F" w14:textId="1E7E6D29" w:rsidR="000624AF" w:rsidRPr="00E74297" w:rsidRDefault="000624AF" w:rsidP="000624AF">
            <w:pPr>
              <w:pStyle w:val="TableText0"/>
              <w:jc w:val="center"/>
              <w:rPr>
                <w:rFonts w:cstheme="minorHAnsi"/>
                <w:szCs w:val="20"/>
              </w:rPr>
            </w:pPr>
            <w:r w:rsidRPr="00E74297">
              <w:rPr>
                <w:rFonts w:cstheme="minorHAnsi"/>
                <w:szCs w:val="20"/>
              </w:rPr>
              <w:t>$</w:t>
            </w:r>
            <w:r w:rsidR="006F55C1" w:rsidRPr="001777F5">
              <w:rPr>
                <w:rFonts w:cstheme="minorHAnsi" w:hint="eastAsia"/>
                <w:color w:val="000000"/>
                <w:w w:val="23"/>
                <w:szCs w:val="20"/>
                <w:shd w:val="solid" w:color="000000" w:fill="000000"/>
                <w:fitText w:val="105" w:id="-1168282611"/>
                <w14:textFill>
                  <w14:solidFill>
                    <w14:srgbClr w14:val="000000">
                      <w14:alpha w14:val="100000"/>
                    </w14:srgbClr>
                  </w14:solidFill>
                </w14:textFill>
              </w:rPr>
              <w:t xml:space="preserve">　</w:t>
            </w:r>
            <w:r w:rsidR="006F55C1" w:rsidRPr="001777F5">
              <w:rPr>
                <w:rFonts w:cstheme="minorHAnsi"/>
                <w:color w:val="000000"/>
                <w:w w:val="23"/>
                <w:szCs w:val="20"/>
                <w:shd w:val="solid" w:color="000000" w:fill="000000"/>
                <w:fitText w:val="105" w:id="-1168282611"/>
                <w14:textFill>
                  <w14:solidFill>
                    <w14:srgbClr w14:val="000000">
                      <w14:alpha w14:val="100000"/>
                    </w14:srgbClr>
                  </w14:solidFill>
                </w14:textFill>
              </w:rPr>
              <w:t>|</w:t>
            </w:r>
            <w:r w:rsidR="006F55C1" w:rsidRPr="001777F5">
              <w:rPr>
                <w:rFonts w:cstheme="minorHAnsi" w:hint="eastAsia"/>
                <w:color w:val="000000"/>
                <w:spacing w:val="4"/>
                <w:w w:val="23"/>
                <w:szCs w:val="20"/>
                <w:shd w:val="solid" w:color="000000" w:fill="000000"/>
                <w:fitText w:val="105" w:id="-1168282611"/>
                <w14:textFill>
                  <w14:solidFill>
                    <w14:srgbClr w14:val="000000">
                      <w14:alpha w14:val="100000"/>
                    </w14:srgbClr>
                  </w14:solidFill>
                </w14:textFill>
              </w:rPr>
              <w:t xml:space="preserve">　</w:t>
            </w:r>
            <w:r w:rsidR="00170ED7">
              <w:rPr>
                <w:rFonts w:cs="Arial Narrow"/>
                <w:sz w:val="18"/>
                <w:szCs w:val="18"/>
                <w:vertAlign w:val="superscript"/>
              </w:rPr>
              <w:t>1</w:t>
            </w:r>
            <w:r w:rsidRPr="00E74297">
              <w:rPr>
                <w:rFonts w:cstheme="minorHAnsi"/>
                <w:szCs w:val="20"/>
              </w:rPr>
              <w:t>/</w:t>
            </w:r>
          </w:p>
          <w:p w14:paraId="4F41FE05" w14:textId="77777777" w:rsidR="000624AF" w:rsidRPr="00E74297" w:rsidRDefault="000624AF" w:rsidP="000624AF">
            <w:pPr>
              <w:pStyle w:val="TableText0"/>
              <w:jc w:val="center"/>
              <w:rPr>
                <w:rFonts w:cstheme="minorHAnsi"/>
                <w:szCs w:val="20"/>
              </w:rPr>
            </w:pPr>
            <w:r w:rsidRPr="00E74297">
              <w:rPr>
                <w:rFonts w:cstheme="minorHAnsi"/>
                <w:szCs w:val="20"/>
              </w:rPr>
              <w:t>PFLY gained</w:t>
            </w:r>
          </w:p>
          <w:p w14:paraId="31BAD6D1" w14:textId="77777777" w:rsidR="000624AF" w:rsidRPr="00E74297" w:rsidRDefault="000624AF" w:rsidP="000624AF">
            <w:pPr>
              <w:pStyle w:val="TableText0"/>
              <w:jc w:val="center"/>
              <w:rPr>
                <w:rFonts w:cstheme="minorHAnsi"/>
                <w:szCs w:val="20"/>
              </w:rPr>
            </w:pPr>
          </w:p>
          <w:p w14:paraId="67CFD0F6" w14:textId="4CE74F21" w:rsidR="000624AF" w:rsidRPr="00E74297" w:rsidRDefault="000624AF" w:rsidP="000624AF">
            <w:pPr>
              <w:pStyle w:val="TableText0"/>
              <w:jc w:val="center"/>
              <w:rPr>
                <w:rFonts w:cstheme="minorHAnsi"/>
                <w:szCs w:val="20"/>
              </w:rPr>
            </w:pPr>
            <w:r w:rsidRPr="00E74297">
              <w:rPr>
                <w:rFonts w:cstheme="minorHAnsi"/>
                <w:szCs w:val="20"/>
              </w:rPr>
              <w:t>$</w:t>
            </w:r>
            <w:r w:rsidR="006F55C1" w:rsidRPr="001777F5">
              <w:rPr>
                <w:rFonts w:cstheme="minorHAnsi" w:hint="eastAsia"/>
                <w:color w:val="000000"/>
                <w:w w:val="23"/>
                <w:szCs w:val="20"/>
                <w:shd w:val="solid" w:color="000000" w:fill="000000"/>
                <w:fitText w:val="105" w:id="-1168282610"/>
                <w14:textFill>
                  <w14:solidFill>
                    <w14:srgbClr w14:val="000000">
                      <w14:alpha w14:val="100000"/>
                    </w14:srgbClr>
                  </w14:solidFill>
                </w14:textFill>
              </w:rPr>
              <w:t xml:space="preserve">　</w:t>
            </w:r>
            <w:r w:rsidR="006F55C1" w:rsidRPr="001777F5">
              <w:rPr>
                <w:rFonts w:cstheme="minorHAnsi"/>
                <w:color w:val="000000"/>
                <w:w w:val="23"/>
                <w:szCs w:val="20"/>
                <w:shd w:val="solid" w:color="000000" w:fill="000000"/>
                <w:fitText w:val="105" w:id="-1168282610"/>
                <w14:textFill>
                  <w14:solidFill>
                    <w14:srgbClr w14:val="000000">
                      <w14:alpha w14:val="100000"/>
                    </w14:srgbClr>
                  </w14:solidFill>
                </w14:textFill>
              </w:rPr>
              <w:t>|</w:t>
            </w:r>
            <w:r w:rsidR="006F55C1" w:rsidRPr="001777F5">
              <w:rPr>
                <w:rFonts w:cstheme="minorHAnsi" w:hint="eastAsia"/>
                <w:color w:val="000000"/>
                <w:spacing w:val="4"/>
                <w:w w:val="23"/>
                <w:szCs w:val="20"/>
                <w:shd w:val="solid" w:color="000000" w:fill="000000"/>
                <w:fitText w:val="105" w:id="-1168282610"/>
                <w14:textFill>
                  <w14:solidFill>
                    <w14:srgbClr w14:val="000000">
                      <w14:alpha w14:val="100000"/>
                    </w14:srgbClr>
                  </w14:solidFill>
                </w14:textFill>
              </w:rPr>
              <w:t xml:space="preserve">　</w:t>
            </w:r>
            <w:r w:rsidR="00170ED7">
              <w:rPr>
                <w:rFonts w:cs="Arial Narrow"/>
                <w:sz w:val="18"/>
                <w:szCs w:val="18"/>
                <w:vertAlign w:val="superscript"/>
              </w:rPr>
              <w:t>2</w:t>
            </w:r>
            <w:r w:rsidRPr="00E74297">
              <w:rPr>
                <w:rFonts w:cstheme="minorHAnsi"/>
                <w:szCs w:val="20"/>
              </w:rPr>
              <w:t>/</w:t>
            </w:r>
          </w:p>
          <w:p w14:paraId="2A9060AF" w14:textId="77777777" w:rsidR="000624AF" w:rsidRPr="00E74297" w:rsidRDefault="000624AF" w:rsidP="000624AF">
            <w:pPr>
              <w:pStyle w:val="TableText0"/>
              <w:jc w:val="center"/>
              <w:rPr>
                <w:szCs w:val="20"/>
              </w:rPr>
            </w:pPr>
            <w:r w:rsidRPr="00E74297">
              <w:rPr>
                <w:rFonts w:cstheme="minorHAnsi"/>
                <w:szCs w:val="20"/>
              </w:rPr>
              <w:t>LY gained</w:t>
            </w:r>
          </w:p>
        </w:tc>
      </w:tr>
      <w:tr w:rsidR="000624AF" w:rsidRPr="00E74297" w14:paraId="561E26D7" w14:textId="77777777" w:rsidTr="006F55C1">
        <w:trPr>
          <w:cantSplit/>
        </w:trPr>
        <w:tc>
          <w:tcPr>
            <w:tcW w:w="234" w:type="pct"/>
            <w:shd w:val="clear" w:color="auto" w:fill="FFFFFF" w:themeFill="background1"/>
            <w:vAlign w:val="center"/>
          </w:tcPr>
          <w:p w14:paraId="64BE3950" w14:textId="77777777" w:rsidR="000624AF" w:rsidRPr="00E74297" w:rsidRDefault="000624AF" w:rsidP="000624AF">
            <w:pPr>
              <w:pStyle w:val="TableText0"/>
              <w:jc w:val="center"/>
              <w:rPr>
                <w:szCs w:val="20"/>
              </w:rPr>
            </w:pPr>
            <w:r w:rsidRPr="00E74297">
              <w:rPr>
                <w:szCs w:val="20"/>
              </w:rPr>
              <w:t>2</w:t>
            </w:r>
          </w:p>
        </w:tc>
        <w:tc>
          <w:tcPr>
            <w:tcW w:w="1177" w:type="pct"/>
            <w:shd w:val="clear" w:color="auto" w:fill="FFFFFF" w:themeFill="background1"/>
            <w:vAlign w:val="center"/>
          </w:tcPr>
          <w:p w14:paraId="70A98CA6" w14:textId="77777777" w:rsidR="000624AF" w:rsidRPr="00E74297" w:rsidRDefault="000624AF" w:rsidP="000624AF">
            <w:pPr>
              <w:pStyle w:val="TableText0"/>
              <w:rPr>
                <w:szCs w:val="20"/>
              </w:rPr>
            </w:pPr>
            <w:r w:rsidRPr="00E74297">
              <w:rPr>
                <w:szCs w:val="20"/>
              </w:rPr>
              <w:t>Incorporate cost of managing adverse events.</w:t>
            </w:r>
          </w:p>
        </w:tc>
        <w:tc>
          <w:tcPr>
            <w:tcW w:w="385" w:type="pct"/>
            <w:tcBorders>
              <w:bottom w:val="single" w:sz="4" w:space="0" w:color="auto"/>
            </w:tcBorders>
            <w:shd w:val="solid" w:color="000000" w:fill="000000"/>
            <w:vAlign w:val="center"/>
          </w:tcPr>
          <w:p w14:paraId="3385AD4C" w14:textId="60C83DC6" w:rsidR="000624AF" w:rsidRPr="00DE481A" w:rsidRDefault="006F55C1" w:rsidP="000624AF">
            <w:pPr>
              <w:pStyle w:val="TableText0"/>
              <w:jc w:val="center"/>
              <w:rPr>
                <w:szCs w:val="20"/>
                <w:highlight w:val="darkGray"/>
              </w:rPr>
            </w:pPr>
            <w:r w:rsidRPr="006F55C1">
              <w:rPr>
                <w:color w:val="000000"/>
                <w:spacing w:val="48"/>
                <w:szCs w:val="20"/>
                <w:fitText w:val="225" w:id="-1168282609"/>
                <w14:textFill>
                  <w14:solidFill>
                    <w14:srgbClr w14:val="000000">
                      <w14:alpha w14:val="100000"/>
                    </w14:srgbClr>
                  </w14:solidFill>
                </w14:textFill>
              </w:rPr>
              <w:t>||</w:t>
            </w:r>
            <w:r w:rsidRPr="006F55C1">
              <w:rPr>
                <w:color w:val="000000"/>
                <w:spacing w:val="2"/>
                <w:szCs w:val="20"/>
                <w:fitText w:val="225" w:id="-1168282609"/>
                <w14:textFill>
                  <w14:solidFill>
                    <w14:srgbClr w14:val="000000">
                      <w14:alpha w14:val="100000"/>
                    </w14:srgbClr>
                  </w14:solidFill>
                </w14:textFill>
              </w:rPr>
              <w:t>|</w:t>
            </w:r>
          </w:p>
        </w:tc>
        <w:tc>
          <w:tcPr>
            <w:tcW w:w="390" w:type="pct"/>
            <w:shd w:val="clear" w:color="auto" w:fill="FFFFFF" w:themeFill="background1"/>
            <w:vAlign w:val="center"/>
          </w:tcPr>
          <w:p w14:paraId="2A561327" w14:textId="77777777" w:rsidR="000624AF" w:rsidRPr="00E74297" w:rsidRDefault="000624AF" w:rsidP="000624AF">
            <w:pPr>
              <w:pStyle w:val="TableText0"/>
              <w:jc w:val="center"/>
              <w:rPr>
                <w:szCs w:val="20"/>
              </w:rPr>
            </w:pPr>
            <w:r w:rsidRPr="00E74297">
              <w:rPr>
                <w:szCs w:val="20"/>
              </w:rPr>
              <w:t>$5,809</w:t>
            </w:r>
          </w:p>
        </w:tc>
        <w:tc>
          <w:tcPr>
            <w:tcW w:w="548" w:type="pct"/>
            <w:tcBorders>
              <w:bottom w:val="single" w:sz="4" w:space="0" w:color="auto"/>
            </w:tcBorders>
            <w:shd w:val="solid" w:color="000000" w:fill="000000"/>
            <w:vAlign w:val="center"/>
          </w:tcPr>
          <w:p w14:paraId="43299124" w14:textId="62812606" w:rsidR="000624AF" w:rsidRPr="00DE481A" w:rsidRDefault="006F55C1" w:rsidP="000624AF">
            <w:pPr>
              <w:pStyle w:val="TableText0"/>
              <w:jc w:val="center"/>
              <w:rPr>
                <w:szCs w:val="20"/>
                <w:highlight w:val="darkGray"/>
              </w:rPr>
            </w:pPr>
            <w:r w:rsidRPr="006F55C1">
              <w:rPr>
                <w:rFonts w:cstheme="minorHAnsi" w:hint="eastAsia"/>
                <w:color w:val="000000"/>
                <w:w w:val="16"/>
                <w:szCs w:val="20"/>
                <w:fitText w:val="75" w:id="-1168282608"/>
                <w14:textFill>
                  <w14:solidFill>
                    <w14:srgbClr w14:val="000000">
                      <w14:alpha w14:val="100000"/>
                    </w14:srgbClr>
                  </w14:solidFill>
                </w14:textFill>
              </w:rPr>
              <w:t xml:space="preserve">　</w:t>
            </w:r>
            <w:r w:rsidRPr="006F55C1">
              <w:rPr>
                <w:rFonts w:cstheme="minorHAnsi"/>
                <w:color w:val="000000"/>
                <w:w w:val="16"/>
                <w:szCs w:val="20"/>
                <w:fitText w:val="75" w:id="-1168282608"/>
                <w14:textFill>
                  <w14:solidFill>
                    <w14:srgbClr w14:val="000000">
                      <w14:alpha w14:val="100000"/>
                    </w14:srgbClr>
                  </w14:solidFill>
                </w14:textFill>
              </w:rPr>
              <w:t>|</w:t>
            </w:r>
            <w:r w:rsidRPr="006F55C1">
              <w:rPr>
                <w:rFonts w:cstheme="minorHAnsi" w:hint="eastAsia"/>
                <w:color w:val="000000"/>
                <w:w w:val="16"/>
                <w:szCs w:val="20"/>
                <w:fitText w:val="75" w:id="-1168282608"/>
                <w14:textFill>
                  <w14:solidFill>
                    <w14:srgbClr w14:val="000000">
                      <w14:alpha w14:val="100000"/>
                    </w14:srgbClr>
                  </w14:solidFill>
                </w14:textFill>
              </w:rPr>
              <w:t xml:space="preserve">　</w:t>
            </w:r>
          </w:p>
        </w:tc>
        <w:tc>
          <w:tcPr>
            <w:tcW w:w="546" w:type="pct"/>
            <w:shd w:val="clear" w:color="auto" w:fill="FFFFFF" w:themeFill="background1"/>
            <w:vAlign w:val="center"/>
          </w:tcPr>
          <w:p w14:paraId="2CB1E0FB" w14:textId="77777777" w:rsidR="000624AF" w:rsidRPr="00E74297" w:rsidRDefault="000624AF" w:rsidP="000624AF">
            <w:pPr>
              <w:pStyle w:val="TableText0"/>
              <w:jc w:val="center"/>
              <w:rPr>
                <w:rFonts w:cstheme="minorHAnsi"/>
                <w:szCs w:val="20"/>
              </w:rPr>
            </w:pPr>
            <w:r w:rsidRPr="00E74297">
              <w:rPr>
                <w:rFonts w:cstheme="minorHAnsi"/>
                <w:szCs w:val="20"/>
              </w:rPr>
              <w:t>PFLYs: 0.54</w:t>
            </w:r>
          </w:p>
          <w:p w14:paraId="3F10BAED" w14:textId="77777777" w:rsidR="000624AF" w:rsidRPr="00E74297" w:rsidRDefault="000624AF" w:rsidP="000624AF">
            <w:pPr>
              <w:pStyle w:val="TableText0"/>
              <w:jc w:val="center"/>
              <w:rPr>
                <w:szCs w:val="20"/>
              </w:rPr>
            </w:pPr>
            <w:r w:rsidRPr="00E74297">
              <w:rPr>
                <w:rFonts w:cstheme="minorHAnsi"/>
                <w:szCs w:val="20"/>
              </w:rPr>
              <w:t>LYs: 0.89</w:t>
            </w:r>
          </w:p>
        </w:tc>
        <w:tc>
          <w:tcPr>
            <w:tcW w:w="545" w:type="pct"/>
            <w:shd w:val="clear" w:color="auto" w:fill="FFFFFF" w:themeFill="background1"/>
            <w:vAlign w:val="center"/>
          </w:tcPr>
          <w:p w14:paraId="7FDFE358" w14:textId="77777777" w:rsidR="000624AF" w:rsidRPr="00E74297" w:rsidRDefault="000624AF" w:rsidP="000624AF">
            <w:pPr>
              <w:pStyle w:val="TableText0"/>
              <w:jc w:val="center"/>
              <w:rPr>
                <w:rFonts w:cstheme="minorHAnsi"/>
                <w:szCs w:val="20"/>
              </w:rPr>
            </w:pPr>
            <w:r w:rsidRPr="00E74297">
              <w:rPr>
                <w:rFonts w:cstheme="minorHAnsi"/>
                <w:szCs w:val="20"/>
              </w:rPr>
              <w:t>PFLYs: 0.41</w:t>
            </w:r>
          </w:p>
          <w:p w14:paraId="4B21B196" w14:textId="77777777" w:rsidR="000624AF" w:rsidRPr="00E74297" w:rsidRDefault="000624AF" w:rsidP="000624AF">
            <w:pPr>
              <w:pStyle w:val="TableText0"/>
              <w:jc w:val="center"/>
              <w:rPr>
                <w:szCs w:val="20"/>
              </w:rPr>
            </w:pPr>
            <w:r w:rsidRPr="00E74297">
              <w:rPr>
                <w:rFonts w:cstheme="minorHAnsi"/>
                <w:szCs w:val="20"/>
              </w:rPr>
              <w:t>LYs: 0.81</w:t>
            </w:r>
          </w:p>
        </w:tc>
        <w:tc>
          <w:tcPr>
            <w:tcW w:w="550" w:type="pct"/>
            <w:shd w:val="clear" w:color="auto" w:fill="FFFFFF" w:themeFill="background1"/>
            <w:vAlign w:val="center"/>
          </w:tcPr>
          <w:p w14:paraId="66A6A2D4" w14:textId="77777777" w:rsidR="000624AF" w:rsidRPr="00E74297" w:rsidRDefault="000624AF" w:rsidP="000624AF">
            <w:pPr>
              <w:pStyle w:val="TableText0"/>
              <w:jc w:val="center"/>
              <w:rPr>
                <w:rFonts w:cstheme="minorHAnsi"/>
                <w:szCs w:val="20"/>
              </w:rPr>
            </w:pPr>
            <w:r w:rsidRPr="00E74297">
              <w:rPr>
                <w:rFonts w:cstheme="minorHAnsi"/>
                <w:szCs w:val="20"/>
              </w:rPr>
              <w:t>PFLYs: 0.13</w:t>
            </w:r>
          </w:p>
          <w:p w14:paraId="21C188F7" w14:textId="77777777" w:rsidR="000624AF" w:rsidRPr="00E74297" w:rsidRDefault="000624AF" w:rsidP="000624AF">
            <w:pPr>
              <w:pStyle w:val="TableText0"/>
              <w:jc w:val="center"/>
              <w:rPr>
                <w:szCs w:val="20"/>
              </w:rPr>
            </w:pPr>
            <w:r w:rsidRPr="00E74297">
              <w:rPr>
                <w:rFonts w:cstheme="minorHAnsi"/>
                <w:szCs w:val="20"/>
              </w:rPr>
              <w:t>LYs: 0.08</w:t>
            </w:r>
          </w:p>
        </w:tc>
        <w:tc>
          <w:tcPr>
            <w:tcW w:w="624" w:type="pct"/>
            <w:shd w:val="clear" w:color="auto" w:fill="FFFFFF" w:themeFill="background1"/>
            <w:vAlign w:val="center"/>
          </w:tcPr>
          <w:p w14:paraId="18B03F6E" w14:textId="585CFC67" w:rsidR="000624AF" w:rsidRPr="00E74297" w:rsidRDefault="000624AF" w:rsidP="000624AF">
            <w:pPr>
              <w:pStyle w:val="TableText0"/>
              <w:jc w:val="center"/>
              <w:rPr>
                <w:rFonts w:cstheme="minorHAnsi"/>
                <w:szCs w:val="20"/>
              </w:rPr>
            </w:pPr>
            <w:r w:rsidRPr="00E74297">
              <w:rPr>
                <w:rFonts w:cstheme="minorHAnsi"/>
                <w:szCs w:val="20"/>
              </w:rPr>
              <w:t>$</w:t>
            </w:r>
            <w:r w:rsidR="006F55C1" w:rsidRPr="001777F5">
              <w:rPr>
                <w:rFonts w:cstheme="minorHAnsi" w:hint="eastAsia"/>
                <w:color w:val="000000"/>
                <w:w w:val="23"/>
                <w:szCs w:val="20"/>
                <w:shd w:val="solid" w:color="000000" w:fill="000000"/>
                <w:fitText w:val="105" w:id="-1168282624"/>
                <w14:textFill>
                  <w14:solidFill>
                    <w14:srgbClr w14:val="000000">
                      <w14:alpha w14:val="100000"/>
                    </w14:srgbClr>
                  </w14:solidFill>
                </w14:textFill>
              </w:rPr>
              <w:t xml:space="preserve">　</w:t>
            </w:r>
            <w:r w:rsidR="006F55C1" w:rsidRPr="001777F5">
              <w:rPr>
                <w:rFonts w:cstheme="minorHAnsi"/>
                <w:color w:val="000000"/>
                <w:w w:val="23"/>
                <w:szCs w:val="20"/>
                <w:shd w:val="solid" w:color="000000" w:fill="000000"/>
                <w:fitText w:val="105" w:id="-1168282624"/>
                <w14:textFill>
                  <w14:solidFill>
                    <w14:srgbClr w14:val="000000">
                      <w14:alpha w14:val="100000"/>
                    </w14:srgbClr>
                  </w14:solidFill>
                </w14:textFill>
              </w:rPr>
              <w:t>|</w:t>
            </w:r>
            <w:r w:rsidR="006F55C1" w:rsidRPr="001777F5">
              <w:rPr>
                <w:rFonts w:cstheme="minorHAnsi" w:hint="eastAsia"/>
                <w:color w:val="000000"/>
                <w:spacing w:val="4"/>
                <w:w w:val="23"/>
                <w:szCs w:val="20"/>
                <w:shd w:val="solid" w:color="000000" w:fill="000000"/>
                <w:fitText w:val="105" w:id="-1168282624"/>
                <w14:textFill>
                  <w14:solidFill>
                    <w14:srgbClr w14:val="000000">
                      <w14:alpha w14:val="100000"/>
                    </w14:srgbClr>
                  </w14:solidFill>
                </w14:textFill>
              </w:rPr>
              <w:t xml:space="preserve">　</w:t>
            </w:r>
            <w:r w:rsidR="00170ED7">
              <w:rPr>
                <w:rFonts w:cs="Arial Narrow"/>
                <w:sz w:val="18"/>
                <w:szCs w:val="18"/>
                <w:vertAlign w:val="superscript"/>
              </w:rPr>
              <w:t>3</w:t>
            </w:r>
            <w:r w:rsidRPr="00E74297">
              <w:rPr>
                <w:rFonts w:cstheme="minorHAnsi"/>
                <w:szCs w:val="20"/>
              </w:rPr>
              <w:t>/</w:t>
            </w:r>
          </w:p>
          <w:p w14:paraId="3C7E0E51" w14:textId="77777777" w:rsidR="000624AF" w:rsidRPr="00E74297" w:rsidRDefault="000624AF" w:rsidP="000624AF">
            <w:pPr>
              <w:pStyle w:val="TableText0"/>
              <w:jc w:val="center"/>
              <w:rPr>
                <w:rFonts w:cstheme="minorHAnsi"/>
                <w:szCs w:val="20"/>
              </w:rPr>
            </w:pPr>
            <w:r w:rsidRPr="00E74297">
              <w:rPr>
                <w:rFonts w:cstheme="minorHAnsi"/>
                <w:szCs w:val="20"/>
              </w:rPr>
              <w:t>PFLY gained</w:t>
            </w:r>
          </w:p>
          <w:p w14:paraId="4AF80B79" w14:textId="77777777" w:rsidR="000624AF" w:rsidRPr="00E74297" w:rsidRDefault="000624AF" w:rsidP="000624AF">
            <w:pPr>
              <w:pStyle w:val="TableText0"/>
              <w:jc w:val="center"/>
              <w:rPr>
                <w:rFonts w:cstheme="minorHAnsi"/>
                <w:szCs w:val="20"/>
              </w:rPr>
            </w:pPr>
          </w:p>
          <w:p w14:paraId="28DCF6D4" w14:textId="5392469E" w:rsidR="000624AF" w:rsidRPr="00E74297" w:rsidRDefault="000624AF" w:rsidP="000624AF">
            <w:pPr>
              <w:pStyle w:val="TableText0"/>
              <w:jc w:val="center"/>
              <w:rPr>
                <w:rFonts w:cstheme="minorHAnsi"/>
                <w:szCs w:val="20"/>
              </w:rPr>
            </w:pPr>
            <w:r w:rsidRPr="00E74297">
              <w:rPr>
                <w:rFonts w:cstheme="minorHAnsi"/>
                <w:szCs w:val="20"/>
              </w:rPr>
              <w:t>$</w:t>
            </w:r>
            <w:r w:rsidR="006F55C1" w:rsidRPr="001777F5">
              <w:rPr>
                <w:rFonts w:cstheme="minorHAnsi" w:hint="eastAsia"/>
                <w:color w:val="000000"/>
                <w:w w:val="23"/>
                <w:szCs w:val="20"/>
                <w:shd w:val="solid" w:color="000000" w:fill="000000"/>
                <w:fitText w:val="105" w:id="-1168282623"/>
                <w14:textFill>
                  <w14:solidFill>
                    <w14:srgbClr w14:val="000000">
                      <w14:alpha w14:val="100000"/>
                    </w14:srgbClr>
                  </w14:solidFill>
                </w14:textFill>
              </w:rPr>
              <w:t xml:space="preserve">　</w:t>
            </w:r>
            <w:r w:rsidR="006F55C1" w:rsidRPr="001777F5">
              <w:rPr>
                <w:rFonts w:cstheme="minorHAnsi"/>
                <w:color w:val="000000"/>
                <w:w w:val="23"/>
                <w:szCs w:val="20"/>
                <w:shd w:val="solid" w:color="000000" w:fill="000000"/>
                <w:fitText w:val="105" w:id="-1168282623"/>
                <w14:textFill>
                  <w14:solidFill>
                    <w14:srgbClr w14:val="000000">
                      <w14:alpha w14:val="100000"/>
                    </w14:srgbClr>
                  </w14:solidFill>
                </w14:textFill>
              </w:rPr>
              <w:t>|</w:t>
            </w:r>
            <w:r w:rsidR="006F55C1" w:rsidRPr="001777F5">
              <w:rPr>
                <w:rFonts w:cstheme="minorHAnsi" w:hint="eastAsia"/>
                <w:color w:val="000000"/>
                <w:spacing w:val="4"/>
                <w:w w:val="23"/>
                <w:szCs w:val="20"/>
                <w:shd w:val="solid" w:color="000000" w:fill="000000"/>
                <w:fitText w:val="105" w:id="-1168282623"/>
                <w14:textFill>
                  <w14:solidFill>
                    <w14:srgbClr w14:val="000000">
                      <w14:alpha w14:val="100000"/>
                    </w14:srgbClr>
                  </w14:solidFill>
                </w14:textFill>
              </w:rPr>
              <w:t xml:space="preserve">　</w:t>
            </w:r>
            <w:r w:rsidR="00170ED7">
              <w:rPr>
                <w:rFonts w:cs="Arial Narrow"/>
                <w:sz w:val="18"/>
                <w:szCs w:val="18"/>
                <w:vertAlign w:val="superscript"/>
              </w:rPr>
              <w:t>2</w:t>
            </w:r>
            <w:r w:rsidRPr="00E74297">
              <w:rPr>
                <w:rFonts w:cstheme="minorHAnsi"/>
                <w:szCs w:val="20"/>
              </w:rPr>
              <w:t>/</w:t>
            </w:r>
          </w:p>
          <w:p w14:paraId="3FF5DCA3" w14:textId="77777777" w:rsidR="000624AF" w:rsidRPr="00E74297" w:rsidRDefault="000624AF" w:rsidP="000624AF">
            <w:pPr>
              <w:pStyle w:val="TableText0"/>
              <w:jc w:val="center"/>
              <w:rPr>
                <w:szCs w:val="20"/>
              </w:rPr>
            </w:pPr>
            <w:r w:rsidRPr="00E74297">
              <w:rPr>
                <w:rFonts w:cstheme="minorHAnsi"/>
                <w:szCs w:val="20"/>
              </w:rPr>
              <w:t>LY gained</w:t>
            </w:r>
          </w:p>
        </w:tc>
      </w:tr>
      <w:tr w:rsidR="000624AF" w:rsidRPr="00E74297" w14:paraId="2AF9E3E0" w14:textId="77777777" w:rsidTr="006F55C1">
        <w:trPr>
          <w:cantSplit/>
        </w:trPr>
        <w:tc>
          <w:tcPr>
            <w:tcW w:w="234" w:type="pct"/>
            <w:shd w:val="clear" w:color="auto" w:fill="FFFFFF" w:themeFill="background1"/>
            <w:vAlign w:val="center"/>
          </w:tcPr>
          <w:p w14:paraId="5DC4E6D6" w14:textId="77777777" w:rsidR="000624AF" w:rsidRPr="00E74297" w:rsidRDefault="000624AF" w:rsidP="000624AF">
            <w:pPr>
              <w:pStyle w:val="TableText0"/>
              <w:jc w:val="center"/>
              <w:rPr>
                <w:szCs w:val="20"/>
              </w:rPr>
            </w:pPr>
            <w:r w:rsidRPr="00E74297">
              <w:rPr>
                <w:szCs w:val="20"/>
              </w:rPr>
              <w:t>3</w:t>
            </w:r>
          </w:p>
        </w:tc>
        <w:tc>
          <w:tcPr>
            <w:tcW w:w="1177" w:type="pct"/>
            <w:shd w:val="clear" w:color="auto" w:fill="FFFFFF" w:themeFill="background1"/>
            <w:vAlign w:val="center"/>
          </w:tcPr>
          <w:p w14:paraId="65D88CB0" w14:textId="77777777" w:rsidR="000624AF" w:rsidRPr="00E74297" w:rsidRDefault="000624AF" w:rsidP="000624AF">
            <w:pPr>
              <w:pStyle w:val="TableText0"/>
              <w:rPr>
                <w:szCs w:val="20"/>
              </w:rPr>
            </w:pPr>
            <w:r w:rsidRPr="00E74297">
              <w:rPr>
                <w:szCs w:val="20"/>
              </w:rPr>
              <w:t>Transformation of LYs into QALYs</w:t>
            </w:r>
          </w:p>
        </w:tc>
        <w:tc>
          <w:tcPr>
            <w:tcW w:w="385" w:type="pct"/>
            <w:tcBorders>
              <w:bottom w:val="single" w:sz="4" w:space="0" w:color="auto"/>
            </w:tcBorders>
            <w:shd w:val="solid" w:color="000000" w:fill="000000"/>
            <w:vAlign w:val="center"/>
          </w:tcPr>
          <w:p w14:paraId="3F9A19D3" w14:textId="312120DB" w:rsidR="000624AF" w:rsidRPr="00DE481A" w:rsidRDefault="006F55C1" w:rsidP="000624AF">
            <w:pPr>
              <w:pStyle w:val="TableText0"/>
              <w:jc w:val="center"/>
              <w:rPr>
                <w:szCs w:val="20"/>
                <w:highlight w:val="darkGray"/>
              </w:rPr>
            </w:pPr>
            <w:r w:rsidRPr="006F55C1">
              <w:rPr>
                <w:color w:val="000000"/>
                <w:spacing w:val="48"/>
                <w:szCs w:val="20"/>
                <w:fitText w:val="225" w:id="-1168282622"/>
                <w14:textFill>
                  <w14:solidFill>
                    <w14:srgbClr w14:val="000000">
                      <w14:alpha w14:val="100000"/>
                    </w14:srgbClr>
                  </w14:solidFill>
                </w14:textFill>
              </w:rPr>
              <w:t>||</w:t>
            </w:r>
            <w:r w:rsidRPr="006F55C1">
              <w:rPr>
                <w:color w:val="000000"/>
                <w:spacing w:val="2"/>
                <w:szCs w:val="20"/>
                <w:fitText w:val="225" w:id="-1168282622"/>
                <w14:textFill>
                  <w14:solidFill>
                    <w14:srgbClr w14:val="000000">
                      <w14:alpha w14:val="100000"/>
                    </w14:srgbClr>
                  </w14:solidFill>
                </w14:textFill>
              </w:rPr>
              <w:t>|</w:t>
            </w:r>
          </w:p>
        </w:tc>
        <w:tc>
          <w:tcPr>
            <w:tcW w:w="390" w:type="pct"/>
            <w:shd w:val="clear" w:color="auto" w:fill="FFFFFF" w:themeFill="background1"/>
            <w:vAlign w:val="center"/>
          </w:tcPr>
          <w:p w14:paraId="15DD7DFC" w14:textId="77777777" w:rsidR="000624AF" w:rsidRPr="00E74297" w:rsidRDefault="000624AF" w:rsidP="000624AF">
            <w:pPr>
              <w:pStyle w:val="TableText0"/>
              <w:jc w:val="center"/>
              <w:rPr>
                <w:szCs w:val="20"/>
              </w:rPr>
            </w:pPr>
            <w:r w:rsidRPr="00E74297">
              <w:rPr>
                <w:szCs w:val="20"/>
              </w:rPr>
              <w:t>$5,809</w:t>
            </w:r>
          </w:p>
        </w:tc>
        <w:tc>
          <w:tcPr>
            <w:tcW w:w="548" w:type="pct"/>
            <w:tcBorders>
              <w:bottom w:val="single" w:sz="4" w:space="0" w:color="auto"/>
            </w:tcBorders>
            <w:shd w:val="solid" w:color="000000" w:fill="000000"/>
            <w:vAlign w:val="center"/>
          </w:tcPr>
          <w:p w14:paraId="6D36E737" w14:textId="32E32CF8" w:rsidR="000624AF" w:rsidRPr="00DE481A" w:rsidRDefault="006F55C1" w:rsidP="000624AF">
            <w:pPr>
              <w:pStyle w:val="TableText0"/>
              <w:jc w:val="center"/>
              <w:rPr>
                <w:szCs w:val="20"/>
                <w:highlight w:val="darkGray"/>
              </w:rPr>
            </w:pPr>
            <w:r w:rsidRPr="006F55C1">
              <w:rPr>
                <w:rFonts w:cstheme="minorHAnsi" w:hint="eastAsia"/>
                <w:color w:val="000000"/>
                <w:w w:val="16"/>
                <w:szCs w:val="20"/>
                <w:fitText w:val="75" w:id="-1168282621"/>
                <w14:textFill>
                  <w14:solidFill>
                    <w14:srgbClr w14:val="000000">
                      <w14:alpha w14:val="100000"/>
                    </w14:srgbClr>
                  </w14:solidFill>
                </w14:textFill>
              </w:rPr>
              <w:t xml:space="preserve">　</w:t>
            </w:r>
            <w:r w:rsidRPr="006F55C1">
              <w:rPr>
                <w:rFonts w:cstheme="minorHAnsi"/>
                <w:color w:val="000000"/>
                <w:w w:val="16"/>
                <w:szCs w:val="20"/>
                <w:fitText w:val="75" w:id="-1168282621"/>
                <w14:textFill>
                  <w14:solidFill>
                    <w14:srgbClr w14:val="000000">
                      <w14:alpha w14:val="100000"/>
                    </w14:srgbClr>
                  </w14:solidFill>
                </w14:textFill>
              </w:rPr>
              <w:t>|</w:t>
            </w:r>
            <w:r w:rsidRPr="006F55C1">
              <w:rPr>
                <w:rFonts w:cstheme="minorHAnsi" w:hint="eastAsia"/>
                <w:color w:val="000000"/>
                <w:w w:val="16"/>
                <w:szCs w:val="20"/>
                <w:fitText w:val="75" w:id="-1168282621"/>
                <w14:textFill>
                  <w14:solidFill>
                    <w14:srgbClr w14:val="000000">
                      <w14:alpha w14:val="100000"/>
                    </w14:srgbClr>
                  </w14:solidFill>
                </w14:textFill>
              </w:rPr>
              <w:t xml:space="preserve">　</w:t>
            </w:r>
          </w:p>
        </w:tc>
        <w:tc>
          <w:tcPr>
            <w:tcW w:w="546" w:type="pct"/>
            <w:shd w:val="clear" w:color="auto" w:fill="FFFFFF" w:themeFill="background1"/>
            <w:vAlign w:val="center"/>
          </w:tcPr>
          <w:p w14:paraId="6E510B6F" w14:textId="77777777" w:rsidR="000624AF" w:rsidRPr="00E74297" w:rsidRDefault="000624AF" w:rsidP="000624AF">
            <w:pPr>
              <w:pStyle w:val="TableText0"/>
              <w:jc w:val="center"/>
              <w:rPr>
                <w:szCs w:val="20"/>
              </w:rPr>
            </w:pPr>
            <w:r w:rsidRPr="00E74297">
              <w:rPr>
                <w:rFonts w:cstheme="minorHAnsi"/>
                <w:szCs w:val="20"/>
              </w:rPr>
              <w:t>QALYs: 0.61</w:t>
            </w:r>
          </w:p>
        </w:tc>
        <w:tc>
          <w:tcPr>
            <w:tcW w:w="545" w:type="pct"/>
            <w:shd w:val="clear" w:color="auto" w:fill="FFFFFF" w:themeFill="background1"/>
            <w:vAlign w:val="center"/>
          </w:tcPr>
          <w:p w14:paraId="3630953D" w14:textId="77777777" w:rsidR="000624AF" w:rsidRPr="00E74297" w:rsidRDefault="000624AF" w:rsidP="000624AF">
            <w:pPr>
              <w:pStyle w:val="TableText0"/>
              <w:jc w:val="center"/>
              <w:rPr>
                <w:szCs w:val="20"/>
              </w:rPr>
            </w:pPr>
            <w:r w:rsidRPr="00E74297">
              <w:rPr>
                <w:rFonts w:cstheme="minorHAnsi"/>
                <w:szCs w:val="20"/>
              </w:rPr>
              <w:t>QALYs: 0.51</w:t>
            </w:r>
          </w:p>
        </w:tc>
        <w:tc>
          <w:tcPr>
            <w:tcW w:w="550" w:type="pct"/>
            <w:shd w:val="clear" w:color="auto" w:fill="FFFFFF" w:themeFill="background1"/>
            <w:vAlign w:val="center"/>
          </w:tcPr>
          <w:p w14:paraId="00DA1F01" w14:textId="77777777" w:rsidR="000624AF" w:rsidRPr="00E74297" w:rsidRDefault="000624AF" w:rsidP="000624AF">
            <w:pPr>
              <w:pStyle w:val="TableText0"/>
              <w:jc w:val="center"/>
              <w:rPr>
                <w:szCs w:val="20"/>
              </w:rPr>
            </w:pPr>
            <w:r w:rsidRPr="00E74297">
              <w:rPr>
                <w:rFonts w:cstheme="minorHAnsi"/>
                <w:szCs w:val="20"/>
              </w:rPr>
              <w:t>QALYs: 0.10</w:t>
            </w:r>
          </w:p>
        </w:tc>
        <w:tc>
          <w:tcPr>
            <w:tcW w:w="624" w:type="pct"/>
            <w:shd w:val="clear" w:color="auto" w:fill="FFFFFF" w:themeFill="background1"/>
            <w:vAlign w:val="center"/>
          </w:tcPr>
          <w:p w14:paraId="4AE414AC" w14:textId="5ED4663C" w:rsidR="000624AF" w:rsidRPr="00E74297" w:rsidRDefault="000624AF" w:rsidP="000624AF">
            <w:pPr>
              <w:pStyle w:val="TableText0"/>
              <w:jc w:val="center"/>
              <w:rPr>
                <w:rFonts w:cstheme="minorHAnsi"/>
                <w:szCs w:val="20"/>
              </w:rPr>
            </w:pPr>
            <w:r w:rsidRPr="00E74297">
              <w:rPr>
                <w:rFonts w:cstheme="minorHAnsi"/>
                <w:szCs w:val="20"/>
              </w:rPr>
              <w:t>$</w:t>
            </w:r>
            <w:r w:rsidR="006F55C1" w:rsidRPr="001777F5">
              <w:rPr>
                <w:rFonts w:cstheme="minorHAnsi" w:hint="eastAsia"/>
                <w:color w:val="000000"/>
                <w:w w:val="23"/>
                <w:szCs w:val="20"/>
                <w:shd w:val="solid" w:color="000000" w:fill="000000"/>
                <w:fitText w:val="105" w:id="-1168282620"/>
                <w14:textFill>
                  <w14:solidFill>
                    <w14:srgbClr w14:val="000000">
                      <w14:alpha w14:val="100000"/>
                    </w14:srgbClr>
                  </w14:solidFill>
                </w14:textFill>
              </w:rPr>
              <w:t xml:space="preserve">　</w:t>
            </w:r>
            <w:r w:rsidR="006F55C1" w:rsidRPr="001777F5">
              <w:rPr>
                <w:rFonts w:cstheme="minorHAnsi"/>
                <w:color w:val="000000"/>
                <w:w w:val="23"/>
                <w:szCs w:val="20"/>
                <w:shd w:val="solid" w:color="000000" w:fill="000000"/>
                <w:fitText w:val="105" w:id="-1168282620"/>
                <w14:textFill>
                  <w14:solidFill>
                    <w14:srgbClr w14:val="000000">
                      <w14:alpha w14:val="100000"/>
                    </w14:srgbClr>
                  </w14:solidFill>
                </w14:textFill>
              </w:rPr>
              <w:t>|</w:t>
            </w:r>
            <w:r w:rsidR="006F55C1" w:rsidRPr="001777F5">
              <w:rPr>
                <w:rFonts w:cstheme="minorHAnsi" w:hint="eastAsia"/>
                <w:color w:val="000000"/>
                <w:spacing w:val="4"/>
                <w:w w:val="23"/>
                <w:szCs w:val="20"/>
                <w:shd w:val="solid" w:color="000000" w:fill="000000"/>
                <w:fitText w:val="105" w:id="-1168282620"/>
                <w14:textFill>
                  <w14:solidFill>
                    <w14:srgbClr w14:val="000000">
                      <w14:alpha w14:val="100000"/>
                    </w14:srgbClr>
                  </w14:solidFill>
                </w14:textFill>
              </w:rPr>
              <w:t xml:space="preserve">　</w:t>
            </w:r>
            <w:r w:rsidR="00170ED7">
              <w:rPr>
                <w:rFonts w:cs="Arial Narrow"/>
                <w:sz w:val="18"/>
                <w:szCs w:val="18"/>
                <w:vertAlign w:val="superscript"/>
              </w:rPr>
              <w:t>3</w:t>
            </w:r>
            <w:r w:rsidRPr="00E74297">
              <w:rPr>
                <w:rFonts w:cstheme="minorHAnsi"/>
                <w:szCs w:val="20"/>
              </w:rPr>
              <w:t>/ QALY gained</w:t>
            </w:r>
          </w:p>
        </w:tc>
      </w:tr>
      <w:tr w:rsidR="000624AF" w:rsidRPr="00E74297" w14:paraId="156298BD" w14:textId="77777777" w:rsidTr="006F55C1">
        <w:trPr>
          <w:cantSplit/>
        </w:trPr>
        <w:tc>
          <w:tcPr>
            <w:tcW w:w="234" w:type="pct"/>
            <w:shd w:val="clear" w:color="auto" w:fill="FFFFFF" w:themeFill="background1"/>
            <w:vAlign w:val="center"/>
          </w:tcPr>
          <w:p w14:paraId="4FA7E210" w14:textId="77777777" w:rsidR="000624AF" w:rsidRPr="00E74297" w:rsidRDefault="000624AF" w:rsidP="000624AF">
            <w:pPr>
              <w:pStyle w:val="TableText0"/>
              <w:jc w:val="center"/>
              <w:rPr>
                <w:szCs w:val="20"/>
              </w:rPr>
            </w:pPr>
            <w:r w:rsidRPr="00E74297">
              <w:rPr>
                <w:szCs w:val="20"/>
              </w:rPr>
              <w:t>4</w:t>
            </w:r>
          </w:p>
        </w:tc>
        <w:tc>
          <w:tcPr>
            <w:tcW w:w="1177" w:type="pct"/>
            <w:shd w:val="clear" w:color="auto" w:fill="FFFFFF" w:themeFill="background1"/>
            <w:vAlign w:val="center"/>
          </w:tcPr>
          <w:p w14:paraId="769869E8" w14:textId="77777777" w:rsidR="000624AF" w:rsidRPr="00E74297" w:rsidRDefault="000624AF" w:rsidP="000624AF">
            <w:pPr>
              <w:pStyle w:val="TableText0"/>
              <w:rPr>
                <w:szCs w:val="20"/>
                <w:vertAlign w:val="superscript"/>
              </w:rPr>
            </w:pPr>
            <w:r w:rsidRPr="00E74297">
              <w:rPr>
                <w:szCs w:val="20"/>
              </w:rPr>
              <w:t>Extend time horizon to 10 years, extrapolate OS, PFS and TTD, apply discounting of 5%.</w:t>
            </w:r>
          </w:p>
        </w:tc>
        <w:tc>
          <w:tcPr>
            <w:tcW w:w="385" w:type="pct"/>
            <w:tcBorders>
              <w:bottom w:val="single" w:sz="4" w:space="0" w:color="auto"/>
            </w:tcBorders>
            <w:shd w:val="solid" w:color="000000" w:fill="000000"/>
            <w:vAlign w:val="center"/>
          </w:tcPr>
          <w:p w14:paraId="5023F147" w14:textId="190185F0" w:rsidR="000624AF" w:rsidRPr="00DE481A" w:rsidRDefault="006F55C1" w:rsidP="000624AF">
            <w:pPr>
              <w:pStyle w:val="TableText0"/>
              <w:jc w:val="center"/>
              <w:rPr>
                <w:szCs w:val="20"/>
                <w:highlight w:val="darkGray"/>
              </w:rPr>
            </w:pPr>
            <w:r w:rsidRPr="006F55C1">
              <w:rPr>
                <w:color w:val="000000"/>
                <w:spacing w:val="48"/>
                <w:szCs w:val="20"/>
                <w:fitText w:val="225" w:id="-1168282619"/>
                <w14:textFill>
                  <w14:solidFill>
                    <w14:srgbClr w14:val="000000">
                      <w14:alpha w14:val="100000"/>
                    </w14:srgbClr>
                  </w14:solidFill>
                </w14:textFill>
              </w:rPr>
              <w:t>||</w:t>
            </w:r>
            <w:r w:rsidRPr="006F55C1">
              <w:rPr>
                <w:color w:val="000000"/>
                <w:spacing w:val="2"/>
                <w:szCs w:val="20"/>
                <w:fitText w:val="225" w:id="-1168282619"/>
                <w14:textFill>
                  <w14:solidFill>
                    <w14:srgbClr w14:val="000000">
                      <w14:alpha w14:val="100000"/>
                    </w14:srgbClr>
                  </w14:solidFill>
                </w14:textFill>
              </w:rPr>
              <w:t>|</w:t>
            </w:r>
          </w:p>
        </w:tc>
        <w:tc>
          <w:tcPr>
            <w:tcW w:w="390" w:type="pct"/>
            <w:shd w:val="clear" w:color="auto" w:fill="FFFFFF" w:themeFill="background1"/>
            <w:vAlign w:val="center"/>
          </w:tcPr>
          <w:p w14:paraId="0DEBFE59" w14:textId="77777777" w:rsidR="000624AF" w:rsidRPr="00E74297" w:rsidRDefault="000624AF" w:rsidP="000624AF">
            <w:pPr>
              <w:pStyle w:val="TableText0"/>
              <w:jc w:val="center"/>
              <w:rPr>
                <w:szCs w:val="20"/>
              </w:rPr>
            </w:pPr>
            <w:r w:rsidRPr="00E74297">
              <w:rPr>
                <w:szCs w:val="20"/>
              </w:rPr>
              <w:t>$6,107</w:t>
            </w:r>
          </w:p>
        </w:tc>
        <w:tc>
          <w:tcPr>
            <w:tcW w:w="548" w:type="pct"/>
            <w:tcBorders>
              <w:bottom w:val="single" w:sz="4" w:space="0" w:color="auto"/>
            </w:tcBorders>
            <w:shd w:val="solid" w:color="000000" w:fill="000000"/>
            <w:vAlign w:val="center"/>
          </w:tcPr>
          <w:p w14:paraId="31894FBC" w14:textId="7B532683" w:rsidR="000624AF" w:rsidRPr="00DE481A" w:rsidRDefault="006F55C1" w:rsidP="000624AF">
            <w:pPr>
              <w:pStyle w:val="TableText0"/>
              <w:jc w:val="center"/>
              <w:rPr>
                <w:szCs w:val="20"/>
                <w:highlight w:val="darkGray"/>
              </w:rPr>
            </w:pPr>
            <w:r w:rsidRPr="006F55C1">
              <w:rPr>
                <w:rFonts w:hint="eastAsia"/>
                <w:color w:val="000000"/>
                <w:w w:val="16"/>
                <w:szCs w:val="20"/>
                <w:fitText w:val="75" w:id="-1168282618"/>
                <w14:textFill>
                  <w14:solidFill>
                    <w14:srgbClr w14:val="000000">
                      <w14:alpha w14:val="100000"/>
                    </w14:srgbClr>
                  </w14:solidFill>
                </w14:textFill>
              </w:rPr>
              <w:t xml:space="preserve">　</w:t>
            </w:r>
            <w:r w:rsidRPr="006F55C1">
              <w:rPr>
                <w:color w:val="000000"/>
                <w:w w:val="16"/>
                <w:szCs w:val="20"/>
                <w:fitText w:val="75" w:id="-1168282618"/>
                <w14:textFill>
                  <w14:solidFill>
                    <w14:srgbClr w14:val="000000">
                      <w14:alpha w14:val="100000"/>
                    </w14:srgbClr>
                  </w14:solidFill>
                </w14:textFill>
              </w:rPr>
              <w:t>|</w:t>
            </w:r>
            <w:r w:rsidRPr="006F55C1">
              <w:rPr>
                <w:rFonts w:hint="eastAsia"/>
                <w:color w:val="000000"/>
                <w:w w:val="16"/>
                <w:szCs w:val="20"/>
                <w:fitText w:val="75" w:id="-1168282618"/>
                <w14:textFill>
                  <w14:solidFill>
                    <w14:srgbClr w14:val="000000">
                      <w14:alpha w14:val="100000"/>
                    </w14:srgbClr>
                  </w14:solidFill>
                </w14:textFill>
              </w:rPr>
              <w:t xml:space="preserve">　</w:t>
            </w:r>
          </w:p>
        </w:tc>
        <w:tc>
          <w:tcPr>
            <w:tcW w:w="546" w:type="pct"/>
            <w:shd w:val="clear" w:color="auto" w:fill="FFFFFF" w:themeFill="background1"/>
            <w:vAlign w:val="center"/>
          </w:tcPr>
          <w:p w14:paraId="7BC4A9FF" w14:textId="77777777" w:rsidR="000624AF" w:rsidRPr="00E74297" w:rsidRDefault="000624AF" w:rsidP="000624AF">
            <w:pPr>
              <w:pStyle w:val="TableText0"/>
              <w:jc w:val="center"/>
              <w:rPr>
                <w:szCs w:val="20"/>
              </w:rPr>
            </w:pPr>
            <w:r w:rsidRPr="00E74297">
              <w:rPr>
                <w:szCs w:val="20"/>
              </w:rPr>
              <w:t>QALYs: 1.16</w:t>
            </w:r>
          </w:p>
        </w:tc>
        <w:tc>
          <w:tcPr>
            <w:tcW w:w="545" w:type="pct"/>
            <w:shd w:val="clear" w:color="auto" w:fill="FFFFFF" w:themeFill="background1"/>
            <w:vAlign w:val="center"/>
          </w:tcPr>
          <w:p w14:paraId="42BA9F83" w14:textId="77777777" w:rsidR="000624AF" w:rsidRPr="00E74297" w:rsidRDefault="000624AF" w:rsidP="000624AF">
            <w:pPr>
              <w:pStyle w:val="TableText0"/>
              <w:jc w:val="center"/>
              <w:rPr>
                <w:szCs w:val="20"/>
              </w:rPr>
            </w:pPr>
            <w:r w:rsidRPr="00E74297">
              <w:rPr>
                <w:szCs w:val="20"/>
              </w:rPr>
              <w:t>QALYs: 0.87</w:t>
            </w:r>
          </w:p>
        </w:tc>
        <w:tc>
          <w:tcPr>
            <w:tcW w:w="550" w:type="pct"/>
            <w:shd w:val="clear" w:color="auto" w:fill="FFFFFF" w:themeFill="background1"/>
            <w:vAlign w:val="center"/>
          </w:tcPr>
          <w:p w14:paraId="0C863272" w14:textId="77777777" w:rsidR="000624AF" w:rsidRPr="00E74297" w:rsidRDefault="000624AF" w:rsidP="000624AF">
            <w:pPr>
              <w:pStyle w:val="TableText0"/>
              <w:jc w:val="center"/>
              <w:rPr>
                <w:szCs w:val="20"/>
              </w:rPr>
            </w:pPr>
            <w:r w:rsidRPr="00E74297">
              <w:rPr>
                <w:szCs w:val="20"/>
              </w:rPr>
              <w:t>QALYs: 0.293</w:t>
            </w:r>
          </w:p>
        </w:tc>
        <w:tc>
          <w:tcPr>
            <w:tcW w:w="624" w:type="pct"/>
            <w:shd w:val="clear" w:color="auto" w:fill="FFFFFF" w:themeFill="background1"/>
            <w:vAlign w:val="center"/>
          </w:tcPr>
          <w:p w14:paraId="1349E854" w14:textId="6DFB2377" w:rsidR="000624AF" w:rsidRPr="00E74297" w:rsidRDefault="000624AF" w:rsidP="000624AF">
            <w:pPr>
              <w:pStyle w:val="TableText0"/>
              <w:jc w:val="center"/>
              <w:rPr>
                <w:szCs w:val="20"/>
              </w:rPr>
            </w:pPr>
            <w:r w:rsidRPr="00E74297">
              <w:rPr>
                <w:szCs w:val="20"/>
              </w:rPr>
              <w:t>$</w:t>
            </w:r>
            <w:r w:rsidR="006F55C1" w:rsidRPr="001777F5">
              <w:rPr>
                <w:rFonts w:hint="eastAsia"/>
                <w:color w:val="000000"/>
                <w:w w:val="23"/>
                <w:szCs w:val="20"/>
                <w:shd w:val="solid" w:color="000000" w:fill="000000"/>
                <w:fitText w:val="105" w:id="-1168282617"/>
                <w14:textFill>
                  <w14:solidFill>
                    <w14:srgbClr w14:val="000000">
                      <w14:alpha w14:val="100000"/>
                    </w14:srgbClr>
                  </w14:solidFill>
                </w14:textFill>
              </w:rPr>
              <w:t xml:space="preserve">　</w:t>
            </w:r>
            <w:r w:rsidR="006F55C1" w:rsidRPr="001777F5">
              <w:rPr>
                <w:color w:val="000000"/>
                <w:w w:val="23"/>
                <w:szCs w:val="20"/>
                <w:shd w:val="solid" w:color="000000" w:fill="000000"/>
                <w:fitText w:val="105" w:id="-1168282617"/>
                <w14:textFill>
                  <w14:solidFill>
                    <w14:srgbClr w14:val="000000">
                      <w14:alpha w14:val="100000"/>
                    </w14:srgbClr>
                  </w14:solidFill>
                </w14:textFill>
              </w:rPr>
              <w:t>|</w:t>
            </w:r>
            <w:r w:rsidR="006F55C1" w:rsidRPr="001777F5">
              <w:rPr>
                <w:rFonts w:hint="eastAsia"/>
                <w:color w:val="000000"/>
                <w:spacing w:val="4"/>
                <w:w w:val="23"/>
                <w:szCs w:val="20"/>
                <w:shd w:val="solid" w:color="000000" w:fill="000000"/>
                <w:fitText w:val="105" w:id="-1168282617"/>
                <w14:textFill>
                  <w14:solidFill>
                    <w14:srgbClr w14:val="000000">
                      <w14:alpha w14:val="100000"/>
                    </w14:srgbClr>
                  </w14:solidFill>
                </w14:textFill>
              </w:rPr>
              <w:t xml:space="preserve">　</w:t>
            </w:r>
            <w:r w:rsidR="00170ED7">
              <w:rPr>
                <w:rFonts w:cs="Arial Narrow"/>
                <w:sz w:val="18"/>
                <w:szCs w:val="18"/>
                <w:vertAlign w:val="superscript"/>
              </w:rPr>
              <w:t>4</w:t>
            </w:r>
            <w:r w:rsidRPr="00E74297">
              <w:rPr>
                <w:szCs w:val="20"/>
              </w:rPr>
              <w:t>/</w:t>
            </w:r>
            <w:r w:rsidR="00093D53" w:rsidRPr="00E74297">
              <w:rPr>
                <w:szCs w:val="20"/>
              </w:rPr>
              <w:t xml:space="preserve"> </w:t>
            </w:r>
            <w:r w:rsidRPr="00E74297">
              <w:rPr>
                <w:szCs w:val="20"/>
              </w:rPr>
              <w:t>QALY gained</w:t>
            </w:r>
          </w:p>
        </w:tc>
      </w:tr>
      <w:tr w:rsidR="000624AF" w:rsidRPr="00E74297" w14:paraId="70B5586F" w14:textId="77777777" w:rsidTr="006F55C1">
        <w:trPr>
          <w:cantSplit/>
        </w:trPr>
        <w:tc>
          <w:tcPr>
            <w:tcW w:w="234" w:type="pct"/>
            <w:shd w:val="clear" w:color="auto" w:fill="FFFFFF" w:themeFill="background1"/>
            <w:vAlign w:val="center"/>
          </w:tcPr>
          <w:p w14:paraId="028A434F" w14:textId="77777777" w:rsidR="000624AF" w:rsidRPr="00E74297" w:rsidRDefault="000624AF" w:rsidP="000624AF">
            <w:pPr>
              <w:pStyle w:val="TableText0"/>
              <w:jc w:val="center"/>
              <w:rPr>
                <w:szCs w:val="20"/>
              </w:rPr>
            </w:pPr>
            <w:r w:rsidRPr="00E74297">
              <w:rPr>
                <w:szCs w:val="20"/>
              </w:rPr>
              <w:t>5</w:t>
            </w:r>
          </w:p>
        </w:tc>
        <w:tc>
          <w:tcPr>
            <w:tcW w:w="1177" w:type="pct"/>
            <w:shd w:val="clear" w:color="auto" w:fill="FFFFFF" w:themeFill="background1"/>
            <w:vAlign w:val="center"/>
          </w:tcPr>
          <w:p w14:paraId="0D44ED77" w14:textId="77777777" w:rsidR="000624AF" w:rsidRPr="00E74297" w:rsidRDefault="000624AF" w:rsidP="000624AF">
            <w:pPr>
              <w:pStyle w:val="TableText0"/>
              <w:rPr>
                <w:szCs w:val="20"/>
              </w:rPr>
            </w:pPr>
            <w:r w:rsidRPr="00E74297">
              <w:rPr>
                <w:szCs w:val="20"/>
              </w:rPr>
              <w:t>Incorporate subsequent treatment, disease management, monitoring and terminal care costs.</w:t>
            </w:r>
          </w:p>
        </w:tc>
        <w:tc>
          <w:tcPr>
            <w:tcW w:w="385" w:type="pct"/>
            <w:shd w:val="solid" w:color="000000" w:fill="000000"/>
            <w:vAlign w:val="center"/>
          </w:tcPr>
          <w:p w14:paraId="2856B7D0" w14:textId="5832654E" w:rsidR="000624AF" w:rsidRPr="00DE481A" w:rsidRDefault="006F55C1" w:rsidP="000624AF">
            <w:pPr>
              <w:pStyle w:val="TableText0"/>
              <w:jc w:val="center"/>
              <w:rPr>
                <w:szCs w:val="20"/>
                <w:highlight w:val="darkGray"/>
              </w:rPr>
            </w:pPr>
            <w:r w:rsidRPr="006F55C1">
              <w:rPr>
                <w:color w:val="000000"/>
                <w:spacing w:val="48"/>
                <w:szCs w:val="20"/>
                <w:fitText w:val="225" w:id="-1168282616"/>
                <w14:textFill>
                  <w14:solidFill>
                    <w14:srgbClr w14:val="000000">
                      <w14:alpha w14:val="100000"/>
                    </w14:srgbClr>
                  </w14:solidFill>
                </w14:textFill>
              </w:rPr>
              <w:t>||</w:t>
            </w:r>
            <w:r w:rsidRPr="006F55C1">
              <w:rPr>
                <w:color w:val="000000"/>
                <w:spacing w:val="2"/>
                <w:szCs w:val="20"/>
                <w:fitText w:val="225" w:id="-1168282616"/>
                <w14:textFill>
                  <w14:solidFill>
                    <w14:srgbClr w14:val="000000">
                      <w14:alpha w14:val="100000"/>
                    </w14:srgbClr>
                  </w14:solidFill>
                </w14:textFill>
              </w:rPr>
              <w:t>|</w:t>
            </w:r>
          </w:p>
        </w:tc>
        <w:tc>
          <w:tcPr>
            <w:tcW w:w="390" w:type="pct"/>
            <w:shd w:val="clear" w:color="auto" w:fill="FFFFFF" w:themeFill="background1"/>
            <w:vAlign w:val="center"/>
          </w:tcPr>
          <w:p w14:paraId="21D67F45" w14:textId="77777777" w:rsidR="000624AF" w:rsidRPr="00E74297" w:rsidRDefault="000624AF" w:rsidP="000624AF">
            <w:pPr>
              <w:pStyle w:val="TableText0"/>
              <w:jc w:val="center"/>
              <w:rPr>
                <w:szCs w:val="20"/>
              </w:rPr>
            </w:pPr>
            <w:r w:rsidRPr="00E74297">
              <w:rPr>
                <w:szCs w:val="20"/>
              </w:rPr>
              <w:t>$53,424</w:t>
            </w:r>
          </w:p>
        </w:tc>
        <w:tc>
          <w:tcPr>
            <w:tcW w:w="548" w:type="pct"/>
            <w:shd w:val="solid" w:color="000000" w:fill="000000"/>
            <w:vAlign w:val="center"/>
          </w:tcPr>
          <w:p w14:paraId="3CDD470E" w14:textId="7CA934B0" w:rsidR="000624AF" w:rsidRPr="00DE481A" w:rsidRDefault="006F55C1" w:rsidP="000624AF">
            <w:pPr>
              <w:pStyle w:val="TableText0"/>
              <w:jc w:val="center"/>
              <w:rPr>
                <w:szCs w:val="20"/>
                <w:highlight w:val="darkGray"/>
              </w:rPr>
            </w:pPr>
            <w:r w:rsidRPr="006F55C1">
              <w:rPr>
                <w:rFonts w:hint="eastAsia"/>
                <w:color w:val="000000"/>
                <w:w w:val="16"/>
                <w:szCs w:val="20"/>
                <w:fitText w:val="75" w:id="-1168282615"/>
                <w14:textFill>
                  <w14:solidFill>
                    <w14:srgbClr w14:val="000000">
                      <w14:alpha w14:val="100000"/>
                    </w14:srgbClr>
                  </w14:solidFill>
                </w14:textFill>
              </w:rPr>
              <w:t xml:space="preserve">　</w:t>
            </w:r>
            <w:r w:rsidRPr="006F55C1">
              <w:rPr>
                <w:color w:val="000000"/>
                <w:w w:val="16"/>
                <w:szCs w:val="20"/>
                <w:fitText w:val="75" w:id="-1168282615"/>
                <w14:textFill>
                  <w14:solidFill>
                    <w14:srgbClr w14:val="000000">
                      <w14:alpha w14:val="100000"/>
                    </w14:srgbClr>
                  </w14:solidFill>
                </w14:textFill>
              </w:rPr>
              <w:t>|</w:t>
            </w:r>
            <w:r w:rsidRPr="006F55C1">
              <w:rPr>
                <w:rFonts w:hint="eastAsia"/>
                <w:color w:val="000000"/>
                <w:w w:val="16"/>
                <w:szCs w:val="20"/>
                <w:fitText w:val="75" w:id="-1168282615"/>
                <w14:textFill>
                  <w14:solidFill>
                    <w14:srgbClr w14:val="000000">
                      <w14:alpha w14:val="100000"/>
                    </w14:srgbClr>
                  </w14:solidFill>
                </w14:textFill>
              </w:rPr>
              <w:t xml:space="preserve">　</w:t>
            </w:r>
          </w:p>
        </w:tc>
        <w:tc>
          <w:tcPr>
            <w:tcW w:w="546" w:type="pct"/>
            <w:shd w:val="clear" w:color="auto" w:fill="FFFFFF" w:themeFill="background1"/>
            <w:vAlign w:val="center"/>
          </w:tcPr>
          <w:p w14:paraId="0FFBC323" w14:textId="77777777" w:rsidR="000624AF" w:rsidRPr="00E74297" w:rsidRDefault="000624AF" w:rsidP="000624AF">
            <w:pPr>
              <w:pStyle w:val="TableText0"/>
              <w:jc w:val="center"/>
              <w:rPr>
                <w:szCs w:val="20"/>
              </w:rPr>
            </w:pPr>
            <w:r w:rsidRPr="00E74297">
              <w:rPr>
                <w:szCs w:val="20"/>
              </w:rPr>
              <w:t>QALYs: 1.16</w:t>
            </w:r>
          </w:p>
        </w:tc>
        <w:tc>
          <w:tcPr>
            <w:tcW w:w="545" w:type="pct"/>
            <w:shd w:val="clear" w:color="auto" w:fill="FFFFFF" w:themeFill="background1"/>
            <w:vAlign w:val="center"/>
          </w:tcPr>
          <w:p w14:paraId="4879C5D2" w14:textId="77777777" w:rsidR="000624AF" w:rsidRPr="00E74297" w:rsidRDefault="000624AF" w:rsidP="000624AF">
            <w:pPr>
              <w:pStyle w:val="TableText0"/>
              <w:jc w:val="center"/>
              <w:rPr>
                <w:szCs w:val="20"/>
              </w:rPr>
            </w:pPr>
            <w:r w:rsidRPr="00E74297">
              <w:rPr>
                <w:szCs w:val="20"/>
              </w:rPr>
              <w:t>QALYs: 0.87</w:t>
            </w:r>
          </w:p>
        </w:tc>
        <w:tc>
          <w:tcPr>
            <w:tcW w:w="550" w:type="pct"/>
            <w:shd w:val="clear" w:color="auto" w:fill="FFFFFF" w:themeFill="background1"/>
            <w:vAlign w:val="center"/>
          </w:tcPr>
          <w:p w14:paraId="02A6D44C" w14:textId="77777777" w:rsidR="000624AF" w:rsidRPr="00E74297" w:rsidRDefault="000624AF" w:rsidP="000624AF">
            <w:pPr>
              <w:pStyle w:val="TableText0"/>
              <w:jc w:val="center"/>
              <w:rPr>
                <w:szCs w:val="20"/>
              </w:rPr>
            </w:pPr>
            <w:r w:rsidRPr="00E74297">
              <w:rPr>
                <w:szCs w:val="20"/>
              </w:rPr>
              <w:t>QALYs: 0.29</w:t>
            </w:r>
          </w:p>
        </w:tc>
        <w:tc>
          <w:tcPr>
            <w:tcW w:w="624" w:type="pct"/>
            <w:shd w:val="clear" w:color="auto" w:fill="FFFFFF" w:themeFill="background1"/>
            <w:vAlign w:val="center"/>
          </w:tcPr>
          <w:p w14:paraId="552B1444" w14:textId="028F4F6B" w:rsidR="000624AF" w:rsidRPr="00E74297" w:rsidRDefault="000624AF" w:rsidP="000624AF">
            <w:pPr>
              <w:pStyle w:val="TableText0"/>
              <w:jc w:val="center"/>
              <w:rPr>
                <w:szCs w:val="20"/>
              </w:rPr>
            </w:pPr>
            <w:r w:rsidRPr="00E74297">
              <w:rPr>
                <w:szCs w:val="20"/>
              </w:rPr>
              <w:t>$</w:t>
            </w:r>
            <w:r w:rsidR="006F55C1" w:rsidRPr="001777F5">
              <w:rPr>
                <w:rFonts w:hint="eastAsia"/>
                <w:color w:val="000000"/>
                <w:w w:val="23"/>
                <w:szCs w:val="20"/>
                <w:shd w:val="solid" w:color="000000" w:fill="000000"/>
                <w:fitText w:val="105" w:id="-1168282614"/>
                <w14:textFill>
                  <w14:solidFill>
                    <w14:srgbClr w14:val="000000">
                      <w14:alpha w14:val="100000"/>
                    </w14:srgbClr>
                  </w14:solidFill>
                </w14:textFill>
              </w:rPr>
              <w:t xml:space="preserve">　</w:t>
            </w:r>
            <w:r w:rsidR="006F55C1" w:rsidRPr="001777F5">
              <w:rPr>
                <w:color w:val="000000"/>
                <w:w w:val="23"/>
                <w:szCs w:val="20"/>
                <w:shd w:val="solid" w:color="000000" w:fill="000000"/>
                <w:fitText w:val="105" w:id="-1168282614"/>
                <w14:textFill>
                  <w14:solidFill>
                    <w14:srgbClr w14:val="000000">
                      <w14:alpha w14:val="100000"/>
                    </w14:srgbClr>
                  </w14:solidFill>
                </w14:textFill>
              </w:rPr>
              <w:t>|</w:t>
            </w:r>
            <w:r w:rsidR="006F55C1" w:rsidRPr="001777F5">
              <w:rPr>
                <w:rFonts w:hint="eastAsia"/>
                <w:color w:val="000000"/>
                <w:spacing w:val="4"/>
                <w:w w:val="23"/>
                <w:szCs w:val="20"/>
                <w:shd w:val="solid" w:color="000000" w:fill="000000"/>
                <w:fitText w:val="105" w:id="-1168282614"/>
                <w14:textFill>
                  <w14:solidFill>
                    <w14:srgbClr w14:val="000000">
                      <w14:alpha w14:val="100000"/>
                    </w14:srgbClr>
                  </w14:solidFill>
                </w14:textFill>
              </w:rPr>
              <w:t xml:space="preserve">　</w:t>
            </w:r>
            <w:r w:rsidR="00170ED7">
              <w:rPr>
                <w:rFonts w:cs="Arial Narrow"/>
                <w:sz w:val="18"/>
                <w:szCs w:val="18"/>
                <w:vertAlign w:val="superscript"/>
              </w:rPr>
              <w:t>4</w:t>
            </w:r>
            <w:r w:rsidRPr="00E74297">
              <w:rPr>
                <w:szCs w:val="20"/>
              </w:rPr>
              <w:t>/</w:t>
            </w:r>
            <w:r w:rsidR="00093D53" w:rsidRPr="00E74297">
              <w:rPr>
                <w:szCs w:val="20"/>
              </w:rPr>
              <w:t xml:space="preserve"> </w:t>
            </w:r>
            <w:r w:rsidRPr="00E74297">
              <w:rPr>
                <w:szCs w:val="20"/>
              </w:rPr>
              <w:t>QALY gained</w:t>
            </w:r>
          </w:p>
        </w:tc>
      </w:tr>
    </w:tbl>
    <w:p w14:paraId="780E8219" w14:textId="77777777" w:rsidR="000624AF" w:rsidRPr="00E74297" w:rsidRDefault="000624AF" w:rsidP="000624AF">
      <w:pPr>
        <w:pStyle w:val="TableFigureFooter"/>
      </w:pPr>
      <w:r w:rsidRPr="00E74297">
        <w:t>Source: Table 3.8-1, p142 of the main body and constructed during the evaluation from the “Attachment 07 – Trodelvy HR+HER2- mBC Economic model” Excel Workbook provided with the submission.</w:t>
      </w:r>
    </w:p>
    <w:p w14:paraId="1C232613" w14:textId="77777777" w:rsidR="000E337C" w:rsidRPr="00E74297" w:rsidRDefault="000624AF" w:rsidP="000624AF">
      <w:pPr>
        <w:pStyle w:val="TableFigureFooter"/>
      </w:pPr>
      <w:r w:rsidRPr="00E74297">
        <w:t>LY = life-year; QALY = quality adjusted life year; OS = overall survival; PFLY = progression free life-year PFS = progression free survival; SG = sacituzumab govitecan; TPC = treatment of physician choice (consisting of eribulin, capecitabine, gemcitabine or vinorelbine); TTD = time to treatment discontinuation.</w:t>
      </w:r>
    </w:p>
    <w:p w14:paraId="61729375" w14:textId="4BDE6F3F" w:rsidR="000624AF" w:rsidRDefault="000624AF" w:rsidP="00DE481A">
      <w:pPr>
        <w:pStyle w:val="TableFigureFooter"/>
        <w:spacing w:after="0"/>
      </w:pPr>
      <w:r w:rsidRPr="00E74297">
        <w:rPr>
          <w:vertAlign w:val="superscript"/>
        </w:rPr>
        <w:t>a</w:t>
      </w:r>
      <w:r w:rsidRPr="00E74297">
        <w:t xml:space="preserve"> Steps were disaggregated and inputs rearranged during the evaluation in order to outline the effects of certain model parameters on the ICER</w:t>
      </w:r>
    </w:p>
    <w:p w14:paraId="0C47D9C3" w14:textId="77777777" w:rsidR="00DE481A" w:rsidRPr="007D6FC5" w:rsidRDefault="00DE481A" w:rsidP="00DE481A">
      <w:pPr>
        <w:pStyle w:val="FooterTableFigure"/>
        <w:spacing w:after="0"/>
        <w:rPr>
          <w:i/>
          <w:iCs/>
        </w:rPr>
      </w:pPr>
      <w:r w:rsidRPr="007D6FC5">
        <w:rPr>
          <w:i/>
          <w:iCs/>
        </w:rPr>
        <w:t>The redacted values correspond to the following ranges</w:t>
      </w:r>
      <w:r>
        <w:rPr>
          <w:i/>
          <w:iCs/>
        </w:rPr>
        <w:t>:</w:t>
      </w:r>
    </w:p>
    <w:p w14:paraId="2A533283" w14:textId="77777777" w:rsidR="00170ED7" w:rsidRDefault="00170ED7" w:rsidP="00170ED7">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1</w:t>
      </w:r>
      <w:r>
        <w:rPr>
          <w:rFonts w:ascii="Arial Narrow" w:hAnsi="Arial Narrow" w:cs="Arial Narrow"/>
          <w:i/>
          <w:iCs/>
          <w:sz w:val="18"/>
          <w:szCs w:val="18"/>
        </w:rPr>
        <w:t xml:space="preserve"> </w:t>
      </w:r>
      <w:r w:rsidRPr="00BB3253">
        <w:rPr>
          <w:rFonts w:ascii="Arial Narrow" w:hAnsi="Arial Narrow" w:cs="Arial Narrow"/>
          <w:i/>
          <w:iCs/>
          <w:sz w:val="18"/>
          <w:szCs w:val="18"/>
        </w:rPr>
        <w:t>$135,000 to &lt; $155,000</w:t>
      </w:r>
    </w:p>
    <w:p w14:paraId="54C58FB3" w14:textId="77777777" w:rsidR="00170ED7" w:rsidRDefault="00170ED7" w:rsidP="00170ED7">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2</w:t>
      </w:r>
      <w:r>
        <w:rPr>
          <w:rFonts w:ascii="Arial Narrow" w:hAnsi="Arial Narrow" w:cs="Arial Narrow"/>
          <w:i/>
          <w:iCs/>
          <w:sz w:val="18"/>
          <w:szCs w:val="18"/>
        </w:rPr>
        <w:t xml:space="preserve"> </w:t>
      </w:r>
      <w:r w:rsidRPr="00BB3253">
        <w:rPr>
          <w:rFonts w:ascii="Arial Narrow" w:hAnsi="Arial Narrow" w:cs="Arial Narrow"/>
          <w:i/>
          <w:iCs/>
          <w:sz w:val="18"/>
          <w:szCs w:val="18"/>
        </w:rPr>
        <w:t>$255,000 to &lt; $355,000</w:t>
      </w:r>
    </w:p>
    <w:p w14:paraId="3A26A423" w14:textId="77777777" w:rsidR="00170ED7" w:rsidRDefault="00170ED7" w:rsidP="00170ED7">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3</w:t>
      </w:r>
      <w:r>
        <w:rPr>
          <w:rFonts w:ascii="Arial Narrow" w:hAnsi="Arial Narrow" w:cs="Arial Narrow"/>
          <w:i/>
          <w:iCs/>
          <w:sz w:val="18"/>
          <w:szCs w:val="18"/>
        </w:rPr>
        <w:t xml:space="preserve"> </w:t>
      </w:r>
      <w:r w:rsidRPr="00BB3253">
        <w:rPr>
          <w:rFonts w:ascii="Arial Narrow" w:hAnsi="Arial Narrow" w:cs="Arial Narrow"/>
          <w:i/>
          <w:iCs/>
          <w:sz w:val="18"/>
          <w:szCs w:val="18"/>
        </w:rPr>
        <w:t>$155,000 to &lt; $255,000</w:t>
      </w:r>
    </w:p>
    <w:p w14:paraId="58D3D8F7" w14:textId="28D5BB80" w:rsidR="00BB3253" w:rsidRPr="00AF2668" w:rsidRDefault="00170ED7" w:rsidP="00AF2668">
      <w:pPr>
        <w:autoSpaceDE w:val="0"/>
        <w:autoSpaceDN w:val="0"/>
        <w:adjustRightInd w:val="0"/>
        <w:spacing w:after="120"/>
        <w:jc w:val="left"/>
        <w:rPr>
          <w:rFonts w:ascii="Arial Narrow" w:hAnsi="Arial Narrow" w:cs="Arial Narrow"/>
          <w:i/>
          <w:iCs/>
          <w:sz w:val="18"/>
          <w:szCs w:val="18"/>
        </w:rPr>
      </w:pPr>
      <w:r>
        <w:rPr>
          <w:rFonts w:ascii="Arial Narrow" w:hAnsi="Arial Narrow" w:cs="Arial Narrow"/>
          <w:i/>
          <w:iCs/>
          <w:sz w:val="18"/>
          <w:szCs w:val="18"/>
          <w:vertAlign w:val="superscript"/>
        </w:rPr>
        <w:t>4</w:t>
      </w:r>
      <w:r>
        <w:rPr>
          <w:rFonts w:ascii="Arial Narrow" w:hAnsi="Arial Narrow" w:cs="Arial Narrow"/>
          <w:i/>
          <w:iCs/>
          <w:sz w:val="18"/>
          <w:szCs w:val="18"/>
        </w:rPr>
        <w:t xml:space="preserve"> </w:t>
      </w:r>
      <w:r w:rsidRPr="00BB3253">
        <w:rPr>
          <w:rFonts w:ascii="Arial Narrow" w:hAnsi="Arial Narrow" w:cs="Arial Narrow"/>
          <w:i/>
          <w:iCs/>
          <w:sz w:val="18"/>
          <w:szCs w:val="18"/>
        </w:rPr>
        <w:t>$75,000 to &lt; $95,000</w:t>
      </w:r>
    </w:p>
    <w:p w14:paraId="27D057A1" w14:textId="77777777" w:rsidR="000E337C" w:rsidRPr="00E74297" w:rsidRDefault="000624AF" w:rsidP="000624AF">
      <w:pPr>
        <w:pStyle w:val="3-BodyText"/>
      </w:pPr>
      <w:r w:rsidRPr="00E74297">
        <w:fldChar w:fldCharType="begin" w:fldLock="1"/>
      </w:r>
      <w:r w:rsidRPr="00E74297">
        <w:instrText xml:space="preserve"> REF _Ref132377383 \h </w:instrText>
      </w:r>
      <w:r w:rsidRPr="00E74297">
        <w:fldChar w:fldCharType="separate"/>
      </w:r>
      <w:r w:rsidR="00AE1DC7" w:rsidRPr="00E74297">
        <w:t>Figure 5</w:t>
      </w:r>
      <w:r w:rsidRPr="00E74297">
        <w:fldChar w:fldCharType="end"/>
      </w:r>
      <w:r w:rsidRPr="00E74297">
        <w:t xml:space="preserve"> depicts life years gained over the time horizon. </w:t>
      </w:r>
      <w:r w:rsidR="00090394" w:rsidRPr="00E74297">
        <w:t>A</w:t>
      </w:r>
      <w:r w:rsidRPr="00E74297">
        <w:t xml:space="preserve"> substantial </w:t>
      </w:r>
      <w:r w:rsidR="00090394" w:rsidRPr="00E74297">
        <w:t xml:space="preserve">proportion </w:t>
      </w:r>
      <w:r w:rsidRPr="00E74297">
        <w:t>(80%) of incremental life years gained occur during the extrapolated period. Using more OS KM data</w:t>
      </w:r>
      <w:r w:rsidR="00090394" w:rsidRPr="00E74297">
        <w:t xml:space="preserve"> and a shorter time horizon would substantially </w:t>
      </w:r>
      <w:r w:rsidRPr="00E74297">
        <w:t xml:space="preserve">reduce the uncertainty </w:t>
      </w:r>
      <w:r w:rsidR="00090394" w:rsidRPr="00E74297">
        <w:t xml:space="preserve">resulting from </w:t>
      </w:r>
      <w:r w:rsidRPr="00E74297">
        <w:t>this.</w:t>
      </w:r>
    </w:p>
    <w:p w14:paraId="418D3FB7" w14:textId="0B787941" w:rsidR="000624AF" w:rsidRPr="00E74297" w:rsidRDefault="000624AF" w:rsidP="000624AF">
      <w:pPr>
        <w:pStyle w:val="Caption"/>
      </w:pPr>
      <w:bookmarkStart w:id="71" w:name="_Ref132377383"/>
      <w:r w:rsidRPr="00E74297">
        <w:lastRenderedPageBreak/>
        <w:t xml:space="preserve">Figure </w:t>
      </w:r>
      <w:fldSimple w:instr=" SEQ Figure \* ARABIC " w:fldLock="1">
        <w:r w:rsidR="00AE1DC7" w:rsidRPr="00E74297">
          <w:t>5</w:t>
        </w:r>
      </w:fldSimple>
      <w:bookmarkEnd w:id="71"/>
      <w:r w:rsidRPr="00E74297">
        <w:t>: Life years gained over the time horizon, undiscounted</w:t>
      </w:r>
    </w:p>
    <w:p w14:paraId="62D21C0E" w14:textId="77777777" w:rsidR="000624AF" w:rsidRPr="00E74297" w:rsidRDefault="000624AF" w:rsidP="000624AF">
      <w:r w:rsidRPr="00E74297">
        <w:rPr>
          <w:noProof/>
        </w:rPr>
        <w:drawing>
          <wp:inline distT="0" distB="0" distL="0" distR="0" wp14:anchorId="430AD997" wp14:editId="222620FA">
            <wp:extent cx="5726828" cy="3394253"/>
            <wp:effectExtent l="0" t="0" r="7620" b="0"/>
            <wp:docPr id="9" name="Picture 9" descr="Figure 5: Life years gained over the time horizon, undiscou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5: Life years gained over the time horizon, undiscoun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8891" cy="3401403"/>
                    </a:xfrm>
                    <a:prstGeom prst="rect">
                      <a:avLst/>
                    </a:prstGeom>
                    <a:noFill/>
                  </pic:spPr>
                </pic:pic>
              </a:graphicData>
            </a:graphic>
          </wp:inline>
        </w:drawing>
      </w:r>
    </w:p>
    <w:p w14:paraId="318B375A" w14:textId="77777777" w:rsidR="000624AF" w:rsidRPr="00E74297" w:rsidRDefault="000624AF" w:rsidP="000624AF">
      <w:pPr>
        <w:pStyle w:val="FooterTableFigure"/>
      </w:pPr>
      <w:r w:rsidRPr="00E74297">
        <w:t>Source: Constructed during the evaluation from the “Attachment 07 – Trodelvy HR+HER2- mBC Economic model” Excel Workbook provided with the submission.</w:t>
      </w:r>
    </w:p>
    <w:p w14:paraId="3A37C823" w14:textId="77777777" w:rsidR="000E337C" w:rsidRPr="00E74297" w:rsidRDefault="000624AF" w:rsidP="000624AF">
      <w:pPr>
        <w:pStyle w:val="FooterTableFigure"/>
      </w:pPr>
      <w:r w:rsidRPr="00E74297">
        <w:t>KM = Kaplan-Meier; LY = life year; SG = sacituzumab govitecan; TPC = treatment of physician choice (consisting of eribulin, capecitabine, gemcitabine or vinorelbine).</w:t>
      </w:r>
    </w:p>
    <w:p w14:paraId="3BD5C37A" w14:textId="77777777" w:rsidR="000E337C" w:rsidRPr="00E74297" w:rsidRDefault="000624AF" w:rsidP="000624AF">
      <w:pPr>
        <w:pStyle w:val="3-BodyText"/>
      </w:pPr>
      <w:bookmarkStart w:id="72" w:name="_Ref104804865"/>
      <w:r w:rsidRPr="00E74297">
        <w:t xml:space="preserve">The disaggregated summary for costs and health outcomes </w:t>
      </w:r>
      <w:r w:rsidR="0053501A" w:rsidRPr="00E74297">
        <w:t xml:space="preserve">is </w:t>
      </w:r>
      <w:r w:rsidRPr="00E74297">
        <w:t xml:space="preserve">presented in </w:t>
      </w:r>
      <w:r w:rsidRPr="00E74297">
        <w:fldChar w:fldCharType="begin" w:fldLock="1"/>
      </w:r>
      <w:r w:rsidRPr="00E74297">
        <w:instrText xml:space="preserve"> REF _Ref132377487 \h </w:instrText>
      </w:r>
      <w:r w:rsidRPr="00E74297">
        <w:fldChar w:fldCharType="separate"/>
      </w:r>
      <w:r w:rsidR="00AE1DC7" w:rsidRPr="00E74297">
        <w:t>Table 12</w:t>
      </w:r>
      <w:r w:rsidRPr="00E74297">
        <w:fldChar w:fldCharType="end"/>
      </w:r>
      <w:r w:rsidRPr="00E74297">
        <w:t xml:space="preserve">. The majority of incremental costs are attributed to the acquisition of SG which is underestimated due to the base case analysis not including wastage. Cost savings include those related to subsequent treatment </w:t>
      </w:r>
      <w:r w:rsidR="00090394" w:rsidRPr="00E74297">
        <w:t xml:space="preserve">(which are overestimated due to inclusion of SG) </w:t>
      </w:r>
      <w:r w:rsidRPr="00E74297">
        <w:t xml:space="preserve">and terminal care costs. </w:t>
      </w:r>
      <w:r w:rsidR="00090394" w:rsidRPr="00E74297">
        <w:t>T</w:t>
      </w:r>
      <w:r w:rsidRPr="00E74297">
        <w:t>he submission has not included disease management or monitoring costs associated with the PD health state as this is assumed to be incorporated in terminal care costs. The majority of incremental QALYs are accrued in the PF health state, due to the treatment</w:t>
      </w:r>
      <w:r w:rsidR="00625321" w:rsidRPr="00E74297">
        <w:t xml:space="preserve"> </w:t>
      </w:r>
      <w:r w:rsidRPr="00E74297">
        <w:t>dependent PFS utilities applied and the longer time SG patients spend in this health state.</w:t>
      </w:r>
    </w:p>
    <w:p w14:paraId="4A932055" w14:textId="0905BAA3" w:rsidR="000624AF" w:rsidRPr="00E74297" w:rsidRDefault="000624AF" w:rsidP="000624AF">
      <w:pPr>
        <w:pStyle w:val="3-BodyText"/>
      </w:pPr>
      <w:r w:rsidRPr="00E74297">
        <w:t>As the incremental costs may have been underestimated and the incremental QALY gains overestimated, the ICER presented in the submission may be an underestimate.</w:t>
      </w:r>
    </w:p>
    <w:p w14:paraId="094C2B7B" w14:textId="68AB8390" w:rsidR="000624AF" w:rsidRPr="00E74297" w:rsidRDefault="000624AF" w:rsidP="000624AF">
      <w:pPr>
        <w:pStyle w:val="Caption"/>
        <w:rPr>
          <w:rStyle w:val="CommentReference"/>
          <w:b/>
          <w:szCs w:val="24"/>
        </w:rPr>
      </w:pPr>
      <w:bookmarkStart w:id="73" w:name="_Ref132377487"/>
      <w:bookmarkEnd w:id="72"/>
      <w:r w:rsidRPr="00E74297">
        <w:lastRenderedPageBreak/>
        <w:t xml:space="preserve">Table </w:t>
      </w:r>
      <w:fldSimple w:instr=" SEQ Table \* ARABIC " w:fldLock="1">
        <w:r w:rsidR="00AE1DC7" w:rsidRPr="00E74297">
          <w:t>12</w:t>
        </w:r>
      </w:fldSimple>
      <w:bookmarkEnd w:id="73"/>
      <w:r w:rsidRPr="00E74297">
        <w:t>:</w:t>
      </w:r>
      <w:r w:rsidRPr="00E74297">
        <w:rPr>
          <w:rStyle w:val="CommentReference"/>
          <w:b/>
          <w:szCs w:val="24"/>
        </w:rPr>
        <w:t xml:space="preserve"> List of health states and summary of cost impacts included in the economic evaluation, discounted</w:t>
      </w:r>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17"/>
        <w:gridCol w:w="1417"/>
        <w:gridCol w:w="1417"/>
        <w:gridCol w:w="1418"/>
      </w:tblGrid>
      <w:tr w:rsidR="000624AF" w:rsidRPr="00E74297" w14:paraId="7029490B" w14:textId="77777777" w:rsidTr="000624AF">
        <w:trPr>
          <w:cantSplit/>
        </w:trPr>
        <w:tc>
          <w:tcPr>
            <w:tcW w:w="34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2CD5EA" w14:textId="77777777" w:rsidR="000624AF" w:rsidRPr="00E74297" w:rsidRDefault="000624AF" w:rsidP="000624AF">
            <w:pPr>
              <w:pStyle w:val="In-tableHeading"/>
              <w:jc w:val="center"/>
              <w:rPr>
                <w:lang w:val="en-AU"/>
              </w:rPr>
            </w:pPr>
          </w:p>
        </w:tc>
        <w:tc>
          <w:tcPr>
            <w:tcW w:w="1417" w:type="dxa"/>
            <w:tcBorders>
              <w:top w:val="single" w:sz="4" w:space="0" w:color="auto"/>
              <w:left w:val="single" w:sz="4" w:space="0" w:color="auto"/>
              <w:bottom w:val="single" w:sz="4" w:space="0" w:color="auto"/>
              <w:right w:val="single" w:sz="4" w:space="0" w:color="auto"/>
            </w:tcBorders>
            <w:vAlign w:val="center"/>
          </w:tcPr>
          <w:p w14:paraId="35174FBE" w14:textId="77777777" w:rsidR="000624AF" w:rsidRPr="00E74297" w:rsidRDefault="000624AF" w:rsidP="000624AF">
            <w:pPr>
              <w:pStyle w:val="In-tableHeading"/>
              <w:jc w:val="center"/>
              <w:rPr>
                <w:lang w:val="en-AU"/>
              </w:rPr>
            </w:pPr>
            <w:r w:rsidRPr="00E74297">
              <w:rPr>
                <w:lang w:val="en-AU"/>
              </w:rPr>
              <w:t>SG</w:t>
            </w:r>
          </w:p>
        </w:tc>
        <w:tc>
          <w:tcPr>
            <w:tcW w:w="1417" w:type="dxa"/>
            <w:tcBorders>
              <w:top w:val="single" w:sz="4" w:space="0" w:color="auto"/>
              <w:left w:val="single" w:sz="4" w:space="0" w:color="auto"/>
              <w:bottom w:val="single" w:sz="4" w:space="0" w:color="auto"/>
              <w:right w:val="single" w:sz="4" w:space="0" w:color="auto"/>
            </w:tcBorders>
            <w:vAlign w:val="center"/>
          </w:tcPr>
          <w:p w14:paraId="5A5B0EC7" w14:textId="77777777" w:rsidR="000624AF" w:rsidRPr="00E74297" w:rsidRDefault="000624AF" w:rsidP="000624AF">
            <w:pPr>
              <w:pStyle w:val="In-tableHeading"/>
              <w:jc w:val="center"/>
              <w:rPr>
                <w:lang w:val="en-AU"/>
              </w:rPr>
            </w:pPr>
            <w:r w:rsidRPr="00E74297">
              <w:rPr>
                <w:lang w:val="en-AU"/>
              </w:rPr>
              <w:t>TPC</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52D191" w14:textId="77777777" w:rsidR="000624AF" w:rsidRPr="00E74297" w:rsidRDefault="000624AF" w:rsidP="000624AF">
            <w:pPr>
              <w:pStyle w:val="In-tableHeading"/>
              <w:jc w:val="center"/>
              <w:rPr>
                <w:lang w:val="en-AU"/>
              </w:rPr>
            </w:pPr>
            <w:r w:rsidRPr="00E74297">
              <w:rPr>
                <w:lang w:val="en-AU"/>
              </w:rPr>
              <w:t>Incremental</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3E8961" w14:textId="77777777" w:rsidR="000624AF" w:rsidRPr="00E74297" w:rsidRDefault="000624AF" w:rsidP="000624AF">
            <w:pPr>
              <w:pStyle w:val="In-tableHeading"/>
              <w:jc w:val="center"/>
              <w:rPr>
                <w:lang w:val="en-AU"/>
              </w:rPr>
            </w:pPr>
            <w:r w:rsidRPr="00E74297">
              <w:rPr>
                <w:lang w:val="en-AU"/>
              </w:rPr>
              <w:t>% of total incremental</w:t>
            </w:r>
          </w:p>
        </w:tc>
      </w:tr>
      <w:tr w:rsidR="000624AF" w:rsidRPr="00E74297" w14:paraId="1CB0A86B" w14:textId="77777777" w:rsidTr="000624AF">
        <w:trPr>
          <w:cantSplit/>
        </w:trPr>
        <w:tc>
          <w:tcPr>
            <w:tcW w:w="9071" w:type="dxa"/>
            <w:gridSpan w:val="5"/>
            <w:tcBorders>
              <w:top w:val="single" w:sz="4" w:space="0" w:color="auto"/>
              <w:left w:val="single" w:sz="4" w:space="0" w:color="auto"/>
              <w:right w:val="single" w:sz="4" w:space="0" w:color="auto"/>
            </w:tcBorders>
            <w:tcMar>
              <w:left w:w="57" w:type="dxa"/>
              <w:right w:w="57" w:type="dxa"/>
            </w:tcMar>
            <w:vAlign w:val="center"/>
          </w:tcPr>
          <w:p w14:paraId="7AE4201B" w14:textId="77777777" w:rsidR="000624AF" w:rsidRPr="00E74297" w:rsidRDefault="000624AF" w:rsidP="000624AF">
            <w:pPr>
              <w:pStyle w:val="TableText0"/>
              <w:rPr>
                <w:b/>
              </w:rPr>
            </w:pPr>
            <w:r w:rsidRPr="00E74297">
              <w:rPr>
                <w:b/>
              </w:rPr>
              <w:t>Costs</w:t>
            </w:r>
          </w:p>
        </w:tc>
      </w:tr>
      <w:tr w:rsidR="000624AF" w:rsidRPr="00E74297" w14:paraId="7AE78007" w14:textId="77777777" w:rsidTr="000624AF">
        <w:trPr>
          <w:cantSplit/>
        </w:trPr>
        <w:tc>
          <w:tcPr>
            <w:tcW w:w="3402" w:type="dxa"/>
            <w:tcBorders>
              <w:top w:val="single" w:sz="4" w:space="0" w:color="auto"/>
              <w:left w:val="single" w:sz="4" w:space="0" w:color="auto"/>
              <w:right w:val="single" w:sz="4" w:space="0" w:color="auto"/>
            </w:tcBorders>
            <w:tcMar>
              <w:left w:w="57" w:type="dxa"/>
              <w:right w:w="57" w:type="dxa"/>
            </w:tcMar>
            <w:vAlign w:val="center"/>
          </w:tcPr>
          <w:p w14:paraId="4039C70B" w14:textId="77777777" w:rsidR="000624AF" w:rsidRPr="00E74297" w:rsidRDefault="000624AF" w:rsidP="000624AF">
            <w:pPr>
              <w:pStyle w:val="TableText0"/>
            </w:pPr>
            <w:r w:rsidRPr="00E74297">
              <w:t>Drug acquisition cost</w:t>
            </w:r>
          </w:p>
        </w:tc>
        <w:tc>
          <w:tcPr>
            <w:tcW w:w="1417" w:type="dxa"/>
            <w:tcBorders>
              <w:top w:val="single" w:sz="4" w:space="0" w:color="auto"/>
              <w:left w:val="single" w:sz="4" w:space="0" w:color="auto"/>
              <w:bottom w:val="single" w:sz="4" w:space="0" w:color="auto"/>
              <w:right w:val="single" w:sz="4" w:space="0" w:color="auto"/>
            </w:tcBorders>
            <w:vAlign w:val="center"/>
          </w:tcPr>
          <w:p w14:paraId="0395D75A" w14:textId="170C571C" w:rsidR="000624AF" w:rsidRPr="00E74297" w:rsidRDefault="000624AF" w:rsidP="000624AF">
            <w:pPr>
              <w:pStyle w:val="TableText0"/>
              <w:jc w:val="center"/>
            </w:pPr>
            <w:r w:rsidRPr="00E74297">
              <w:t>$</w:t>
            </w:r>
            <w:r w:rsidR="006F55C1" w:rsidRPr="006F55C1">
              <w:rPr>
                <w:color w:val="000000"/>
                <w:shd w:val="solid" w:color="000000" w:fill="000000"/>
                <w14:textFill>
                  <w14:solidFill>
                    <w14:srgbClr w14:val="000000">
                      <w14:alpha w14:val="100000"/>
                    </w14:srgbClr>
                  </w14:solidFill>
                </w14:textFill>
              </w:rPr>
              <w:t>|</w:t>
            </w:r>
          </w:p>
        </w:tc>
        <w:tc>
          <w:tcPr>
            <w:tcW w:w="1417" w:type="dxa"/>
            <w:tcBorders>
              <w:top w:val="single" w:sz="4" w:space="0" w:color="auto"/>
              <w:left w:val="single" w:sz="4" w:space="0" w:color="auto"/>
              <w:bottom w:val="single" w:sz="4" w:space="0" w:color="auto"/>
              <w:right w:val="single" w:sz="4" w:space="0" w:color="auto"/>
            </w:tcBorders>
            <w:vAlign w:val="center"/>
          </w:tcPr>
          <w:p w14:paraId="26734FD2" w14:textId="77777777" w:rsidR="000624AF" w:rsidRPr="00E74297" w:rsidRDefault="000624AF" w:rsidP="000624AF">
            <w:pPr>
              <w:pStyle w:val="TableText0"/>
              <w:jc w:val="center"/>
            </w:pPr>
            <w:r w:rsidRPr="00E74297">
              <w:t>$4,138</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C9E0A4" w14:textId="0A0295E7" w:rsidR="000624AF" w:rsidRPr="00E74297" w:rsidRDefault="000624AF" w:rsidP="000624AF">
            <w:pPr>
              <w:pStyle w:val="TableText0"/>
              <w:jc w:val="center"/>
            </w:pPr>
            <w:r w:rsidRPr="00E74297">
              <w:t>$</w:t>
            </w:r>
            <w:r w:rsidR="006F55C1" w:rsidRPr="006F55C1">
              <w:rPr>
                <w:color w:val="000000"/>
                <w:shd w:val="solid" w:color="000000" w:fill="000000"/>
                <w14:textFill>
                  <w14:solidFill>
                    <w14:srgbClr w14:val="000000">
                      <w14:alpha w14:val="100000"/>
                    </w14:srgbClr>
                  </w14:solidFill>
                </w14:textFill>
              </w:rPr>
              <w:t>|</w:t>
            </w:r>
            <w:r w:rsidR="00BB52E8" w:rsidRPr="00BB52E8">
              <w:rPr>
                <w:rFonts w:cs="Arial Narrow"/>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14:paraId="4BBBB3A4" w14:textId="77777777" w:rsidR="000624AF" w:rsidRPr="00E74297" w:rsidRDefault="000624AF" w:rsidP="000624AF">
            <w:pPr>
              <w:pStyle w:val="TableText0"/>
              <w:jc w:val="center"/>
            </w:pPr>
            <w:r w:rsidRPr="00E74297">
              <w:t>102%</w:t>
            </w:r>
          </w:p>
        </w:tc>
      </w:tr>
      <w:tr w:rsidR="000624AF" w:rsidRPr="00E74297" w14:paraId="06CC8602" w14:textId="77777777" w:rsidTr="000624AF">
        <w:trPr>
          <w:cantSplit/>
        </w:trPr>
        <w:tc>
          <w:tcPr>
            <w:tcW w:w="3402" w:type="dxa"/>
            <w:tcBorders>
              <w:left w:val="single" w:sz="4" w:space="0" w:color="auto"/>
              <w:right w:val="single" w:sz="4" w:space="0" w:color="auto"/>
            </w:tcBorders>
            <w:tcMar>
              <w:left w:w="57" w:type="dxa"/>
              <w:right w:w="57" w:type="dxa"/>
            </w:tcMar>
            <w:vAlign w:val="center"/>
          </w:tcPr>
          <w:p w14:paraId="1E278A80" w14:textId="77777777" w:rsidR="000624AF" w:rsidRPr="00E74297" w:rsidRDefault="000624AF" w:rsidP="000624AF">
            <w:pPr>
              <w:pStyle w:val="TableText0"/>
            </w:pPr>
            <w:r w:rsidRPr="00E74297">
              <w:t>Administration cost</w:t>
            </w:r>
          </w:p>
        </w:tc>
        <w:tc>
          <w:tcPr>
            <w:tcW w:w="1417" w:type="dxa"/>
            <w:tcBorders>
              <w:top w:val="single" w:sz="4" w:space="0" w:color="auto"/>
              <w:left w:val="single" w:sz="4" w:space="0" w:color="auto"/>
              <w:bottom w:val="single" w:sz="4" w:space="0" w:color="auto"/>
              <w:right w:val="single" w:sz="4" w:space="0" w:color="auto"/>
            </w:tcBorders>
            <w:vAlign w:val="center"/>
          </w:tcPr>
          <w:p w14:paraId="6DF91103" w14:textId="3399D485" w:rsidR="000624AF" w:rsidRPr="00E74297" w:rsidRDefault="000624AF" w:rsidP="000624AF">
            <w:pPr>
              <w:pStyle w:val="TableText0"/>
              <w:jc w:val="center"/>
            </w:pPr>
            <w:r w:rsidRPr="00E74297">
              <w:t>$</w:t>
            </w:r>
            <w:r w:rsidR="006F55C1" w:rsidRPr="006F55C1">
              <w:rPr>
                <w:color w:val="000000"/>
                <w:shd w:val="solid" w:color="000000" w:fill="000000"/>
                <w14:textFill>
                  <w14:solidFill>
                    <w14:srgbClr w14:val="000000">
                      <w14:alpha w14:val="100000"/>
                    </w14:srgbClr>
                  </w14:solidFill>
                </w14:textFill>
              </w:rPr>
              <w:t>|</w:t>
            </w:r>
          </w:p>
        </w:tc>
        <w:tc>
          <w:tcPr>
            <w:tcW w:w="1417" w:type="dxa"/>
            <w:tcBorders>
              <w:top w:val="single" w:sz="4" w:space="0" w:color="auto"/>
              <w:left w:val="single" w:sz="4" w:space="0" w:color="auto"/>
              <w:bottom w:val="single" w:sz="4" w:space="0" w:color="auto"/>
              <w:right w:val="single" w:sz="4" w:space="0" w:color="auto"/>
            </w:tcBorders>
            <w:vAlign w:val="center"/>
          </w:tcPr>
          <w:p w14:paraId="070E88FE" w14:textId="77777777" w:rsidR="000624AF" w:rsidRPr="00E74297" w:rsidRDefault="000624AF" w:rsidP="000624AF">
            <w:pPr>
              <w:pStyle w:val="TableText0"/>
              <w:jc w:val="center"/>
            </w:pPr>
            <w:r w:rsidRPr="00E74297">
              <w:t>$1,326</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AA3723" w14:textId="501FD6DA" w:rsidR="000624AF" w:rsidRPr="00E74297" w:rsidRDefault="000624AF" w:rsidP="000624AF">
            <w:pPr>
              <w:pStyle w:val="TableText0"/>
              <w:jc w:val="center"/>
            </w:pPr>
            <w:r w:rsidRPr="00E74297">
              <w:t>$</w:t>
            </w:r>
            <w:r w:rsidR="006F55C1" w:rsidRPr="006F55C1">
              <w:rPr>
                <w:color w:val="000000"/>
                <w:shd w:val="solid" w:color="000000" w:fill="000000"/>
                <w14:textFill>
                  <w14:solidFill>
                    <w14:srgbClr w14:val="000000">
                      <w14:alpha w14:val="100000"/>
                    </w14:srgbClr>
                  </w14:solidFill>
                </w14:textFill>
              </w:rPr>
              <w:t>|</w:t>
            </w:r>
            <w:r w:rsidR="00BB52E8">
              <w:rPr>
                <w:rFonts w:cs="Arial Narrow"/>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14:paraId="441222C4" w14:textId="77777777" w:rsidR="000624AF" w:rsidRPr="00E74297" w:rsidRDefault="000624AF" w:rsidP="000624AF">
            <w:pPr>
              <w:pStyle w:val="TableText0"/>
              <w:jc w:val="center"/>
            </w:pPr>
            <w:r w:rsidRPr="00E74297">
              <w:t>3%</w:t>
            </w:r>
          </w:p>
        </w:tc>
      </w:tr>
      <w:tr w:rsidR="000624AF" w:rsidRPr="00E74297" w14:paraId="112F09A6" w14:textId="77777777" w:rsidTr="000624AF">
        <w:trPr>
          <w:cantSplit/>
        </w:trPr>
        <w:tc>
          <w:tcPr>
            <w:tcW w:w="3402" w:type="dxa"/>
            <w:tcBorders>
              <w:left w:val="single" w:sz="4" w:space="0" w:color="auto"/>
              <w:right w:val="single" w:sz="4" w:space="0" w:color="auto"/>
            </w:tcBorders>
            <w:tcMar>
              <w:left w:w="57" w:type="dxa"/>
              <w:right w:w="57" w:type="dxa"/>
            </w:tcMar>
            <w:vAlign w:val="center"/>
          </w:tcPr>
          <w:p w14:paraId="6F3DB52B" w14:textId="77777777" w:rsidR="000624AF" w:rsidRPr="00E74297" w:rsidRDefault="000624AF" w:rsidP="000624AF">
            <w:pPr>
              <w:pStyle w:val="TableText0"/>
            </w:pPr>
            <w:r w:rsidRPr="00E74297">
              <w:t>PF Disease management and monitoring</w:t>
            </w:r>
          </w:p>
        </w:tc>
        <w:tc>
          <w:tcPr>
            <w:tcW w:w="1417" w:type="dxa"/>
            <w:tcBorders>
              <w:top w:val="single" w:sz="4" w:space="0" w:color="auto"/>
              <w:left w:val="single" w:sz="4" w:space="0" w:color="auto"/>
              <w:bottom w:val="single" w:sz="4" w:space="0" w:color="auto"/>
              <w:right w:val="single" w:sz="4" w:space="0" w:color="auto"/>
            </w:tcBorders>
            <w:vAlign w:val="center"/>
          </w:tcPr>
          <w:p w14:paraId="2D5C2689" w14:textId="75DBF77C" w:rsidR="000624AF" w:rsidRPr="00E74297" w:rsidRDefault="000624AF" w:rsidP="000624AF">
            <w:pPr>
              <w:pStyle w:val="TableText0"/>
              <w:jc w:val="center"/>
            </w:pPr>
            <w:r w:rsidRPr="00E74297">
              <w:t>$</w:t>
            </w:r>
            <w:r w:rsidR="006F55C1" w:rsidRPr="006F55C1">
              <w:rPr>
                <w:color w:val="000000"/>
                <w:shd w:val="solid" w:color="000000" w:fill="000000"/>
                <w14:textFill>
                  <w14:solidFill>
                    <w14:srgbClr w14:val="000000">
                      <w14:alpha w14:val="100000"/>
                    </w14:srgbClr>
                  </w14:solidFill>
                </w14:textFill>
              </w:rPr>
              <w:t>|</w:t>
            </w:r>
          </w:p>
        </w:tc>
        <w:tc>
          <w:tcPr>
            <w:tcW w:w="1417" w:type="dxa"/>
            <w:tcBorders>
              <w:top w:val="single" w:sz="4" w:space="0" w:color="auto"/>
              <w:left w:val="single" w:sz="4" w:space="0" w:color="auto"/>
              <w:bottom w:val="single" w:sz="4" w:space="0" w:color="auto"/>
              <w:right w:val="single" w:sz="4" w:space="0" w:color="auto"/>
            </w:tcBorders>
            <w:vAlign w:val="center"/>
          </w:tcPr>
          <w:p w14:paraId="433F2F9C" w14:textId="77777777" w:rsidR="000624AF" w:rsidRPr="00E74297" w:rsidRDefault="000624AF" w:rsidP="000624AF">
            <w:pPr>
              <w:pStyle w:val="TableText0"/>
              <w:jc w:val="center"/>
            </w:pPr>
            <w:r w:rsidRPr="00E74297">
              <w:t>$1,936</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124557" w14:textId="4E7A6049" w:rsidR="000624AF" w:rsidRPr="00E74297" w:rsidRDefault="000624AF" w:rsidP="000624AF">
            <w:pPr>
              <w:pStyle w:val="TableText0"/>
              <w:jc w:val="center"/>
            </w:pPr>
            <w:r w:rsidRPr="00E74297">
              <w:t>$</w:t>
            </w:r>
            <w:r w:rsidR="006F55C1" w:rsidRPr="006F55C1">
              <w:rPr>
                <w:color w:val="000000"/>
                <w:shd w:val="solid" w:color="000000" w:fill="000000"/>
                <w14:textFill>
                  <w14:solidFill>
                    <w14:srgbClr w14:val="000000">
                      <w14:alpha w14:val="100000"/>
                    </w14:srgbClr>
                  </w14:solidFill>
                </w14:textFill>
              </w:rPr>
              <w:t>|</w:t>
            </w:r>
            <w:r w:rsidR="00BB52E8">
              <w:rPr>
                <w:rFonts w:cs="Arial Narrow"/>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FB1A5B" w14:textId="77777777" w:rsidR="000624AF" w:rsidRPr="00E74297" w:rsidRDefault="000624AF" w:rsidP="000624AF">
            <w:pPr>
              <w:pStyle w:val="TableText0"/>
              <w:jc w:val="center"/>
            </w:pPr>
            <w:r w:rsidRPr="00E74297">
              <w:t>5%</w:t>
            </w:r>
          </w:p>
        </w:tc>
      </w:tr>
      <w:tr w:rsidR="000624AF" w:rsidRPr="00E74297" w14:paraId="73379DBC" w14:textId="77777777" w:rsidTr="000624AF">
        <w:trPr>
          <w:cantSplit/>
        </w:trPr>
        <w:tc>
          <w:tcPr>
            <w:tcW w:w="3402" w:type="dxa"/>
            <w:tcBorders>
              <w:left w:val="single" w:sz="4" w:space="0" w:color="auto"/>
              <w:bottom w:val="single" w:sz="4" w:space="0" w:color="auto"/>
              <w:right w:val="single" w:sz="4" w:space="0" w:color="auto"/>
            </w:tcBorders>
            <w:tcMar>
              <w:left w:w="57" w:type="dxa"/>
              <w:right w:w="57" w:type="dxa"/>
            </w:tcMar>
            <w:vAlign w:val="center"/>
          </w:tcPr>
          <w:p w14:paraId="5491F10E" w14:textId="77777777" w:rsidR="000624AF" w:rsidRPr="00E74297" w:rsidRDefault="000624AF" w:rsidP="000624AF">
            <w:pPr>
              <w:pStyle w:val="TableText0"/>
            </w:pPr>
            <w:r w:rsidRPr="00E74297">
              <w:t>AE management</w:t>
            </w:r>
          </w:p>
        </w:tc>
        <w:tc>
          <w:tcPr>
            <w:tcW w:w="1417" w:type="dxa"/>
            <w:tcBorders>
              <w:top w:val="single" w:sz="4" w:space="0" w:color="auto"/>
              <w:left w:val="single" w:sz="4" w:space="0" w:color="auto"/>
              <w:bottom w:val="single" w:sz="4" w:space="0" w:color="auto"/>
              <w:right w:val="single" w:sz="4" w:space="0" w:color="auto"/>
            </w:tcBorders>
            <w:vAlign w:val="center"/>
          </w:tcPr>
          <w:p w14:paraId="7DD9986C" w14:textId="0FEBC63E" w:rsidR="000624AF" w:rsidRPr="00E74297" w:rsidRDefault="000624AF" w:rsidP="000624AF">
            <w:pPr>
              <w:pStyle w:val="TableText0"/>
              <w:jc w:val="center"/>
            </w:pPr>
            <w:r w:rsidRPr="00E74297">
              <w:t>$</w:t>
            </w:r>
            <w:r w:rsidR="006F55C1" w:rsidRPr="006F55C1">
              <w:rPr>
                <w:color w:val="000000"/>
                <w:shd w:val="solid" w:color="000000" w:fill="000000"/>
                <w14:textFill>
                  <w14:solidFill>
                    <w14:srgbClr w14:val="000000">
                      <w14:alpha w14:val="100000"/>
                    </w14:srgbClr>
                  </w14:solidFill>
                </w14:textFill>
              </w:rPr>
              <w:t>|</w:t>
            </w:r>
          </w:p>
        </w:tc>
        <w:tc>
          <w:tcPr>
            <w:tcW w:w="1417" w:type="dxa"/>
            <w:tcBorders>
              <w:top w:val="single" w:sz="4" w:space="0" w:color="auto"/>
              <w:left w:val="single" w:sz="4" w:space="0" w:color="auto"/>
              <w:bottom w:val="single" w:sz="4" w:space="0" w:color="auto"/>
              <w:right w:val="single" w:sz="4" w:space="0" w:color="auto"/>
            </w:tcBorders>
            <w:vAlign w:val="center"/>
          </w:tcPr>
          <w:p w14:paraId="1FB96E7B" w14:textId="77777777" w:rsidR="000624AF" w:rsidRPr="00E74297" w:rsidRDefault="000624AF" w:rsidP="000624AF">
            <w:pPr>
              <w:pStyle w:val="TableText0"/>
              <w:jc w:val="center"/>
            </w:pPr>
            <w:r w:rsidRPr="00E74297">
              <w:t>$643</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D03948" w14:textId="72BE8621" w:rsidR="000624AF" w:rsidRPr="00E74297" w:rsidRDefault="000624AF" w:rsidP="000624AF">
            <w:pPr>
              <w:pStyle w:val="TableText0"/>
              <w:jc w:val="center"/>
            </w:pPr>
            <w:r w:rsidRPr="00E74297">
              <w:t>$</w:t>
            </w:r>
            <w:r w:rsidR="006F55C1" w:rsidRPr="006F55C1">
              <w:rPr>
                <w:color w:val="000000"/>
                <w:shd w:val="solid" w:color="000000" w:fill="000000"/>
                <w14:textFill>
                  <w14:solidFill>
                    <w14:srgbClr w14:val="000000">
                      <w14:alpha w14:val="100000"/>
                    </w14:srgbClr>
                  </w14:solidFill>
                </w14:textFill>
              </w:rPr>
              <w:t>|</w:t>
            </w:r>
            <w:r w:rsidR="00BB52E8">
              <w:rPr>
                <w:rFonts w:cs="Arial Narrow"/>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323567" w14:textId="77777777" w:rsidR="000624AF" w:rsidRPr="00E74297" w:rsidRDefault="000624AF" w:rsidP="000624AF">
            <w:pPr>
              <w:pStyle w:val="TableText0"/>
              <w:jc w:val="center"/>
            </w:pPr>
            <w:r w:rsidRPr="00E74297">
              <w:t>2%</w:t>
            </w:r>
          </w:p>
        </w:tc>
      </w:tr>
      <w:tr w:rsidR="000624AF" w:rsidRPr="00E74297" w14:paraId="48F96B20" w14:textId="77777777" w:rsidTr="000624AF">
        <w:trPr>
          <w:cantSplit/>
        </w:trPr>
        <w:tc>
          <w:tcPr>
            <w:tcW w:w="3402" w:type="dxa"/>
            <w:tcBorders>
              <w:top w:val="single" w:sz="4" w:space="0" w:color="auto"/>
              <w:left w:val="single" w:sz="4" w:space="0" w:color="auto"/>
              <w:right w:val="single" w:sz="4" w:space="0" w:color="auto"/>
            </w:tcBorders>
            <w:tcMar>
              <w:left w:w="57" w:type="dxa"/>
              <w:right w:w="57" w:type="dxa"/>
            </w:tcMar>
            <w:vAlign w:val="center"/>
          </w:tcPr>
          <w:p w14:paraId="37AB3619" w14:textId="77777777" w:rsidR="000624AF" w:rsidRPr="00E74297" w:rsidRDefault="000624AF" w:rsidP="000624AF">
            <w:pPr>
              <w:pStyle w:val="TableText0"/>
            </w:pPr>
            <w:r w:rsidRPr="00E74297">
              <w:t>Subsequent treatment</w:t>
            </w:r>
          </w:p>
        </w:tc>
        <w:tc>
          <w:tcPr>
            <w:tcW w:w="1417" w:type="dxa"/>
            <w:tcBorders>
              <w:top w:val="single" w:sz="4" w:space="0" w:color="auto"/>
              <w:left w:val="single" w:sz="4" w:space="0" w:color="auto"/>
              <w:bottom w:val="single" w:sz="4" w:space="0" w:color="auto"/>
              <w:right w:val="single" w:sz="4" w:space="0" w:color="auto"/>
            </w:tcBorders>
            <w:vAlign w:val="center"/>
          </w:tcPr>
          <w:p w14:paraId="3E474036" w14:textId="6BE09E92" w:rsidR="000624AF" w:rsidRPr="00E74297" w:rsidRDefault="000624AF" w:rsidP="000624AF">
            <w:pPr>
              <w:pStyle w:val="TableText0"/>
              <w:jc w:val="center"/>
            </w:pPr>
            <w:r w:rsidRPr="00E74297">
              <w:t>$</w:t>
            </w:r>
            <w:r w:rsidR="006F55C1" w:rsidRPr="006F55C1">
              <w:rPr>
                <w:color w:val="000000"/>
                <w:shd w:val="solid" w:color="000000" w:fill="000000"/>
                <w14:textFill>
                  <w14:solidFill>
                    <w14:srgbClr w14:val="000000">
                      <w14:alpha w14:val="100000"/>
                    </w14:srgbClr>
                  </w14:solidFill>
                </w14:textFill>
              </w:rPr>
              <w:t>|</w:t>
            </w:r>
          </w:p>
        </w:tc>
        <w:tc>
          <w:tcPr>
            <w:tcW w:w="1417" w:type="dxa"/>
            <w:tcBorders>
              <w:top w:val="single" w:sz="4" w:space="0" w:color="auto"/>
              <w:left w:val="single" w:sz="4" w:space="0" w:color="auto"/>
              <w:bottom w:val="single" w:sz="4" w:space="0" w:color="auto"/>
              <w:right w:val="single" w:sz="4" w:space="0" w:color="auto"/>
            </w:tcBorders>
            <w:vAlign w:val="center"/>
          </w:tcPr>
          <w:p w14:paraId="4E773D5F" w14:textId="77777777" w:rsidR="000624AF" w:rsidRPr="00E74297" w:rsidRDefault="000624AF" w:rsidP="000624AF">
            <w:pPr>
              <w:pStyle w:val="TableText0"/>
              <w:jc w:val="center"/>
            </w:pPr>
            <w:r w:rsidRPr="00E74297">
              <w:t>$5,001</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7A329D" w14:textId="19351799" w:rsidR="000624AF" w:rsidRPr="00E74297" w:rsidRDefault="006F55C1" w:rsidP="000624AF">
            <w:pPr>
              <w:pStyle w:val="TableText0"/>
              <w:jc w:val="center"/>
            </w:pPr>
            <w:r w:rsidRPr="006F55C1">
              <w:rPr>
                <w:color w:val="000000"/>
                <w:shd w:val="solid" w:color="000000" w:fill="000000"/>
                <w14:textFill>
                  <w14:solidFill>
                    <w14:srgbClr w14:val="000000">
                      <w14:alpha w14:val="100000"/>
                    </w14:srgbClr>
                  </w14:solidFill>
                </w14:textFill>
              </w:rPr>
              <w:t>|</w:t>
            </w:r>
            <w:r w:rsidR="008A3571">
              <w:rPr>
                <w:rFonts w:cs="Arial Narrow"/>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F4875B" w14:textId="77777777" w:rsidR="000624AF" w:rsidRPr="00E74297" w:rsidRDefault="000624AF" w:rsidP="000624AF">
            <w:pPr>
              <w:pStyle w:val="TableText0"/>
              <w:jc w:val="center"/>
            </w:pPr>
            <w:r w:rsidRPr="00E74297">
              <w:t>-8%</w:t>
            </w:r>
          </w:p>
        </w:tc>
      </w:tr>
      <w:tr w:rsidR="000624AF" w:rsidRPr="00E74297" w14:paraId="4DF9F265" w14:textId="77777777" w:rsidTr="000624AF">
        <w:trPr>
          <w:cantSplit/>
        </w:trPr>
        <w:tc>
          <w:tcPr>
            <w:tcW w:w="3402" w:type="dxa"/>
            <w:tcBorders>
              <w:left w:val="single" w:sz="4" w:space="0" w:color="auto"/>
              <w:bottom w:val="single" w:sz="4" w:space="0" w:color="auto"/>
              <w:right w:val="single" w:sz="4" w:space="0" w:color="auto"/>
            </w:tcBorders>
            <w:tcMar>
              <w:left w:w="57" w:type="dxa"/>
              <w:right w:w="57" w:type="dxa"/>
            </w:tcMar>
            <w:vAlign w:val="center"/>
          </w:tcPr>
          <w:p w14:paraId="238F85E4" w14:textId="77777777" w:rsidR="000624AF" w:rsidRPr="00E74297" w:rsidRDefault="000624AF" w:rsidP="000624AF">
            <w:pPr>
              <w:pStyle w:val="TableText0"/>
            </w:pPr>
            <w:r w:rsidRPr="00E74297">
              <w:t>PD Disease management and monitoring</w:t>
            </w:r>
            <w:r w:rsidRPr="00E74297">
              <w:rPr>
                <w:vertAlign w:val="superscript"/>
              </w:rPr>
              <w:t>a</w:t>
            </w:r>
          </w:p>
        </w:tc>
        <w:tc>
          <w:tcPr>
            <w:tcW w:w="1417" w:type="dxa"/>
            <w:tcBorders>
              <w:top w:val="single" w:sz="4" w:space="0" w:color="auto"/>
              <w:left w:val="single" w:sz="4" w:space="0" w:color="auto"/>
              <w:bottom w:val="single" w:sz="4" w:space="0" w:color="auto"/>
              <w:right w:val="single" w:sz="4" w:space="0" w:color="auto"/>
            </w:tcBorders>
            <w:vAlign w:val="center"/>
          </w:tcPr>
          <w:p w14:paraId="54103872" w14:textId="2A15606F" w:rsidR="000624AF" w:rsidRPr="00E74297" w:rsidRDefault="000624AF" w:rsidP="000624AF">
            <w:pPr>
              <w:pStyle w:val="TableText0"/>
              <w:jc w:val="center"/>
            </w:pPr>
            <w:r w:rsidRPr="00E74297">
              <w:t>$</w:t>
            </w:r>
            <w:r w:rsidR="006F55C1" w:rsidRPr="006F55C1">
              <w:rPr>
                <w:color w:val="000000"/>
                <w:shd w:val="solid" w:color="000000" w:fill="000000"/>
                <w14:textFill>
                  <w14:solidFill>
                    <w14:srgbClr w14:val="000000">
                      <w14:alpha w14:val="100000"/>
                    </w14:srgbClr>
                  </w14:solidFill>
                </w14:textFill>
              </w:rPr>
              <w:t>|</w:t>
            </w:r>
          </w:p>
        </w:tc>
        <w:tc>
          <w:tcPr>
            <w:tcW w:w="1417" w:type="dxa"/>
            <w:tcBorders>
              <w:top w:val="single" w:sz="4" w:space="0" w:color="auto"/>
              <w:left w:val="single" w:sz="4" w:space="0" w:color="auto"/>
              <w:bottom w:val="single" w:sz="4" w:space="0" w:color="auto"/>
              <w:right w:val="single" w:sz="4" w:space="0" w:color="auto"/>
            </w:tcBorders>
            <w:vAlign w:val="center"/>
          </w:tcPr>
          <w:p w14:paraId="0D52453C" w14:textId="77777777" w:rsidR="000624AF" w:rsidRPr="00E74297" w:rsidRDefault="000624AF" w:rsidP="000624AF">
            <w:pPr>
              <w:pStyle w:val="TableText0"/>
              <w:jc w:val="center"/>
            </w:pPr>
            <w:r w:rsidRPr="00E74297">
              <w:t>$0</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36BDC7" w14:textId="58619469" w:rsidR="000624AF" w:rsidRPr="00E74297" w:rsidRDefault="000624AF" w:rsidP="000624AF">
            <w:pPr>
              <w:pStyle w:val="TableText0"/>
              <w:jc w:val="center"/>
            </w:pPr>
            <w:r w:rsidRPr="00E74297">
              <w:t>$</w:t>
            </w:r>
            <w:r w:rsidR="006F55C1" w:rsidRPr="006F55C1">
              <w:rPr>
                <w:color w:val="000000"/>
                <w:shd w:val="solid" w:color="000000" w:fill="000000"/>
                <w14:textFill>
                  <w14:solidFill>
                    <w14:srgbClr w14:val="000000">
                      <w14:alpha w14:val="100000"/>
                    </w14:srgbClr>
                  </w14:solidFill>
                </w14:textFill>
              </w:rPr>
              <w:t>|</w:t>
            </w:r>
            <w:r w:rsidR="00BB52E8">
              <w:rPr>
                <w:rFonts w:cs="Arial Narrow"/>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1B50DC" w14:textId="77777777" w:rsidR="000624AF" w:rsidRPr="00E74297" w:rsidRDefault="000624AF" w:rsidP="000624AF">
            <w:pPr>
              <w:pStyle w:val="TableText0"/>
              <w:jc w:val="center"/>
            </w:pPr>
            <w:r w:rsidRPr="00E74297">
              <w:t>0%</w:t>
            </w:r>
          </w:p>
        </w:tc>
      </w:tr>
      <w:tr w:rsidR="000624AF" w:rsidRPr="00E74297" w14:paraId="1782FA83" w14:textId="77777777" w:rsidTr="000624AF">
        <w:trPr>
          <w:cantSplit/>
        </w:trPr>
        <w:tc>
          <w:tcPr>
            <w:tcW w:w="34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D4EACE" w14:textId="77777777" w:rsidR="000624AF" w:rsidRPr="00E74297" w:rsidRDefault="000624AF" w:rsidP="000624AF">
            <w:pPr>
              <w:pStyle w:val="TableText0"/>
            </w:pPr>
            <w:r w:rsidRPr="00E74297">
              <w:t>Terminal care</w:t>
            </w:r>
          </w:p>
        </w:tc>
        <w:tc>
          <w:tcPr>
            <w:tcW w:w="1417" w:type="dxa"/>
            <w:tcBorders>
              <w:top w:val="single" w:sz="4" w:space="0" w:color="auto"/>
              <w:left w:val="single" w:sz="4" w:space="0" w:color="auto"/>
              <w:bottom w:val="single" w:sz="4" w:space="0" w:color="auto"/>
              <w:right w:val="single" w:sz="4" w:space="0" w:color="auto"/>
            </w:tcBorders>
            <w:vAlign w:val="center"/>
          </w:tcPr>
          <w:p w14:paraId="6B4099B4" w14:textId="04C1D2F5" w:rsidR="000624AF" w:rsidRPr="00E74297" w:rsidRDefault="000624AF" w:rsidP="000624AF">
            <w:pPr>
              <w:pStyle w:val="TableText0"/>
              <w:jc w:val="center"/>
            </w:pPr>
            <w:r w:rsidRPr="00E74297">
              <w:t>$</w:t>
            </w:r>
            <w:r w:rsidR="006F55C1" w:rsidRPr="006F55C1">
              <w:rPr>
                <w:color w:val="000000"/>
                <w:shd w:val="solid" w:color="000000" w:fill="000000"/>
                <w14:textFill>
                  <w14:solidFill>
                    <w14:srgbClr w14:val="000000">
                      <w14:alpha w14:val="100000"/>
                    </w14:srgbClr>
                  </w14:solidFill>
                </w14:textFill>
              </w:rPr>
              <w:t>|</w:t>
            </w:r>
          </w:p>
        </w:tc>
        <w:tc>
          <w:tcPr>
            <w:tcW w:w="1417" w:type="dxa"/>
            <w:tcBorders>
              <w:top w:val="single" w:sz="4" w:space="0" w:color="auto"/>
              <w:left w:val="single" w:sz="4" w:space="0" w:color="auto"/>
              <w:bottom w:val="single" w:sz="4" w:space="0" w:color="auto"/>
              <w:right w:val="single" w:sz="4" w:space="0" w:color="auto"/>
            </w:tcBorders>
            <w:vAlign w:val="center"/>
          </w:tcPr>
          <w:p w14:paraId="2855896D" w14:textId="77777777" w:rsidR="000624AF" w:rsidRPr="00E74297" w:rsidRDefault="000624AF" w:rsidP="000624AF">
            <w:pPr>
              <w:pStyle w:val="TableText0"/>
              <w:jc w:val="center"/>
            </w:pPr>
            <w:r w:rsidRPr="00E74297">
              <w:t>$40,380</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85D7F6" w14:textId="3E8FB6A7" w:rsidR="000624AF" w:rsidRPr="00E74297" w:rsidRDefault="006F55C1" w:rsidP="000624AF">
            <w:pPr>
              <w:pStyle w:val="TableText0"/>
              <w:jc w:val="center"/>
            </w:pPr>
            <w:r w:rsidRPr="006F55C1">
              <w:rPr>
                <w:color w:val="000000"/>
                <w:shd w:val="solid" w:color="000000" w:fill="000000"/>
                <w14:textFill>
                  <w14:solidFill>
                    <w14:srgbClr w14:val="000000">
                      <w14:alpha w14:val="100000"/>
                    </w14:srgbClr>
                  </w14:solidFill>
                </w14:textFill>
              </w:rPr>
              <w:t>|</w:t>
            </w:r>
            <w:r w:rsidR="00BB52E8">
              <w:rPr>
                <w:rFonts w:cs="Arial Narrow"/>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BAEF81" w14:textId="77777777" w:rsidR="000624AF" w:rsidRPr="00E74297" w:rsidRDefault="000624AF" w:rsidP="000624AF">
            <w:pPr>
              <w:pStyle w:val="TableText0"/>
              <w:jc w:val="center"/>
            </w:pPr>
            <w:r w:rsidRPr="00E74297">
              <w:t>-4%</w:t>
            </w:r>
          </w:p>
        </w:tc>
      </w:tr>
      <w:tr w:rsidR="000624AF" w:rsidRPr="00E74297" w14:paraId="13BC6426" w14:textId="77777777" w:rsidTr="000624AF">
        <w:trPr>
          <w:cantSplit/>
          <w:trHeight w:val="147"/>
        </w:trPr>
        <w:tc>
          <w:tcPr>
            <w:tcW w:w="34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D1347B" w14:textId="77777777" w:rsidR="000624AF" w:rsidRPr="00E74297" w:rsidRDefault="000624AF" w:rsidP="000624AF">
            <w:pPr>
              <w:pStyle w:val="TableText0"/>
              <w:rPr>
                <w:b/>
              </w:rPr>
            </w:pPr>
            <w:r w:rsidRPr="00E74297">
              <w:rPr>
                <w:b/>
              </w:rPr>
              <w:t>Total</w:t>
            </w:r>
          </w:p>
        </w:tc>
        <w:tc>
          <w:tcPr>
            <w:tcW w:w="1417" w:type="dxa"/>
            <w:tcBorders>
              <w:top w:val="single" w:sz="4" w:space="0" w:color="auto"/>
              <w:left w:val="single" w:sz="4" w:space="0" w:color="auto"/>
              <w:bottom w:val="single" w:sz="4" w:space="0" w:color="auto"/>
              <w:right w:val="single" w:sz="4" w:space="0" w:color="auto"/>
            </w:tcBorders>
          </w:tcPr>
          <w:p w14:paraId="72D711B2" w14:textId="245A7F81" w:rsidR="000624AF" w:rsidRPr="00E74297" w:rsidRDefault="000624AF" w:rsidP="000624AF">
            <w:pPr>
              <w:pStyle w:val="TableText0"/>
              <w:jc w:val="center"/>
              <w:rPr>
                <w:b/>
              </w:rPr>
            </w:pPr>
            <w:r w:rsidRPr="00E74297">
              <w:rPr>
                <w:b/>
              </w:rPr>
              <w:t>$</w:t>
            </w:r>
            <w:r w:rsidR="006F55C1" w:rsidRPr="001777F5">
              <w:rPr>
                <w:rFonts w:hint="eastAsia"/>
                <w:b/>
                <w:color w:val="000000"/>
                <w:w w:val="15"/>
                <w:shd w:val="solid" w:color="000000" w:fill="000000"/>
                <w:fitText w:val="45" w:id="-1168282368"/>
                <w14:textFill>
                  <w14:solidFill>
                    <w14:srgbClr w14:val="000000">
                      <w14:alpha w14:val="100000"/>
                    </w14:srgbClr>
                  </w14:solidFill>
                </w14:textFill>
              </w:rPr>
              <w:t xml:space="preserve">　</w:t>
            </w:r>
            <w:r w:rsidR="006F55C1" w:rsidRPr="001777F5">
              <w:rPr>
                <w:b/>
                <w:color w:val="000000"/>
                <w:w w:val="15"/>
                <w:shd w:val="solid" w:color="000000" w:fill="000000"/>
                <w:fitText w:val="45" w:id="-1168282368"/>
                <w14:textFill>
                  <w14:solidFill>
                    <w14:srgbClr w14:val="000000">
                      <w14:alpha w14:val="100000"/>
                    </w14:srgbClr>
                  </w14:solidFill>
                </w14:textFill>
              </w:rPr>
              <w:t>|</w:t>
            </w:r>
            <w:r w:rsidR="006F55C1" w:rsidRPr="001777F5">
              <w:rPr>
                <w:rFonts w:hint="eastAsia"/>
                <w:b/>
                <w:color w:val="000000"/>
                <w:spacing w:val="-30"/>
                <w:w w:val="15"/>
                <w:shd w:val="solid" w:color="000000" w:fill="000000"/>
                <w:fitText w:val="45" w:id="-1168282368"/>
                <w14:textFill>
                  <w14:solidFill>
                    <w14:srgbClr w14:val="000000">
                      <w14:alpha w14:val="100000"/>
                    </w14:srgbClr>
                  </w14:solidFill>
                </w14:textFill>
              </w:rPr>
              <w:t xml:space="preserve">　</w:t>
            </w:r>
          </w:p>
        </w:tc>
        <w:tc>
          <w:tcPr>
            <w:tcW w:w="1417" w:type="dxa"/>
            <w:tcBorders>
              <w:top w:val="single" w:sz="4" w:space="0" w:color="auto"/>
              <w:left w:val="single" w:sz="4" w:space="0" w:color="auto"/>
              <w:bottom w:val="single" w:sz="4" w:space="0" w:color="auto"/>
              <w:right w:val="single" w:sz="4" w:space="0" w:color="auto"/>
            </w:tcBorders>
          </w:tcPr>
          <w:p w14:paraId="3FCED0A7" w14:textId="77777777" w:rsidR="000624AF" w:rsidRPr="00E74297" w:rsidRDefault="000624AF" w:rsidP="000624AF">
            <w:pPr>
              <w:pStyle w:val="TableText0"/>
              <w:jc w:val="center"/>
              <w:rPr>
                <w:b/>
              </w:rPr>
            </w:pPr>
            <w:r w:rsidRPr="00E74297">
              <w:rPr>
                <w:b/>
              </w:rPr>
              <w:t>$53,424</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14:paraId="7C275B39" w14:textId="1855DAAB" w:rsidR="000624AF" w:rsidRPr="00E74297" w:rsidRDefault="000624AF" w:rsidP="000624AF">
            <w:pPr>
              <w:pStyle w:val="TableText0"/>
              <w:jc w:val="center"/>
              <w:rPr>
                <w:b/>
              </w:rPr>
            </w:pPr>
            <w:r w:rsidRPr="00E74297">
              <w:rPr>
                <w:b/>
              </w:rPr>
              <w:t>$</w:t>
            </w:r>
            <w:r w:rsidR="006F55C1" w:rsidRPr="006F55C1">
              <w:rPr>
                <w:b/>
                <w:color w:val="000000"/>
                <w:shd w:val="solid" w:color="000000" w:fill="000000"/>
                <w14:textFill>
                  <w14:solidFill>
                    <w14:srgbClr w14:val="000000">
                      <w14:alpha w14:val="100000"/>
                    </w14:srgbClr>
                  </w14:solidFill>
                </w14:textFill>
              </w:rPr>
              <w:t>|</w:t>
            </w:r>
            <w:r w:rsidR="00BB52E8">
              <w:rPr>
                <w:rFonts w:cs="Arial Narrow"/>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E3A1A1" w14:textId="77777777" w:rsidR="000624AF" w:rsidRPr="00E74297" w:rsidRDefault="000624AF" w:rsidP="000624AF">
            <w:pPr>
              <w:pStyle w:val="TableText0"/>
              <w:jc w:val="center"/>
              <w:rPr>
                <w:b/>
              </w:rPr>
            </w:pPr>
            <w:r w:rsidRPr="00E74297">
              <w:rPr>
                <w:b/>
              </w:rPr>
              <w:t>100%</w:t>
            </w:r>
          </w:p>
        </w:tc>
      </w:tr>
      <w:tr w:rsidR="000624AF" w:rsidRPr="00E74297" w14:paraId="5E295DD1" w14:textId="77777777" w:rsidTr="000624AF">
        <w:tblPrEx>
          <w:tblCellMar>
            <w:left w:w="28" w:type="dxa"/>
            <w:right w:w="28" w:type="dxa"/>
          </w:tblCellMar>
        </w:tblPrEx>
        <w:trPr>
          <w:cantSplit/>
        </w:trPr>
        <w:tc>
          <w:tcPr>
            <w:tcW w:w="9071"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5AC44C" w14:textId="77777777" w:rsidR="000624AF" w:rsidRPr="00E74297" w:rsidRDefault="000624AF" w:rsidP="000624AF">
            <w:pPr>
              <w:pStyle w:val="TableText0"/>
              <w:rPr>
                <w:b/>
              </w:rPr>
            </w:pPr>
            <w:r w:rsidRPr="00E74297">
              <w:rPr>
                <w:b/>
              </w:rPr>
              <w:t>QALYs</w:t>
            </w:r>
          </w:p>
        </w:tc>
      </w:tr>
      <w:tr w:rsidR="000624AF" w:rsidRPr="00E74297" w14:paraId="2ADB3436" w14:textId="77777777" w:rsidTr="000624AF">
        <w:tblPrEx>
          <w:tblCellMar>
            <w:left w:w="28" w:type="dxa"/>
            <w:right w:w="28" w:type="dxa"/>
          </w:tblCellMar>
        </w:tblPrEx>
        <w:trPr>
          <w:cantSplit/>
        </w:trPr>
        <w:tc>
          <w:tcPr>
            <w:tcW w:w="34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00FC54" w14:textId="77777777" w:rsidR="000624AF" w:rsidRPr="00E74297" w:rsidRDefault="000624AF" w:rsidP="000624AF">
            <w:pPr>
              <w:pStyle w:val="TableText0"/>
            </w:pPr>
            <w:r w:rsidRPr="00E74297">
              <w:t>PFS</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14:paraId="64DD27D0" w14:textId="77777777" w:rsidR="000624AF" w:rsidRPr="00E74297" w:rsidRDefault="000624AF" w:rsidP="000624AF">
            <w:pPr>
              <w:pStyle w:val="TableText0"/>
              <w:jc w:val="center"/>
            </w:pPr>
            <w:r w:rsidRPr="00E74297">
              <w:t>0.541</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14:paraId="134D35CD" w14:textId="77777777" w:rsidR="000624AF" w:rsidRPr="00E74297" w:rsidRDefault="000624AF" w:rsidP="000624AF">
            <w:pPr>
              <w:pStyle w:val="TableText0"/>
              <w:jc w:val="center"/>
            </w:pPr>
            <w:r w:rsidRPr="00E74297">
              <w:t>0.316</w:t>
            </w:r>
          </w:p>
        </w:tc>
        <w:tc>
          <w:tcPr>
            <w:tcW w:w="1417" w:type="dxa"/>
            <w:tcBorders>
              <w:top w:val="single" w:sz="4" w:space="0" w:color="auto"/>
              <w:left w:val="single" w:sz="4" w:space="0" w:color="auto"/>
              <w:bottom w:val="single" w:sz="4" w:space="0" w:color="auto"/>
              <w:right w:val="single" w:sz="4" w:space="0" w:color="auto"/>
            </w:tcBorders>
          </w:tcPr>
          <w:p w14:paraId="1415A7C8" w14:textId="77777777" w:rsidR="000624AF" w:rsidRPr="00E74297" w:rsidRDefault="000624AF" w:rsidP="000624AF">
            <w:pPr>
              <w:pStyle w:val="TableText0"/>
              <w:jc w:val="center"/>
            </w:pPr>
            <w:r w:rsidRPr="00E74297">
              <w:t>0.225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14:paraId="1DD260E0" w14:textId="77777777" w:rsidR="000624AF" w:rsidRPr="00E74297" w:rsidRDefault="000624AF" w:rsidP="000624AF">
            <w:pPr>
              <w:pStyle w:val="TableText0"/>
              <w:jc w:val="center"/>
            </w:pPr>
            <w:r w:rsidRPr="00E74297">
              <w:t>77%</w:t>
            </w:r>
          </w:p>
        </w:tc>
      </w:tr>
      <w:tr w:rsidR="000624AF" w:rsidRPr="00E74297" w14:paraId="560AA133" w14:textId="77777777" w:rsidTr="000624AF">
        <w:tblPrEx>
          <w:tblCellMar>
            <w:left w:w="28" w:type="dxa"/>
            <w:right w:w="28" w:type="dxa"/>
          </w:tblCellMar>
        </w:tblPrEx>
        <w:trPr>
          <w:cantSplit/>
        </w:trPr>
        <w:tc>
          <w:tcPr>
            <w:tcW w:w="34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6ED65B" w14:textId="77777777" w:rsidR="000624AF" w:rsidRPr="00E74297" w:rsidRDefault="000624AF" w:rsidP="000624AF">
            <w:pPr>
              <w:pStyle w:val="TableText0"/>
            </w:pPr>
            <w:r w:rsidRPr="00E74297">
              <w:t>PD</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14:paraId="5522399F" w14:textId="77777777" w:rsidR="000624AF" w:rsidRPr="00E74297" w:rsidRDefault="000624AF" w:rsidP="000624AF">
            <w:pPr>
              <w:pStyle w:val="TableText0"/>
              <w:jc w:val="center"/>
            </w:pPr>
            <w:r w:rsidRPr="00E74297">
              <w:t>0.617</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14:paraId="1D097D6D" w14:textId="77777777" w:rsidR="000624AF" w:rsidRPr="00E74297" w:rsidRDefault="000624AF" w:rsidP="000624AF">
            <w:pPr>
              <w:pStyle w:val="TableText0"/>
              <w:jc w:val="center"/>
            </w:pPr>
            <w:r w:rsidRPr="00E74297">
              <w:t>0.550</w:t>
            </w:r>
          </w:p>
        </w:tc>
        <w:tc>
          <w:tcPr>
            <w:tcW w:w="1417" w:type="dxa"/>
            <w:tcBorders>
              <w:top w:val="single" w:sz="4" w:space="0" w:color="auto"/>
              <w:left w:val="single" w:sz="4" w:space="0" w:color="auto"/>
              <w:bottom w:val="single" w:sz="4" w:space="0" w:color="auto"/>
              <w:right w:val="single" w:sz="4" w:space="0" w:color="auto"/>
            </w:tcBorders>
          </w:tcPr>
          <w:p w14:paraId="101D9152" w14:textId="77777777" w:rsidR="000624AF" w:rsidRPr="00E74297" w:rsidRDefault="000624AF" w:rsidP="000624AF">
            <w:pPr>
              <w:pStyle w:val="TableText0"/>
              <w:jc w:val="center"/>
            </w:pPr>
            <w:r w:rsidRPr="00E74297">
              <w:t>0.067</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14:paraId="595CBEA5" w14:textId="77777777" w:rsidR="000624AF" w:rsidRPr="00E74297" w:rsidRDefault="000624AF" w:rsidP="000624AF">
            <w:pPr>
              <w:pStyle w:val="TableText0"/>
              <w:jc w:val="center"/>
            </w:pPr>
            <w:r w:rsidRPr="00E74297">
              <w:t>23%</w:t>
            </w:r>
          </w:p>
        </w:tc>
      </w:tr>
      <w:tr w:rsidR="000624AF" w:rsidRPr="00E74297" w14:paraId="0F761838" w14:textId="77777777" w:rsidTr="000624AF">
        <w:tblPrEx>
          <w:tblCellMar>
            <w:left w:w="28" w:type="dxa"/>
            <w:right w:w="28" w:type="dxa"/>
          </w:tblCellMar>
        </w:tblPrEx>
        <w:trPr>
          <w:cantSplit/>
        </w:trPr>
        <w:tc>
          <w:tcPr>
            <w:tcW w:w="34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D6F286" w14:textId="77777777" w:rsidR="000624AF" w:rsidRPr="00E74297" w:rsidRDefault="000624AF" w:rsidP="000624AF">
            <w:pPr>
              <w:pStyle w:val="TableText0"/>
            </w:pPr>
            <w:r w:rsidRPr="00E74297">
              <w:t>AE disutility</w:t>
            </w:r>
            <w:r w:rsidRPr="00E74297">
              <w:rPr>
                <w:vertAlign w:val="superscript"/>
              </w:rPr>
              <w:t>a</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14:paraId="0122E616" w14:textId="77777777" w:rsidR="000624AF" w:rsidRPr="00E74297" w:rsidRDefault="000624AF" w:rsidP="000624AF">
            <w:pPr>
              <w:pStyle w:val="TableText0"/>
              <w:jc w:val="center"/>
            </w:pPr>
            <w:r w:rsidRPr="00E74297">
              <w:t>0.000</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14:paraId="32E18095" w14:textId="77777777" w:rsidR="000624AF" w:rsidRPr="00E74297" w:rsidRDefault="000624AF" w:rsidP="000624AF">
            <w:pPr>
              <w:pStyle w:val="TableText0"/>
              <w:jc w:val="center"/>
            </w:pPr>
            <w:r w:rsidRPr="00E74297">
              <w:t>0.000</w:t>
            </w:r>
          </w:p>
        </w:tc>
        <w:tc>
          <w:tcPr>
            <w:tcW w:w="1417" w:type="dxa"/>
            <w:tcBorders>
              <w:top w:val="single" w:sz="4" w:space="0" w:color="auto"/>
              <w:left w:val="single" w:sz="4" w:space="0" w:color="auto"/>
              <w:bottom w:val="single" w:sz="4" w:space="0" w:color="auto"/>
              <w:right w:val="single" w:sz="4" w:space="0" w:color="auto"/>
            </w:tcBorders>
          </w:tcPr>
          <w:p w14:paraId="100E9C84" w14:textId="77777777" w:rsidR="000624AF" w:rsidRPr="00E74297" w:rsidRDefault="000624AF" w:rsidP="000624AF">
            <w:pPr>
              <w:pStyle w:val="TableText0"/>
              <w:jc w:val="center"/>
            </w:pPr>
            <w:r w:rsidRPr="00E74297">
              <w:t>0.000</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14:paraId="1B971E67" w14:textId="77777777" w:rsidR="000624AF" w:rsidRPr="00E74297" w:rsidRDefault="000624AF" w:rsidP="000624AF">
            <w:pPr>
              <w:pStyle w:val="TableText0"/>
              <w:jc w:val="center"/>
            </w:pPr>
            <w:r w:rsidRPr="00E74297">
              <w:t>0%</w:t>
            </w:r>
          </w:p>
        </w:tc>
      </w:tr>
      <w:tr w:rsidR="000624AF" w:rsidRPr="00E74297" w14:paraId="40FA4E18" w14:textId="77777777" w:rsidTr="000624AF">
        <w:tblPrEx>
          <w:tblCellMar>
            <w:left w:w="28" w:type="dxa"/>
            <w:right w:w="28" w:type="dxa"/>
          </w:tblCellMar>
        </w:tblPrEx>
        <w:trPr>
          <w:cantSplit/>
        </w:trPr>
        <w:tc>
          <w:tcPr>
            <w:tcW w:w="34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8BE06B" w14:textId="77777777" w:rsidR="000624AF" w:rsidRPr="00E74297" w:rsidRDefault="000624AF" w:rsidP="000624AF">
            <w:pPr>
              <w:pStyle w:val="TableText0"/>
              <w:rPr>
                <w:b/>
              </w:rPr>
            </w:pPr>
            <w:r w:rsidRPr="00E74297">
              <w:rPr>
                <w:b/>
              </w:rPr>
              <w:t>Total</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14:paraId="512D3051" w14:textId="77777777" w:rsidR="000624AF" w:rsidRPr="00E74297" w:rsidRDefault="000624AF" w:rsidP="000624AF">
            <w:pPr>
              <w:pStyle w:val="TableText0"/>
              <w:jc w:val="center"/>
              <w:rPr>
                <w:b/>
              </w:rPr>
            </w:pPr>
            <w:r w:rsidRPr="00E74297">
              <w:rPr>
                <w:b/>
              </w:rPr>
              <w:t>1.158</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14:paraId="4DA36180" w14:textId="77777777" w:rsidR="000624AF" w:rsidRPr="00E74297" w:rsidRDefault="000624AF" w:rsidP="000624AF">
            <w:pPr>
              <w:pStyle w:val="TableText0"/>
              <w:jc w:val="center"/>
              <w:rPr>
                <w:b/>
              </w:rPr>
            </w:pPr>
            <w:r w:rsidRPr="00E74297">
              <w:rPr>
                <w:b/>
              </w:rPr>
              <w:t>0.866</w:t>
            </w:r>
          </w:p>
        </w:tc>
        <w:tc>
          <w:tcPr>
            <w:tcW w:w="1417" w:type="dxa"/>
            <w:tcBorders>
              <w:top w:val="single" w:sz="4" w:space="0" w:color="auto"/>
              <w:left w:val="single" w:sz="4" w:space="0" w:color="auto"/>
              <w:bottom w:val="single" w:sz="4" w:space="0" w:color="auto"/>
              <w:right w:val="single" w:sz="4" w:space="0" w:color="auto"/>
            </w:tcBorders>
          </w:tcPr>
          <w:p w14:paraId="0FE04FAF" w14:textId="77777777" w:rsidR="000624AF" w:rsidRPr="00E74297" w:rsidRDefault="000624AF" w:rsidP="000624AF">
            <w:pPr>
              <w:pStyle w:val="TableText0"/>
              <w:jc w:val="center"/>
              <w:rPr>
                <w:b/>
              </w:rPr>
            </w:pPr>
            <w:r w:rsidRPr="00E74297">
              <w:rPr>
                <w:b/>
              </w:rPr>
              <w:t>0.293</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5D9A6F" w14:textId="77777777" w:rsidR="000624AF" w:rsidRPr="00E74297" w:rsidRDefault="000624AF" w:rsidP="000624AF">
            <w:pPr>
              <w:pStyle w:val="TableText0"/>
              <w:jc w:val="center"/>
              <w:rPr>
                <w:b/>
              </w:rPr>
            </w:pPr>
            <w:r w:rsidRPr="00E74297">
              <w:rPr>
                <w:b/>
              </w:rPr>
              <w:t>100%</w:t>
            </w:r>
          </w:p>
        </w:tc>
      </w:tr>
    </w:tbl>
    <w:p w14:paraId="5D92CA48" w14:textId="77777777" w:rsidR="000624AF" w:rsidRPr="00E74297" w:rsidRDefault="000624AF" w:rsidP="000624AF">
      <w:pPr>
        <w:pStyle w:val="FooterTableFigure"/>
      </w:pPr>
      <w:r w:rsidRPr="00E74297">
        <w:t>Source: Constructed during the evaluation from the “Attachment 07 – Trodelvy HR+HER2- mBC Economic model” Excel Workbook provided with the submission.</w:t>
      </w:r>
    </w:p>
    <w:p w14:paraId="0165BE5F" w14:textId="77777777" w:rsidR="000E337C" w:rsidRPr="00E74297" w:rsidRDefault="000624AF" w:rsidP="000624AF">
      <w:pPr>
        <w:pStyle w:val="FooterTableFigure"/>
      </w:pPr>
      <w:r w:rsidRPr="00E74297">
        <w:t>AE = adverse event; PD = progressed disease; PFS = progression free survival; QALY = quality adjusted life year; SG = sacituzumab govitecan; TPC = treatment of physician choice (consisting of eribulin, capecitabine, gemcitabine or vinorelbine).</w:t>
      </w:r>
    </w:p>
    <w:p w14:paraId="6BBD5B29" w14:textId="4F1862C2" w:rsidR="000E337C" w:rsidRDefault="000624AF" w:rsidP="000624AF">
      <w:pPr>
        <w:pStyle w:val="FooterTableFigure"/>
      </w:pPr>
      <w:r w:rsidRPr="00E74297">
        <w:rPr>
          <w:vertAlign w:val="superscript"/>
        </w:rPr>
        <w:t>a</w:t>
      </w:r>
      <w:r w:rsidRPr="00E74297">
        <w:t xml:space="preserve"> Health utilities have been adjusted to include decrements due to AEs.</w:t>
      </w:r>
    </w:p>
    <w:p w14:paraId="4F3F8070" w14:textId="77777777" w:rsidR="00D965F8" w:rsidRPr="007D6FC5" w:rsidRDefault="00D965F8" w:rsidP="00D965F8">
      <w:pPr>
        <w:pStyle w:val="FooterTableFigure"/>
        <w:spacing w:after="0"/>
        <w:rPr>
          <w:i/>
          <w:iCs/>
        </w:rPr>
      </w:pPr>
      <w:r w:rsidRPr="007D6FC5">
        <w:rPr>
          <w:i/>
          <w:iCs/>
        </w:rPr>
        <w:t>The redacted values correspond to the following ranges</w:t>
      </w:r>
      <w:r>
        <w:rPr>
          <w:i/>
          <w:iCs/>
        </w:rPr>
        <w:t>:</w:t>
      </w:r>
    </w:p>
    <w:p w14:paraId="522F36E8" w14:textId="77777777" w:rsidR="00D965F8" w:rsidRDefault="00D965F8" w:rsidP="00D965F8">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1</w:t>
      </w:r>
      <w:r>
        <w:rPr>
          <w:rFonts w:ascii="Arial Narrow" w:hAnsi="Arial Narrow" w:cs="Arial Narrow"/>
          <w:i/>
          <w:iCs/>
          <w:sz w:val="18"/>
          <w:szCs w:val="18"/>
        </w:rPr>
        <w:t xml:space="preserve"> </w:t>
      </w:r>
      <w:r w:rsidRPr="00DE481A">
        <w:rPr>
          <w:rFonts w:ascii="Arial Narrow" w:hAnsi="Arial Narrow" w:cs="Arial Narrow"/>
          <w:i/>
          <w:iCs/>
          <w:sz w:val="18"/>
          <w:szCs w:val="18"/>
        </w:rPr>
        <w:t>$15,000 to &lt; $25,000</w:t>
      </w:r>
    </w:p>
    <w:p w14:paraId="785A4389" w14:textId="2F2CFF54" w:rsidR="00D965F8" w:rsidRDefault="00D965F8" w:rsidP="00D965F8">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2</w:t>
      </w:r>
      <w:r>
        <w:rPr>
          <w:rFonts w:ascii="Arial Narrow" w:hAnsi="Arial Narrow" w:cs="Arial Narrow"/>
          <w:i/>
          <w:iCs/>
          <w:sz w:val="18"/>
          <w:szCs w:val="18"/>
        </w:rPr>
        <w:t xml:space="preserve"> </w:t>
      </w:r>
      <w:r w:rsidR="00BB52E8" w:rsidRPr="00BB52E8">
        <w:rPr>
          <w:rFonts w:ascii="Arial Narrow" w:hAnsi="Arial Narrow" w:cs="Arial Narrow"/>
          <w:i/>
          <w:iCs/>
          <w:sz w:val="18"/>
          <w:szCs w:val="18"/>
        </w:rPr>
        <w:t>$0 to &lt; $5,000</w:t>
      </w:r>
    </w:p>
    <w:p w14:paraId="75918437" w14:textId="2A86F6D1" w:rsidR="00D965F8" w:rsidRPr="00AF2668" w:rsidRDefault="00D965F8" w:rsidP="00AF2668">
      <w:pPr>
        <w:autoSpaceDE w:val="0"/>
        <w:autoSpaceDN w:val="0"/>
        <w:adjustRightInd w:val="0"/>
        <w:spacing w:after="120"/>
        <w:jc w:val="left"/>
        <w:rPr>
          <w:rFonts w:ascii="Arial Narrow" w:hAnsi="Arial Narrow" w:cs="Arial Narrow"/>
          <w:i/>
          <w:iCs/>
          <w:sz w:val="18"/>
          <w:szCs w:val="18"/>
        </w:rPr>
      </w:pPr>
      <w:r>
        <w:rPr>
          <w:rFonts w:ascii="Arial Narrow" w:hAnsi="Arial Narrow" w:cs="Arial Narrow"/>
          <w:i/>
          <w:iCs/>
          <w:sz w:val="18"/>
          <w:szCs w:val="18"/>
          <w:vertAlign w:val="superscript"/>
        </w:rPr>
        <w:t>3</w:t>
      </w:r>
      <w:r>
        <w:rPr>
          <w:rFonts w:ascii="Arial Narrow" w:hAnsi="Arial Narrow" w:cs="Arial Narrow"/>
          <w:i/>
          <w:iCs/>
          <w:sz w:val="18"/>
          <w:szCs w:val="18"/>
        </w:rPr>
        <w:t xml:space="preserve"> </w:t>
      </w:r>
      <w:r w:rsidR="00BB52E8" w:rsidRPr="00BB52E8">
        <w:rPr>
          <w:rFonts w:ascii="Arial Narrow" w:hAnsi="Arial Narrow" w:cs="Arial Narrow"/>
          <w:i/>
          <w:iCs/>
          <w:sz w:val="18"/>
          <w:szCs w:val="18"/>
        </w:rPr>
        <w:t>Dominant</w:t>
      </w:r>
    </w:p>
    <w:p w14:paraId="0C39F010" w14:textId="77777777" w:rsidR="000E337C" w:rsidRPr="00E74297" w:rsidRDefault="000624AF" w:rsidP="00C364BD">
      <w:pPr>
        <w:pStyle w:val="3-BodyText"/>
      </w:pPr>
      <w:r w:rsidRPr="00E74297">
        <w:t xml:space="preserve">Key sensitivity analyses conducted by the submission and during the evaluation are presented in </w:t>
      </w:r>
      <w:r w:rsidRPr="00E74297">
        <w:fldChar w:fldCharType="begin" w:fldLock="1"/>
      </w:r>
      <w:r w:rsidRPr="00E74297">
        <w:instrText xml:space="preserve"> REF _Ref134435905 \h </w:instrText>
      </w:r>
      <w:r w:rsidRPr="00E74297">
        <w:fldChar w:fldCharType="separate"/>
      </w:r>
      <w:r w:rsidR="00AE1DC7" w:rsidRPr="00E74297">
        <w:t>Table 13</w:t>
      </w:r>
      <w:r w:rsidRPr="00E74297">
        <w:fldChar w:fldCharType="end"/>
      </w:r>
      <w:r w:rsidRPr="00E74297">
        <w:t xml:space="preserve">. </w:t>
      </w:r>
      <w:bookmarkStart w:id="74" w:name="_Ref132379682"/>
      <w:r w:rsidRPr="00E74297">
        <w:t xml:space="preserve">The change in OS parameters (the truncation time point and parametric curve extrapolation), the choice of health state utilities, and incorporating no vial sharing of </w:t>
      </w:r>
      <w:r w:rsidR="00BB7971" w:rsidRPr="00E74297">
        <w:t>EFC</w:t>
      </w:r>
      <w:r w:rsidRPr="00E74297">
        <w:t xml:space="preserve"> treatment drugs (in line with the PBAC guidelines) had a large impact on the results.</w:t>
      </w:r>
    </w:p>
    <w:p w14:paraId="7E3847DF" w14:textId="5A5F11C7" w:rsidR="000624AF" w:rsidRPr="00E74297" w:rsidRDefault="000624AF" w:rsidP="00B22C7C">
      <w:pPr>
        <w:pStyle w:val="Caption"/>
        <w:keepNext w:val="0"/>
        <w:keepLines w:val="0"/>
        <w:widowControl w:val="0"/>
      </w:pPr>
      <w:bookmarkStart w:id="75" w:name="_Ref134435905"/>
      <w:bookmarkStart w:id="76" w:name="_Ref137374666"/>
      <w:r w:rsidRPr="00E74297">
        <w:t xml:space="preserve">Table </w:t>
      </w:r>
      <w:fldSimple w:instr=" SEQ Table \* ARABIC " w:fldLock="1">
        <w:r w:rsidR="00AE1DC7" w:rsidRPr="00E74297">
          <w:t>13</w:t>
        </w:r>
      </w:fldSimple>
      <w:bookmarkEnd w:id="74"/>
      <w:bookmarkEnd w:id="75"/>
      <w:r w:rsidRPr="00E74297">
        <w:t>: Key sensitivity analyses</w:t>
      </w:r>
      <w:bookmarkEnd w:id="7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098"/>
        <w:gridCol w:w="1134"/>
        <w:gridCol w:w="1134"/>
        <w:gridCol w:w="851"/>
        <w:gridCol w:w="850"/>
      </w:tblGrid>
      <w:tr w:rsidR="000624AF" w:rsidRPr="00E74297" w14:paraId="49F6A254" w14:textId="77777777" w:rsidTr="00AF2668">
        <w:trPr>
          <w:trHeight w:val="220"/>
          <w:tblHead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502A41D4" w14:textId="77777777" w:rsidR="000624AF" w:rsidRPr="00E74297" w:rsidRDefault="000624AF" w:rsidP="00B22C7C">
            <w:pPr>
              <w:pStyle w:val="In-tableHeading"/>
              <w:keepNext w:val="0"/>
              <w:widowControl w:val="0"/>
              <w:jc w:val="center"/>
              <w:rPr>
                <w:lang w:val="en-AU"/>
              </w:rPr>
            </w:pPr>
            <w:r w:rsidRPr="00E74297">
              <w:rPr>
                <w:lang w:val="en-AU"/>
              </w:rPr>
              <w:t>Analyses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2C39C3" w14:textId="00F4D6E9" w:rsidR="000624AF" w:rsidRPr="00E74297" w:rsidRDefault="000624AF" w:rsidP="00B22C7C">
            <w:pPr>
              <w:pStyle w:val="In-tableHeading"/>
              <w:keepNext w:val="0"/>
              <w:widowControl w:val="0"/>
              <w:jc w:val="center"/>
              <w:rPr>
                <w:lang w:val="en-AU"/>
              </w:rPr>
            </w:pPr>
            <w:r w:rsidRPr="00E74297">
              <w:rPr>
                <w:lang w:val="en-AU"/>
              </w:rPr>
              <w:t>Incremental cost</w:t>
            </w:r>
            <w:r w:rsidR="009D0A03">
              <w:rPr>
                <w:lang w:val="en-A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B095DA" w14:textId="77777777" w:rsidR="000624AF" w:rsidRPr="00E74297" w:rsidRDefault="000624AF" w:rsidP="00B22C7C">
            <w:pPr>
              <w:pStyle w:val="In-tableHeading"/>
              <w:keepNext w:val="0"/>
              <w:widowControl w:val="0"/>
              <w:jc w:val="center"/>
              <w:rPr>
                <w:lang w:val="en-AU"/>
              </w:rPr>
            </w:pPr>
            <w:r w:rsidRPr="00E74297">
              <w:rPr>
                <w:lang w:val="en-AU"/>
              </w:rPr>
              <w:t>Incremental QALY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71A5E4" w14:textId="57CF434A" w:rsidR="000624AF" w:rsidRPr="00E74297" w:rsidRDefault="000624AF" w:rsidP="00B22C7C">
            <w:pPr>
              <w:pStyle w:val="In-tableHeading"/>
              <w:keepNext w:val="0"/>
              <w:widowControl w:val="0"/>
              <w:jc w:val="center"/>
              <w:rPr>
                <w:lang w:val="en-AU"/>
              </w:rPr>
            </w:pPr>
            <w:r w:rsidRPr="00E74297">
              <w:rPr>
                <w:lang w:val="en-AU"/>
              </w:rPr>
              <w:t>ICER</w:t>
            </w:r>
            <w:r w:rsidR="009D0A03">
              <w:rPr>
                <w:lang w:val="en-A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F5C797" w14:textId="77777777" w:rsidR="000624AF" w:rsidRPr="00E74297" w:rsidRDefault="000624AF" w:rsidP="00B22C7C">
            <w:pPr>
              <w:pStyle w:val="In-tableHeading"/>
              <w:keepNext w:val="0"/>
              <w:widowControl w:val="0"/>
              <w:jc w:val="center"/>
              <w:rPr>
                <w:lang w:val="en-AU"/>
              </w:rPr>
            </w:pPr>
            <w:r w:rsidRPr="00E74297">
              <w:rPr>
                <w:lang w:val="en-AU"/>
              </w:rPr>
              <w:t>% Change</w:t>
            </w:r>
          </w:p>
        </w:tc>
      </w:tr>
      <w:tr w:rsidR="000624AF" w:rsidRPr="00E74297" w14:paraId="6AC5602D" w14:textId="77777777" w:rsidTr="00AF2668">
        <w:trPr>
          <w:trHeight w:val="220"/>
          <w:tblHeader/>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15BE57E2" w14:textId="77777777" w:rsidR="000624AF" w:rsidRPr="00E74297" w:rsidRDefault="000624AF" w:rsidP="00B22C7C">
            <w:pPr>
              <w:pStyle w:val="In-tableHeading"/>
              <w:keepNext w:val="0"/>
              <w:widowControl w:val="0"/>
              <w:rPr>
                <w:lang w:val="en-AU"/>
              </w:rPr>
            </w:pPr>
            <w:r w:rsidRPr="00E74297">
              <w:rPr>
                <w:lang w:val="en-AU"/>
              </w:rPr>
              <w:t>Base case</w:t>
            </w:r>
          </w:p>
        </w:tc>
        <w:tc>
          <w:tcPr>
            <w:tcW w:w="1134" w:type="dxa"/>
            <w:tcBorders>
              <w:top w:val="single" w:sz="4" w:space="0" w:color="auto"/>
              <w:left w:val="single" w:sz="4" w:space="0" w:color="auto"/>
              <w:bottom w:val="single" w:sz="4" w:space="0" w:color="auto"/>
              <w:right w:val="single" w:sz="4" w:space="0" w:color="auto"/>
            </w:tcBorders>
            <w:shd w:val="solid" w:color="000000" w:fill="000000"/>
            <w:vAlign w:val="center"/>
          </w:tcPr>
          <w:p w14:paraId="423E2F5A" w14:textId="3124C00D" w:rsidR="000624AF" w:rsidRPr="009D0A03" w:rsidRDefault="006F55C1" w:rsidP="00B22C7C">
            <w:pPr>
              <w:pStyle w:val="In-tableHeading"/>
              <w:keepNext w:val="0"/>
              <w:widowControl w:val="0"/>
              <w:jc w:val="center"/>
              <w:rPr>
                <w:highlight w:val="darkGray"/>
                <w:lang w:val="en-AU"/>
              </w:rPr>
            </w:pPr>
            <w:r w:rsidRPr="001777F5">
              <w:rPr>
                <w:rFonts w:hint="eastAsia"/>
                <w:color w:val="000000"/>
                <w:w w:val="15"/>
                <w:fitText w:val="45" w:id="-1168282367"/>
                <w:lang w:val="en-AU"/>
                <w14:textFill>
                  <w14:solidFill>
                    <w14:srgbClr w14:val="000000">
                      <w14:alpha w14:val="100000"/>
                    </w14:srgbClr>
                  </w14:solidFill>
                </w14:textFill>
              </w:rPr>
              <w:t xml:space="preserve">　</w:t>
            </w:r>
            <w:r w:rsidRPr="001777F5">
              <w:rPr>
                <w:color w:val="000000"/>
                <w:w w:val="15"/>
                <w:fitText w:val="45" w:id="-1168282367"/>
                <w:lang w:val="en-AU"/>
                <w14:textFill>
                  <w14:solidFill>
                    <w14:srgbClr w14:val="000000">
                      <w14:alpha w14:val="100000"/>
                    </w14:srgbClr>
                  </w14:solidFill>
                </w14:textFill>
              </w:rPr>
              <w:t>|</w:t>
            </w:r>
            <w:r w:rsidRPr="001777F5">
              <w:rPr>
                <w:rFonts w:hint="eastAsia"/>
                <w:color w:val="000000"/>
                <w:spacing w:val="-30"/>
                <w:w w:val="15"/>
                <w:fitText w:val="45" w:id="-1168282367"/>
                <w:lang w:val="en-AU"/>
                <w14:textFill>
                  <w14:solidFill>
                    <w14:srgbClr w14:val="000000">
                      <w14:alpha w14:val="100000"/>
                    </w14:srgbClr>
                  </w14:solidFill>
                </w14:textFil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AB56A6" w14:textId="77777777" w:rsidR="000624AF" w:rsidRPr="00E74297" w:rsidRDefault="000624AF" w:rsidP="00B22C7C">
            <w:pPr>
              <w:pStyle w:val="In-tableHeading"/>
              <w:keepNext w:val="0"/>
              <w:widowControl w:val="0"/>
              <w:jc w:val="center"/>
              <w:rPr>
                <w:lang w:val="en-AU"/>
              </w:rPr>
            </w:pPr>
            <w:r w:rsidRPr="00E74297">
              <w:rPr>
                <w:lang w:val="en-AU"/>
              </w:rPr>
              <w:t>0.359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281F08" w14:textId="4ABFD651" w:rsidR="000624AF" w:rsidRPr="00227288" w:rsidRDefault="006F55C1" w:rsidP="00B22C7C">
            <w:pPr>
              <w:pStyle w:val="In-tableHeading"/>
              <w:keepNext w:val="0"/>
              <w:widowControl w:val="0"/>
              <w:jc w:val="center"/>
              <w:rPr>
                <w:highlight w:val="darkGray"/>
                <w:lang w:val="en-AU"/>
              </w:rPr>
            </w:pPr>
            <w:r w:rsidRPr="006F55C1">
              <w:rPr>
                <w:color w:val="000000"/>
                <w:spacing w:val="103"/>
                <w:shd w:val="solid" w:color="000000" w:fill="000000"/>
                <w:fitText w:val="195" w:id="-1168282366"/>
                <w:lang w:val="en-AU"/>
                <w14:textFill>
                  <w14:solidFill>
                    <w14:srgbClr w14:val="000000">
                      <w14:alpha w14:val="100000"/>
                    </w14:srgbClr>
                  </w14:solidFill>
                </w14:textFill>
              </w:rPr>
              <w:t>|</w:t>
            </w:r>
            <w:r w:rsidRPr="006F55C1">
              <w:rPr>
                <w:color w:val="000000"/>
                <w:spacing w:val="1"/>
                <w:shd w:val="solid" w:color="000000" w:fill="000000"/>
                <w:fitText w:val="195" w:id="-1168282366"/>
                <w:lang w:val="en-AU"/>
                <w14:textFill>
                  <w14:solidFill>
                    <w14:srgbClr w14:val="000000">
                      <w14:alpha w14:val="100000"/>
                    </w14:srgbClr>
                  </w14:solidFill>
                </w14:textFill>
              </w:rPr>
              <w:t>|</w:t>
            </w:r>
            <w:r w:rsidR="00227288" w:rsidRPr="00227288">
              <w:rPr>
                <w:rFonts w:cs="Arial Narrow"/>
                <w:sz w:val="18"/>
                <w:szCs w:val="18"/>
                <w:vertAlign w:val="superscript"/>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3B51FE" w14:textId="77777777" w:rsidR="000624AF" w:rsidRPr="00E74297" w:rsidRDefault="000624AF" w:rsidP="00B22C7C">
            <w:pPr>
              <w:pStyle w:val="In-tableHeading"/>
              <w:keepNext w:val="0"/>
              <w:widowControl w:val="0"/>
              <w:jc w:val="center"/>
              <w:rPr>
                <w:lang w:val="en-AU"/>
              </w:rPr>
            </w:pPr>
            <w:r w:rsidRPr="00E74297">
              <w:rPr>
                <w:lang w:val="en-AU"/>
              </w:rPr>
              <w:t>0%</w:t>
            </w:r>
          </w:p>
        </w:tc>
      </w:tr>
      <w:tr w:rsidR="000624AF" w:rsidRPr="00E74297" w14:paraId="0160C424" w14:textId="77777777" w:rsidTr="00AF2668">
        <w:trPr>
          <w:trHeight w:val="220"/>
        </w:trPr>
        <w:tc>
          <w:tcPr>
            <w:tcW w:w="5098" w:type="dxa"/>
            <w:tcBorders>
              <w:top w:val="single" w:sz="4" w:space="0" w:color="auto"/>
              <w:left w:val="single" w:sz="4" w:space="0" w:color="auto"/>
              <w:bottom w:val="nil"/>
              <w:right w:val="single" w:sz="4" w:space="0" w:color="auto"/>
            </w:tcBorders>
            <w:shd w:val="clear" w:color="auto" w:fill="auto"/>
          </w:tcPr>
          <w:p w14:paraId="3107958F" w14:textId="77777777" w:rsidR="000624AF" w:rsidRPr="00E74297" w:rsidRDefault="000624AF" w:rsidP="00B22C7C">
            <w:pPr>
              <w:pStyle w:val="In-tableHeading"/>
              <w:keepNext w:val="0"/>
              <w:widowControl w:val="0"/>
              <w:rPr>
                <w:b w:val="0"/>
                <w:lang w:val="en-AU"/>
              </w:rPr>
            </w:pPr>
            <w:r w:rsidRPr="00E74297">
              <w:rPr>
                <w:b w:val="0"/>
                <w:lang w:val="en-AU"/>
              </w:rPr>
              <w:t>Discount rate (base case 5% costs and outcomes)</w:t>
            </w:r>
          </w:p>
        </w:tc>
        <w:tc>
          <w:tcPr>
            <w:tcW w:w="1134" w:type="dxa"/>
            <w:tcBorders>
              <w:top w:val="single" w:sz="4" w:space="0" w:color="auto"/>
              <w:left w:val="single" w:sz="4" w:space="0" w:color="auto"/>
              <w:bottom w:val="nil"/>
              <w:right w:val="single" w:sz="4" w:space="0" w:color="auto"/>
            </w:tcBorders>
            <w:shd w:val="clear" w:color="auto" w:fill="auto"/>
            <w:vAlign w:val="center"/>
          </w:tcPr>
          <w:p w14:paraId="0B01687E" w14:textId="77777777" w:rsidR="000624AF" w:rsidRPr="009D0A03" w:rsidRDefault="000624AF" w:rsidP="00B22C7C">
            <w:pPr>
              <w:pStyle w:val="In-tableHeading"/>
              <w:keepNext w:val="0"/>
              <w:widowControl w:val="0"/>
              <w:jc w:val="center"/>
              <w:rPr>
                <w:b w:val="0"/>
                <w:highlight w:val="darkGray"/>
                <w:lang w:val="en-AU"/>
              </w:rPr>
            </w:pPr>
          </w:p>
        </w:tc>
        <w:tc>
          <w:tcPr>
            <w:tcW w:w="1134" w:type="dxa"/>
            <w:tcBorders>
              <w:top w:val="single" w:sz="4" w:space="0" w:color="auto"/>
              <w:left w:val="single" w:sz="4" w:space="0" w:color="auto"/>
              <w:bottom w:val="nil"/>
              <w:right w:val="single" w:sz="4" w:space="0" w:color="auto"/>
            </w:tcBorders>
            <w:shd w:val="clear" w:color="auto" w:fill="auto"/>
            <w:vAlign w:val="center"/>
          </w:tcPr>
          <w:p w14:paraId="50125F92" w14:textId="77777777" w:rsidR="000624AF" w:rsidRPr="00E74297" w:rsidRDefault="000624AF" w:rsidP="00B22C7C">
            <w:pPr>
              <w:pStyle w:val="In-tableHeading"/>
              <w:keepNext w:val="0"/>
              <w:widowControl w:val="0"/>
              <w:jc w:val="center"/>
              <w:rPr>
                <w:b w:val="0"/>
                <w:lang w:val="en-AU"/>
              </w:rPr>
            </w:pPr>
          </w:p>
        </w:tc>
        <w:tc>
          <w:tcPr>
            <w:tcW w:w="851" w:type="dxa"/>
            <w:tcBorders>
              <w:top w:val="single" w:sz="4" w:space="0" w:color="auto"/>
              <w:left w:val="single" w:sz="4" w:space="0" w:color="auto"/>
              <w:bottom w:val="nil"/>
              <w:right w:val="single" w:sz="4" w:space="0" w:color="auto"/>
            </w:tcBorders>
            <w:shd w:val="clear" w:color="auto" w:fill="auto"/>
            <w:vAlign w:val="center"/>
          </w:tcPr>
          <w:p w14:paraId="6BE94DE9" w14:textId="77777777" w:rsidR="000624AF" w:rsidRPr="00227288" w:rsidRDefault="000624AF" w:rsidP="00B22C7C">
            <w:pPr>
              <w:pStyle w:val="In-tableHeading"/>
              <w:keepNext w:val="0"/>
              <w:widowControl w:val="0"/>
              <w:jc w:val="center"/>
              <w:rPr>
                <w:b w:val="0"/>
                <w:bCs/>
                <w:highlight w:val="darkGray"/>
                <w:lang w:val="en-AU"/>
              </w:rPr>
            </w:pPr>
          </w:p>
        </w:tc>
        <w:tc>
          <w:tcPr>
            <w:tcW w:w="850" w:type="dxa"/>
            <w:tcBorders>
              <w:top w:val="single" w:sz="4" w:space="0" w:color="auto"/>
              <w:left w:val="single" w:sz="4" w:space="0" w:color="auto"/>
              <w:bottom w:val="nil"/>
              <w:right w:val="single" w:sz="4" w:space="0" w:color="auto"/>
            </w:tcBorders>
            <w:shd w:val="clear" w:color="auto" w:fill="auto"/>
            <w:vAlign w:val="center"/>
          </w:tcPr>
          <w:p w14:paraId="705ED6BB" w14:textId="77777777" w:rsidR="000624AF" w:rsidRPr="00E74297" w:rsidRDefault="000624AF" w:rsidP="00B22C7C">
            <w:pPr>
              <w:pStyle w:val="In-tableHeading"/>
              <w:keepNext w:val="0"/>
              <w:widowControl w:val="0"/>
              <w:jc w:val="center"/>
              <w:rPr>
                <w:b w:val="0"/>
                <w:lang w:val="en-AU"/>
              </w:rPr>
            </w:pPr>
          </w:p>
        </w:tc>
      </w:tr>
      <w:tr w:rsidR="000624AF" w:rsidRPr="00E74297" w14:paraId="7C2021CB" w14:textId="77777777" w:rsidTr="00AF2668">
        <w:trPr>
          <w:trHeight w:val="220"/>
        </w:trPr>
        <w:tc>
          <w:tcPr>
            <w:tcW w:w="5098" w:type="dxa"/>
            <w:tcBorders>
              <w:top w:val="nil"/>
              <w:left w:val="single" w:sz="4" w:space="0" w:color="auto"/>
              <w:bottom w:val="nil"/>
              <w:right w:val="single" w:sz="4" w:space="0" w:color="auto"/>
            </w:tcBorders>
            <w:shd w:val="clear" w:color="auto" w:fill="auto"/>
          </w:tcPr>
          <w:p w14:paraId="78514475" w14:textId="77777777" w:rsidR="000624AF" w:rsidRPr="00E74297" w:rsidRDefault="000624AF" w:rsidP="00B22C7C">
            <w:pPr>
              <w:pStyle w:val="In-tableHeading"/>
              <w:keepNext w:val="0"/>
              <w:widowControl w:val="0"/>
              <w:rPr>
                <w:b w:val="0"/>
                <w:lang w:val="en-AU"/>
              </w:rPr>
            </w:pPr>
            <w:r w:rsidRPr="00E74297">
              <w:rPr>
                <w:b w:val="0"/>
                <w:lang w:val="en-AU"/>
              </w:rPr>
              <w:t>0% costs and outcomes</w:t>
            </w:r>
          </w:p>
        </w:tc>
        <w:tc>
          <w:tcPr>
            <w:tcW w:w="1134" w:type="dxa"/>
            <w:tcBorders>
              <w:top w:val="nil"/>
              <w:left w:val="single" w:sz="4" w:space="0" w:color="auto"/>
              <w:bottom w:val="nil"/>
              <w:right w:val="single" w:sz="4" w:space="0" w:color="auto"/>
            </w:tcBorders>
            <w:shd w:val="solid" w:color="000000" w:fill="000000"/>
          </w:tcPr>
          <w:p w14:paraId="60BC4339" w14:textId="16BF1A73" w:rsidR="000624AF" w:rsidRPr="009D0A03" w:rsidRDefault="006F55C1" w:rsidP="00B22C7C">
            <w:pPr>
              <w:pStyle w:val="In-tableHeading"/>
              <w:keepNext w:val="0"/>
              <w:widowControl w:val="0"/>
              <w:jc w:val="center"/>
              <w:rPr>
                <w:b w:val="0"/>
                <w:highlight w:val="darkGray"/>
                <w:lang w:val="en-AU"/>
              </w:rPr>
            </w:pPr>
            <w:r w:rsidRPr="006F55C1">
              <w:rPr>
                <w:b w:val="0"/>
                <w:color w:val="000000"/>
                <w:lang w:val="en-AU"/>
                <w14:textFill>
                  <w14:solidFill>
                    <w14:srgbClr w14:val="000000">
                      <w14:alpha w14:val="100000"/>
                    </w14:srgbClr>
                  </w14:solidFill>
                </w14:textFill>
              </w:rPr>
              <w:t>|</w:t>
            </w:r>
          </w:p>
        </w:tc>
        <w:tc>
          <w:tcPr>
            <w:tcW w:w="1134" w:type="dxa"/>
            <w:tcBorders>
              <w:top w:val="nil"/>
              <w:left w:val="single" w:sz="4" w:space="0" w:color="auto"/>
              <w:bottom w:val="nil"/>
              <w:right w:val="single" w:sz="4" w:space="0" w:color="auto"/>
            </w:tcBorders>
            <w:shd w:val="clear" w:color="auto" w:fill="auto"/>
          </w:tcPr>
          <w:p w14:paraId="316BDDB7" w14:textId="4AEC3EBC" w:rsidR="000624AF" w:rsidRPr="00E74297" w:rsidRDefault="000624AF" w:rsidP="00B22C7C">
            <w:pPr>
              <w:pStyle w:val="In-tableHeading"/>
              <w:keepNext w:val="0"/>
              <w:widowControl w:val="0"/>
              <w:jc w:val="center"/>
              <w:rPr>
                <w:b w:val="0"/>
                <w:lang w:val="en-AU"/>
              </w:rPr>
            </w:pPr>
            <w:r w:rsidRPr="00E74297">
              <w:rPr>
                <w:b w:val="0"/>
                <w:lang w:val="en-AU"/>
              </w:rPr>
              <w:t>0.32</w:t>
            </w:r>
          </w:p>
        </w:tc>
        <w:tc>
          <w:tcPr>
            <w:tcW w:w="851" w:type="dxa"/>
            <w:tcBorders>
              <w:top w:val="nil"/>
              <w:left w:val="single" w:sz="4" w:space="0" w:color="auto"/>
              <w:bottom w:val="nil"/>
              <w:right w:val="single" w:sz="4" w:space="0" w:color="auto"/>
            </w:tcBorders>
            <w:shd w:val="clear" w:color="auto" w:fill="auto"/>
          </w:tcPr>
          <w:p w14:paraId="12258090" w14:textId="525FC909" w:rsidR="000624AF" w:rsidRPr="00227288" w:rsidRDefault="006F55C1" w:rsidP="00B22C7C">
            <w:pPr>
              <w:pStyle w:val="In-tableHeading"/>
              <w:keepNext w:val="0"/>
              <w:widowControl w:val="0"/>
              <w:jc w:val="center"/>
              <w:rPr>
                <w:b w:val="0"/>
                <w:bCs/>
                <w:highlight w:val="darkGray"/>
                <w:lang w:val="en-AU"/>
              </w:rPr>
            </w:pPr>
            <w:r w:rsidRPr="006F55C1">
              <w:rPr>
                <w:b w:val="0"/>
                <w:bCs/>
                <w:color w:val="000000"/>
                <w:spacing w:val="79"/>
                <w:shd w:val="solid" w:color="000000" w:fill="000000"/>
                <w:fitText w:val="165" w:id="-1168282365"/>
                <w:lang w:val="en-AU"/>
                <w14:textFill>
                  <w14:solidFill>
                    <w14:srgbClr w14:val="000000">
                      <w14:alpha w14:val="100000"/>
                    </w14:srgbClr>
                  </w14:solidFill>
                </w14:textFill>
              </w:rPr>
              <w:t>|</w:t>
            </w:r>
            <w:r w:rsidRPr="006F55C1">
              <w:rPr>
                <w:b w:val="0"/>
                <w:bCs/>
                <w:color w:val="000000"/>
                <w:spacing w:val="1"/>
                <w:shd w:val="solid" w:color="000000" w:fill="000000"/>
                <w:fitText w:val="165" w:id="-1168282365"/>
                <w:lang w:val="en-AU"/>
                <w14:textFill>
                  <w14:solidFill>
                    <w14:srgbClr w14:val="000000">
                      <w14:alpha w14:val="100000"/>
                    </w14:srgbClr>
                  </w14:solidFill>
                </w14:textFill>
              </w:rPr>
              <w:t>|</w:t>
            </w:r>
            <w:r w:rsidR="00227288" w:rsidRPr="00227288">
              <w:rPr>
                <w:rFonts w:cs="Arial Narrow"/>
                <w:b w:val="0"/>
                <w:bCs/>
                <w:sz w:val="18"/>
                <w:szCs w:val="18"/>
                <w:vertAlign w:val="superscript"/>
              </w:rPr>
              <w:t>2</w:t>
            </w:r>
          </w:p>
        </w:tc>
        <w:tc>
          <w:tcPr>
            <w:tcW w:w="850" w:type="dxa"/>
            <w:tcBorders>
              <w:top w:val="nil"/>
              <w:left w:val="single" w:sz="4" w:space="0" w:color="auto"/>
              <w:bottom w:val="nil"/>
              <w:right w:val="single" w:sz="4" w:space="0" w:color="auto"/>
            </w:tcBorders>
            <w:shd w:val="clear" w:color="auto" w:fill="auto"/>
          </w:tcPr>
          <w:p w14:paraId="43C1C7F0" w14:textId="77777777" w:rsidR="000624AF" w:rsidRPr="00E74297" w:rsidRDefault="000624AF" w:rsidP="00B22C7C">
            <w:pPr>
              <w:pStyle w:val="In-tableHeading"/>
              <w:keepNext w:val="0"/>
              <w:widowControl w:val="0"/>
              <w:jc w:val="center"/>
              <w:rPr>
                <w:b w:val="0"/>
                <w:lang w:val="en-AU"/>
              </w:rPr>
            </w:pPr>
            <w:r w:rsidRPr="00E74297">
              <w:rPr>
                <w:b w:val="0"/>
                <w:lang w:val="en-AU"/>
              </w:rPr>
              <w:t>-5%</w:t>
            </w:r>
          </w:p>
        </w:tc>
      </w:tr>
      <w:tr w:rsidR="000624AF" w:rsidRPr="00E74297" w14:paraId="14896879" w14:textId="77777777" w:rsidTr="00AF2668">
        <w:trPr>
          <w:trHeight w:val="220"/>
        </w:trPr>
        <w:tc>
          <w:tcPr>
            <w:tcW w:w="5098" w:type="dxa"/>
            <w:tcBorders>
              <w:top w:val="nil"/>
              <w:left w:val="single" w:sz="4" w:space="0" w:color="auto"/>
              <w:bottom w:val="nil"/>
              <w:right w:val="single" w:sz="4" w:space="0" w:color="auto"/>
            </w:tcBorders>
            <w:shd w:val="clear" w:color="auto" w:fill="auto"/>
          </w:tcPr>
          <w:p w14:paraId="77BD6041" w14:textId="77777777" w:rsidR="000624AF" w:rsidRPr="00E74297" w:rsidRDefault="000624AF" w:rsidP="00B22C7C">
            <w:pPr>
              <w:pStyle w:val="In-tableHeading"/>
              <w:keepNext w:val="0"/>
              <w:widowControl w:val="0"/>
              <w:rPr>
                <w:b w:val="0"/>
                <w:lang w:val="en-AU"/>
              </w:rPr>
            </w:pPr>
            <w:r w:rsidRPr="00E74297">
              <w:rPr>
                <w:b w:val="0"/>
                <w:lang w:val="en-AU"/>
              </w:rPr>
              <w:t>3.5% costs and outcomes</w:t>
            </w:r>
          </w:p>
        </w:tc>
        <w:tc>
          <w:tcPr>
            <w:tcW w:w="1134" w:type="dxa"/>
            <w:tcBorders>
              <w:top w:val="nil"/>
              <w:left w:val="single" w:sz="4" w:space="0" w:color="auto"/>
              <w:bottom w:val="single" w:sz="4" w:space="0" w:color="auto"/>
              <w:right w:val="single" w:sz="4" w:space="0" w:color="auto"/>
            </w:tcBorders>
            <w:shd w:val="solid" w:color="000000" w:fill="000000"/>
          </w:tcPr>
          <w:p w14:paraId="37229307" w14:textId="1060C79C" w:rsidR="000624AF" w:rsidRPr="009D0A03" w:rsidRDefault="006F55C1" w:rsidP="00B22C7C">
            <w:pPr>
              <w:pStyle w:val="In-tableHeading"/>
              <w:keepNext w:val="0"/>
              <w:widowControl w:val="0"/>
              <w:jc w:val="center"/>
              <w:rPr>
                <w:b w:val="0"/>
                <w:highlight w:val="darkGray"/>
                <w:lang w:val="en-AU"/>
              </w:rPr>
            </w:pPr>
            <w:r w:rsidRPr="006F55C1">
              <w:rPr>
                <w:b w:val="0"/>
                <w:color w:val="000000"/>
                <w:lang w:val="en-AU"/>
                <w14:textFill>
                  <w14:solidFill>
                    <w14:srgbClr w14:val="000000">
                      <w14:alpha w14:val="100000"/>
                    </w14:srgbClr>
                  </w14:solidFill>
                </w14:textFill>
              </w:rPr>
              <w:t>|</w:t>
            </w:r>
          </w:p>
        </w:tc>
        <w:tc>
          <w:tcPr>
            <w:tcW w:w="1134" w:type="dxa"/>
            <w:tcBorders>
              <w:top w:val="nil"/>
              <w:left w:val="single" w:sz="4" w:space="0" w:color="auto"/>
              <w:bottom w:val="nil"/>
              <w:right w:val="single" w:sz="4" w:space="0" w:color="auto"/>
            </w:tcBorders>
            <w:shd w:val="clear" w:color="auto" w:fill="auto"/>
          </w:tcPr>
          <w:p w14:paraId="446F3F4C" w14:textId="642F877D" w:rsidR="000624AF" w:rsidRPr="00E74297" w:rsidRDefault="000624AF" w:rsidP="00B22C7C">
            <w:pPr>
              <w:pStyle w:val="In-tableHeading"/>
              <w:keepNext w:val="0"/>
              <w:widowControl w:val="0"/>
              <w:jc w:val="center"/>
              <w:rPr>
                <w:b w:val="0"/>
                <w:lang w:val="en-AU"/>
              </w:rPr>
            </w:pPr>
            <w:r w:rsidRPr="00E74297">
              <w:rPr>
                <w:b w:val="0"/>
                <w:lang w:val="en-AU"/>
              </w:rPr>
              <w:t>0.30</w:t>
            </w:r>
          </w:p>
        </w:tc>
        <w:tc>
          <w:tcPr>
            <w:tcW w:w="851" w:type="dxa"/>
            <w:tcBorders>
              <w:top w:val="nil"/>
              <w:left w:val="single" w:sz="4" w:space="0" w:color="auto"/>
              <w:bottom w:val="nil"/>
              <w:right w:val="single" w:sz="4" w:space="0" w:color="auto"/>
            </w:tcBorders>
            <w:shd w:val="clear" w:color="auto" w:fill="auto"/>
          </w:tcPr>
          <w:p w14:paraId="7ADC1295" w14:textId="5CCD040A" w:rsidR="000624AF" w:rsidRPr="00227288" w:rsidRDefault="006F55C1" w:rsidP="00B22C7C">
            <w:pPr>
              <w:pStyle w:val="In-tableHeading"/>
              <w:keepNext w:val="0"/>
              <w:widowControl w:val="0"/>
              <w:jc w:val="center"/>
              <w:rPr>
                <w:b w:val="0"/>
                <w:bCs/>
                <w:highlight w:val="darkGray"/>
                <w:lang w:val="en-AU"/>
              </w:rPr>
            </w:pPr>
            <w:r w:rsidRPr="006F55C1">
              <w:rPr>
                <w:b w:val="0"/>
                <w:bCs/>
                <w:color w:val="000000"/>
                <w:spacing w:val="79"/>
                <w:shd w:val="solid" w:color="000000" w:fill="000000"/>
                <w:fitText w:val="165" w:id="-1168282364"/>
                <w:lang w:val="en-AU"/>
                <w14:textFill>
                  <w14:solidFill>
                    <w14:srgbClr w14:val="000000">
                      <w14:alpha w14:val="100000"/>
                    </w14:srgbClr>
                  </w14:solidFill>
                </w14:textFill>
              </w:rPr>
              <w:t>|</w:t>
            </w:r>
            <w:r w:rsidRPr="006F55C1">
              <w:rPr>
                <w:b w:val="0"/>
                <w:bCs/>
                <w:color w:val="000000"/>
                <w:spacing w:val="1"/>
                <w:shd w:val="solid" w:color="000000" w:fill="000000"/>
                <w:fitText w:val="165" w:id="-1168282364"/>
                <w:lang w:val="en-AU"/>
                <w14:textFill>
                  <w14:solidFill>
                    <w14:srgbClr w14:val="000000">
                      <w14:alpha w14:val="100000"/>
                    </w14:srgbClr>
                  </w14:solidFill>
                </w14:textFill>
              </w:rPr>
              <w:t>|</w:t>
            </w:r>
            <w:r w:rsidR="00227288" w:rsidRPr="00227288">
              <w:rPr>
                <w:rFonts w:cs="Arial Narrow"/>
                <w:b w:val="0"/>
                <w:bCs/>
                <w:sz w:val="18"/>
                <w:szCs w:val="18"/>
                <w:vertAlign w:val="superscript"/>
              </w:rPr>
              <w:t>1</w:t>
            </w:r>
          </w:p>
        </w:tc>
        <w:tc>
          <w:tcPr>
            <w:tcW w:w="850" w:type="dxa"/>
            <w:tcBorders>
              <w:top w:val="nil"/>
              <w:left w:val="single" w:sz="4" w:space="0" w:color="auto"/>
              <w:bottom w:val="nil"/>
              <w:right w:val="single" w:sz="4" w:space="0" w:color="auto"/>
            </w:tcBorders>
            <w:shd w:val="clear" w:color="auto" w:fill="auto"/>
          </w:tcPr>
          <w:p w14:paraId="67C1E55F" w14:textId="77777777" w:rsidR="000624AF" w:rsidRPr="00E74297" w:rsidRDefault="000624AF" w:rsidP="00B22C7C">
            <w:pPr>
              <w:pStyle w:val="In-tableHeading"/>
              <w:keepNext w:val="0"/>
              <w:widowControl w:val="0"/>
              <w:jc w:val="center"/>
              <w:rPr>
                <w:b w:val="0"/>
                <w:lang w:val="en-AU"/>
              </w:rPr>
            </w:pPr>
            <w:r w:rsidRPr="00E74297">
              <w:rPr>
                <w:b w:val="0"/>
                <w:lang w:val="en-AU"/>
              </w:rPr>
              <w:t>-1%</w:t>
            </w:r>
          </w:p>
        </w:tc>
      </w:tr>
      <w:tr w:rsidR="000624AF" w:rsidRPr="00E74297" w14:paraId="06163483" w14:textId="77777777" w:rsidTr="00AF2668">
        <w:trPr>
          <w:trHeight w:val="220"/>
        </w:trPr>
        <w:tc>
          <w:tcPr>
            <w:tcW w:w="5098" w:type="dxa"/>
            <w:tcBorders>
              <w:top w:val="single" w:sz="4" w:space="0" w:color="auto"/>
              <w:left w:val="single" w:sz="4" w:space="0" w:color="auto"/>
              <w:bottom w:val="nil"/>
              <w:right w:val="single" w:sz="4" w:space="0" w:color="auto"/>
            </w:tcBorders>
            <w:shd w:val="clear" w:color="auto" w:fill="auto"/>
          </w:tcPr>
          <w:p w14:paraId="7679A034" w14:textId="0BB6116E" w:rsidR="000624AF" w:rsidRPr="00E74297" w:rsidRDefault="000624AF" w:rsidP="00B22C7C">
            <w:pPr>
              <w:pStyle w:val="In-tableHeading"/>
              <w:keepNext w:val="0"/>
              <w:widowControl w:val="0"/>
              <w:rPr>
                <w:b w:val="0"/>
                <w:lang w:val="en-AU"/>
              </w:rPr>
            </w:pPr>
            <w:r w:rsidRPr="00E74297">
              <w:rPr>
                <w:b w:val="0"/>
                <w:lang w:val="en-AU"/>
              </w:rPr>
              <w:t>Time horizon (base case 10 years)</w:t>
            </w:r>
          </w:p>
        </w:tc>
        <w:tc>
          <w:tcPr>
            <w:tcW w:w="1134" w:type="dxa"/>
            <w:tcBorders>
              <w:top w:val="single" w:sz="4" w:space="0" w:color="auto"/>
              <w:left w:val="single" w:sz="4" w:space="0" w:color="auto"/>
              <w:bottom w:val="nil"/>
              <w:right w:val="single" w:sz="4" w:space="0" w:color="auto"/>
            </w:tcBorders>
            <w:shd w:val="clear" w:color="auto" w:fill="auto"/>
          </w:tcPr>
          <w:p w14:paraId="3303D836" w14:textId="77777777" w:rsidR="000624AF" w:rsidRPr="009D0A03" w:rsidRDefault="000624AF" w:rsidP="00B22C7C">
            <w:pPr>
              <w:pStyle w:val="In-tableHeading"/>
              <w:keepNext w:val="0"/>
              <w:widowControl w:val="0"/>
              <w:jc w:val="center"/>
              <w:rPr>
                <w:b w:val="0"/>
                <w:highlight w:val="darkGray"/>
                <w:lang w:val="en-AU"/>
              </w:rPr>
            </w:pPr>
          </w:p>
        </w:tc>
        <w:tc>
          <w:tcPr>
            <w:tcW w:w="1134" w:type="dxa"/>
            <w:tcBorders>
              <w:top w:val="single" w:sz="4" w:space="0" w:color="auto"/>
              <w:left w:val="single" w:sz="4" w:space="0" w:color="auto"/>
              <w:bottom w:val="nil"/>
              <w:right w:val="single" w:sz="4" w:space="0" w:color="auto"/>
            </w:tcBorders>
            <w:shd w:val="clear" w:color="auto" w:fill="auto"/>
          </w:tcPr>
          <w:p w14:paraId="358A6A0E" w14:textId="77777777" w:rsidR="000624AF" w:rsidRPr="00E74297" w:rsidRDefault="000624AF" w:rsidP="00B22C7C">
            <w:pPr>
              <w:pStyle w:val="In-tableHeading"/>
              <w:keepNext w:val="0"/>
              <w:widowControl w:val="0"/>
              <w:jc w:val="center"/>
              <w:rPr>
                <w:b w:val="0"/>
                <w:lang w:val="en-AU"/>
              </w:rPr>
            </w:pPr>
          </w:p>
        </w:tc>
        <w:tc>
          <w:tcPr>
            <w:tcW w:w="851" w:type="dxa"/>
            <w:tcBorders>
              <w:top w:val="single" w:sz="4" w:space="0" w:color="auto"/>
              <w:left w:val="single" w:sz="4" w:space="0" w:color="auto"/>
              <w:bottom w:val="nil"/>
              <w:right w:val="single" w:sz="4" w:space="0" w:color="auto"/>
            </w:tcBorders>
            <w:shd w:val="clear" w:color="auto" w:fill="auto"/>
          </w:tcPr>
          <w:p w14:paraId="1A137E25" w14:textId="77777777" w:rsidR="000624AF" w:rsidRPr="009D0A03" w:rsidRDefault="000624AF" w:rsidP="00B22C7C">
            <w:pPr>
              <w:pStyle w:val="In-tableHeading"/>
              <w:keepNext w:val="0"/>
              <w:widowControl w:val="0"/>
              <w:jc w:val="center"/>
              <w:rPr>
                <w:b w:val="0"/>
                <w:highlight w:val="darkGray"/>
                <w:lang w:val="en-AU"/>
              </w:rPr>
            </w:pPr>
          </w:p>
        </w:tc>
        <w:tc>
          <w:tcPr>
            <w:tcW w:w="850" w:type="dxa"/>
            <w:tcBorders>
              <w:top w:val="single" w:sz="4" w:space="0" w:color="auto"/>
              <w:left w:val="single" w:sz="4" w:space="0" w:color="auto"/>
              <w:bottom w:val="nil"/>
              <w:right w:val="single" w:sz="4" w:space="0" w:color="auto"/>
            </w:tcBorders>
            <w:shd w:val="clear" w:color="auto" w:fill="auto"/>
          </w:tcPr>
          <w:p w14:paraId="78DB09DC" w14:textId="77777777" w:rsidR="000624AF" w:rsidRPr="00E74297" w:rsidRDefault="000624AF" w:rsidP="00B22C7C">
            <w:pPr>
              <w:pStyle w:val="In-tableHeading"/>
              <w:keepNext w:val="0"/>
              <w:widowControl w:val="0"/>
              <w:jc w:val="center"/>
              <w:rPr>
                <w:b w:val="0"/>
                <w:lang w:val="en-AU"/>
              </w:rPr>
            </w:pPr>
          </w:p>
        </w:tc>
      </w:tr>
      <w:tr w:rsidR="000624AF" w:rsidRPr="00E74297" w14:paraId="4CF6AE9C" w14:textId="77777777" w:rsidTr="00AF2668">
        <w:trPr>
          <w:trHeight w:val="220"/>
        </w:trPr>
        <w:tc>
          <w:tcPr>
            <w:tcW w:w="5098" w:type="dxa"/>
            <w:tcBorders>
              <w:top w:val="nil"/>
              <w:left w:val="single" w:sz="4" w:space="0" w:color="auto"/>
              <w:bottom w:val="nil"/>
              <w:right w:val="single" w:sz="4" w:space="0" w:color="auto"/>
            </w:tcBorders>
            <w:shd w:val="clear" w:color="auto" w:fill="auto"/>
          </w:tcPr>
          <w:p w14:paraId="24A4F410" w14:textId="77777777" w:rsidR="000624AF" w:rsidRPr="00E74297" w:rsidRDefault="000624AF" w:rsidP="00B22C7C">
            <w:pPr>
              <w:pStyle w:val="In-tableHeading"/>
              <w:keepNext w:val="0"/>
              <w:widowControl w:val="0"/>
              <w:rPr>
                <w:b w:val="0"/>
                <w:lang w:val="en-AU"/>
              </w:rPr>
            </w:pPr>
            <w:r w:rsidRPr="00E74297">
              <w:rPr>
                <w:b w:val="0"/>
                <w:lang w:val="en-AU"/>
              </w:rPr>
              <w:t>7 years</w:t>
            </w:r>
          </w:p>
          <w:p w14:paraId="1CE9352C" w14:textId="6B10EBE7" w:rsidR="00090394" w:rsidRPr="00E74297" w:rsidRDefault="00090394" w:rsidP="00B22C7C">
            <w:pPr>
              <w:pStyle w:val="In-tableHeading"/>
              <w:keepNext w:val="0"/>
              <w:widowControl w:val="0"/>
              <w:rPr>
                <w:b w:val="0"/>
                <w:lang w:val="en-AU"/>
              </w:rPr>
            </w:pPr>
            <w:r w:rsidRPr="00E74297">
              <w:rPr>
                <w:b w:val="0"/>
                <w:lang w:val="en-AU"/>
              </w:rPr>
              <w:t>5 years</w:t>
            </w:r>
            <w:r w:rsidR="00F951FA" w:rsidRPr="00E74297">
              <w:rPr>
                <w:b w:val="0"/>
                <w:lang w:val="en-AU"/>
              </w:rPr>
              <w:t xml:space="preserve"> </w:t>
            </w:r>
            <w:r w:rsidR="00F951FA" w:rsidRPr="00E74297">
              <w:rPr>
                <w:bCs/>
                <w:lang w:val="en-AU"/>
              </w:rPr>
              <w:t>#4</w:t>
            </w:r>
          </w:p>
        </w:tc>
        <w:tc>
          <w:tcPr>
            <w:tcW w:w="1134" w:type="dxa"/>
            <w:tcBorders>
              <w:top w:val="nil"/>
              <w:left w:val="single" w:sz="4" w:space="0" w:color="auto"/>
              <w:bottom w:val="nil"/>
              <w:right w:val="single" w:sz="4" w:space="0" w:color="auto"/>
            </w:tcBorders>
            <w:shd w:val="clear" w:color="auto" w:fill="auto"/>
          </w:tcPr>
          <w:p w14:paraId="4E594F1A" w14:textId="609A4F8B" w:rsidR="006F55C1" w:rsidRPr="006F55C1" w:rsidRDefault="006F55C1" w:rsidP="00B22C7C">
            <w:pPr>
              <w:pStyle w:val="In-tableHeading"/>
              <w:keepNext w:val="0"/>
              <w:widowControl w:val="0"/>
              <w:jc w:val="center"/>
              <w:rPr>
                <w:b w:val="0"/>
                <w:lang w:val="en-AU"/>
              </w:rPr>
            </w:pPr>
            <w:r w:rsidRPr="006F55C1">
              <w:rPr>
                <w:b w:val="0"/>
                <w:color w:val="000000"/>
                <w:shd w:val="solid" w:color="000000" w:fill="000000"/>
                <w:lang w:val="en-AU"/>
                <w14:textFill>
                  <w14:solidFill>
                    <w14:srgbClr w14:val="000000">
                      <w14:alpha w14:val="100000"/>
                    </w14:srgbClr>
                  </w14:solidFill>
                </w14:textFill>
              </w:rPr>
              <w:t>|</w:t>
            </w:r>
          </w:p>
          <w:p w14:paraId="39A99993" w14:textId="5BB2845F" w:rsidR="00F36858" w:rsidRPr="009D0A03" w:rsidRDefault="006F55C1" w:rsidP="00B22C7C">
            <w:pPr>
              <w:pStyle w:val="In-tableHeading"/>
              <w:keepNext w:val="0"/>
              <w:widowControl w:val="0"/>
              <w:jc w:val="center"/>
              <w:rPr>
                <w:b w:val="0"/>
                <w:highlight w:val="darkGray"/>
                <w:lang w:val="en-AU"/>
              </w:rPr>
            </w:pPr>
            <w:r w:rsidRPr="006F55C1">
              <w:rPr>
                <w:b w:val="0"/>
                <w:color w:val="000000"/>
                <w:shd w:val="solid" w:color="000000" w:fill="000000"/>
                <w:lang w:val="en-AU"/>
                <w14:textFill>
                  <w14:solidFill>
                    <w14:srgbClr w14:val="000000">
                      <w14:alpha w14:val="100000"/>
                    </w14:srgbClr>
                  </w14:solidFill>
                </w14:textFill>
              </w:rPr>
              <w:t>|</w:t>
            </w:r>
          </w:p>
        </w:tc>
        <w:tc>
          <w:tcPr>
            <w:tcW w:w="1134" w:type="dxa"/>
            <w:tcBorders>
              <w:top w:val="nil"/>
              <w:left w:val="single" w:sz="4" w:space="0" w:color="auto"/>
              <w:bottom w:val="nil"/>
              <w:right w:val="single" w:sz="4" w:space="0" w:color="auto"/>
            </w:tcBorders>
            <w:shd w:val="clear" w:color="auto" w:fill="auto"/>
          </w:tcPr>
          <w:p w14:paraId="365FB7CB" w14:textId="77777777" w:rsidR="000624AF" w:rsidRPr="00E74297" w:rsidRDefault="000624AF" w:rsidP="00B22C7C">
            <w:pPr>
              <w:pStyle w:val="In-tableHeading"/>
              <w:keepNext w:val="0"/>
              <w:widowControl w:val="0"/>
              <w:jc w:val="center"/>
              <w:rPr>
                <w:b w:val="0"/>
                <w:lang w:val="en-AU"/>
              </w:rPr>
            </w:pPr>
            <w:r w:rsidRPr="00E74297">
              <w:rPr>
                <w:b w:val="0"/>
                <w:lang w:val="en-AU"/>
              </w:rPr>
              <w:t>0.28</w:t>
            </w:r>
          </w:p>
          <w:p w14:paraId="3A7565E8" w14:textId="04F8B1DC" w:rsidR="00F36858" w:rsidRPr="00E74297" w:rsidRDefault="00F36858" w:rsidP="00B22C7C">
            <w:pPr>
              <w:pStyle w:val="In-tableHeading"/>
              <w:keepNext w:val="0"/>
              <w:widowControl w:val="0"/>
              <w:jc w:val="center"/>
              <w:rPr>
                <w:b w:val="0"/>
                <w:lang w:val="en-AU"/>
              </w:rPr>
            </w:pPr>
            <w:r w:rsidRPr="00E74297">
              <w:rPr>
                <w:b w:val="0"/>
                <w:lang w:val="en-AU"/>
              </w:rPr>
              <w:t>0.2</w:t>
            </w:r>
            <w:r w:rsidR="005B6C43" w:rsidRPr="00E74297">
              <w:rPr>
                <w:b w:val="0"/>
                <w:lang w:val="en-AU"/>
              </w:rPr>
              <w:t>8</w:t>
            </w:r>
          </w:p>
        </w:tc>
        <w:tc>
          <w:tcPr>
            <w:tcW w:w="851" w:type="dxa"/>
            <w:tcBorders>
              <w:top w:val="nil"/>
              <w:left w:val="single" w:sz="4" w:space="0" w:color="auto"/>
              <w:bottom w:val="nil"/>
              <w:right w:val="single" w:sz="4" w:space="0" w:color="auto"/>
            </w:tcBorders>
            <w:shd w:val="clear" w:color="auto" w:fill="auto"/>
          </w:tcPr>
          <w:p w14:paraId="538B6E93" w14:textId="3D5E7EC0" w:rsidR="006F55C1" w:rsidRPr="006F55C1" w:rsidRDefault="006F55C1" w:rsidP="00B22C7C">
            <w:pPr>
              <w:pStyle w:val="In-tableHeading"/>
              <w:keepNext w:val="0"/>
              <w:widowControl w:val="0"/>
              <w:jc w:val="center"/>
              <w:rPr>
                <w:b w:val="0"/>
                <w:lang w:val="en-AU"/>
              </w:rPr>
            </w:pPr>
            <w:r w:rsidRPr="006F55C1">
              <w:rPr>
                <w:b w:val="0"/>
                <w:color w:val="000000"/>
                <w:spacing w:val="79"/>
                <w:shd w:val="solid" w:color="000000" w:fill="000000"/>
                <w:fitText w:val="165" w:id="-1168282363"/>
                <w:lang w:val="en-AU"/>
                <w14:textFill>
                  <w14:solidFill>
                    <w14:srgbClr w14:val="000000">
                      <w14:alpha w14:val="100000"/>
                    </w14:srgbClr>
                  </w14:solidFill>
                </w14:textFill>
              </w:rPr>
              <w:t>|</w:t>
            </w:r>
            <w:r w:rsidRPr="006F55C1">
              <w:rPr>
                <w:b w:val="0"/>
                <w:color w:val="000000"/>
                <w:spacing w:val="1"/>
                <w:shd w:val="solid" w:color="000000" w:fill="000000"/>
                <w:fitText w:val="165" w:id="-1168282363"/>
                <w:lang w:val="en-AU"/>
                <w14:textFill>
                  <w14:solidFill>
                    <w14:srgbClr w14:val="000000">
                      <w14:alpha w14:val="100000"/>
                    </w14:srgbClr>
                  </w14:solidFill>
                </w14:textFill>
              </w:rPr>
              <w:t>|</w:t>
            </w:r>
            <w:r w:rsidR="00227288" w:rsidRPr="00227288">
              <w:rPr>
                <w:rFonts w:cs="Arial Narrow"/>
                <w:b w:val="0"/>
                <w:bCs/>
                <w:sz w:val="18"/>
                <w:szCs w:val="18"/>
                <w:vertAlign w:val="superscript"/>
              </w:rPr>
              <w:t>1</w:t>
            </w:r>
          </w:p>
          <w:p w14:paraId="44D35663" w14:textId="05B12C21" w:rsidR="00F36858" w:rsidRPr="009D0A03" w:rsidRDefault="006F55C1" w:rsidP="00B22C7C">
            <w:pPr>
              <w:pStyle w:val="In-tableHeading"/>
              <w:keepNext w:val="0"/>
              <w:widowControl w:val="0"/>
              <w:jc w:val="center"/>
              <w:rPr>
                <w:b w:val="0"/>
                <w:highlight w:val="darkGray"/>
                <w:lang w:val="en-AU"/>
              </w:rPr>
            </w:pPr>
            <w:r w:rsidRPr="006F55C1">
              <w:rPr>
                <w:b w:val="0"/>
                <w:color w:val="000000"/>
                <w:spacing w:val="79"/>
                <w:shd w:val="solid" w:color="000000" w:fill="000000"/>
                <w:fitText w:val="165" w:id="-1168282362"/>
                <w:lang w:val="en-AU"/>
                <w14:textFill>
                  <w14:solidFill>
                    <w14:srgbClr w14:val="000000">
                      <w14:alpha w14:val="100000"/>
                    </w14:srgbClr>
                  </w14:solidFill>
                </w14:textFill>
              </w:rPr>
              <w:t>|</w:t>
            </w:r>
            <w:r w:rsidRPr="006F55C1">
              <w:rPr>
                <w:b w:val="0"/>
                <w:color w:val="000000"/>
                <w:spacing w:val="1"/>
                <w:shd w:val="solid" w:color="000000" w:fill="000000"/>
                <w:fitText w:val="165" w:id="-1168282362"/>
                <w:lang w:val="en-AU"/>
                <w14:textFill>
                  <w14:solidFill>
                    <w14:srgbClr w14:val="000000">
                      <w14:alpha w14:val="100000"/>
                    </w14:srgbClr>
                  </w14:solidFill>
                </w14:textFill>
              </w:rPr>
              <w:t>|</w:t>
            </w:r>
            <w:r w:rsidR="00227288" w:rsidRPr="00227288">
              <w:rPr>
                <w:rFonts w:cs="Arial Narrow"/>
                <w:b w:val="0"/>
                <w:bCs/>
                <w:sz w:val="18"/>
                <w:szCs w:val="18"/>
                <w:vertAlign w:val="superscript"/>
              </w:rPr>
              <w:t>1</w:t>
            </w:r>
          </w:p>
        </w:tc>
        <w:tc>
          <w:tcPr>
            <w:tcW w:w="850" w:type="dxa"/>
            <w:tcBorders>
              <w:top w:val="nil"/>
              <w:left w:val="single" w:sz="4" w:space="0" w:color="auto"/>
              <w:bottom w:val="nil"/>
              <w:right w:val="single" w:sz="4" w:space="0" w:color="auto"/>
            </w:tcBorders>
            <w:shd w:val="clear" w:color="auto" w:fill="auto"/>
          </w:tcPr>
          <w:p w14:paraId="7389A7D7" w14:textId="77777777" w:rsidR="000624AF" w:rsidRPr="00E74297" w:rsidRDefault="000624AF" w:rsidP="00B22C7C">
            <w:pPr>
              <w:pStyle w:val="In-tableHeading"/>
              <w:keepNext w:val="0"/>
              <w:widowControl w:val="0"/>
              <w:jc w:val="center"/>
              <w:rPr>
                <w:b w:val="0"/>
                <w:lang w:val="en-AU"/>
              </w:rPr>
            </w:pPr>
            <w:r w:rsidRPr="00E74297">
              <w:rPr>
                <w:b w:val="0"/>
                <w:lang w:val="en-AU"/>
              </w:rPr>
              <w:t>7%</w:t>
            </w:r>
          </w:p>
          <w:p w14:paraId="7AA5FD63" w14:textId="566A8467" w:rsidR="005B6C43" w:rsidRPr="00E74297" w:rsidRDefault="005B6C43" w:rsidP="00B22C7C">
            <w:pPr>
              <w:pStyle w:val="In-tableHeading"/>
              <w:keepNext w:val="0"/>
              <w:widowControl w:val="0"/>
              <w:jc w:val="center"/>
              <w:rPr>
                <w:b w:val="0"/>
                <w:lang w:val="en-AU"/>
              </w:rPr>
            </w:pPr>
            <w:r w:rsidRPr="00E74297">
              <w:rPr>
                <w:b w:val="0"/>
                <w:lang w:val="en-AU"/>
              </w:rPr>
              <w:t>9%</w:t>
            </w:r>
          </w:p>
        </w:tc>
      </w:tr>
      <w:tr w:rsidR="000624AF" w:rsidRPr="00E74297" w14:paraId="10784720" w14:textId="77777777" w:rsidTr="00AF2668">
        <w:trPr>
          <w:trHeight w:val="220"/>
        </w:trPr>
        <w:tc>
          <w:tcPr>
            <w:tcW w:w="5098" w:type="dxa"/>
            <w:tcBorders>
              <w:top w:val="single" w:sz="4" w:space="0" w:color="auto"/>
              <w:left w:val="single" w:sz="4" w:space="0" w:color="auto"/>
              <w:bottom w:val="nil"/>
              <w:right w:val="single" w:sz="4" w:space="0" w:color="auto"/>
            </w:tcBorders>
            <w:shd w:val="clear" w:color="auto" w:fill="auto"/>
          </w:tcPr>
          <w:p w14:paraId="2E956306" w14:textId="77777777" w:rsidR="000624AF" w:rsidRPr="00E74297" w:rsidRDefault="000624AF" w:rsidP="00B22C7C">
            <w:pPr>
              <w:pStyle w:val="In-tableHeading"/>
              <w:keepNext w:val="0"/>
              <w:widowControl w:val="0"/>
              <w:rPr>
                <w:b w:val="0"/>
                <w:lang w:val="en-AU"/>
              </w:rPr>
            </w:pPr>
            <w:r w:rsidRPr="00E74297">
              <w:rPr>
                <w:b w:val="0"/>
                <w:lang w:val="en-AU"/>
              </w:rPr>
              <w:t>OS KM truncation time point (base case 13.1 months for both arms)</w:t>
            </w:r>
          </w:p>
        </w:tc>
        <w:tc>
          <w:tcPr>
            <w:tcW w:w="1134" w:type="dxa"/>
            <w:tcBorders>
              <w:top w:val="single" w:sz="4" w:space="0" w:color="auto"/>
              <w:left w:val="single" w:sz="4" w:space="0" w:color="auto"/>
              <w:bottom w:val="nil"/>
              <w:right w:val="single" w:sz="4" w:space="0" w:color="auto"/>
            </w:tcBorders>
            <w:shd w:val="clear" w:color="auto" w:fill="auto"/>
          </w:tcPr>
          <w:p w14:paraId="3404BA8B" w14:textId="77777777" w:rsidR="000624AF" w:rsidRPr="009D0A03" w:rsidRDefault="000624AF" w:rsidP="00B22C7C">
            <w:pPr>
              <w:pStyle w:val="In-tableHeading"/>
              <w:keepNext w:val="0"/>
              <w:widowControl w:val="0"/>
              <w:jc w:val="center"/>
              <w:rPr>
                <w:b w:val="0"/>
                <w:highlight w:val="darkGray"/>
                <w:lang w:val="en-AU"/>
              </w:rPr>
            </w:pPr>
          </w:p>
        </w:tc>
        <w:tc>
          <w:tcPr>
            <w:tcW w:w="1134" w:type="dxa"/>
            <w:tcBorders>
              <w:top w:val="single" w:sz="4" w:space="0" w:color="auto"/>
              <w:left w:val="single" w:sz="4" w:space="0" w:color="auto"/>
              <w:bottom w:val="nil"/>
              <w:right w:val="single" w:sz="4" w:space="0" w:color="auto"/>
            </w:tcBorders>
            <w:shd w:val="clear" w:color="auto" w:fill="auto"/>
          </w:tcPr>
          <w:p w14:paraId="34752669" w14:textId="77777777" w:rsidR="000624AF" w:rsidRPr="00E74297" w:rsidRDefault="000624AF" w:rsidP="00B22C7C">
            <w:pPr>
              <w:pStyle w:val="In-tableHeading"/>
              <w:keepNext w:val="0"/>
              <w:widowControl w:val="0"/>
              <w:jc w:val="center"/>
              <w:rPr>
                <w:b w:val="0"/>
                <w:lang w:val="en-AU"/>
              </w:rPr>
            </w:pPr>
          </w:p>
        </w:tc>
        <w:tc>
          <w:tcPr>
            <w:tcW w:w="851" w:type="dxa"/>
            <w:tcBorders>
              <w:top w:val="single" w:sz="4" w:space="0" w:color="auto"/>
              <w:left w:val="single" w:sz="4" w:space="0" w:color="auto"/>
              <w:bottom w:val="nil"/>
              <w:right w:val="single" w:sz="4" w:space="0" w:color="auto"/>
            </w:tcBorders>
            <w:shd w:val="clear" w:color="auto" w:fill="auto"/>
          </w:tcPr>
          <w:p w14:paraId="0D4F61AA" w14:textId="77777777" w:rsidR="000624AF" w:rsidRPr="009D0A03" w:rsidRDefault="000624AF" w:rsidP="00B22C7C">
            <w:pPr>
              <w:pStyle w:val="In-tableHeading"/>
              <w:keepNext w:val="0"/>
              <w:widowControl w:val="0"/>
              <w:jc w:val="center"/>
              <w:rPr>
                <w:b w:val="0"/>
                <w:highlight w:val="darkGray"/>
                <w:lang w:val="en-AU"/>
              </w:rPr>
            </w:pPr>
          </w:p>
        </w:tc>
        <w:tc>
          <w:tcPr>
            <w:tcW w:w="850" w:type="dxa"/>
            <w:tcBorders>
              <w:top w:val="single" w:sz="4" w:space="0" w:color="auto"/>
              <w:left w:val="single" w:sz="4" w:space="0" w:color="auto"/>
              <w:bottom w:val="nil"/>
              <w:right w:val="single" w:sz="4" w:space="0" w:color="auto"/>
            </w:tcBorders>
            <w:shd w:val="clear" w:color="auto" w:fill="auto"/>
          </w:tcPr>
          <w:p w14:paraId="3962703B" w14:textId="77777777" w:rsidR="000624AF" w:rsidRPr="00E74297" w:rsidRDefault="000624AF" w:rsidP="00B22C7C">
            <w:pPr>
              <w:pStyle w:val="In-tableHeading"/>
              <w:keepNext w:val="0"/>
              <w:widowControl w:val="0"/>
              <w:jc w:val="center"/>
              <w:rPr>
                <w:b w:val="0"/>
                <w:lang w:val="en-AU"/>
              </w:rPr>
            </w:pPr>
          </w:p>
        </w:tc>
      </w:tr>
      <w:tr w:rsidR="000624AF" w:rsidRPr="00E74297" w14:paraId="1CB1722E" w14:textId="77777777" w:rsidTr="00AF2668">
        <w:trPr>
          <w:trHeight w:val="220"/>
        </w:trPr>
        <w:tc>
          <w:tcPr>
            <w:tcW w:w="5098" w:type="dxa"/>
            <w:tcBorders>
              <w:top w:val="nil"/>
              <w:left w:val="single" w:sz="4" w:space="0" w:color="auto"/>
              <w:bottom w:val="nil"/>
              <w:right w:val="single" w:sz="4" w:space="0" w:color="auto"/>
            </w:tcBorders>
            <w:shd w:val="clear" w:color="auto" w:fill="auto"/>
          </w:tcPr>
          <w:p w14:paraId="714D593C" w14:textId="77777777" w:rsidR="000624AF" w:rsidRPr="00E74297" w:rsidRDefault="000624AF" w:rsidP="00B22C7C">
            <w:pPr>
              <w:pStyle w:val="In-tableHeading"/>
              <w:keepNext w:val="0"/>
              <w:widowControl w:val="0"/>
              <w:rPr>
                <w:b w:val="0"/>
                <w:lang w:val="en-AU"/>
              </w:rPr>
            </w:pPr>
            <w:r w:rsidRPr="00E74297">
              <w:rPr>
                <w:b w:val="0"/>
                <w:lang w:val="en-AU"/>
              </w:rPr>
              <w:t xml:space="preserve">24 months in both arms </w:t>
            </w:r>
            <w:r w:rsidRPr="00E74297">
              <w:rPr>
                <w:lang w:val="en-AU"/>
              </w:rPr>
              <w:t>#3</w:t>
            </w:r>
          </w:p>
        </w:tc>
        <w:tc>
          <w:tcPr>
            <w:tcW w:w="1134" w:type="dxa"/>
            <w:tcBorders>
              <w:top w:val="nil"/>
              <w:left w:val="single" w:sz="4" w:space="0" w:color="auto"/>
              <w:bottom w:val="nil"/>
              <w:right w:val="single" w:sz="4" w:space="0" w:color="auto"/>
            </w:tcBorders>
            <w:shd w:val="solid" w:color="000000" w:fill="000000"/>
          </w:tcPr>
          <w:p w14:paraId="3F653EFE" w14:textId="56A8D5BE" w:rsidR="000624AF" w:rsidRPr="009D0A03" w:rsidRDefault="006F55C1" w:rsidP="00B22C7C">
            <w:pPr>
              <w:pStyle w:val="In-tableHeading"/>
              <w:keepNext w:val="0"/>
              <w:widowControl w:val="0"/>
              <w:jc w:val="center"/>
              <w:rPr>
                <w:b w:val="0"/>
                <w:highlight w:val="darkGray"/>
                <w:lang w:val="en-AU"/>
              </w:rPr>
            </w:pPr>
            <w:r w:rsidRPr="006F55C1">
              <w:rPr>
                <w:b w:val="0"/>
                <w:color w:val="000000"/>
                <w:lang w:val="en-AU"/>
                <w14:textFill>
                  <w14:solidFill>
                    <w14:srgbClr w14:val="000000">
                      <w14:alpha w14:val="100000"/>
                    </w14:srgbClr>
                  </w14:solidFill>
                </w14:textFill>
              </w:rPr>
              <w:t>|</w:t>
            </w:r>
          </w:p>
        </w:tc>
        <w:tc>
          <w:tcPr>
            <w:tcW w:w="1134" w:type="dxa"/>
            <w:tcBorders>
              <w:top w:val="nil"/>
              <w:left w:val="single" w:sz="4" w:space="0" w:color="auto"/>
              <w:bottom w:val="nil"/>
              <w:right w:val="single" w:sz="4" w:space="0" w:color="auto"/>
            </w:tcBorders>
            <w:shd w:val="clear" w:color="auto" w:fill="auto"/>
          </w:tcPr>
          <w:p w14:paraId="2A2E7B34" w14:textId="77777777" w:rsidR="000624AF" w:rsidRPr="00E74297" w:rsidRDefault="000624AF" w:rsidP="00B22C7C">
            <w:pPr>
              <w:pStyle w:val="In-tableHeading"/>
              <w:keepNext w:val="0"/>
              <w:widowControl w:val="0"/>
              <w:jc w:val="center"/>
              <w:rPr>
                <w:b w:val="0"/>
                <w:lang w:val="en-AU"/>
              </w:rPr>
            </w:pPr>
            <w:r w:rsidRPr="00E74297">
              <w:rPr>
                <w:b w:val="0"/>
                <w:lang w:val="en-AU"/>
              </w:rPr>
              <w:t>0.226</w:t>
            </w:r>
          </w:p>
        </w:tc>
        <w:tc>
          <w:tcPr>
            <w:tcW w:w="851" w:type="dxa"/>
            <w:tcBorders>
              <w:top w:val="nil"/>
              <w:left w:val="single" w:sz="4" w:space="0" w:color="auto"/>
              <w:bottom w:val="nil"/>
              <w:right w:val="single" w:sz="4" w:space="0" w:color="auto"/>
            </w:tcBorders>
            <w:shd w:val="clear" w:color="auto" w:fill="auto"/>
          </w:tcPr>
          <w:p w14:paraId="54394711" w14:textId="3817EDA5" w:rsidR="000624AF" w:rsidRPr="009D0A03" w:rsidRDefault="006F55C1" w:rsidP="00B22C7C">
            <w:pPr>
              <w:pStyle w:val="In-tableHeading"/>
              <w:keepNext w:val="0"/>
              <w:widowControl w:val="0"/>
              <w:jc w:val="center"/>
              <w:rPr>
                <w:b w:val="0"/>
                <w:highlight w:val="darkGray"/>
                <w:lang w:val="en-AU"/>
              </w:rPr>
            </w:pPr>
            <w:r w:rsidRPr="006F55C1">
              <w:rPr>
                <w:b w:val="0"/>
                <w:color w:val="000000"/>
                <w:spacing w:val="79"/>
                <w:shd w:val="solid" w:color="000000" w:fill="000000"/>
                <w:fitText w:val="165" w:id="-1168282361"/>
                <w:lang w:val="en-AU"/>
                <w14:textFill>
                  <w14:solidFill>
                    <w14:srgbClr w14:val="000000">
                      <w14:alpha w14:val="100000"/>
                    </w14:srgbClr>
                  </w14:solidFill>
                </w14:textFill>
              </w:rPr>
              <w:t>|</w:t>
            </w:r>
            <w:r w:rsidRPr="006F55C1">
              <w:rPr>
                <w:b w:val="0"/>
                <w:color w:val="000000"/>
                <w:spacing w:val="1"/>
                <w:shd w:val="solid" w:color="000000" w:fill="000000"/>
                <w:fitText w:val="165" w:id="-1168282361"/>
                <w:lang w:val="en-AU"/>
                <w14:textFill>
                  <w14:solidFill>
                    <w14:srgbClr w14:val="000000">
                      <w14:alpha w14:val="100000"/>
                    </w14:srgbClr>
                  </w14:solidFill>
                </w14:textFill>
              </w:rPr>
              <w:t>|</w:t>
            </w:r>
            <w:r w:rsidR="00227288">
              <w:rPr>
                <w:rFonts w:cs="Arial Narrow"/>
                <w:b w:val="0"/>
                <w:bCs/>
                <w:sz w:val="18"/>
                <w:szCs w:val="18"/>
                <w:vertAlign w:val="superscript"/>
              </w:rPr>
              <w:t>3</w:t>
            </w:r>
          </w:p>
        </w:tc>
        <w:tc>
          <w:tcPr>
            <w:tcW w:w="850" w:type="dxa"/>
            <w:tcBorders>
              <w:top w:val="nil"/>
              <w:left w:val="single" w:sz="4" w:space="0" w:color="auto"/>
              <w:bottom w:val="nil"/>
              <w:right w:val="single" w:sz="4" w:space="0" w:color="auto"/>
            </w:tcBorders>
            <w:shd w:val="clear" w:color="auto" w:fill="auto"/>
          </w:tcPr>
          <w:p w14:paraId="34683476" w14:textId="77777777" w:rsidR="000624AF" w:rsidRPr="00E74297" w:rsidRDefault="000624AF" w:rsidP="00B22C7C">
            <w:pPr>
              <w:pStyle w:val="In-tableHeading"/>
              <w:keepNext w:val="0"/>
              <w:widowControl w:val="0"/>
              <w:jc w:val="center"/>
              <w:rPr>
                <w:b w:val="0"/>
                <w:lang w:val="en-AU"/>
              </w:rPr>
            </w:pPr>
            <w:r w:rsidRPr="00E74297">
              <w:rPr>
                <w:b w:val="0"/>
                <w:lang w:val="en-AU"/>
              </w:rPr>
              <w:t>31%</w:t>
            </w:r>
          </w:p>
        </w:tc>
      </w:tr>
      <w:tr w:rsidR="004111F2" w:rsidRPr="00E74297" w14:paraId="7A2D3554" w14:textId="77777777" w:rsidTr="00AF2668">
        <w:trPr>
          <w:trHeight w:val="220"/>
        </w:trPr>
        <w:tc>
          <w:tcPr>
            <w:tcW w:w="5098" w:type="dxa"/>
            <w:tcBorders>
              <w:top w:val="nil"/>
              <w:left w:val="single" w:sz="4" w:space="0" w:color="auto"/>
              <w:bottom w:val="nil"/>
              <w:right w:val="single" w:sz="4" w:space="0" w:color="auto"/>
            </w:tcBorders>
            <w:shd w:val="clear" w:color="auto" w:fill="auto"/>
          </w:tcPr>
          <w:p w14:paraId="32249418" w14:textId="57657C9A" w:rsidR="004111F2" w:rsidRPr="00E74297" w:rsidRDefault="004111F2" w:rsidP="00B22C7C">
            <w:pPr>
              <w:pStyle w:val="In-tableHeading"/>
              <w:keepNext w:val="0"/>
              <w:widowControl w:val="0"/>
              <w:rPr>
                <w:b w:val="0"/>
                <w:lang w:val="en-AU"/>
              </w:rPr>
            </w:pPr>
            <w:r w:rsidRPr="00E74297">
              <w:rPr>
                <w:b w:val="0"/>
                <w:lang w:val="en-AU"/>
              </w:rPr>
              <w:t>30 months in both arms</w:t>
            </w:r>
            <w:r w:rsidR="00A970C2" w:rsidRPr="00E74297">
              <w:rPr>
                <w:b w:val="0"/>
                <w:lang w:val="en-AU"/>
              </w:rPr>
              <w:t xml:space="preserve"> </w:t>
            </w:r>
            <w:r w:rsidR="00A970C2" w:rsidRPr="00E74297">
              <w:rPr>
                <w:bCs/>
                <w:lang w:val="en-AU"/>
              </w:rPr>
              <w:t>#3a</w:t>
            </w:r>
          </w:p>
        </w:tc>
        <w:tc>
          <w:tcPr>
            <w:tcW w:w="1134" w:type="dxa"/>
            <w:tcBorders>
              <w:top w:val="nil"/>
              <w:left w:val="single" w:sz="4" w:space="0" w:color="auto"/>
              <w:bottom w:val="single" w:sz="4" w:space="0" w:color="auto"/>
              <w:right w:val="single" w:sz="4" w:space="0" w:color="auto"/>
            </w:tcBorders>
            <w:shd w:val="solid" w:color="000000" w:fill="000000"/>
          </w:tcPr>
          <w:p w14:paraId="40522E9E" w14:textId="27456DDB" w:rsidR="004111F2" w:rsidRPr="009D0A03" w:rsidRDefault="006F55C1" w:rsidP="00B22C7C">
            <w:pPr>
              <w:pStyle w:val="In-tableHeading"/>
              <w:keepNext w:val="0"/>
              <w:widowControl w:val="0"/>
              <w:jc w:val="center"/>
              <w:rPr>
                <w:b w:val="0"/>
                <w:highlight w:val="darkGray"/>
                <w:lang w:val="en-AU"/>
              </w:rPr>
            </w:pPr>
            <w:r w:rsidRPr="006F55C1">
              <w:rPr>
                <w:b w:val="0"/>
                <w:color w:val="000000"/>
                <w:lang w:val="en-AU"/>
                <w14:textFill>
                  <w14:solidFill>
                    <w14:srgbClr w14:val="000000">
                      <w14:alpha w14:val="100000"/>
                    </w14:srgbClr>
                  </w14:solidFill>
                </w14:textFill>
              </w:rPr>
              <w:t>|</w:t>
            </w:r>
          </w:p>
        </w:tc>
        <w:tc>
          <w:tcPr>
            <w:tcW w:w="1134" w:type="dxa"/>
            <w:tcBorders>
              <w:top w:val="nil"/>
              <w:left w:val="single" w:sz="4" w:space="0" w:color="auto"/>
              <w:bottom w:val="nil"/>
              <w:right w:val="single" w:sz="4" w:space="0" w:color="auto"/>
            </w:tcBorders>
            <w:shd w:val="clear" w:color="auto" w:fill="auto"/>
          </w:tcPr>
          <w:p w14:paraId="2BD32B55" w14:textId="12002209" w:rsidR="004111F2" w:rsidRPr="00E74297" w:rsidRDefault="004111F2" w:rsidP="00B22C7C">
            <w:pPr>
              <w:pStyle w:val="In-tableHeading"/>
              <w:keepNext w:val="0"/>
              <w:widowControl w:val="0"/>
              <w:jc w:val="center"/>
              <w:rPr>
                <w:b w:val="0"/>
                <w:lang w:val="en-AU"/>
              </w:rPr>
            </w:pPr>
            <w:r w:rsidRPr="00E74297">
              <w:rPr>
                <w:b w:val="0"/>
                <w:lang w:val="en-AU"/>
              </w:rPr>
              <w:t>0.24</w:t>
            </w:r>
            <w:r w:rsidR="005B6C43" w:rsidRPr="00E74297">
              <w:rPr>
                <w:b w:val="0"/>
                <w:lang w:val="en-AU"/>
              </w:rPr>
              <w:t>4</w:t>
            </w:r>
          </w:p>
        </w:tc>
        <w:tc>
          <w:tcPr>
            <w:tcW w:w="851" w:type="dxa"/>
            <w:tcBorders>
              <w:top w:val="nil"/>
              <w:left w:val="single" w:sz="4" w:space="0" w:color="auto"/>
              <w:bottom w:val="nil"/>
              <w:right w:val="single" w:sz="4" w:space="0" w:color="auto"/>
            </w:tcBorders>
            <w:shd w:val="clear" w:color="auto" w:fill="auto"/>
          </w:tcPr>
          <w:p w14:paraId="5F321DBD" w14:textId="5EDAA43B" w:rsidR="004111F2" w:rsidRPr="009D0A03" w:rsidRDefault="006F55C1" w:rsidP="00B22C7C">
            <w:pPr>
              <w:pStyle w:val="In-tableHeading"/>
              <w:keepNext w:val="0"/>
              <w:widowControl w:val="0"/>
              <w:jc w:val="center"/>
              <w:rPr>
                <w:b w:val="0"/>
                <w:highlight w:val="darkGray"/>
                <w:lang w:val="en-AU"/>
              </w:rPr>
            </w:pPr>
            <w:r w:rsidRPr="006F55C1">
              <w:rPr>
                <w:b w:val="0"/>
                <w:color w:val="000000"/>
                <w:spacing w:val="79"/>
                <w:shd w:val="solid" w:color="000000" w:fill="000000"/>
                <w:fitText w:val="165" w:id="-1168282360"/>
                <w:lang w:val="en-AU"/>
                <w14:textFill>
                  <w14:solidFill>
                    <w14:srgbClr w14:val="000000">
                      <w14:alpha w14:val="100000"/>
                    </w14:srgbClr>
                  </w14:solidFill>
                </w14:textFill>
              </w:rPr>
              <w:t>|</w:t>
            </w:r>
            <w:r w:rsidRPr="006F55C1">
              <w:rPr>
                <w:b w:val="0"/>
                <w:color w:val="000000"/>
                <w:spacing w:val="1"/>
                <w:shd w:val="solid" w:color="000000" w:fill="000000"/>
                <w:fitText w:val="165" w:id="-1168282360"/>
                <w:lang w:val="en-AU"/>
                <w14:textFill>
                  <w14:solidFill>
                    <w14:srgbClr w14:val="000000">
                      <w14:alpha w14:val="100000"/>
                    </w14:srgbClr>
                  </w14:solidFill>
                </w14:textFill>
              </w:rPr>
              <w:t>|</w:t>
            </w:r>
            <w:r w:rsidR="00227288" w:rsidRPr="00227288">
              <w:rPr>
                <w:rFonts w:cs="Arial Narrow"/>
                <w:b w:val="0"/>
                <w:bCs/>
                <w:sz w:val="18"/>
                <w:szCs w:val="18"/>
                <w:vertAlign w:val="superscript"/>
              </w:rPr>
              <w:t>1</w:t>
            </w:r>
          </w:p>
        </w:tc>
        <w:tc>
          <w:tcPr>
            <w:tcW w:w="850" w:type="dxa"/>
            <w:tcBorders>
              <w:top w:val="nil"/>
              <w:left w:val="single" w:sz="4" w:space="0" w:color="auto"/>
              <w:bottom w:val="nil"/>
              <w:right w:val="single" w:sz="4" w:space="0" w:color="auto"/>
            </w:tcBorders>
            <w:shd w:val="clear" w:color="auto" w:fill="auto"/>
          </w:tcPr>
          <w:p w14:paraId="20ABCEE7" w14:textId="693FE149" w:rsidR="004111F2" w:rsidRPr="00E74297" w:rsidRDefault="00A970C2" w:rsidP="00B22C7C">
            <w:pPr>
              <w:pStyle w:val="In-tableHeading"/>
              <w:keepNext w:val="0"/>
              <w:widowControl w:val="0"/>
              <w:jc w:val="center"/>
              <w:rPr>
                <w:b w:val="0"/>
                <w:lang w:val="en-AU"/>
              </w:rPr>
            </w:pPr>
            <w:r w:rsidRPr="00E74297">
              <w:rPr>
                <w:b w:val="0"/>
                <w:lang w:val="en-AU"/>
              </w:rPr>
              <w:t>21%</w:t>
            </w:r>
          </w:p>
        </w:tc>
      </w:tr>
      <w:tr w:rsidR="000624AF" w:rsidRPr="00E74297" w14:paraId="5EB3EB16" w14:textId="77777777" w:rsidTr="00AF2668">
        <w:trPr>
          <w:trHeight w:val="220"/>
        </w:trPr>
        <w:tc>
          <w:tcPr>
            <w:tcW w:w="5098" w:type="dxa"/>
            <w:tcBorders>
              <w:top w:val="single" w:sz="4" w:space="0" w:color="auto"/>
              <w:left w:val="single" w:sz="4" w:space="0" w:color="auto"/>
              <w:bottom w:val="nil"/>
              <w:right w:val="single" w:sz="4" w:space="0" w:color="auto"/>
            </w:tcBorders>
            <w:shd w:val="clear" w:color="auto" w:fill="auto"/>
          </w:tcPr>
          <w:p w14:paraId="5E7603FC" w14:textId="77777777" w:rsidR="000624AF" w:rsidRPr="00E74297" w:rsidRDefault="000624AF" w:rsidP="00B22C7C">
            <w:pPr>
              <w:pStyle w:val="In-tableHeading"/>
              <w:keepNext w:val="0"/>
              <w:widowControl w:val="0"/>
              <w:rPr>
                <w:b w:val="0"/>
                <w:lang w:val="en-AU"/>
              </w:rPr>
            </w:pPr>
            <w:r w:rsidRPr="00E74297">
              <w:rPr>
                <w:b w:val="0"/>
                <w:lang w:val="en-AU"/>
              </w:rPr>
              <w:t>OS parametric extrapolation (base case dependent log-logistic in both arms)</w:t>
            </w:r>
          </w:p>
        </w:tc>
        <w:tc>
          <w:tcPr>
            <w:tcW w:w="1134" w:type="dxa"/>
            <w:tcBorders>
              <w:top w:val="single" w:sz="4" w:space="0" w:color="auto"/>
              <w:left w:val="single" w:sz="4" w:space="0" w:color="auto"/>
              <w:bottom w:val="nil"/>
              <w:right w:val="single" w:sz="4" w:space="0" w:color="auto"/>
            </w:tcBorders>
            <w:shd w:val="clear" w:color="auto" w:fill="auto"/>
          </w:tcPr>
          <w:p w14:paraId="7083BA01" w14:textId="77777777" w:rsidR="000624AF" w:rsidRPr="009D0A03" w:rsidRDefault="000624AF" w:rsidP="00B22C7C">
            <w:pPr>
              <w:pStyle w:val="In-tableHeading"/>
              <w:keepNext w:val="0"/>
              <w:widowControl w:val="0"/>
              <w:jc w:val="center"/>
              <w:rPr>
                <w:b w:val="0"/>
                <w:highlight w:val="darkGray"/>
                <w:lang w:val="en-AU"/>
              </w:rPr>
            </w:pPr>
          </w:p>
        </w:tc>
        <w:tc>
          <w:tcPr>
            <w:tcW w:w="1134" w:type="dxa"/>
            <w:tcBorders>
              <w:top w:val="single" w:sz="4" w:space="0" w:color="auto"/>
              <w:left w:val="single" w:sz="4" w:space="0" w:color="auto"/>
              <w:bottom w:val="nil"/>
              <w:right w:val="single" w:sz="4" w:space="0" w:color="auto"/>
            </w:tcBorders>
            <w:shd w:val="clear" w:color="auto" w:fill="auto"/>
          </w:tcPr>
          <w:p w14:paraId="0883A1F1" w14:textId="77777777" w:rsidR="000624AF" w:rsidRPr="00E74297" w:rsidRDefault="000624AF" w:rsidP="00B22C7C">
            <w:pPr>
              <w:pStyle w:val="In-tableHeading"/>
              <w:keepNext w:val="0"/>
              <w:widowControl w:val="0"/>
              <w:jc w:val="center"/>
              <w:rPr>
                <w:b w:val="0"/>
                <w:lang w:val="en-AU"/>
              </w:rPr>
            </w:pPr>
          </w:p>
        </w:tc>
        <w:tc>
          <w:tcPr>
            <w:tcW w:w="851" w:type="dxa"/>
            <w:tcBorders>
              <w:top w:val="single" w:sz="4" w:space="0" w:color="auto"/>
              <w:left w:val="single" w:sz="4" w:space="0" w:color="auto"/>
              <w:bottom w:val="nil"/>
              <w:right w:val="single" w:sz="4" w:space="0" w:color="auto"/>
            </w:tcBorders>
            <w:shd w:val="clear" w:color="auto" w:fill="auto"/>
          </w:tcPr>
          <w:p w14:paraId="3CE84B7B" w14:textId="77777777" w:rsidR="000624AF" w:rsidRPr="009D0A03" w:rsidRDefault="000624AF" w:rsidP="00B22C7C">
            <w:pPr>
              <w:pStyle w:val="In-tableHeading"/>
              <w:keepNext w:val="0"/>
              <w:widowControl w:val="0"/>
              <w:jc w:val="center"/>
              <w:rPr>
                <w:b w:val="0"/>
                <w:highlight w:val="darkGray"/>
                <w:lang w:val="en-AU"/>
              </w:rPr>
            </w:pPr>
          </w:p>
        </w:tc>
        <w:tc>
          <w:tcPr>
            <w:tcW w:w="850" w:type="dxa"/>
            <w:tcBorders>
              <w:top w:val="single" w:sz="4" w:space="0" w:color="auto"/>
              <w:left w:val="single" w:sz="4" w:space="0" w:color="auto"/>
              <w:bottom w:val="nil"/>
              <w:right w:val="single" w:sz="4" w:space="0" w:color="auto"/>
            </w:tcBorders>
            <w:shd w:val="clear" w:color="auto" w:fill="auto"/>
          </w:tcPr>
          <w:p w14:paraId="36A4789D" w14:textId="77777777" w:rsidR="000624AF" w:rsidRPr="00E74297" w:rsidRDefault="000624AF" w:rsidP="00B22C7C">
            <w:pPr>
              <w:pStyle w:val="In-tableHeading"/>
              <w:keepNext w:val="0"/>
              <w:widowControl w:val="0"/>
              <w:jc w:val="center"/>
              <w:rPr>
                <w:b w:val="0"/>
                <w:lang w:val="en-AU"/>
              </w:rPr>
            </w:pPr>
          </w:p>
        </w:tc>
      </w:tr>
      <w:tr w:rsidR="000624AF" w:rsidRPr="00E74297" w14:paraId="7B1239B2" w14:textId="77777777" w:rsidTr="00AF2668">
        <w:trPr>
          <w:trHeight w:val="220"/>
        </w:trPr>
        <w:tc>
          <w:tcPr>
            <w:tcW w:w="5098" w:type="dxa"/>
            <w:tcBorders>
              <w:top w:val="nil"/>
              <w:left w:val="single" w:sz="4" w:space="0" w:color="auto"/>
              <w:bottom w:val="nil"/>
              <w:right w:val="single" w:sz="4" w:space="0" w:color="auto"/>
            </w:tcBorders>
            <w:shd w:val="clear" w:color="auto" w:fill="auto"/>
          </w:tcPr>
          <w:p w14:paraId="374E92D8" w14:textId="205290A1" w:rsidR="000624AF" w:rsidRPr="00E74297" w:rsidRDefault="000624AF" w:rsidP="00B22C7C">
            <w:pPr>
              <w:pStyle w:val="In-tableHeading"/>
              <w:keepNext w:val="0"/>
              <w:widowControl w:val="0"/>
              <w:rPr>
                <w:b w:val="0"/>
                <w:lang w:val="en-AU"/>
              </w:rPr>
            </w:pPr>
            <w:r w:rsidRPr="00E74297">
              <w:rPr>
                <w:b w:val="0"/>
                <w:lang w:val="en-AU"/>
              </w:rPr>
              <w:t>Dependent gamma in both arms</w:t>
            </w:r>
          </w:p>
        </w:tc>
        <w:tc>
          <w:tcPr>
            <w:tcW w:w="1134" w:type="dxa"/>
            <w:tcBorders>
              <w:top w:val="nil"/>
              <w:left w:val="single" w:sz="4" w:space="0" w:color="auto"/>
              <w:bottom w:val="nil"/>
              <w:right w:val="single" w:sz="4" w:space="0" w:color="auto"/>
            </w:tcBorders>
            <w:shd w:val="solid" w:color="000000" w:fill="000000"/>
          </w:tcPr>
          <w:p w14:paraId="5C6438DE" w14:textId="2B01751A" w:rsidR="000624AF" w:rsidRPr="009D0A03" w:rsidRDefault="006F55C1" w:rsidP="00B22C7C">
            <w:pPr>
              <w:pStyle w:val="In-tableHeading"/>
              <w:keepNext w:val="0"/>
              <w:widowControl w:val="0"/>
              <w:jc w:val="center"/>
              <w:rPr>
                <w:b w:val="0"/>
                <w:highlight w:val="darkGray"/>
                <w:lang w:val="en-AU"/>
              </w:rPr>
            </w:pPr>
            <w:r w:rsidRPr="006F55C1">
              <w:rPr>
                <w:b w:val="0"/>
                <w:color w:val="000000"/>
                <w:lang w:val="en-AU"/>
                <w14:textFill>
                  <w14:solidFill>
                    <w14:srgbClr w14:val="000000">
                      <w14:alpha w14:val="100000"/>
                    </w14:srgbClr>
                  </w14:solidFill>
                </w14:textFill>
              </w:rPr>
              <w:t>|</w:t>
            </w:r>
          </w:p>
        </w:tc>
        <w:tc>
          <w:tcPr>
            <w:tcW w:w="1134" w:type="dxa"/>
            <w:tcBorders>
              <w:top w:val="nil"/>
              <w:left w:val="single" w:sz="4" w:space="0" w:color="auto"/>
              <w:bottom w:val="nil"/>
              <w:right w:val="single" w:sz="4" w:space="0" w:color="auto"/>
            </w:tcBorders>
            <w:shd w:val="clear" w:color="auto" w:fill="auto"/>
          </w:tcPr>
          <w:p w14:paraId="0BE672AB" w14:textId="77777777" w:rsidR="000624AF" w:rsidRPr="00E74297" w:rsidRDefault="000624AF" w:rsidP="00B22C7C">
            <w:pPr>
              <w:pStyle w:val="In-tableHeading"/>
              <w:keepNext w:val="0"/>
              <w:widowControl w:val="0"/>
              <w:jc w:val="center"/>
              <w:rPr>
                <w:b w:val="0"/>
                <w:lang w:val="en-AU"/>
              </w:rPr>
            </w:pPr>
            <w:r w:rsidRPr="00E74297">
              <w:rPr>
                <w:b w:val="0"/>
                <w:lang w:val="en-AU"/>
              </w:rPr>
              <w:t>0.263</w:t>
            </w:r>
          </w:p>
        </w:tc>
        <w:tc>
          <w:tcPr>
            <w:tcW w:w="851" w:type="dxa"/>
            <w:tcBorders>
              <w:top w:val="nil"/>
              <w:left w:val="single" w:sz="4" w:space="0" w:color="auto"/>
              <w:bottom w:val="nil"/>
              <w:right w:val="single" w:sz="4" w:space="0" w:color="auto"/>
            </w:tcBorders>
            <w:shd w:val="clear" w:color="auto" w:fill="auto"/>
          </w:tcPr>
          <w:p w14:paraId="22C9D1AE" w14:textId="6C0D9160" w:rsidR="000624AF" w:rsidRPr="009D0A03" w:rsidRDefault="006F55C1" w:rsidP="00B22C7C">
            <w:pPr>
              <w:pStyle w:val="In-tableHeading"/>
              <w:keepNext w:val="0"/>
              <w:widowControl w:val="0"/>
              <w:jc w:val="center"/>
              <w:rPr>
                <w:b w:val="0"/>
                <w:highlight w:val="darkGray"/>
                <w:lang w:val="en-AU"/>
              </w:rPr>
            </w:pPr>
            <w:r w:rsidRPr="006F55C1">
              <w:rPr>
                <w:b w:val="0"/>
                <w:color w:val="000000"/>
                <w:spacing w:val="79"/>
                <w:shd w:val="solid" w:color="000000" w:fill="000000"/>
                <w:fitText w:val="165" w:id="-1168282359"/>
                <w:lang w:val="en-AU"/>
                <w14:textFill>
                  <w14:solidFill>
                    <w14:srgbClr w14:val="000000">
                      <w14:alpha w14:val="100000"/>
                    </w14:srgbClr>
                  </w14:solidFill>
                </w14:textFill>
              </w:rPr>
              <w:t>|</w:t>
            </w:r>
            <w:r w:rsidRPr="006F55C1">
              <w:rPr>
                <w:b w:val="0"/>
                <w:color w:val="000000"/>
                <w:spacing w:val="1"/>
                <w:shd w:val="solid" w:color="000000" w:fill="000000"/>
                <w:fitText w:val="165" w:id="-1168282359"/>
                <w:lang w:val="en-AU"/>
                <w14:textFill>
                  <w14:solidFill>
                    <w14:srgbClr w14:val="000000">
                      <w14:alpha w14:val="100000"/>
                    </w14:srgbClr>
                  </w14:solidFill>
                </w14:textFill>
              </w:rPr>
              <w:t>|</w:t>
            </w:r>
            <w:r w:rsidR="00227288" w:rsidRPr="00227288">
              <w:rPr>
                <w:rFonts w:cs="Arial Narrow"/>
                <w:b w:val="0"/>
                <w:bCs/>
                <w:sz w:val="18"/>
                <w:szCs w:val="18"/>
                <w:vertAlign w:val="superscript"/>
              </w:rPr>
              <w:t>1</w:t>
            </w:r>
          </w:p>
        </w:tc>
        <w:tc>
          <w:tcPr>
            <w:tcW w:w="850" w:type="dxa"/>
            <w:tcBorders>
              <w:top w:val="nil"/>
              <w:left w:val="single" w:sz="4" w:space="0" w:color="auto"/>
              <w:bottom w:val="nil"/>
              <w:right w:val="single" w:sz="4" w:space="0" w:color="auto"/>
            </w:tcBorders>
            <w:shd w:val="clear" w:color="auto" w:fill="auto"/>
          </w:tcPr>
          <w:p w14:paraId="337DC598" w14:textId="77777777" w:rsidR="000624AF" w:rsidRPr="00E74297" w:rsidRDefault="000624AF" w:rsidP="00B22C7C">
            <w:pPr>
              <w:pStyle w:val="In-tableHeading"/>
              <w:keepNext w:val="0"/>
              <w:widowControl w:val="0"/>
              <w:jc w:val="center"/>
              <w:rPr>
                <w:b w:val="0"/>
                <w:lang w:val="en-AU"/>
              </w:rPr>
            </w:pPr>
            <w:r w:rsidRPr="00E74297">
              <w:rPr>
                <w:b w:val="0"/>
                <w:lang w:val="en-AU"/>
              </w:rPr>
              <w:t>12%</w:t>
            </w:r>
          </w:p>
        </w:tc>
      </w:tr>
      <w:tr w:rsidR="000624AF" w:rsidRPr="00E74297" w14:paraId="55E27F3F" w14:textId="77777777" w:rsidTr="00AF2668">
        <w:trPr>
          <w:trHeight w:val="220"/>
        </w:trPr>
        <w:tc>
          <w:tcPr>
            <w:tcW w:w="5098" w:type="dxa"/>
            <w:tcBorders>
              <w:top w:val="nil"/>
              <w:left w:val="single" w:sz="4" w:space="0" w:color="auto"/>
              <w:bottom w:val="nil"/>
              <w:right w:val="single" w:sz="4" w:space="0" w:color="auto"/>
            </w:tcBorders>
            <w:shd w:val="clear" w:color="auto" w:fill="auto"/>
          </w:tcPr>
          <w:p w14:paraId="053C6DEF" w14:textId="77777777" w:rsidR="000624AF" w:rsidRPr="00E74297" w:rsidRDefault="000624AF" w:rsidP="00B22C7C">
            <w:pPr>
              <w:pStyle w:val="In-tableHeading"/>
              <w:keepNext w:val="0"/>
              <w:widowControl w:val="0"/>
              <w:rPr>
                <w:b w:val="0"/>
                <w:lang w:val="en-AU"/>
              </w:rPr>
            </w:pPr>
            <w:r w:rsidRPr="00E74297">
              <w:rPr>
                <w:b w:val="0"/>
                <w:lang w:val="en-AU"/>
              </w:rPr>
              <w:t>Independent gamma in both arms</w:t>
            </w:r>
            <w:r w:rsidRPr="00E74297">
              <w:rPr>
                <w:b w:val="0"/>
                <w:vertAlign w:val="superscript"/>
                <w:lang w:val="en-AU"/>
              </w:rPr>
              <w:t>a</w:t>
            </w:r>
          </w:p>
        </w:tc>
        <w:tc>
          <w:tcPr>
            <w:tcW w:w="1134" w:type="dxa"/>
            <w:tcBorders>
              <w:top w:val="nil"/>
              <w:left w:val="single" w:sz="4" w:space="0" w:color="auto"/>
              <w:bottom w:val="single" w:sz="4" w:space="0" w:color="auto"/>
              <w:right w:val="single" w:sz="4" w:space="0" w:color="auto"/>
            </w:tcBorders>
            <w:shd w:val="solid" w:color="000000" w:fill="000000"/>
          </w:tcPr>
          <w:p w14:paraId="7A521E7F" w14:textId="135AD3D9" w:rsidR="000624AF" w:rsidRPr="009D0A03" w:rsidRDefault="006F55C1" w:rsidP="00B22C7C">
            <w:pPr>
              <w:pStyle w:val="In-tableHeading"/>
              <w:keepNext w:val="0"/>
              <w:widowControl w:val="0"/>
              <w:jc w:val="center"/>
              <w:rPr>
                <w:b w:val="0"/>
                <w:highlight w:val="darkGray"/>
                <w:lang w:val="en-AU"/>
              </w:rPr>
            </w:pPr>
            <w:r w:rsidRPr="006F55C1">
              <w:rPr>
                <w:b w:val="0"/>
                <w:color w:val="000000"/>
                <w:lang w:val="en-AU"/>
                <w14:textFill>
                  <w14:solidFill>
                    <w14:srgbClr w14:val="000000">
                      <w14:alpha w14:val="100000"/>
                    </w14:srgbClr>
                  </w14:solidFill>
                </w14:textFill>
              </w:rPr>
              <w:t>|</w:t>
            </w:r>
          </w:p>
        </w:tc>
        <w:tc>
          <w:tcPr>
            <w:tcW w:w="1134" w:type="dxa"/>
            <w:tcBorders>
              <w:top w:val="nil"/>
              <w:left w:val="single" w:sz="4" w:space="0" w:color="auto"/>
              <w:bottom w:val="nil"/>
              <w:right w:val="single" w:sz="4" w:space="0" w:color="auto"/>
            </w:tcBorders>
            <w:shd w:val="clear" w:color="auto" w:fill="auto"/>
          </w:tcPr>
          <w:p w14:paraId="3B68E293" w14:textId="77777777" w:rsidR="000624AF" w:rsidRPr="00E74297" w:rsidRDefault="000624AF" w:rsidP="00B22C7C">
            <w:pPr>
              <w:pStyle w:val="In-tableHeading"/>
              <w:keepNext w:val="0"/>
              <w:widowControl w:val="0"/>
              <w:jc w:val="center"/>
              <w:rPr>
                <w:b w:val="0"/>
                <w:lang w:val="en-AU"/>
              </w:rPr>
            </w:pPr>
            <w:r w:rsidRPr="00E74297">
              <w:rPr>
                <w:b w:val="0"/>
                <w:lang w:val="en-AU"/>
              </w:rPr>
              <w:t>0.268</w:t>
            </w:r>
          </w:p>
        </w:tc>
        <w:tc>
          <w:tcPr>
            <w:tcW w:w="851" w:type="dxa"/>
            <w:tcBorders>
              <w:top w:val="nil"/>
              <w:left w:val="single" w:sz="4" w:space="0" w:color="auto"/>
              <w:bottom w:val="nil"/>
              <w:right w:val="single" w:sz="4" w:space="0" w:color="auto"/>
            </w:tcBorders>
            <w:shd w:val="clear" w:color="auto" w:fill="auto"/>
          </w:tcPr>
          <w:p w14:paraId="41C905BB" w14:textId="0794942F" w:rsidR="000624AF" w:rsidRPr="009D0A03" w:rsidRDefault="006F55C1" w:rsidP="00B22C7C">
            <w:pPr>
              <w:pStyle w:val="In-tableHeading"/>
              <w:keepNext w:val="0"/>
              <w:widowControl w:val="0"/>
              <w:jc w:val="center"/>
              <w:rPr>
                <w:b w:val="0"/>
                <w:highlight w:val="darkGray"/>
                <w:lang w:val="en-AU"/>
              </w:rPr>
            </w:pPr>
            <w:r w:rsidRPr="006F55C1">
              <w:rPr>
                <w:b w:val="0"/>
                <w:color w:val="000000"/>
                <w:spacing w:val="79"/>
                <w:shd w:val="solid" w:color="000000" w:fill="000000"/>
                <w:fitText w:val="165" w:id="-1168282358"/>
                <w:lang w:val="en-AU"/>
                <w14:textFill>
                  <w14:solidFill>
                    <w14:srgbClr w14:val="000000">
                      <w14:alpha w14:val="100000"/>
                    </w14:srgbClr>
                  </w14:solidFill>
                </w14:textFill>
              </w:rPr>
              <w:t>|</w:t>
            </w:r>
            <w:r w:rsidRPr="006F55C1">
              <w:rPr>
                <w:b w:val="0"/>
                <w:color w:val="000000"/>
                <w:spacing w:val="1"/>
                <w:shd w:val="solid" w:color="000000" w:fill="000000"/>
                <w:fitText w:val="165" w:id="-1168282358"/>
                <w:lang w:val="en-AU"/>
                <w14:textFill>
                  <w14:solidFill>
                    <w14:srgbClr w14:val="000000">
                      <w14:alpha w14:val="100000"/>
                    </w14:srgbClr>
                  </w14:solidFill>
                </w14:textFill>
              </w:rPr>
              <w:t>|</w:t>
            </w:r>
            <w:r w:rsidR="00227288" w:rsidRPr="00227288">
              <w:rPr>
                <w:rFonts w:cs="Arial Narrow"/>
                <w:b w:val="0"/>
                <w:bCs/>
                <w:sz w:val="18"/>
                <w:szCs w:val="18"/>
                <w:vertAlign w:val="superscript"/>
              </w:rPr>
              <w:t>1</w:t>
            </w:r>
          </w:p>
        </w:tc>
        <w:tc>
          <w:tcPr>
            <w:tcW w:w="850" w:type="dxa"/>
            <w:tcBorders>
              <w:top w:val="nil"/>
              <w:left w:val="single" w:sz="4" w:space="0" w:color="auto"/>
              <w:bottom w:val="nil"/>
              <w:right w:val="single" w:sz="4" w:space="0" w:color="auto"/>
            </w:tcBorders>
            <w:shd w:val="clear" w:color="auto" w:fill="auto"/>
          </w:tcPr>
          <w:p w14:paraId="57EDB917" w14:textId="77777777" w:rsidR="000624AF" w:rsidRPr="00E74297" w:rsidRDefault="000624AF" w:rsidP="00B22C7C">
            <w:pPr>
              <w:pStyle w:val="In-tableHeading"/>
              <w:keepNext w:val="0"/>
              <w:widowControl w:val="0"/>
              <w:jc w:val="center"/>
              <w:rPr>
                <w:b w:val="0"/>
                <w:lang w:val="en-AU"/>
              </w:rPr>
            </w:pPr>
            <w:r w:rsidRPr="00E74297">
              <w:rPr>
                <w:b w:val="0"/>
                <w:lang w:val="en-AU"/>
              </w:rPr>
              <w:t>11%</w:t>
            </w:r>
          </w:p>
        </w:tc>
      </w:tr>
      <w:tr w:rsidR="000624AF" w:rsidRPr="00E74297" w14:paraId="121AD20F" w14:textId="77777777" w:rsidTr="00AF2668">
        <w:trPr>
          <w:trHeight w:val="220"/>
        </w:trPr>
        <w:tc>
          <w:tcPr>
            <w:tcW w:w="5098" w:type="dxa"/>
            <w:tcBorders>
              <w:top w:val="single" w:sz="4" w:space="0" w:color="auto"/>
              <w:left w:val="single" w:sz="4" w:space="0" w:color="auto"/>
              <w:bottom w:val="nil"/>
              <w:right w:val="single" w:sz="4" w:space="0" w:color="auto"/>
            </w:tcBorders>
            <w:shd w:val="clear" w:color="auto" w:fill="auto"/>
          </w:tcPr>
          <w:p w14:paraId="6D387032" w14:textId="55C5D3CC" w:rsidR="000624AF" w:rsidRPr="00E74297" w:rsidRDefault="000624AF" w:rsidP="00B22C7C">
            <w:pPr>
              <w:pStyle w:val="In-tableHeading"/>
              <w:keepLines/>
              <w:widowControl w:val="0"/>
              <w:rPr>
                <w:b w:val="0"/>
                <w:lang w:val="en-AU"/>
              </w:rPr>
            </w:pPr>
            <w:r w:rsidRPr="00E74297">
              <w:rPr>
                <w:b w:val="0"/>
                <w:lang w:val="en-AU"/>
              </w:rPr>
              <w:lastRenderedPageBreak/>
              <w:t>Health state utility (base case 0.746 for PFS SG and 0.662 for PFS TPC and 0.605 for PD in both arms, from SG PBAC submission for mTNBC)</w:t>
            </w:r>
          </w:p>
        </w:tc>
        <w:tc>
          <w:tcPr>
            <w:tcW w:w="1134" w:type="dxa"/>
            <w:tcBorders>
              <w:top w:val="single" w:sz="4" w:space="0" w:color="auto"/>
              <w:left w:val="single" w:sz="4" w:space="0" w:color="auto"/>
              <w:bottom w:val="nil"/>
              <w:right w:val="single" w:sz="4" w:space="0" w:color="auto"/>
            </w:tcBorders>
            <w:shd w:val="clear" w:color="auto" w:fill="auto"/>
          </w:tcPr>
          <w:p w14:paraId="293525FA" w14:textId="77777777" w:rsidR="000624AF" w:rsidRPr="00E74297" w:rsidRDefault="000624AF" w:rsidP="00B22C7C">
            <w:pPr>
              <w:pStyle w:val="In-tableHeading"/>
              <w:keepLines/>
              <w:widowControl w:val="0"/>
              <w:jc w:val="center"/>
              <w:rPr>
                <w:b w:val="0"/>
                <w:lang w:val="en-AU"/>
              </w:rPr>
            </w:pPr>
          </w:p>
        </w:tc>
        <w:tc>
          <w:tcPr>
            <w:tcW w:w="1134" w:type="dxa"/>
            <w:tcBorders>
              <w:top w:val="single" w:sz="4" w:space="0" w:color="auto"/>
              <w:left w:val="single" w:sz="4" w:space="0" w:color="auto"/>
              <w:bottom w:val="nil"/>
              <w:right w:val="single" w:sz="4" w:space="0" w:color="auto"/>
            </w:tcBorders>
            <w:shd w:val="clear" w:color="auto" w:fill="auto"/>
          </w:tcPr>
          <w:p w14:paraId="76FEAC60" w14:textId="77777777" w:rsidR="000624AF" w:rsidRPr="00E74297" w:rsidRDefault="000624AF" w:rsidP="00B22C7C">
            <w:pPr>
              <w:pStyle w:val="In-tableHeading"/>
              <w:keepLines/>
              <w:widowControl w:val="0"/>
              <w:jc w:val="center"/>
              <w:rPr>
                <w:b w:val="0"/>
                <w:lang w:val="en-AU"/>
              </w:rPr>
            </w:pPr>
          </w:p>
        </w:tc>
        <w:tc>
          <w:tcPr>
            <w:tcW w:w="851" w:type="dxa"/>
            <w:tcBorders>
              <w:top w:val="single" w:sz="4" w:space="0" w:color="auto"/>
              <w:left w:val="single" w:sz="4" w:space="0" w:color="auto"/>
              <w:bottom w:val="nil"/>
              <w:right w:val="single" w:sz="4" w:space="0" w:color="auto"/>
            </w:tcBorders>
            <w:shd w:val="clear" w:color="auto" w:fill="auto"/>
          </w:tcPr>
          <w:p w14:paraId="2327E6CC" w14:textId="12C4D14C" w:rsidR="000624AF" w:rsidRPr="00E74297" w:rsidRDefault="000624AF" w:rsidP="00B22C7C">
            <w:pPr>
              <w:pStyle w:val="In-tableHeading"/>
              <w:keepLines/>
              <w:widowControl w:val="0"/>
              <w:jc w:val="center"/>
              <w:rPr>
                <w:b w:val="0"/>
                <w:lang w:val="en-AU"/>
              </w:rPr>
            </w:pPr>
          </w:p>
        </w:tc>
        <w:tc>
          <w:tcPr>
            <w:tcW w:w="850" w:type="dxa"/>
            <w:tcBorders>
              <w:top w:val="single" w:sz="4" w:space="0" w:color="auto"/>
              <w:left w:val="single" w:sz="4" w:space="0" w:color="auto"/>
              <w:bottom w:val="nil"/>
              <w:right w:val="single" w:sz="4" w:space="0" w:color="auto"/>
            </w:tcBorders>
            <w:shd w:val="clear" w:color="auto" w:fill="auto"/>
          </w:tcPr>
          <w:p w14:paraId="4CCDE6C4" w14:textId="77777777" w:rsidR="000624AF" w:rsidRPr="00E74297" w:rsidRDefault="000624AF" w:rsidP="00B22C7C">
            <w:pPr>
              <w:pStyle w:val="In-tableHeading"/>
              <w:keepLines/>
              <w:widowControl w:val="0"/>
              <w:jc w:val="center"/>
              <w:rPr>
                <w:b w:val="0"/>
                <w:lang w:val="en-AU"/>
              </w:rPr>
            </w:pPr>
          </w:p>
        </w:tc>
      </w:tr>
      <w:tr w:rsidR="000624AF" w:rsidRPr="00E74297" w14:paraId="0BCABF1A" w14:textId="77777777" w:rsidTr="00AF2668">
        <w:trPr>
          <w:cantSplit/>
          <w:trHeight w:val="220"/>
        </w:trPr>
        <w:tc>
          <w:tcPr>
            <w:tcW w:w="5098" w:type="dxa"/>
            <w:tcBorders>
              <w:top w:val="nil"/>
              <w:left w:val="single" w:sz="4" w:space="0" w:color="auto"/>
              <w:bottom w:val="nil"/>
              <w:right w:val="single" w:sz="4" w:space="0" w:color="auto"/>
            </w:tcBorders>
            <w:shd w:val="clear" w:color="auto" w:fill="auto"/>
          </w:tcPr>
          <w:p w14:paraId="29F94FA9" w14:textId="622BDA86" w:rsidR="000624AF" w:rsidRPr="00E74297" w:rsidRDefault="000624AF" w:rsidP="00B22C7C">
            <w:pPr>
              <w:pStyle w:val="In-tableHeading"/>
              <w:keepLines/>
              <w:widowControl w:val="0"/>
              <w:rPr>
                <w:b w:val="0"/>
                <w:lang w:val="en-AU"/>
              </w:rPr>
            </w:pPr>
            <w:r w:rsidRPr="00E74297">
              <w:rPr>
                <w:b w:val="0"/>
                <w:lang w:val="en-AU"/>
              </w:rPr>
              <w:t>Trial based, non-treatment specific utilities with separate AE decrements (0.782 for PFS and 0.738 for PD in both arms).</w:t>
            </w:r>
            <w:r w:rsidR="00A61FC1" w:rsidRPr="00E74297">
              <w:rPr>
                <w:b w:val="0"/>
                <w:lang w:val="en-AU"/>
              </w:rPr>
              <w:t xml:space="preserve"> </w:t>
            </w:r>
            <w:r w:rsidR="00A61FC1" w:rsidRPr="00E74297">
              <w:rPr>
                <w:bCs/>
                <w:lang w:val="en-AU"/>
              </w:rPr>
              <w:t>#5</w:t>
            </w:r>
          </w:p>
        </w:tc>
        <w:tc>
          <w:tcPr>
            <w:tcW w:w="1134" w:type="dxa"/>
            <w:tcBorders>
              <w:top w:val="nil"/>
              <w:left w:val="single" w:sz="4" w:space="0" w:color="auto"/>
              <w:bottom w:val="single" w:sz="4" w:space="0" w:color="auto"/>
              <w:right w:val="single" w:sz="4" w:space="0" w:color="auto"/>
            </w:tcBorders>
            <w:shd w:val="solid" w:color="000000" w:fill="000000"/>
          </w:tcPr>
          <w:p w14:paraId="5C71C170" w14:textId="2AF1E8B8" w:rsidR="000624AF" w:rsidRPr="009D0A03" w:rsidRDefault="006F55C1" w:rsidP="00B22C7C">
            <w:pPr>
              <w:pStyle w:val="In-tableHeading"/>
              <w:keepLines/>
              <w:widowControl w:val="0"/>
              <w:jc w:val="center"/>
              <w:rPr>
                <w:b w:val="0"/>
                <w:highlight w:val="darkGray"/>
                <w:lang w:val="en-AU"/>
              </w:rPr>
            </w:pPr>
            <w:r w:rsidRPr="006F55C1">
              <w:rPr>
                <w:b w:val="0"/>
                <w:color w:val="000000"/>
                <w:lang w:val="en-AU"/>
                <w14:textFill>
                  <w14:solidFill>
                    <w14:srgbClr w14:val="000000">
                      <w14:alpha w14:val="100000"/>
                    </w14:srgbClr>
                  </w14:solidFill>
                </w14:textFill>
              </w:rPr>
              <w:t>|</w:t>
            </w:r>
          </w:p>
        </w:tc>
        <w:tc>
          <w:tcPr>
            <w:tcW w:w="1134" w:type="dxa"/>
            <w:tcBorders>
              <w:top w:val="nil"/>
              <w:left w:val="single" w:sz="4" w:space="0" w:color="auto"/>
              <w:bottom w:val="nil"/>
              <w:right w:val="single" w:sz="4" w:space="0" w:color="auto"/>
            </w:tcBorders>
            <w:shd w:val="clear" w:color="auto" w:fill="auto"/>
          </w:tcPr>
          <w:p w14:paraId="1316C4A0" w14:textId="77777777" w:rsidR="000624AF" w:rsidRPr="00E74297" w:rsidRDefault="000624AF" w:rsidP="00B22C7C">
            <w:pPr>
              <w:pStyle w:val="In-tableHeading"/>
              <w:keepLines/>
              <w:widowControl w:val="0"/>
              <w:jc w:val="center"/>
              <w:rPr>
                <w:b w:val="0"/>
                <w:lang w:val="en-AU"/>
              </w:rPr>
            </w:pPr>
            <w:r w:rsidRPr="00E74297">
              <w:rPr>
                <w:b w:val="0"/>
                <w:lang w:val="en-AU"/>
              </w:rPr>
              <w:t>0.273</w:t>
            </w:r>
          </w:p>
        </w:tc>
        <w:tc>
          <w:tcPr>
            <w:tcW w:w="851" w:type="dxa"/>
            <w:tcBorders>
              <w:top w:val="nil"/>
              <w:left w:val="single" w:sz="4" w:space="0" w:color="auto"/>
              <w:bottom w:val="nil"/>
              <w:right w:val="single" w:sz="4" w:space="0" w:color="auto"/>
            </w:tcBorders>
            <w:shd w:val="clear" w:color="auto" w:fill="auto"/>
          </w:tcPr>
          <w:p w14:paraId="6B81E6EB" w14:textId="434AB952" w:rsidR="000624AF" w:rsidRPr="00625752" w:rsidRDefault="006F55C1" w:rsidP="00B22C7C">
            <w:pPr>
              <w:pStyle w:val="In-tableHeading"/>
              <w:keepLines/>
              <w:widowControl w:val="0"/>
              <w:jc w:val="center"/>
              <w:rPr>
                <w:b w:val="0"/>
                <w:highlight w:val="darkGray"/>
                <w:lang w:val="en-AU"/>
              </w:rPr>
            </w:pPr>
            <w:r w:rsidRPr="006F55C1">
              <w:rPr>
                <w:b w:val="0"/>
                <w:color w:val="000000"/>
                <w:spacing w:val="79"/>
                <w:shd w:val="solid" w:color="000000" w:fill="000000"/>
                <w:fitText w:val="165" w:id="-1168282357"/>
                <w:lang w:val="en-AU"/>
                <w14:textFill>
                  <w14:solidFill>
                    <w14:srgbClr w14:val="000000">
                      <w14:alpha w14:val="100000"/>
                    </w14:srgbClr>
                  </w14:solidFill>
                </w14:textFill>
              </w:rPr>
              <w:t>|</w:t>
            </w:r>
            <w:r w:rsidRPr="006F55C1">
              <w:rPr>
                <w:b w:val="0"/>
                <w:color w:val="000000"/>
                <w:spacing w:val="1"/>
                <w:shd w:val="solid" w:color="000000" w:fill="000000"/>
                <w:fitText w:val="165" w:id="-1168282357"/>
                <w:lang w:val="en-AU"/>
                <w14:textFill>
                  <w14:solidFill>
                    <w14:srgbClr w14:val="000000">
                      <w14:alpha w14:val="100000"/>
                    </w14:srgbClr>
                  </w14:solidFill>
                </w14:textFill>
              </w:rPr>
              <w:t>|</w:t>
            </w:r>
            <w:r w:rsidR="00227288" w:rsidRPr="00227288">
              <w:rPr>
                <w:rFonts w:cs="Arial Narrow"/>
                <w:b w:val="0"/>
                <w:bCs/>
                <w:sz w:val="18"/>
                <w:szCs w:val="18"/>
                <w:vertAlign w:val="superscript"/>
              </w:rPr>
              <w:t>1</w:t>
            </w:r>
          </w:p>
        </w:tc>
        <w:tc>
          <w:tcPr>
            <w:tcW w:w="850" w:type="dxa"/>
            <w:tcBorders>
              <w:top w:val="nil"/>
              <w:left w:val="single" w:sz="4" w:space="0" w:color="auto"/>
              <w:bottom w:val="nil"/>
              <w:right w:val="single" w:sz="4" w:space="0" w:color="auto"/>
            </w:tcBorders>
            <w:shd w:val="clear" w:color="auto" w:fill="auto"/>
          </w:tcPr>
          <w:p w14:paraId="7184B96F" w14:textId="77777777" w:rsidR="000624AF" w:rsidRPr="00E74297" w:rsidRDefault="000624AF" w:rsidP="00B22C7C">
            <w:pPr>
              <w:pStyle w:val="In-tableHeading"/>
              <w:keepLines/>
              <w:widowControl w:val="0"/>
              <w:jc w:val="center"/>
              <w:rPr>
                <w:b w:val="0"/>
                <w:lang w:val="en-AU"/>
              </w:rPr>
            </w:pPr>
            <w:r w:rsidRPr="00E74297">
              <w:rPr>
                <w:b w:val="0"/>
                <w:lang w:val="en-AU"/>
              </w:rPr>
              <w:t>7%</w:t>
            </w:r>
          </w:p>
        </w:tc>
      </w:tr>
      <w:tr w:rsidR="000624AF" w:rsidRPr="00E74297" w14:paraId="664397E1" w14:textId="77777777" w:rsidTr="00AF2668">
        <w:trPr>
          <w:trHeight w:val="220"/>
        </w:trPr>
        <w:tc>
          <w:tcPr>
            <w:tcW w:w="5098" w:type="dxa"/>
            <w:tcBorders>
              <w:top w:val="single" w:sz="4" w:space="0" w:color="auto"/>
              <w:left w:val="single" w:sz="4" w:space="0" w:color="auto"/>
              <w:bottom w:val="nil"/>
              <w:right w:val="single" w:sz="4" w:space="0" w:color="auto"/>
            </w:tcBorders>
            <w:shd w:val="clear" w:color="auto" w:fill="auto"/>
          </w:tcPr>
          <w:p w14:paraId="76F47654" w14:textId="77777777" w:rsidR="000624AF" w:rsidRPr="00E74297" w:rsidRDefault="000624AF" w:rsidP="00B22C7C">
            <w:pPr>
              <w:pStyle w:val="In-tableHeading"/>
              <w:keepNext w:val="0"/>
              <w:widowControl w:val="0"/>
              <w:rPr>
                <w:b w:val="0"/>
                <w:lang w:val="en-AU"/>
              </w:rPr>
            </w:pPr>
            <w:r w:rsidRPr="00E74297">
              <w:rPr>
                <w:b w:val="0"/>
                <w:lang w:val="en-AU"/>
              </w:rPr>
              <w:t>RDI of SG (base case 70%)</w:t>
            </w:r>
          </w:p>
        </w:tc>
        <w:tc>
          <w:tcPr>
            <w:tcW w:w="1134" w:type="dxa"/>
            <w:tcBorders>
              <w:top w:val="single" w:sz="4" w:space="0" w:color="auto"/>
              <w:left w:val="single" w:sz="4" w:space="0" w:color="auto"/>
              <w:bottom w:val="nil"/>
              <w:right w:val="single" w:sz="4" w:space="0" w:color="auto"/>
            </w:tcBorders>
            <w:shd w:val="clear" w:color="auto" w:fill="auto"/>
          </w:tcPr>
          <w:p w14:paraId="1B6C77B8" w14:textId="77777777" w:rsidR="000624AF" w:rsidRPr="009D0A03" w:rsidRDefault="000624AF" w:rsidP="00B22C7C">
            <w:pPr>
              <w:pStyle w:val="In-tableHeading"/>
              <w:keepNext w:val="0"/>
              <w:widowControl w:val="0"/>
              <w:jc w:val="center"/>
              <w:rPr>
                <w:b w:val="0"/>
                <w:highlight w:val="darkGray"/>
                <w:lang w:val="en-AU"/>
              </w:rPr>
            </w:pPr>
          </w:p>
        </w:tc>
        <w:tc>
          <w:tcPr>
            <w:tcW w:w="1134" w:type="dxa"/>
            <w:tcBorders>
              <w:top w:val="single" w:sz="4" w:space="0" w:color="auto"/>
              <w:left w:val="single" w:sz="4" w:space="0" w:color="auto"/>
              <w:bottom w:val="nil"/>
              <w:right w:val="single" w:sz="4" w:space="0" w:color="auto"/>
            </w:tcBorders>
            <w:shd w:val="clear" w:color="auto" w:fill="auto"/>
          </w:tcPr>
          <w:p w14:paraId="2B39836B" w14:textId="77777777" w:rsidR="000624AF" w:rsidRPr="00E74297" w:rsidRDefault="000624AF" w:rsidP="00B22C7C">
            <w:pPr>
              <w:pStyle w:val="In-tableHeading"/>
              <w:keepNext w:val="0"/>
              <w:widowControl w:val="0"/>
              <w:jc w:val="center"/>
              <w:rPr>
                <w:b w:val="0"/>
                <w:lang w:val="en-AU"/>
              </w:rPr>
            </w:pPr>
          </w:p>
        </w:tc>
        <w:tc>
          <w:tcPr>
            <w:tcW w:w="851" w:type="dxa"/>
            <w:tcBorders>
              <w:top w:val="single" w:sz="4" w:space="0" w:color="auto"/>
              <w:left w:val="single" w:sz="4" w:space="0" w:color="auto"/>
              <w:bottom w:val="nil"/>
              <w:right w:val="single" w:sz="4" w:space="0" w:color="auto"/>
            </w:tcBorders>
            <w:shd w:val="clear" w:color="auto" w:fill="auto"/>
          </w:tcPr>
          <w:p w14:paraId="587374D7" w14:textId="77777777" w:rsidR="000624AF" w:rsidRPr="00625752" w:rsidRDefault="000624AF" w:rsidP="00B22C7C">
            <w:pPr>
              <w:pStyle w:val="In-tableHeading"/>
              <w:keepNext w:val="0"/>
              <w:widowControl w:val="0"/>
              <w:jc w:val="center"/>
              <w:rPr>
                <w:b w:val="0"/>
                <w:highlight w:val="darkGray"/>
                <w:lang w:val="en-AU"/>
              </w:rPr>
            </w:pPr>
          </w:p>
        </w:tc>
        <w:tc>
          <w:tcPr>
            <w:tcW w:w="850" w:type="dxa"/>
            <w:tcBorders>
              <w:top w:val="single" w:sz="4" w:space="0" w:color="auto"/>
              <w:left w:val="single" w:sz="4" w:space="0" w:color="auto"/>
              <w:bottom w:val="nil"/>
              <w:right w:val="single" w:sz="4" w:space="0" w:color="auto"/>
            </w:tcBorders>
            <w:shd w:val="clear" w:color="auto" w:fill="auto"/>
          </w:tcPr>
          <w:p w14:paraId="60563532" w14:textId="77777777" w:rsidR="000624AF" w:rsidRPr="00E74297" w:rsidRDefault="000624AF" w:rsidP="00B22C7C">
            <w:pPr>
              <w:pStyle w:val="In-tableHeading"/>
              <w:keepNext w:val="0"/>
              <w:widowControl w:val="0"/>
              <w:jc w:val="center"/>
              <w:rPr>
                <w:b w:val="0"/>
                <w:lang w:val="en-AU"/>
              </w:rPr>
            </w:pPr>
          </w:p>
        </w:tc>
      </w:tr>
      <w:tr w:rsidR="000624AF" w:rsidRPr="00E74297" w14:paraId="280B8707" w14:textId="77777777" w:rsidTr="00AF2668">
        <w:trPr>
          <w:trHeight w:val="220"/>
        </w:trPr>
        <w:tc>
          <w:tcPr>
            <w:tcW w:w="5098" w:type="dxa"/>
            <w:tcBorders>
              <w:top w:val="nil"/>
              <w:left w:val="single" w:sz="4" w:space="0" w:color="auto"/>
              <w:bottom w:val="nil"/>
              <w:right w:val="single" w:sz="4" w:space="0" w:color="auto"/>
            </w:tcBorders>
            <w:shd w:val="clear" w:color="auto" w:fill="auto"/>
          </w:tcPr>
          <w:p w14:paraId="4A266EFA" w14:textId="51B4597F" w:rsidR="000624AF" w:rsidRPr="00E74297" w:rsidRDefault="000624AF" w:rsidP="00B22C7C">
            <w:pPr>
              <w:pStyle w:val="In-tableHeading"/>
              <w:keepNext w:val="0"/>
              <w:widowControl w:val="0"/>
              <w:rPr>
                <w:b w:val="0"/>
                <w:lang w:val="en-AU"/>
              </w:rPr>
            </w:pPr>
            <w:r w:rsidRPr="00E74297">
              <w:rPr>
                <w:b w:val="0"/>
                <w:lang w:val="en-AU"/>
              </w:rPr>
              <w:t>92% (mean RDI in TROPiCS-02)</w:t>
            </w:r>
          </w:p>
        </w:tc>
        <w:tc>
          <w:tcPr>
            <w:tcW w:w="1134" w:type="dxa"/>
            <w:tcBorders>
              <w:top w:val="nil"/>
              <w:left w:val="single" w:sz="4" w:space="0" w:color="auto"/>
              <w:bottom w:val="single" w:sz="4" w:space="0" w:color="auto"/>
              <w:right w:val="single" w:sz="4" w:space="0" w:color="auto"/>
            </w:tcBorders>
            <w:shd w:val="solid" w:color="000000" w:fill="000000"/>
          </w:tcPr>
          <w:p w14:paraId="3F7C374D" w14:textId="5B0DE10C" w:rsidR="000624AF" w:rsidRPr="009D0A03" w:rsidRDefault="006F55C1" w:rsidP="00B22C7C">
            <w:pPr>
              <w:pStyle w:val="In-tableHeading"/>
              <w:keepNext w:val="0"/>
              <w:widowControl w:val="0"/>
              <w:jc w:val="center"/>
              <w:rPr>
                <w:b w:val="0"/>
                <w:highlight w:val="darkGray"/>
                <w:lang w:val="en-AU"/>
              </w:rPr>
            </w:pPr>
            <w:r w:rsidRPr="006F55C1">
              <w:rPr>
                <w:b w:val="0"/>
                <w:color w:val="000000"/>
                <w:lang w:val="en-AU"/>
                <w14:textFill>
                  <w14:solidFill>
                    <w14:srgbClr w14:val="000000">
                      <w14:alpha w14:val="100000"/>
                    </w14:srgbClr>
                  </w14:solidFill>
                </w14:textFill>
              </w:rPr>
              <w:t>|</w:t>
            </w:r>
          </w:p>
        </w:tc>
        <w:tc>
          <w:tcPr>
            <w:tcW w:w="1134" w:type="dxa"/>
            <w:tcBorders>
              <w:top w:val="nil"/>
              <w:left w:val="single" w:sz="4" w:space="0" w:color="auto"/>
              <w:bottom w:val="nil"/>
              <w:right w:val="single" w:sz="4" w:space="0" w:color="auto"/>
            </w:tcBorders>
            <w:shd w:val="clear" w:color="auto" w:fill="auto"/>
          </w:tcPr>
          <w:p w14:paraId="1B624D95" w14:textId="77777777" w:rsidR="000624AF" w:rsidRPr="00E74297" w:rsidRDefault="000624AF" w:rsidP="00B22C7C">
            <w:pPr>
              <w:pStyle w:val="In-tableHeading"/>
              <w:keepNext w:val="0"/>
              <w:widowControl w:val="0"/>
              <w:jc w:val="center"/>
              <w:rPr>
                <w:b w:val="0"/>
                <w:lang w:val="en-AU"/>
              </w:rPr>
            </w:pPr>
            <w:r w:rsidRPr="00E74297">
              <w:rPr>
                <w:b w:val="0"/>
                <w:lang w:val="en-AU"/>
              </w:rPr>
              <w:t>0.293</w:t>
            </w:r>
          </w:p>
        </w:tc>
        <w:tc>
          <w:tcPr>
            <w:tcW w:w="851" w:type="dxa"/>
            <w:tcBorders>
              <w:top w:val="nil"/>
              <w:left w:val="single" w:sz="4" w:space="0" w:color="auto"/>
              <w:bottom w:val="nil"/>
              <w:right w:val="single" w:sz="4" w:space="0" w:color="auto"/>
            </w:tcBorders>
            <w:shd w:val="clear" w:color="auto" w:fill="auto"/>
          </w:tcPr>
          <w:p w14:paraId="254700FB" w14:textId="14DB1B36" w:rsidR="000624AF" w:rsidRPr="00625752" w:rsidRDefault="006F55C1" w:rsidP="00B22C7C">
            <w:pPr>
              <w:pStyle w:val="In-tableHeading"/>
              <w:keepNext w:val="0"/>
              <w:widowControl w:val="0"/>
              <w:jc w:val="center"/>
              <w:rPr>
                <w:b w:val="0"/>
                <w:highlight w:val="darkGray"/>
                <w:lang w:val="en-AU"/>
              </w:rPr>
            </w:pPr>
            <w:r w:rsidRPr="006F55C1">
              <w:rPr>
                <w:b w:val="0"/>
                <w:color w:val="000000"/>
                <w:spacing w:val="79"/>
                <w:shd w:val="solid" w:color="000000" w:fill="000000"/>
                <w:fitText w:val="165" w:id="-1168282356"/>
                <w:lang w:val="en-AU"/>
                <w14:textFill>
                  <w14:solidFill>
                    <w14:srgbClr w14:val="000000">
                      <w14:alpha w14:val="100000"/>
                    </w14:srgbClr>
                  </w14:solidFill>
                </w14:textFill>
              </w:rPr>
              <w:t>|</w:t>
            </w:r>
            <w:r w:rsidRPr="006F55C1">
              <w:rPr>
                <w:b w:val="0"/>
                <w:color w:val="000000"/>
                <w:spacing w:val="1"/>
                <w:shd w:val="solid" w:color="000000" w:fill="000000"/>
                <w:fitText w:val="165" w:id="-1168282356"/>
                <w:lang w:val="en-AU"/>
                <w14:textFill>
                  <w14:solidFill>
                    <w14:srgbClr w14:val="000000">
                      <w14:alpha w14:val="100000"/>
                    </w14:srgbClr>
                  </w14:solidFill>
                </w14:textFill>
              </w:rPr>
              <w:t>|</w:t>
            </w:r>
            <w:r w:rsidR="00227288">
              <w:rPr>
                <w:rFonts w:cs="Arial Narrow"/>
                <w:sz w:val="18"/>
                <w:szCs w:val="18"/>
                <w:vertAlign w:val="superscript"/>
              </w:rPr>
              <w:t>3</w:t>
            </w:r>
          </w:p>
        </w:tc>
        <w:tc>
          <w:tcPr>
            <w:tcW w:w="850" w:type="dxa"/>
            <w:tcBorders>
              <w:top w:val="nil"/>
              <w:left w:val="single" w:sz="4" w:space="0" w:color="auto"/>
              <w:bottom w:val="nil"/>
              <w:right w:val="single" w:sz="4" w:space="0" w:color="auto"/>
            </w:tcBorders>
            <w:shd w:val="clear" w:color="auto" w:fill="auto"/>
          </w:tcPr>
          <w:p w14:paraId="2FFD6B56" w14:textId="77777777" w:rsidR="000624AF" w:rsidRPr="00E74297" w:rsidRDefault="000624AF" w:rsidP="00B22C7C">
            <w:pPr>
              <w:pStyle w:val="In-tableHeading"/>
              <w:keepNext w:val="0"/>
              <w:widowControl w:val="0"/>
              <w:jc w:val="center"/>
              <w:rPr>
                <w:b w:val="0"/>
                <w:lang w:val="en-AU"/>
              </w:rPr>
            </w:pPr>
            <w:r w:rsidRPr="00E74297">
              <w:rPr>
                <w:b w:val="0"/>
                <w:lang w:val="en-AU"/>
              </w:rPr>
              <w:t>35%</w:t>
            </w:r>
          </w:p>
        </w:tc>
      </w:tr>
      <w:tr w:rsidR="000624AF" w:rsidRPr="00E74297" w14:paraId="4CF2D364" w14:textId="77777777" w:rsidTr="00AF2668">
        <w:trPr>
          <w:trHeight w:val="220"/>
        </w:trPr>
        <w:tc>
          <w:tcPr>
            <w:tcW w:w="5098" w:type="dxa"/>
            <w:tcBorders>
              <w:top w:val="single" w:sz="4" w:space="0" w:color="auto"/>
              <w:left w:val="single" w:sz="4" w:space="0" w:color="auto"/>
              <w:bottom w:val="nil"/>
              <w:right w:val="single" w:sz="4" w:space="0" w:color="auto"/>
            </w:tcBorders>
            <w:shd w:val="clear" w:color="auto" w:fill="auto"/>
          </w:tcPr>
          <w:p w14:paraId="39D0B142" w14:textId="77777777" w:rsidR="000624AF" w:rsidRPr="00E74297" w:rsidRDefault="000624AF" w:rsidP="00B22C7C">
            <w:pPr>
              <w:pStyle w:val="In-tableHeading"/>
              <w:keepNext w:val="0"/>
              <w:widowControl w:val="0"/>
              <w:rPr>
                <w:b w:val="0"/>
                <w:lang w:val="en-AU"/>
              </w:rPr>
            </w:pPr>
            <w:r w:rsidRPr="00E74297">
              <w:rPr>
                <w:b w:val="0"/>
                <w:lang w:val="en-AU"/>
              </w:rPr>
              <w:t>RDI of TPC (base case 100%)</w:t>
            </w:r>
          </w:p>
        </w:tc>
        <w:tc>
          <w:tcPr>
            <w:tcW w:w="1134" w:type="dxa"/>
            <w:tcBorders>
              <w:top w:val="single" w:sz="4" w:space="0" w:color="auto"/>
              <w:left w:val="single" w:sz="4" w:space="0" w:color="auto"/>
              <w:bottom w:val="nil"/>
              <w:right w:val="single" w:sz="4" w:space="0" w:color="auto"/>
            </w:tcBorders>
            <w:shd w:val="clear" w:color="auto" w:fill="auto"/>
          </w:tcPr>
          <w:p w14:paraId="162CF10B" w14:textId="77777777" w:rsidR="000624AF" w:rsidRPr="009D0A03" w:rsidRDefault="000624AF" w:rsidP="00B22C7C">
            <w:pPr>
              <w:pStyle w:val="In-tableHeading"/>
              <w:keepNext w:val="0"/>
              <w:widowControl w:val="0"/>
              <w:jc w:val="center"/>
              <w:rPr>
                <w:b w:val="0"/>
                <w:highlight w:val="darkGray"/>
                <w:lang w:val="en-AU"/>
              </w:rPr>
            </w:pPr>
          </w:p>
        </w:tc>
        <w:tc>
          <w:tcPr>
            <w:tcW w:w="1134" w:type="dxa"/>
            <w:tcBorders>
              <w:top w:val="single" w:sz="4" w:space="0" w:color="auto"/>
              <w:left w:val="single" w:sz="4" w:space="0" w:color="auto"/>
              <w:bottom w:val="nil"/>
              <w:right w:val="single" w:sz="4" w:space="0" w:color="auto"/>
            </w:tcBorders>
            <w:shd w:val="clear" w:color="auto" w:fill="auto"/>
          </w:tcPr>
          <w:p w14:paraId="5527F216" w14:textId="77777777" w:rsidR="000624AF" w:rsidRPr="00E74297" w:rsidRDefault="000624AF" w:rsidP="00B22C7C">
            <w:pPr>
              <w:pStyle w:val="In-tableHeading"/>
              <w:keepNext w:val="0"/>
              <w:widowControl w:val="0"/>
              <w:jc w:val="center"/>
              <w:rPr>
                <w:b w:val="0"/>
                <w:lang w:val="en-AU"/>
              </w:rPr>
            </w:pPr>
          </w:p>
        </w:tc>
        <w:tc>
          <w:tcPr>
            <w:tcW w:w="851" w:type="dxa"/>
            <w:tcBorders>
              <w:top w:val="single" w:sz="4" w:space="0" w:color="auto"/>
              <w:left w:val="single" w:sz="4" w:space="0" w:color="auto"/>
              <w:bottom w:val="nil"/>
              <w:right w:val="single" w:sz="4" w:space="0" w:color="auto"/>
            </w:tcBorders>
            <w:shd w:val="clear" w:color="auto" w:fill="auto"/>
          </w:tcPr>
          <w:p w14:paraId="787F0D95" w14:textId="77777777" w:rsidR="000624AF" w:rsidRPr="00625752" w:rsidRDefault="000624AF" w:rsidP="00B22C7C">
            <w:pPr>
              <w:pStyle w:val="In-tableHeading"/>
              <w:keepNext w:val="0"/>
              <w:widowControl w:val="0"/>
              <w:jc w:val="center"/>
              <w:rPr>
                <w:b w:val="0"/>
                <w:highlight w:val="darkGray"/>
                <w:lang w:val="en-AU"/>
              </w:rPr>
            </w:pPr>
          </w:p>
        </w:tc>
        <w:tc>
          <w:tcPr>
            <w:tcW w:w="850" w:type="dxa"/>
            <w:tcBorders>
              <w:top w:val="single" w:sz="4" w:space="0" w:color="auto"/>
              <w:left w:val="single" w:sz="4" w:space="0" w:color="auto"/>
              <w:bottom w:val="nil"/>
              <w:right w:val="single" w:sz="4" w:space="0" w:color="auto"/>
            </w:tcBorders>
            <w:shd w:val="clear" w:color="auto" w:fill="auto"/>
          </w:tcPr>
          <w:p w14:paraId="3D38F3EE" w14:textId="77777777" w:rsidR="000624AF" w:rsidRPr="00E74297" w:rsidRDefault="000624AF" w:rsidP="00B22C7C">
            <w:pPr>
              <w:pStyle w:val="In-tableHeading"/>
              <w:keepNext w:val="0"/>
              <w:widowControl w:val="0"/>
              <w:jc w:val="center"/>
              <w:rPr>
                <w:b w:val="0"/>
                <w:lang w:val="en-AU"/>
              </w:rPr>
            </w:pPr>
          </w:p>
        </w:tc>
      </w:tr>
      <w:tr w:rsidR="000624AF" w:rsidRPr="00E74297" w14:paraId="5C798372" w14:textId="77777777" w:rsidTr="00AF2668">
        <w:trPr>
          <w:trHeight w:val="220"/>
        </w:trPr>
        <w:tc>
          <w:tcPr>
            <w:tcW w:w="5098" w:type="dxa"/>
            <w:tcBorders>
              <w:top w:val="nil"/>
              <w:left w:val="single" w:sz="4" w:space="0" w:color="auto"/>
              <w:bottom w:val="nil"/>
              <w:right w:val="single" w:sz="4" w:space="0" w:color="auto"/>
            </w:tcBorders>
            <w:shd w:val="clear" w:color="auto" w:fill="auto"/>
          </w:tcPr>
          <w:p w14:paraId="1AA48CAE" w14:textId="2F2427F4" w:rsidR="000624AF" w:rsidRPr="00E74297" w:rsidRDefault="000624AF" w:rsidP="00B22C7C">
            <w:pPr>
              <w:pStyle w:val="In-tableHeading"/>
              <w:keepNext w:val="0"/>
              <w:widowControl w:val="0"/>
              <w:rPr>
                <w:lang w:val="en-AU"/>
              </w:rPr>
            </w:pPr>
            <w:r w:rsidRPr="00E74297">
              <w:rPr>
                <w:b w:val="0"/>
                <w:lang w:val="en-AU"/>
              </w:rPr>
              <w:t>90% Eribulin; 90% Vinorelbine; Gemcitabine 84%; Capecitabine 86% (mean RDI in TROPiCS-02)</w:t>
            </w:r>
          </w:p>
        </w:tc>
        <w:tc>
          <w:tcPr>
            <w:tcW w:w="1134" w:type="dxa"/>
            <w:tcBorders>
              <w:top w:val="nil"/>
              <w:left w:val="single" w:sz="4" w:space="0" w:color="auto"/>
              <w:bottom w:val="single" w:sz="4" w:space="0" w:color="auto"/>
              <w:right w:val="single" w:sz="4" w:space="0" w:color="auto"/>
            </w:tcBorders>
            <w:shd w:val="solid" w:color="000000" w:fill="000000"/>
          </w:tcPr>
          <w:p w14:paraId="35B5B186" w14:textId="53AA2559" w:rsidR="000624AF" w:rsidRPr="009D0A03" w:rsidRDefault="006F55C1" w:rsidP="00B22C7C">
            <w:pPr>
              <w:pStyle w:val="In-tableHeading"/>
              <w:keepNext w:val="0"/>
              <w:widowControl w:val="0"/>
              <w:jc w:val="center"/>
              <w:rPr>
                <w:b w:val="0"/>
                <w:highlight w:val="darkGray"/>
                <w:lang w:val="en-AU"/>
              </w:rPr>
            </w:pPr>
            <w:r w:rsidRPr="006F55C1">
              <w:rPr>
                <w:b w:val="0"/>
                <w:color w:val="000000"/>
                <w:lang w:val="en-AU"/>
                <w14:textFill>
                  <w14:solidFill>
                    <w14:srgbClr w14:val="000000">
                      <w14:alpha w14:val="100000"/>
                    </w14:srgbClr>
                  </w14:solidFill>
                </w14:textFill>
              </w:rPr>
              <w:t>|</w:t>
            </w:r>
          </w:p>
        </w:tc>
        <w:tc>
          <w:tcPr>
            <w:tcW w:w="1134" w:type="dxa"/>
            <w:tcBorders>
              <w:top w:val="nil"/>
              <w:left w:val="single" w:sz="4" w:space="0" w:color="auto"/>
              <w:bottom w:val="nil"/>
              <w:right w:val="single" w:sz="4" w:space="0" w:color="auto"/>
            </w:tcBorders>
            <w:shd w:val="clear" w:color="auto" w:fill="auto"/>
          </w:tcPr>
          <w:p w14:paraId="16683201" w14:textId="77777777" w:rsidR="000624AF" w:rsidRPr="00E74297" w:rsidRDefault="000624AF" w:rsidP="00B22C7C">
            <w:pPr>
              <w:pStyle w:val="In-tableHeading"/>
              <w:keepNext w:val="0"/>
              <w:widowControl w:val="0"/>
              <w:jc w:val="center"/>
              <w:rPr>
                <w:b w:val="0"/>
                <w:lang w:val="en-AU"/>
              </w:rPr>
            </w:pPr>
            <w:r w:rsidRPr="00E74297">
              <w:rPr>
                <w:b w:val="0"/>
                <w:lang w:val="en-AU"/>
              </w:rPr>
              <w:t>0.293</w:t>
            </w:r>
          </w:p>
        </w:tc>
        <w:tc>
          <w:tcPr>
            <w:tcW w:w="851" w:type="dxa"/>
            <w:tcBorders>
              <w:top w:val="nil"/>
              <w:left w:val="single" w:sz="4" w:space="0" w:color="auto"/>
              <w:bottom w:val="nil"/>
              <w:right w:val="single" w:sz="4" w:space="0" w:color="auto"/>
            </w:tcBorders>
            <w:shd w:val="clear" w:color="auto" w:fill="auto"/>
          </w:tcPr>
          <w:p w14:paraId="36531F6A" w14:textId="0166CC1C" w:rsidR="000624AF" w:rsidRPr="00625752" w:rsidRDefault="006F55C1" w:rsidP="00B22C7C">
            <w:pPr>
              <w:pStyle w:val="In-tableHeading"/>
              <w:keepNext w:val="0"/>
              <w:widowControl w:val="0"/>
              <w:jc w:val="center"/>
              <w:rPr>
                <w:b w:val="0"/>
                <w:highlight w:val="darkGray"/>
                <w:lang w:val="en-AU"/>
              </w:rPr>
            </w:pPr>
            <w:r w:rsidRPr="006F55C1">
              <w:rPr>
                <w:b w:val="0"/>
                <w:color w:val="000000"/>
                <w:spacing w:val="79"/>
                <w:shd w:val="solid" w:color="000000" w:fill="000000"/>
                <w:fitText w:val="165" w:id="-1168282355"/>
                <w:lang w:val="en-AU"/>
                <w14:textFill>
                  <w14:solidFill>
                    <w14:srgbClr w14:val="000000">
                      <w14:alpha w14:val="100000"/>
                    </w14:srgbClr>
                  </w14:solidFill>
                </w14:textFill>
              </w:rPr>
              <w:t>|</w:t>
            </w:r>
            <w:r w:rsidRPr="006F55C1">
              <w:rPr>
                <w:b w:val="0"/>
                <w:color w:val="000000"/>
                <w:spacing w:val="1"/>
                <w:shd w:val="solid" w:color="000000" w:fill="000000"/>
                <w:fitText w:val="165" w:id="-1168282355"/>
                <w:lang w:val="en-AU"/>
                <w14:textFill>
                  <w14:solidFill>
                    <w14:srgbClr w14:val="000000">
                      <w14:alpha w14:val="100000"/>
                    </w14:srgbClr>
                  </w14:solidFill>
                </w14:textFill>
              </w:rPr>
              <w:t>|</w:t>
            </w:r>
            <w:r w:rsidR="00227288" w:rsidRPr="00227288">
              <w:rPr>
                <w:rFonts w:cs="Arial Narrow"/>
                <w:b w:val="0"/>
                <w:bCs/>
                <w:sz w:val="18"/>
                <w:szCs w:val="18"/>
                <w:vertAlign w:val="superscript"/>
              </w:rPr>
              <w:t>1</w:t>
            </w:r>
          </w:p>
        </w:tc>
        <w:tc>
          <w:tcPr>
            <w:tcW w:w="850" w:type="dxa"/>
            <w:tcBorders>
              <w:top w:val="nil"/>
              <w:left w:val="single" w:sz="4" w:space="0" w:color="auto"/>
              <w:bottom w:val="nil"/>
              <w:right w:val="single" w:sz="4" w:space="0" w:color="auto"/>
            </w:tcBorders>
            <w:shd w:val="clear" w:color="auto" w:fill="auto"/>
          </w:tcPr>
          <w:p w14:paraId="2DE8F130" w14:textId="77777777" w:rsidR="000624AF" w:rsidRPr="00E74297" w:rsidRDefault="000624AF" w:rsidP="00B22C7C">
            <w:pPr>
              <w:pStyle w:val="In-tableHeading"/>
              <w:keepNext w:val="0"/>
              <w:widowControl w:val="0"/>
              <w:jc w:val="center"/>
              <w:rPr>
                <w:b w:val="0"/>
                <w:lang w:val="en-AU"/>
              </w:rPr>
            </w:pPr>
            <w:r w:rsidRPr="00E74297">
              <w:rPr>
                <w:b w:val="0"/>
                <w:lang w:val="en-AU"/>
              </w:rPr>
              <w:t>2%</w:t>
            </w:r>
          </w:p>
        </w:tc>
      </w:tr>
      <w:tr w:rsidR="000624AF" w:rsidRPr="00E74297" w14:paraId="6453C005" w14:textId="77777777" w:rsidTr="00AF2668">
        <w:trPr>
          <w:trHeight w:val="220"/>
        </w:trPr>
        <w:tc>
          <w:tcPr>
            <w:tcW w:w="5098" w:type="dxa"/>
            <w:tcBorders>
              <w:top w:val="single" w:sz="4" w:space="0" w:color="auto"/>
              <w:left w:val="single" w:sz="4" w:space="0" w:color="auto"/>
              <w:bottom w:val="nil"/>
              <w:right w:val="single" w:sz="4" w:space="0" w:color="auto"/>
            </w:tcBorders>
            <w:shd w:val="clear" w:color="auto" w:fill="auto"/>
          </w:tcPr>
          <w:p w14:paraId="3CB4916B" w14:textId="77777777" w:rsidR="000624AF" w:rsidRPr="00E74297" w:rsidRDefault="000624AF" w:rsidP="00B22C7C">
            <w:pPr>
              <w:pStyle w:val="In-tableHeading"/>
              <w:keepNext w:val="0"/>
              <w:widowControl w:val="0"/>
              <w:rPr>
                <w:b w:val="0"/>
                <w:lang w:val="en-AU"/>
              </w:rPr>
            </w:pPr>
            <w:r w:rsidRPr="00E74297">
              <w:rPr>
                <w:b w:val="0"/>
                <w:lang w:val="en-AU"/>
              </w:rPr>
              <w:t>Vial sharing/wastage for SG and TPC (base case vial sharing)</w:t>
            </w:r>
          </w:p>
        </w:tc>
        <w:tc>
          <w:tcPr>
            <w:tcW w:w="1134" w:type="dxa"/>
            <w:tcBorders>
              <w:top w:val="single" w:sz="4" w:space="0" w:color="auto"/>
              <w:left w:val="single" w:sz="4" w:space="0" w:color="auto"/>
              <w:bottom w:val="nil"/>
              <w:right w:val="single" w:sz="4" w:space="0" w:color="auto"/>
            </w:tcBorders>
            <w:shd w:val="clear" w:color="auto" w:fill="auto"/>
          </w:tcPr>
          <w:p w14:paraId="763B8A03" w14:textId="77777777" w:rsidR="000624AF" w:rsidRPr="009D0A03" w:rsidRDefault="000624AF" w:rsidP="00B22C7C">
            <w:pPr>
              <w:pStyle w:val="In-tableHeading"/>
              <w:keepNext w:val="0"/>
              <w:widowControl w:val="0"/>
              <w:jc w:val="center"/>
              <w:rPr>
                <w:b w:val="0"/>
                <w:highlight w:val="darkGray"/>
                <w:lang w:val="en-AU"/>
              </w:rPr>
            </w:pPr>
          </w:p>
        </w:tc>
        <w:tc>
          <w:tcPr>
            <w:tcW w:w="1134" w:type="dxa"/>
            <w:tcBorders>
              <w:top w:val="single" w:sz="4" w:space="0" w:color="auto"/>
              <w:left w:val="single" w:sz="4" w:space="0" w:color="auto"/>
              <w:bottom w:val="nil"/>
              <w:right w:val="single" w:sz="4" w:space="0" w:color="auto"/>
            </w:tcBorders>
            <w:shd w:val="clear" w:color="auto" w:fill="auto"/>
          </w:tcPr>
          <w:p w14:paraId="652A949E" w14:textId="77777777" w:rsidR="000624AF" w:rsidRPr="00E74297" w:rsidRDefault="000624AF" w:rsidP="00B22C7C">
            <w:pPr>
              <w:pStyle w:val="In-tableHeading"/>
              <w:keepNext w:val="0"/>
              <w:widowControl w:val="0"/>
              <w:jc w:val="center"/>
              <w:rPr>
                <w:b w:val="0"/>
                <w:lang w:val="en-AU"/>
              </w:rPr>
            </w:pPr>
          </w:p>
        </w:tc>
        <w:tc>
          <w:tcPr>
            <w:tcW w:w="851" w:type="dxa"/>
            <w:tcBorders>
              <w:top w:val="single" w:sz="4" w:space="0" w:color="auto"/>
              <w:left w:val="single" w:sz="4" w:space="0" w:color="auto"/>
              <w:bottom w:val="nil"/>
              <w:right w:val="single" w:sz="4" w:space="0" w:color="auto"/>
            </w:tcBorders>
            <w:shd w:val="clear" w:color="auto" w:fill="auto"/>
          </w:tcPr>
          <w:p w14:paraId="2D94513C" w14:textId="77777777" w:rsidR="000624AF" w:rsidRPr="00625752" w:rsidRDefault="000624AF" w:rsidP="00B22C7C">
            <w:pPr>
              <w:pStyle w:val="In-tableHeading"/>
              <w:keepNext w:val="0"/>
              <w:widowControl w:val="0"/>
              <w:jc w:val="center"/>
              <w:rPr>
                <w:b w:val="0"/>
                <w:highlight w:val="darkGray"/>
                <w:lang w:val="en-AU"/>
              </w:rPr>
            </w:pPr>
          </w:p>
        </w:tc>
        <w:tc>
          <w:tcPr>
            <w:tcW w:w="850" w:type="dxa"/>
            <w:tcBorders>
              <w:top w:val="single" w:sz="4" w:space="0" w:color="auto"/>
              <w:left w:val="single" w:sz="4" w:space="0" w:color="auto"/>
              <w:bottom w:val="nil"/>
              <w:right w:val="single" w:sz="4" w:space="0" w:color="auto"/>
            </w:tcBorders>
            <w:shd w:val="clear" w:color="auto" w:fill="auto"/>
          </w:tcPr>
          <w:p w14:paraId="2DFD2A7D" w14:textId="77777777" w:rsidR="000624AF" w:rsidRPr="00E74297" w:rsidRDefault="000624AF" w:rsidP="00B22C7C">
            <w:pPr>
              <w:pStyle w:val="In-tableHeading"/>
              <w:keepNext w:val="0"/>
              <w:widowControl w:val="0"/>
              <w:jc w:val="center"/>
              <w:rPr>
                <w:b w:val="0"/>
                <w:lang w:val="en-AU"/>
              </w:rPr>
            </w:pPr>
          </w:p>
        </w:tc>
      </w:tr>
      <w:tr w:rsidR="000624AF" w:rsidRPr="00E74297" w14:paraId="6352ADD1" w14:textId="77777777" w:rsidTr="00AF2668">
        <w:trPr>
          <w:trHeight w:val="220"/>
        </w:trPr>
        <w:tc>
          <w:tcPr>
            <w:tcW w:w="5098" w:type="dxa"/>
            <w:tcBorders>
              <w:top w:val="nil"/>
              <w:left w:val="single" w:sz="4" w:space="0" w:color="auto"/>
              <w:bottom w:val="nil"/>
              <w:right w:val="single" w:sz="4" w:space="0" w:color="auto"/>
            </w:tcBorders>
            <w:shd w:val="clear" w:color="auto" w:fill="auto"/>
          </w:tcPr>
          <w:p w14:paraId="7BFA6C02" w14:textId="77777777" w:rsidR="000624AF" w:rsidRPr="00E74297" w:rsidRDefault="000624AF" w:rsidP="00B22C7C">
            <w:pPr>
              <w:pStyle w:val="In-tableHeading"/>
              <w:keepNext w:val="0"/>
              <w:widowControl w:val="0"/>
              <w:rPr>
                <w:b w:val="0"/>
                <w:lang w:val="en-AU"/>
              </w:rPr>
            </w:pPr>
            <w:r w:rsidRPr="00E74297">
              <w:rPr>
                <w:b w:val="0"/>
                <w:lang w:val="en-AU"/>
              </w:rPr>
              <w:t xml:space="preserve">No vial sharing, evaluation’s approach </w:t>
            </w:r>
            <w:r w:rsidRPr="00E74297">
              <w:rPr>
                <w:lang w:val="en-AU"/>
              </w:rPr>
              <w:t>#1</w:t>
            </w:r>
          </w:p>
        </w:tc>
        <w:tc>
          <w:tcPr>
            <w:tcW w:w="1134" w:type="dxa"/>
            <w:tcBorders>
              <w:top w:val="nil"/>
              <w:left w:val="single" w:sz="4" w:space="0" w:color="auto"/>
              <w:bottom w:val="single" w:sz="4" w:space="0" w:color="auto"/>
              <w:right w:val="single" w:sz="4" w:space="0" w:color="auto"/>
            </w:tcBorders>
            <w:shd w:val="solid" w:color="000000" w:fill="000000"/>
          </w:tcPr>
          <w:p w14:paraId="510E9404" w14:textId="2A946794" w:rsidR="000624AF" w:rsidRPr="009D0A03" w:rsidRDefault="006F55C1" w:rsidP="00B22C7C">
            <w:pPr>
              <w:pStyle w:val="In-tableHeading"/>
              <w:keepNext w:val="0"/>
              <w:widowControl w:val="0"/>
              <w:jc w:val="center"/>
              <w:rPr>
                <w:b w:val="0"/>
                <w:highlight w:val="darkGray"/>
                <w:lang w:val="en-AU"/>
              </w:rPr>
            </w:pPr>
            <w:r w:rsidRPr="006F55C1">
              <w:rPr>
                <w:b w:val="0"/>
                <w:color w:val="000000"/>
                <w:lang w:val="en-AU"/>
                <w14:textFill>
                  <w14:solidFill>
                    <w14:srgbClr w14:val="000000">
                      <w14:alpha w14:val="100000"/>
                    </w14:srgbClr>
                  </w14:solidFill>
                </w14:textFill>
              </w:rPr>
              <w:t>|</w:t>
            </w:r>
          </w:p>
        </w:tc>
        <w:tc>
          <w:tcPr>
            <w:tcW w:w="1134" w:type="dxa"/>
            <w:tcBorders>
              <w:top w:val="nil"/>
              <w:left w:val="single" w:sz="4" w:space="0" w:color="auto"/>
              <w:bottom w:val="nil"/>
              <w:right w:val="single" w:sz="4" w:space="0" w:color="auto"/>
            </w:tcBorders>
            <w:shd w:val="clear" w:color="auto" w:fill="auto"/>
          </w:tcPr>
          <w:p w14:paraId="37515111" w14:textId="77777777" w:rsidR="000624AF" w:rsidRPr="00E74297" w:rsidRDefault="000624AF" w:rsidP="00B22C7C">
            <w:pPr>
              <w:pStyle w:val="In-tableHeading"/>
              <w:keepNext w:val="0"/>
              <w:widowControl w:val="0"/>
              <w:jc w:val="center"/>
              <w:rPr>
                <w:b w:val="0"/>
                <w:lang w:val="en-AU"/>
              </w:rPr>
            </w:pPr>
            <w:r w:rsidRPr="00E74297">
              <w:rPr>
                <w:b w:val="0"/>
                <w:lang w:val="en-AU"/>
              </w:rPr>
              <w:t>0.293</w:t>
            </w:r>
          </w:p>
        </w:tc>
        <w:tc>
          <w:tcPr>
            <w:tcW w:w="851" w:type="dxa"/>
            <w:tcBorders>
              <w:top w:val="nil"/>
              <w:left w:val="single" w:sz="4" w:space="0" w:color="auto"/>
              <w:bottom w:val="nil"/>
              <w:right w:val="single" w:sz="4" w:space="0" w:color="auto"/>
            </w:tcBorders>
            <w:shd w:val="clear" w:color="auto" w:fill="auto"/>
          </w:tcPr>
          <w:p w14:paraId="459FDD6E" w14:textId="57B628B5" w:rsidR="000624AF" w:rsidRPr="00625752" w:rsidRDefault="006F55C1" w:rsidP="00B22C7C">
            <w:pPr>
              <w:pStyle w:val="In-tableHeading"/>
              <w:keepNext w:val="0"/>
              <w:widowControl w:val="0"/>
              <w:jc w:val="center"/>
              <w:rPr>
                <w:b w:val="0"/>
                <w:highlight w:val="darkGray"/>
                <w:lang w:val="en-AU"/>
              </w:rPr>
            </w:pPr>
            <w:r w:rsidRPr="006F55C1">
              <w:rPr>
                <w:b w:val="0"/>
                <w:color w:val="000000"/>
                <w:spacing w:val="79"/>
                <w:shd w:val="solid" w:color="000000" w:fill="000000"/>
                <w:fitText w:val="165" w:id="-1168282354"/>
                <w:lang w:val="en-AU"/>
                <w14:textFill>
                  <w14:solidFill>
                    <w14:srgbClr w14:val="000000">
                      <w14:alpha w14:val="100000"/>
                    </w14:srgbClr>
                  </w14:solidFill>
                </w14:textFill>
              </w:rPr>
              <w:t>|</w:t>
            </w:r>
            <w:r w:rsidRPr="006F55C1">
              <w:rPr>
                <w:b w:val="0"/>
                <w:color w:val="000000"/>
                <w:spacing w:val="1"/>
                <w:shd w:val="solid" w:color="000000" w:fill="000000"/>
                <w:fitText w:val="165" w:id="-1168282354"/>
                <w:lang w:val="en-AU"/>
                <w14:textFill>
                  <w14:solidFill>
                    <w14:srgbClr w14:val="000000">
                      <w14:alpha w14:val="100000"/>
                    </w14:srgbClr>
                  </w14:solidFill>
                </w14:textFill>
              </w:rPr>
              <w:t>|</w:t>
            </w:r>
            <w:r w:rsidR="00227288" w:rsidRPr="00227288">
              <w:rPr>
                <w:rFonts w:cs="Arial Narrow"/>
                <w:b w:val="0"/>
                <w:bCs/>
                <w:sz w:val="18"/>
                <w:szCs w:val="18"/>
                <w:vertAlign w:val="superscript"/>
              </w:rPr>
              <w:t>1</w:t>
            </w:r>
          </w:p>
        </w:tc>
        <w:tc>
          <w:tcPr>
            <w:tcW w:w="850" w:type="dxa"/>
            <w:tcBorders>
              <w:top w:val="nil"/>
              <w:left w:val="single" w:sz="4" w:space="0" w:color="auto"/>
              <w:bottom w:val="nil"/>
              <w:right w:val="single" w:sz="4" w:space="0" w:color="auto"/>
            </w:tcBorders>
            <w:shd w:val="clear" w:color="auto" w:fill="auto"/>
          </w:tcPr>
          <w:p w14:paraId="20FEA027" w14:textId="77777777" w:rsidR="000624AF" w:rsidRPr="00E74297" w:rsidRDefault="000624AF" w:rsidP="00B22C7C">
            <w:pPr>
              <w:pStyle w:val="In-tableHeading"/>
              <w:keepNext w:val="0"/>
              <w:widowControl w:val="0"/>
              <w:jc w:val="center"/>
              <w:rPr>
                <w:b w:val="0"/>
                <w:lang w:val="en-AU"/>
              </w:rPr>
            </w:pPr>
            <w:r w:rsidRPr="00E74297">
              <w:rPr>
                <w:b w:val="0"/>
                <w:lang w:val="en-AU"/>
              </w:rPr>
              <w:t>22%</w:t>
            </w:r>
          </w:p>
        </w:tc>
      </w:tr>
      <w:tr w:rsidR="000624AF" w:rsidRPr="00E74297" w14:paraId="2B0D0010" w14:textId="77777777" w:rsidTr="00AF2668">
        <w:trPr>
          <w:trHeight w:val="220"/>
        </w:trPr>
        <w:tc>
          <w:tcPr>
            <w:tcW w:w="5098" w:type="dxa"/>
            <w:tcBorders>
              <w:top w:val="single" w:sz="4" w:space="0" w:color="auto"/>
              <w:left w:val="single" w:sz="4" w:space="0" w:color="auto"/>
              <w:bottom w:val="nil"/>
              <w:right w:val="single" w:sz="4" w:space="0" w:color="auto"/>
            </w:tcBorders>
            <w:shd w:val="clear" w:color="auto" w:fill="auto"/>
          </w:tcPr>
          <w:p w14:paraId="75E306DC" w14:textId="77777777" w:rsidR="000624AF" w:rsidRPr="00E74297" w:rsidRDefault="000624AF" w:rsidP="00B22C7C">
            <w:pPr>
              <w:pStyle w:val="In-tableHeading"/>
              <w:keepNext w:val="0"/>
              <w:widowControl w:val="0"/>
              <w:rPr>
                <w:b w:val="0"/>
                <w:lang w:val="en-AU"/>
              </w:rPr>
            </w:pPr>
            <w:r w:rsidRPr="00E74297">
              <w:rPr>
                <w:b w:val="0"/>
                <w:lang w:val="en-AU"/>
              </w:rPr>
              <w:t>Subsequent treatments, only affecting costs</w:t>
            </w:r>
          </w:p>
        </w:tc>
        <w:tc>
          <w:tcPr>
            <w:tcW w:w="1134" w:type="dxa"/>
            <w:tcBorders>
              <w:top w:val="single" w:sz="4" w:space="0" w:color="auto"/>
              <w:left w:val="single" w:sz="4" w:space="0" w:color="auto"/>
              <w:bottom w:val="nil"/>
              <w:right w:val="single" w:sz="4" w:space="0" w:color="auto"/>
            </w:tcBorders>
            <w:shd w:val="clear" w:color="auto" w:fill="auto"/>
          </w:tcPr>
          <w:p w14:paraId="218B2142" w14:textId="77777777" w:rsidR="000624AF" w:rsidRPr="009D0A03" w:rsidRDefault="000624AF" w:rsidP="00B22C7C">
            <w:pPr>
              <w:pStyle w:val="In-tableHeading"/>
              <w:keepNext w:val="0"/>
              <w:widowControl w:val="0"/>
              <w:jc w:val="center"/>
              <w:rPr>
                <w:b w:val="0"/>
                <w:highlight w:val="darkGray"/>
                <w:lang w:val="en-AU"/>
              </w:rPr>
            </w:pPr>
          </w:p>
        </w:tc>
        <w:tc>
          <w:tcPr>
            <w:tcW w:w="1134" w:type="dxa"/>
            <w:tcBorders>
              <w:top w:val="single" w:sz="4" w:space="0" w:color="auto"/>
              <w:left w:val="single" w:sz="4" w:space="0" w:color="auto"/>
              <w:bottom w:val="nil"/>
              <w:right w:val="single" w:sz="4" w:space="0" w:color="auto"/>
            </w:tcBorders>
            <w:shd w:val="clear" w:color="auto" w:fill="auto"/>
          </w:tcPr>
          <w:p w14:paraId="718793DA" w14:textId="77777777" w:rsidR="000624AF" w:rsidRPr="00E74297" w:rsidRDefault="000624AF" w:rsidP="00B22C7C">
            <w:pPr>
              <w:pStyle w:val="In-tableHeading"/>
              <w:keepNext w:val="0"/>
              <w:widowControl w:val="0"/>
              <w:jc w:val="center"/>
              <w:rPr>
                <w:b w:val="0"/>
                <w:lang w:val="en-AU"/>
              </w:rPr>
            </w:pPr>
          </w:p>
        </w:tc>
        <w:tc>
          <w:tcPr>
            <w:tcW w:w="851" w:type="dxa"/>
            <w:tcBorders>
              <w:top w:val="single" w:sz="4" w:space="0" w:color="auto"/>
              <w:left w:val="single" w:sz="4" w:space="0" w:color="auto"/>
              <w:bottom w:val="nil"/>
              <w:right w:val="single" w:sz="4" w:space="0" w:color="auto"/>
            </w:tcBorders>
            <w:shd w:val="clear" w:color="auto" w:fill="auto"/>
          </w:tcPr>
          <w:p w14:paraId="793FF8D8" w14:textId="77777777" w:rsidR="000624AF" w:rsidRPr="00625752" w:rsidRDefault="000624AF" w:rsidP="00B22C7C">
            <w:pPr>
              <w:pStyle w:val="In-tableHeading"/>
              <w:keepNext w:val="0"/>
              <w:widowControl w:val="0"/>
              <w:jc w:val="center"/>
              <w:rPr>
                <w:b w:val="0"/>
                <w:highlight w:val="darkGray"/>
                <w:lang w:val="en-AU"/>
              </w:rPr>
            </w:pPr>
          </w:p>
        </w:tc>
        <w:tc>
          <w:tcPr>
            <w:tcW w:w="850" w:type="dxa"/>
            <w:tcBorders>
              <w:top w:val="single" w:sz="4" w:space="0" w:color="auto"/>
              <w:left w:val="single" w:sz="4" w:space="0" w:color="auto"/>
              <w:bottom w:val="nil"/>
              <w:right w:val="single" w:sz="4" w:space="0" w:color="auto"/>
            </w:tcBorders>
            <w:shd w:val="clear" w:color="auto" w:fill="auto"/>
          </w:tcPr>
          <w:p w14:paraId="263A70FA" w14:textId="77777777" w:rsidR="000624AF" w:rsidRPr="00E74297" w:rsidRDefault="000624AF" w:rsidP="00B22C7C">
            <w:pPr>
              <w:pStyle w:val="In-tableHeading"/>
              <w:keepNext w:val="0"/>
              <w:widowControl w:val="0"/>
              <w:jc w:val="center"/>
              <w:rPr>
                <w:b w:val="0"/>
                <w:lang w:val="en-AU"/>
              </w:rPr>
            </w:pPr>
          </w:p>
        </w:tc>
      </w:tr>
      <w:tr w:rsidR="000624AF" w:rsidRPr="00E74297" w14:paraId="1BC86784" w14:textId="77777777" w:rsidTr="00AF2668">
        <w:trPr>
          <w:trHeight w:val="220"/>
        </w:trPr>
        <w:tc>
          <w:tcPr>
            <w:tcW w:w="5098" w:type="dxa"/>
            <w:tcBorders>
              <w:top w:val="nil"/>
              <w:left w:val="single" w:sz="4" w:space="0" w:color="auto"/>
              <w:bottom w:val="nil"/>
              <w:right w:val="single" w:sz="4" w:space="0" w:color="auto"/>
            </w:tcBorders>
            <w:shd w:val="clear" w:color="auto" w:fill="auto"/>
          </w:tcPr>
          <w:p w14:paraId="2CC8261A" w14:textId="77777777" w:rsidR="000624AF" w:rsidRPr="00E74297" w:rsidRDefault="000624AF" w:rsidP="00B22C7C">
            <w:pPr>
              <w:pStyle w:val="In-tableHeading"/>
              <w:keepNext w:val="0"/>
              <w:widowControl w:val="0"/>
              <w:rPr>
                <w:b w:val="0"/>
                <w:lang w:val="en-AU"/>
              </w:rPr>
            </w:pPr>
            <w:r w:rsidRPr="00E74297">
              <w:rPr>
                <w:b w:val="0"/>
                <w:lang w:val="en-AU"/>
              </w:rPr>
              <w:t xml:space="preserve">No SG in subsequent treatments (patients proportionally re-distributed) </w:t>
            </w:r>
            <w:r w:rsidRPr="00E74297">
              <w:rPr>
                <w:lang w:val="en-AU"/>
              </w:rPr>
              <w:t>#2</w:t>
            </w:r>
          </w:p>
        </w:tc>
        <w:tc>
          <w:tcPr>
            <w:tcW w:w="1134" w:type="dxa"/>
            <w:tcBorders>
              <w:top w:val="nil"/>
              <w:left w:val="single" w:sz="4" w:space="0" w:color="auto"/>
              <w:bottom w:val="nil"/>
              <w:right w:val="single" w:sz="4" w:space="0" w:color="auto"/>
            </w:tcBorders>
            <w:shd w:val="solid" w:color="000000" w:fill="000000"/>
          </w:tcPr>
          <w:p w14:paraId="156A8771" w14:textId="59F987AF" w:rsidR="000624AF" w:rsidRPr="009D0A03" w:rsidRDefault="006F55C1" w:rsidP="00B22C7C">
            <w:pPr>
              <w:pStyle w:val="In-tableHeading"/>
              <w:keepNext w:val="0"/>
              <w:widowControl w:val="0"/>
              <w:jc w:val="center"/>
              <w:rPr>
                <w:b w:val="0"/>
                <w:highlight w:val="darkGray"/>
                <w:lang w:val="en-AU"/>
              </w:rPr>
            </w:pPr>
            <w:r w:rsidRPr="006F55C1">
              <w:rPr>
                <w:b w:val="0"/>
                <w:color w:val="000000"/>
                <w:lang w:val="en-AU"/>
                <w14:textFill>
                  <w14:solidFill>
                    <w14:srgbClr w14:val="000000">
                      <w14:alpha w14:val="100000"/>
                    </w14:srgbClr>
                  </w14:solidFill>
                </w14:textFill>
              </w:rPr>
              <w:t>|</w:t>
            </w:r>
          </w:p>
        </w:tc>
        <w:tc>
          <w:tcPr>
            <w:tcW w:w="1134" w:type="dxa"/>
            <w:tcBorders>
              <w:top w:val="nil"/>
              <w:left w:val="single" w:sz="4" w:space="0" w:color="auto"/>
              <w:bottom w:val="nil"/>
              <w:right w:val="single" w:sz="4" w:space="0" w:color="auto"/>
            </w:tcBorders>
            <w:shd w:val="clear" w:color="auto" w:fill="auto"/>
          </w:tcPr>
          <w:p w14:paraId="32DAC548" w14:textId="77777777" w:rsidR="000624AF" w:rsidRPr="00E74297" w:rsidRDefault="000624AF" w:rsidP="00B22C7C">
            <w:pPr>
              <w:pStyle w:val="In-tableHeading"/>
              <w:keepNext w:val="0"/>
              <w:widowControl w:val="0"/>
              <w:jc w:val="center"/>
              <w:rPr>
                <w:b w:val="0"/>
                <w:lang w:val="en-AU"/>
              </w:rPr>
            </w:pPr>
            <w:r w:rsidRPr="00E74297">
              <w:rPr>
                <w:b w:val="0"/>
                <w:lang w:val="en-AU"/>
              </w:rPr>
              <w:t>0.293</w:t>
            </w:r>
          </w:p>
        </w:tc>
        <w:tc>
          <w:tcPr>
            <w:tcW w:w="851" w:type="dxa"/>
            <w:tcBorders>
              <w:top w:val="nil"/>
              <w:left w:val="single" w:sz="4" w:space="0" w:color="auto"/>
              <w:bottom w:val="nil"/>
              <w:right w:val="single" w:sz="4" w:space="0" w:color="auto"/>
            </w:tcBorders>
            <w:shd w:val="clear" w:color="auto" w:fill="auto"/>
          </w:tcPr>
          <w:p w14:paraId="0DCF1CB9" w14:textId="6BA87804" w:rsidR="000624AF" w:rsidRPr="00625752" w:rsidRDefault="006F55C1" w:rsidP="00B22C7C">
            <w:pPr>
              <w:pStyle w:val="In-tableHeading"/>
              <w:keepNext w:val="0"/>
              <w:widowControl w:val="0"/>
              <w:jc w:val="center"/>
              <w:rPr>
                <w:b w:val="0"/>
                <w:highlight w:val="darkGray"/>
                <w:lang w:val="en-AU"/>
              </w:rPr>
            </w:pPr>
            <w:r w:rsidRPr="006F55C1">
              <w:rPr>
                <w:b w:val="0"/>
                <w:color w:val="000000"/>
                <w:spacing w:val="79"/>
                <w:shd w:val="solid" w:color="000000" w:fill="000000"/>
                <w:fitText w:val="165" w:id="-1168282353"/>
                <w:lang w:val="en-AU"/>
                <w14:textFill>
                  <w14:solidFill>
                    <w14:srgbClr w14:val="000000">
                      <w14:alpha w14:val="100000"/>
                    </w14:srgbClr>
                  </w14:solidFill>
                </w14:textFill>
              </w:rPr>
              <w:t>|</w:t>
            </w:r>
            <w:r w:rsidRPr="006F55C1">
              <w:rPr>
                <w:b w:val="0"/>
                <w:color w:val="000000"/>
                <w:spacing w:val="1"/>
                <w:shd w:val="solid" w:color="000000" w:fill="000000"/>
                <w:fitText w:val="165" w:id="-1168282353"/>
                <w:lang w:val="en-AU"/>
                <w14:textFill>
                  <w14:solidFill>
                    <w14:srgbClr w14:val="000000">
                      <w14:alpha w14:val="100000"/>
                    </w14:srgbClr>
                  </w14:solidFill>
                </w14:textFill>
              </w:rPr>
              <w:t>|</w:t>
            </w:r>
            <w:r w:rsidR="00227288" w:rsidRPr="00227288">
              <w:rPr>
                <w:rFonts w:cs="Arial Narrow"/>
                <w:b w:val="0"/>
                <w:bCs/>
                <w:sz w:val="18"/>
                <w:szCs w:val="18"/>
                <w:vertAlign w:val="superscript"/>
              </w:rPr>
              <w:t>1</w:t>
            </w:r>
          </w:p>
        </w:tc>
        <w:tc>
          <w:tcPr>
            <w:tcW w:w="850" w:type="dxa"/>
            <w:tcBorders>
              <w:top w:val="nil"/>
              <w:left w:val="single" w:sz="4" w:space="0" w:color="auto"/>
              <w:bottom w:val="nil"/>
              <w:right w:val="single" w:sz="4" w:space="0" w:color="auto"/>
            </w:tcBorders>
            <w:shd w:val="clear" w:color="auto" w:fill="auto"/>
          </w:tcPr>
          <w:p w14:paraId="5D8D9635" w14:textId="77777777" w:rsidR="000624AF" w:rsidRPr="00E74297" w:rsidRDefault="000624AF" w:rsidP="00B22C7C">
            <w:pPr>
              <w:pStyle w:val="In-tableHeading"/>
              <w:keepNext w:val="0"/>
              <w:widowControl w:val="0"/>
              <w:jc w:val="center"/>
              <w:rPr>
                <w:b w:val="0"/>
                <w:lang w:val="en-AU"/>
              </w:rPr>
            </w:pPr>
            <w:r w:rsidRPr="00E74297">
              <w:rPr>
                <w:b w:val="0"/>
                <w:lang w:val="en-AU"/>
              </w:rPr>
              <w:t>10%</w:t>
            </w:r>
          </w:p>
        </w:tc>
      </w:tr>
      <w:tr w:rsidR="000624AF" w:rsidRPr="00E74297" w14:paraId="6D787A3E" w14:textId="77777777" w:rsidTr="00AF2668">
        <w:trPr>
          <w:trHeight w:val="220"/>
        </w:trPr>
        <w:tc>
          <w:tcPr>
            <w:tcW w:w="5098" w:type="dxa"/>
            <w:tcBorders>
              <w:top w:val="nil"/>
              <w:left w:val="single" w:sz="4" w:space="0" w:color="auto"/>
              <w:bottom w:val="nil"/>
              <w:right w:val="single" w:sz="4" w:space="0" w:color="auto"/>
            </w:tcBorders>
            <w:shd w:val="clear" w:color="auto" w:fill="auto"/>
          </w:tcPr>
          <w:p w14:paraId="7237FAE2" w14:textId="77777777" w:rsidR="000624AF" w:rsidRPr="00E74297" w:rsidRDefault="000624AF" w:rsidP="00B22C7C">
            <w:pPr>
              <w:pStyle w:val="In-tableHeading"/>
              <w:keepNext w:val="0"/>
              <w:widowControl w:val="0"/>
              <w:rPr>
                <w:b w:val="0"/>
                <w:lang w:val="en-AU"/>
              </w:rPr>
            </w:pPr>
            <w:r w:rsidRPr="00E74297">
              <w:rPr>
                <w:b w:val="0"/>
                <w:lang w:val="en-AU"/>
              </w:rPr>
              <w:t xml:space="preserve">34% of SG patients and 40% of TPC patients not receiving subsequent therapy </w:t>
            </w:r>
            <w:r w:rsidRPr="00E74297">
              <w:rPr>
                <w:lang w:val="en-AU"/>
              </w:rPr>
              <w:t>#2</w:t>
            </w:r>
          </w:p>
        </w:tc>
        <w:tc>
          <w:tcPr>
            <w:tcW w:w="1134" w:type="dxa"/>
            <w:tcBorders>
              <w:top w:val="nil"/>
              <w:left w:val="single" w:sz="4" w:space="0" w:color="auto"/>
              <w:bottom w:val="single" w:sz="4" w:space="0" w:color="auto"/>
              <w:right w:val="single" w:sz="4" w:space="0" w:color="auto"/>
            </w:tcBorders>
            <w:shd w:val="solid" w:color="000000" w:fill="000000"/>
          </w:tcPr>
          <w:p w14:paraId="68A09853" w14:textId="7B09ADF9" w:rsidR="000624AF" w:rsidRPr="009D0A03" w:rsidRDefault="006F55C1" w:rsidP="00B22C7C">
            <w:pPr>
              <w:pStyle w:val="In-tableHeading"/>
              <w:keepNext w:val="0"/>
              <w:widowControl w:val="0"/>
              <w:jc w:val="center"/>
              <w:rPr>
                <w:b w:val="0"/>
                <w:highlight w:val="darkGray"/>
                <w:lang w:val="en-AU"/>
              </w:rPr>
            </w:pPr>
            <w:r w:rsidRPr="006F55C1">
              <w:rPr>
                <w:b w:val="0"/>
                <w:color w:val="000000"/>
                <w:lang w:val="en-AU"/>
                <w14:textFill>
                  <w14:solidFill>
                    <w14:srgbClr w14:val="000000">
                      <w14:alpha w14:val="100000"/>
                    </w14:srgbClr>
                  </w14:solidFill>
                </w14:textFill>
              </w:rPr>
              <w:t>|</w:t>
            </w:r>
          </w:p>
        </w:tc>
        <w:tc>
          <w:tcPr>
            <w:tcW w:w="1134" w:type="dxa"/>
            <w:tcBorders>
              <w:top w:val="nil"/>
              <w:left w:val="single" w:sz="4" w:space="0" w:color="auto"/>
              <w:bottom w:val="nil"/>
              <w:right w:val="single" w:sz="4" w:space="0" w:color="auto"/>
            </w:tcBorders>
            <w:shd w:val="clear" w:color="auto" w:fill="auto"/>
          </w:tcPr>
          <w:p w14:paraId="74009B77" w14:textId="77777777" w:rsidR="000624AF" w:rsidRPr="00E74297" w:rsidRDefault="000624AF" w:rsidP="00B22C7C">
            <w:pPr>
              <w:pStyle w:val="In-tableHeading"/>
              <w:keepNext w:val="0"/>
              <w:widowControl w:val="0"/>
              <w:jc w:val="center"/>
              <w:rPr>
                <w:b w:val="0"/>
                <w:lang w:val="en-AU"/>
              </w:rPr>
            </w:pPr>
            <w:r w:rsidRPr="00E74297">
              <w:rPr>
                <w:b w:val="0"/>
                <w:lang w:val="en-AU"/>
              </w:rPr>
              <w:t>0.293</w:t>
            </w:r>
          </w:p>
        </w:tc>
        <w:tc>
          <w:tcPr>
            <w:tcW w:w="851" w:type="dxa"/>
            <w:tcBorders>
              <w:top w:val="nil"/>
              <w:left w:val="single" w:sz="4" w:space="0" w:color="auto"/>
              <w:bottom w:val="nil"/>
              <w:right w:val="single" w:sz="4" w:space="0" w:color="auto"/>
            </w:tcBorders>
            <w:shd w:val="clear" w:color="auto" w:fill="auto"/>
          </w:tcPr>
          <w:p w14:paraId="565912F9" w14:textId="08868EE1" w:rsidR="000624AF" w:rsidRPr="00625752" w:rsidRDefault="006F55C1" w:rsidP="00B22C7C">
            <w:pPr>
              <w:pStyle w:val="In-tableHeading"/>
              <w:keepNext w:val="0"/>
              <w:widowControl w:val="0"/>
              <w:jc w:val="center"/>
              <w:rPr>
                <w:b w:val="0"/>
                <w:highlight w:val="darkGray"/>
                <w:lang w:val="en-AU"/>
              </w:rPr>
            </w:pPr>
            <w:r w:rsidRPr="006F55C1">
              <w:rPr>
                <w:b w:val="0"/>
                <w:color w:val="000000"/>
                <w:spacing w:val="79"/>
                <w:shd w:val="solid" w:color="000000" w:fill="000000"/>
                <w:fitText w:val="165" w:id="-1168282352"/>
                <w:lang w:val="en-AU"/>
                <w14:textFill>
                  <w14:solidFill>
                    <w14:srgbClr w14:val="000000">
                      <w14:alpha w14:val="100000"/>
                    </w14:srgbClr>
                  </w14:solidFill>
                </w14:textFill>
              </w:rPr>
              <w:t>|</w:t>
            </w:r>
            <w:r w:rsidRPr="006F55C1">
              <w:rPr>
                <w:b w:val="0"/>
                <w:color w:val="000000"/>
                <w:spacing w:val="1"/>
                <w:shd w:val="solid" w:color="000000" w:fill="000000"/>
                <w:fitText w:val="165" w:id="-1168282352"/>
                <w:lang w:val="en-AU"/>
                <w14:textFill>
                  <w14:solidFill>
                    <w14:srgbClr w14:val="000000">
                      <w14:alpha w14:val="100000"/>
                    </w14:srgbClr>
                  </w14:solidFill>
                </w14:textFill>
              </w:rPr>
              <w:t>|</w:t>
            </w:r>
            <w:r w:rsidR="00227288" w:rsidRPr="00227288">
              <w:rPr>
                <w:rFonts w:cs="Arial Narrow"/>
                <w:b w:val="0"/>
                <w:bCs/>
                <w:sz w:val="18"/>
                <w:szCs w:val="18"/>
                <w:vertAlign w:val="superscript"/>
              </w:rPr>
              <w:t>1</w:t>
            </w:r>
          </w:p>
        </w:tc>
        <w:tc>
          <w:tcPr>
            <w:tcW w:w="850" w:type="dxa"/>
            <w:tcBorders>
              <w:top w:val="nil"/>
              <w:left w:val="single" w:sz="4" w:space="0" w:color="auto"/>
              <w:bottom w:val="nil"/>
              <w:right w:val="single" w:sz="4" w:space="0" w:color="auto"/>
            </w:tcBorders>
            <w:shd w:val="clear" w:color="auto" w:fill="auto"/>
          </w:tcPr>
          <w:p w14:paraId="3239C648" w14:textId="77777777" w:rsidR="000624AF" w:rsidRPr="00E74297" w:rsidRDefault="000624AF" w:rsidP="00B22C7C">
            <w:pPr>
              <w:pStyle w:val="In-tableHeading"/>
              <w:keepNext w:val="0"/>
              <w:widowControl w:val="0"/>
              <w:jc w:val="center"/>
              <w:rPr>
                <w:b w:val="0"/>
                <w:lang w:val="en-AU"/>
              </w:rPr>
            </w:pPr>
            <w:r w:rsidRPr="00E74297">
              <w:rPr>
                <w:b w:val="0"/>
                <w:lang w:val="en-AU"/>
              </w:rPr>
              <w:t>4%</w:t>
            </w:r>
          </w:p>
        </w:tc>
      </w:tr>
      <w:tr w:rsidR="000624AF" w:rsidRPr="00E74297" w14:paraId="7EA2608D" w14:textId="77777777" w:rsidTr="00AF2668">
        <w:trPr>
          <w:trHeight w:val="220"/>
        </w:trPr>
        <w:tc>
          <w:tcPr>
            <w:tcW w:w="5098" w:type="dxa"/>
            <w:tcBorders>
              <w:top w:val="single" w:sz="4" w:space="0" w:color="auto"/>
              <w:left w:val="single" w:sz="4" w:space="0" w:color="auto"/>
              <w:bottom w:val="nil"/>
              <w:right w:val="single" w:sz="4" w:space="0" w:color="auto"/>
            </w:tcBorders>
            <w:shd w:val="clear" w:color="auto" w:fill="auto"/>
          </w:tcPr>
          <w:p w14:paraId="41F67E4E" w14:textId="77777777" w:rsidR="000624AF" w:rsidRPr="00E74297" w:rsidRDefault="000624AF" w:rsidP="00B22C7C">
            <w:pPr>
              <w:pStyle w:val="In-tableHeading"/>
              <w:keepNext w:val="0"/>
              <w:widowControl w:val="0"/>
              <w:rPr>
                <w:b w:val="0"/>
                <w:lang w:val="en-AU"/>
              </w:rPr>
            </w:pPr>
            <w:r w:rsidRPr="00E74297">
              <w:rPr>
                <w:b w:val="0"/>
                <w:lang w:val="en-AU"/>
              </w:rPr>
              <w:t>PD health state/terminal care costs (base case $42,528 applied upon death)</w:t>
            </w:r>
          </w:p>
        </w:tc>
        <w:tc>
          <w:tcPr>
            <w:tcW w:w="1134" w:type="dxa"/>
            <w:tcBorders>
              <w:top w:val="single" w:sz="4" w:space="0" w:color="auto"/>
              <w:left w:val="single" w:sz="4" w:space="0" w:color="auto"/>
              <w:bottom w:val="nil"/>
              <w:right w:val="single" w:sz="4" w:space="0" w:color="auto"/>
            </w:tcBorders>
            <w:shd w:val="clear" w:color="auto" w:fill="auto"/>
          </w:tcPr>
          <w:p w14:paraId="285851D3" w14:textId="77777777" w:rsidR="000624AF" w:rsidRPr="009D0A03" w:rsidRDefault="000624AF" w:rsidP="00B22C7C">
            <w:pPr>
              <w:pStyle w:val="In-tableHeading"/>
              <w:keepNext w:val="0"/>
              <w:widowControl w:val="0"/>
              <w:jc w:val="center"/>
              <w:rPr>
                <w:b w:val="0"/>
                <w:highlight w:val="darkGray"/>
                <w:lang w:val="en-AU"/>
              </w:rPr>
            </w:pPr>
          </w:p>
        </w:tc>
        <w:tc>
          <w:tcPr>
            <w:tcW w:w="1134" w:type="dxa"/>
            <w:tcBorders>
              <w:top w:val="single" w:sz="4" w:space="0" w:color="auto"/>
              <w:left w:val="single" w:sz="4" w:space="0" w:color="auto"/>
              <w:bottom w:val="nil"/>
              <w:right w:val="single" w:sz="4" w:space="0" w:color="auto"/>
            </w:tcBorders>
            <w:shd w:val="clear" w:color="auto" w:fill="auto"/>
          </w:tcPr>
          <w:p w14:paraId="5F47DD2C" w14:textId="77777777" w:rsidR="000624AF" w:rsidRPr="00E74297" w:rsidRDefault="000624AF" w:rsidP="00B22C7C">
            <w:pPr>
              <w:pStyle w:val="In-tableHeading"/>
              <w:keepNext w:val="0"/>
              <w:widowControl w:val="0"/>
              <w:jc w:val="center"/>
              <w:rPr>
                <w:b w:val="0"/>
                <w:lang w:val="en-AU"/>
              </w:rPr>
            </w:pPr>
          </w:p>
        </w:tc>
        <w:tc>
          <w:tcPr>
            <w:tcW w:w="851" w:type="dxa"/>
            <w:tcBorders>
              <w:top w:val="single" w:sz="4" w:space="0" w:color="auto"/>
              <w:left w:val="single" w:sz="4" w:space="0" w:color="auto"/>
              <w:bottom w:val="nil"/>
              <w:right w:val="single" w:sz="4" w:space="0" w:color="auto"/>
            </w:tcBorders>
            <w:shd w:val="clear" w:color="auto" w:fill="auto"/>
          </w:tcPr>
          <w:p w14:paraId="62FCD2CC" w14:textId="77777777" w:rsidR="000624AF" w:rsidRPr="00625752" w:rsidRDefault="000624AF" w:rsidP="00B22C7C">
            <w:pPr>
              <w:pStyle w:val="In-tableHeading"/>
              <w:keepNext w:val="0"/>
              <w:widowControl w:val="0"/>
              <w:jc w:val="center"/>
              <w:rPr>
                <w:b w:val="0"/>
                <w:highlight w:val="darkGray"/>
                <w:lang w:val="en-AU"/>
              </w:rPr>
            </w:pPr>
          </w:p>
        </w:tc>
        <w:tc>
          <w:tcPr>
            <w:tcW w:w="850" w:type="dxa"/>
            <w:tcBorders>
              <w:top w:val="single" w:sz="4" w:space="0" w:color="auto"/>
              <w:left w:val="single" w:sz="4" w:space="0" w:color="auto"/>
              <w:bottom w:val="nil"/>
              <w:right w:val="single" w:sz="4" w:space="0" w:color="auto"/>
            </w:tcBorders>
            <w:shd w:val="clear" w:color="auto" w:fill="auto"/>
          </w:tcPr>
          <w:p w14:paraId="182FD8F1" w14:textId="77777777" w:rsidR="000624AF" w:rsidRPr="00E74297" w:rsidRDefault="000624AF" w:rsidP="00B22C7C">
            <w:pPr>
              <w:pStyle w:val="In-tableHeading"/>
              <w:keepNext w:val="0"/>
              <w:widowControl w:val="0"/>
              <w:jc w:val="center"/>
              <w:rPr>
                <w:b w:val="0"/>
                <w:lang w:val="en-AU"/>
              </w:rPr>
            </w:pPr>
          </w:p>
        </w:tc>
      </w:tr>
      <w:tr w:rsidR="000624AF" w:rsidRPr="00E74297" w14:paraId="3DA55E36" w14:textId="77777777" w:rsidTr="00AF2668">
        <w:trPr>
          <w:trHeight w:val="220"/>
        </w:trPr>
        <w:tc>
          <w:tcPr>
            <w:tcW w:w="5098" w:type="dxa"/>
            <w:tcBorders>
              <w:top w:val="nil"/>
              <w:left w:val="single" w:sz="4" w:space="0" w:color="auto"/>
              <w:bottom w:val="nil"/>
              <w:right w:val="single" w:sz="4" w:space="0" w:color="auto"/>
            </w:tcBorders>
            <w:shd w:val="clear" w:color="auto" w:fill="auto"/>
          </w:tcPr>
          <w:p w14:paraId="365EFA9B" w14:textId="24477E1A" w:rsidR="000624AF" w:rsidRPr="00E74297" w:rsidRDefault="000624AF" w:rsidP="00B22C7C">
            <w:pPr>
              <w:pStyle w:val="In-tableHeading"/>
              <w:keepNext w:val="0"/>
              <w:widowControl w:val="0"/>
              <w:rPr>
                <w:b w:val="0"/>
                <w:lang w:val="en-AU"/>
              </w:rPr>
            </w:pPr>
            <w:r w:rsidRPr="00E74297">
              <w:rPr>
                <w:b w:val="0"/>
                <w:lang w:val="en-AU"/>
              </w:rPr>
              <w:t>$62.38 applied per cycle for patients in PD and once-off terminal care cost of $6,050 applied upon transition to death.</w:t>
            </w:r>
            <w:r w:rsidRPr="00E74297">
              <w:rPr>
                <w:b w:val="0"/>
                <w:vertAlign w:val="superscript"/>
                <w:lang w:val="en-AU"/>
              </w:rPr>
              <w:t>b</w:t>
            </w:r>
            <w:r w:rsidR="00443AF8" w:rsidRPr="00E74297">
              <w:rPr>
                <w:b w:val="0"/>
                <w:lang w:val="en-AU"/>
              </w:rPr>
              <w:t xml:space="preserve"> </w:t>
            </w:r>
          </w:p>
        </w:tc>
        <w:tc>
          <w:tcPr>
            <w:tcW w:w="1134" w:type="dxa"/>
            <w:tcBorders>
              <w:top w:val="nil"/>
              <w:left w:val="single" w:sz="4" w:space="0" w:color="auto"/>
              <w:bottom w:val="single" w:sz="4" w:space="0" w:color="auto"/>
              <w:right w:val="single" w:sz="4" w:space="0" w:color="auto"/>
            </w:tcBorders>
            <w:shd w:val="solid" w:color="000000" w:fill="000000"/>
          </w:tcPr>
          <w:p w14:paraId="74C0F009" w14:textId="7C1412AB" w:rsidR="000624AF" w:rsidRPr="009D0A03" w:rsidRDefault="006F55C1" w:rsidP="00B22C7C">
            <w:pPr>
              <w:pStyle w:val="In-tableHeading"/>
              <w:keepNext w:val="0"/>
              <w:widowControl w:val="0"/>
              <w:jc w:val="center"/>
              <w:rPr>
                <w:b w:val="0"/>
                <w:highlight w:val="darkGray"/>
                <w:lang w:val="en-AU"/>
              </w:rPr>
            </w:pPr>
            <w:r w:rsidRPr="006F55C1">
              <w:rPr>
                <w:b w:val="0"/>
                <w:color w:val="000000"/>
                <w:lang w:val="en-AU"/>
                <w14:textFill>
                  <w14:solidFill>
                    <w14:srgbClr w14:val="000000">
                      <w14:alpha w14:val="100000"/>
                    </w14:srgbClr>
                  </w14:solidFill>
                </w14:textFill>
              </w:rPr>
              <w:t>|</w:t>
            </w:r>
          </w:p>
        </w:tc>
        <w:tc>
          <w:tcPr>
            <w:tcW w:w="1134" w:type="dxa"/>
            <w:tcBorders>
              <w:top w:val="nil"/>
              <w:left w:val="single" w:sz="4" w:space="0" w:color="auto"/>
              <w:bottom w:val="nil"/>
              <w:right w:val="single" w:sz="4" w:space="0" w:color="auto"/>
            </w:tcBorders>
            <w:shd w:val="clear" w:color="auto" w:fill="auto"/>
          </w:tcPr>
          <w:p w14:paraId="28C58068" w14:textId="77777777" w:rsidR="000624AF" w:rsidRPr="00E74297" w:rsidRDefault="000624AF" w:rsidP="00B22C7C">
            <w:pPr>
              <w:pStyle w:val="In-tableHeading"/>
              <w:keepNext w:val="0"/>
              <w:widowControl w:val="0"/>
              <w:jc w:val="center"/>
              <w:rPr>
                <w:b w:val="0"/>
                <w:lang w:val="en-AU"/>
              </w:rPr>
            </w:pPr>
            <w:r w:rsidRPr="00E74297">
              <w:rPr>
                <w:b w:val="0"/>
                <w:lang w:val="en-AU"/>
              </w:rPr>
              <w:t>0.293</w:t>
            </w:r>
          </w:p>
        </w:tc>
        <w:tc>
          <w:tcPr>
            <w:tcW w:w="851" w:type="dxa"/>
            <w:tcBorders>
              <w:top w:val="nil"/>
              <w:left w:val="single" w:sz="4" w:space="0" w:color="auto"/>
              <w:bottom w:val="nil"/>
              <w:right w:val="single" w:sz="4" w:space="0" w:color="auto"/>
            </w:tcBorders>
            <w:shd w:val="clear" w:color="auto" w:fill="auto"/>
          </w:tcPr>
          <w:p w14:paraId="3BDBE86E" w14:textId="55042C04" w:rsidR="000624AF" w:rsidRPr="00625752" w:rsidRDefault="006F55C1" w:rsidP="00B22C7C">
            <w:pPr>
              <w:pStyle w:val="In-tableHeading"/>
              <w:keepNext w:val="0"/>
              <w:widowControl w:val="0"/>
              <w:jc w:val="center"/>
              <w:rPr>
                <w:b w:val="0"/>
                <w:highlight w:val="darkGray"/>
                <w:lang w:val="en-AU"/>
              </w:rPr>
            </w:pPr>
            <w:r w:rsidRPr="006F55C1">
              <w:rPr>
                <w:b w:val="0"/>
                <w:color w:val="000000"/>
                <w:spacing w:val="79"/>
                <w:shd w:val="solid" w:color="000000" w:fill="000000"/>
                <w:fitText w:val="165" w:id="-1168282368"/>
                <w:lang w:val="en-AU"/>
                <w14:textFill>
                  <w14:solidFill>
                    <w14:srgbClr w14:val="000000">
                      <w14:alpha w14:val="100000"/>
                    </w14:srgbClr>
                  </w14:solidFill>
                </w14:textFill>
              </w:rPr>
              <w:t>|</w:t>
            </w:r>
            <w:r w:rsidRPr="006F55C1">
              <w:rPr>
                <w:b w:val="0"/>
                <w:color w:val="000000"/>
                <w:spacing w:val="1"/>
                <w:shd w:val="solid" w:color="000000" w:fill="000000"/>
                <w:fitText w:val="165" w:id="-1168282368"/>
                <w:lang w:val="en-AU"/>
                <w14:textFill>
                  <w14:solidFill>
                    <w14:srgbClr w14:val="000000">
                      <w14:alpha w14:val="100000"/>
                    </w14:srgbClr>
                  </w14:solidFill>
                </w14:textFill>
              </w:rPr>
              <w:t>|</w:t>
            </w:r>
            <w:r w:rsidR="00227288" w:rsidRPr="00227288">
              <w:rPr>
                <w:rFonts w:cs="Arial Narrow"/>
                <w:b w:val="0"/>
                <w:bCs/>
                <w:sz w:val="18"/>
                <w:szCs w:val="18"/>
                <w:vertAlign w:val="superscript"/>
              </w:rPr>
              <w:t>1</w:t>
            </w:r>
          </w:p>
        </w:tc>
        <w:tc>
          <w:tcPr>
            <w:tcW w:w="850" w:type="dxa"/>
            <w:tcBorders>
              <w:top w:val="nil"/>
              <w:left w:val="single" w:sz="4" w:space="0" w:color="auto"/>
              <w:bottom w:val="nil"/>
              <w:right w:val="single" w:sz="4" w:space="0" w:color="auto"/>
            </w:tcBorders>
            <w:shd w:val="clear" w:color="auto" w:fill="auto"/>
          </w:tcPr>
          <w:p w14:paraId="7E7084D8" w14:textId="77777777" w:rsidR="000624AF" w:rsidRPr="00E74297" w:rsidRDefault="000624AF" w:rsidP="00B22C7C">
            <w:pPr>
              <w:pStyle w:val="In-tableHeading"/>
              <w:keepNext w:val="0"/>
              <w:widowControl w:val="0"/>
              <w:jc w:val="center"/>
              <w:rPr>
                <w:b w:val="0"/>
                <w:lang w:val="en-AU"/>
              </w:rPr>
            </w:pPr>
            <w:r w:rsidRPr="00E74297">
              <w:rPr>
                <w:b w:val="0"/>
                <w:lang w:val="en-AU"/>
              </w:rPr>
              <w:t>5%</w:t>
            </w:r>
          </w:p>
        </w:tc>
      </w:tr>
      <w:tr w:rsidR="000624AF" w:rsidRPr="00E74297" w14:paraId="5A61B5BC" w14:textId="77777777" w:rsidTr="00AF2668">
        <w:trPr>
          <w:trHeight w:val="2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0C1C0E52" w14:textId="77777777" w:rsidR="000624AF" w:rsidRPr="00E74297" w:rsidRDefault="000624AF" w:rsidP="00B22C7C">
            <w:pPr>
              <w:pStyle w:val="In-tableHeading"/>
              <w:keepNext w:val="0"/>
              <w:widowControl w:val="0"/>
              <w:rPr>
                <w:lang w:val="en-AU"/>
              </w:rPr>
            </w:pPr>
            <w:r w:rsidRPr="00E74297">
              <w:rPr>
                <w:lang w:val="en-AU"/>
              </w:rPr>
              <w:t>Multivariate Analyses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E04F5" w14:textId="77777777" w:rsidR="000624AF" w:rsidRPr="009D0A03" w:rsidRDefault="000624AF" w:rsidP="00B22C7C">
            <w:pPr>
              <w:pStyle w:val="In-tableHeading"/>
              <w:keepNext w:val="0"/>
              <w:widowControl w:val="0"/>
              <w:jc w:val="center"/>
              <w:rPr>
                <w:b w:val="0"/>
                <w:highlight w:val="darkGray"/>
                <w:lang w:val="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0E213" w14:textId="77777777" w:rsidR="000624AF" w:rsidRPr="00E74297" w:rsidRDefault="000624AF" w:rsidP="00B22C7C">
            <w:pPr>
              <w:pStyle w:val="In-tableHeading"/>
              <w:keepNext w:val="0"/>
              <w:widowControl w:val="0"/>
              <w:jc w:val="center"/>
              <w:rPr>
                <w:b w:val="0"/>
                <w:lang w:val="en-A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1DE026" w14:textId="77777777" w:rsidR="000624AF" w:rsidRPr="00625752" w:rsidRDefault="000624AF" w:rsidP="00B22C7C">
            <w:pPr>
              <w:pStyle w:val="In-tableHeading"/>
              <w:keepNext w:val="0"/>
              <w:widowControl w:val="0"/>
              <w:jc w:val="center"/>
              <w:rPr>
                <w:b w:val="0"/>
                <w:highlight w:val="darkGray"/>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2CE533" w14:textId="77777777" w:rsidR="000624AF" w:rsidRPr="00E74297" w:rsidRDefault="000624AF" w:rsidP="00B22C7C">
            <w:pPr>
              <w:pStyle w:val="In-tableHeading"/>
              <w:keepNext w:val="0"/>
              <w:widowControl w:val="0"/>
              <w:jc w:val="center"/>
              <w:rPr>
                <w:b w:val="0"/>
                <w:lang w:val="en-AU"/>
              </w:rPr>
            </w:pPr>
          </w:p>
        </w:tc>
      </w:tr>
      <w:tr w:rsidR="00202081" w:rsidRPr="00E74297" w14:paraId="4631B5B3" w14:textId="77777777" w:rsidTr="00AF2668">
        <w:trPr>
          <w:trHeight w:val="2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7185CFD3" w14:textId="77777777" w:rsidR="00202081" w:rsidRPr="00E74297" w:rsidRDefault="00202081" w:rsidP="00B22C7C">
            <w:pPr>
              <w:pStyle w:val="In-tableHeading"/>
              <w:keepNext w:val="0"/>
              <w:widowControl w:val="0"/>
              <w:rPr>
                <w:b w:val="0"/>
                <w:bCs/>
                <w:lang w:val="en-AU"/>
              </w:rPr>
            </w:pPr>
            <w:r w:rsidRPr="00E74297">
              <w:rPr>
                <w:b w:val="0"/>
                <w:bCs/>
                <w:lang w:val="en-AU"/>
              </w:rPr>
              <w:t>#1, #2</w:t>
            </w:r>
          </w:p>
        </w:tc>
        <w:tc>
          <w:tcPr>
            <w:tcW w:w="1134" w:type="dxa"/>
            <w:tcBorders>
              <w:top w:val="single" w:sz="4" w:space="0" w:color="auto"/>
              <w:left w:val="single" w:sz="4" w:space="0" w:color="auto"/>
              <w:bottom w:val="single" w:sz="4" w:space="0" w:color="auto"/>
              <w:right w:val="single" w:sz="4" w:space="0" w:color="auto"/>
            </w:tcBorders>
            <w:shd w:val="solid" w:color="000000" w:fill="000000"/>
          </w:tcPr>
          <w:p w14:paraId="3582CC63" w14:textId="43155A82" w:rsidR="00202081" w:rsidRPr="009D0A03" w:rsidRDefault="006F55C1" w:rsidP="00B22C7C">
            <w:pPr>
              <w:pStyle w:val="In-tableHeading"/>
              <w:keepNext w:val="0"/>
              <w:widowControl w:val="0"/>
              <w:jc w:val="center"/>
              <w:rPr>
                <w:b w:val="0"/>
                <w:bCs/>
                <w:szCs w:val="20"/>
                <w:highlight w:val="darkGray"/>
                <w:lang w:val="en-AU"/>
              </w:rPr>
            </w:pPr>
            <w:r w:rsidRPr="006F55C1">
              <w:rPr>
                <w:rFonts w:eastAsiaTheme="minorHAnsi"/>
                <w:b w:val="0"/>
                <w:bCs/>
                <w:color w:val="000000"/>
                <w:szCs w:val="20"/>
                <w:lang w:val="en-AU" w:eastAsia="zh-CN"/>
                <w14:textFill>
                  <w14:solidFill>
                    <w14:srgbClr w14:val="000000">
                      <w14:alpha w14:val="100000"/>
                    </w14:srgbClr>
                  </w14:solidFill>
                </w14:textFill>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E7B9D1" w14:textId="21AEC623" w:rsidR="00202081" w:rsidRPr="00E74297" w:rsidRDefault="00202081" w:rsidP="00B22C7C">
            <w:pPr>
              <w:pStyle w:val="In-tableHeading"/>
              <w:keepNext w:val="0"/>
              <w:widowControl w:val="0"/>
              <w:jc w:val="center"/>
              <w:rPr>
                <w:b w:val="0"/>
                <w:bCs/>
                <w:szCs w:val="20"/>
                <w:lang w:val="en-AU"/>
              </w:rPr>
            </w:pPr>
            <w:r w:rsidRPr="00E74297">
              <w:rPr>
                <w:rFonts w:eastAsiaTheme="minorHAnsi"/>
                <w:b w:val="0"/>
                <w:bCs/>
                <w:szCs w:val="20"/>
                <w:lang w:val="en-AU" w:eastAsia="zh-CN"/>
              </w:rPr>
              <w:t>0.293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D08E8C" w14:textId="53F59043" w:rsidR="00202081" w:rsidRPr="00625752" w:rsidRDefault="006F55C1" w:rsidP="00B22C7C">
            <w:pPr>
              <w:pStyle w:val="In-tableHeading"/>
              <w:keepNext w:val="0"/>
              <w:widowControl w:val="0"/>
              <w:jc w:val="center"/>
              <w:rPr>
                <w:b w:val="0"/>
                <w:bCs/>
                <w:szCs w:val="20"/>
                <w:highlight w:val="darkGray"/>
                <w:lang w:val="en-AU"/>
              </w:rPr>
            </w:pPr>
            <w:r w:rsidRPr="006F55C1">
              <w:rPr>
                <w:rFonts w:eastAsiaTheme="minorHAnsi"/>
                <w:b w:val="0"/>
                <w:bCs/>
                <w:color w:val="000000"/>
                <w:spacing w:val="79"/>
                <w:szCs w:val="20"/>
                <w:shd w:val="solid" w:color="000000" w:fill="000000"/>
                <w:fitText w:val="165" w:id="-1168282367"/>
                <w:lang w:val="en-AU" w:eastAsia="zh-CN"/>
                <w14:textFill>
                  <w14:solidFill>
                    <w14:srgbClr w14:val="000000">
                      <w14:alpha w14:val="100000"/>
                    </w14:srgbClr>
                  </w14:solidFill>
                </w14:textFill>
              </w:rPr>
              <w:t>|</w:t>
            </w:r>
            <w:r w:rsidRPr="006F55C1">
              <w:rPr>
                <w:rFonts w:eastAsiaTheme="minorHAnsi"/>
                <w:b w:val="0"/>
                <w:bCs/>
                <w:color w:val="000000"/>
                <w:spacing w:val="1"/>
                <w:szCs w:val="20"/>
                <w:shd w:val="solid" w:color="000000" w:fill="000000"/>
                <w:fitText w:val="165" w:id="-1168282367"/>
                <w:lang w:val="en-AU" w:eastAsia="zh-CN"/>
                <w14:textFill>
                  <w14:solidFill>
                    <w14:srgbClr w14:val="000000">
                      <w14:alpha w14:val="100000"/>
                    </w14:srgbClr>
                  </w14:solidFill>
                </w14:textFill>
              </w:rPr>
              <w:t>|</w:t>
            </w:r>
            <w:r w:rsidR="00227288">
              <w:rPr>
                <w:rFonts w:cs="Arial Narrow"/>
                <w:sz w:val="18"/>
                <w:szCs w:val="18"/>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F96202" w14:textId="4F73A365" w:rsidR="00202081" w:rsidRPr="00E74297" w:rsidRDefault="00202081" w:rsidP="00B22C7C">
            <w:pPr>
              <w:pStyle w:val="In-tableHeading"/>
              <w:keepNext w:val="0"/>
              <w:widowControl w:val="0"/>
              <w:jc w:val="center"/>
              <w:rPr>
                <w:b w:val="0"/>
                <w:bCs/>
                <w:szCs w:val="20"/>
                <w:lang w:val="en-AU"/>
              </w:rPr>
            </w:pPr>
            <w:r w:rsidRPr="00E74297">
              <w:rPr>
                <w:rFonts w:eastAsiaTheme="minorHAnsi"/>
                <w:b w:val="0"/>
                <w:bCs/>
                <w:szCs w:val="20"/>
                <w:lang w:val="en-AU" w:eastAsia="zh-CN"/>
              </w:rPr>
              <w:t>35%</w:t>
            </w:r>
          </w:p>
        </w:tc>
      </w:tr>
      <w:tr w:rsidR="00202081" w:rsidRPr="00E74297" w14:paraId="53B8D002" w14:textId="77777777" w:rsidTr="00AF2668">
        <w:trPr>
          <w:trHeight w:val="2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7C147F19" w14:textId="5BE03BF1" w:rsidR="00202081" w:rsidRPr="00E74297" w:rsidRDefault="00202081" w:rsidP="00B22C7C">
            <w:pPr>
              <w:pStyle w:val="In-tableHeading"/>
              <w:keepNext w:val="0"/>
              <w:widowControl w:val="0"/>
              <w:rPr>
                <w:lang w:val="en-AU"/>
              </w:rPr>
            </w:pPr>
            <w:r w:rsidRPr="00E74297">
              <w:rPr>
                <w:lang w:val="en-AU"/>
              </w:rPr>
              <w:t>#1, #2, #3: ESC respecified base case</w:t>
            </w:r>
          </w:p>
        </w:tc>
        <w:tc>
          <w:tcPr>
            <w:tcW w:w="1134" w:type="dxa"/>
            <w:tcBorders>
              <w:top w:val="single" w:sz="4" w:space="0" w:color="auto"/>
              <w:left w:val="single" w:sz="4" w:space="0" w:color="auto"/>
              <w:bottom w:val="single" w:sz="4" w:space="0" w:color="auto"/>
              <w:right w:val="single" w:sz="4" w:space="0" w:color="auto"/>
            </w:tcBorders>
            <w:shd w:val="solid" w:color="000000" w:fill="000000"/>
          </w:tcPr>
          <w:p w14:paraId="395CD193" w14:textId="2E67DF2D" w:rsidR="00202081" w:rsidRPr="009D0A03" w:rsidRDefault="006F55C1" w:rsidP="00B22C7C">
            <w:pPr>
              <w:pStyle w:val="In-tableHeading"/>
              <w:keepNext w:val="0"/>
              <w:widowControl w:val="0"/>
              <w:jc w:val="center"/>
              <w:rPr>
                <w:b w:val="0"/>
                <w:bCs/>
                <w:szCs w:val="20"/>
                <w:highlight w:val="darkGray"/>
                <w:lang w:val="en-AU"/>
              </w:rPr>
            </w:pPr>
            <w:r w:rsidRPr="006F55C1">
              <w:rPr>
                <w:rFonts w:eastAsiaTheme="minorHAnsi"/>
                <w:b w:val="0"/>
                <w:bCs/>
                <w:color w:val="000000"/>
                <w:szCs w:val="20"/>
                <w:lang w:val="en-AU" w:eastAsia="zh-CN"/>
                <w14:textFill>
                  <w14:solidFill>
                    <w14:srgbClr w14:val="000000">
                      <w14:alpha w14:val="100000"/>
                    </w14:srgbClr>
                  </w14:solidFill>
                </w14:textFill>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E0D908" w14:textId="797C9E16" w:rsidR="00202081" w:rsidRPr="00E74297" w:rsidRDefault="00202081" w:rsidP="00B22C7C">
            <w:pPr>
              <w:pStyle w:val="In-tableHeading"/>
              <w:keepNext w:val="0"/>
              <w:widowControl w:val="0"/>
              <w:jc w:val="center"/>
              <w:rPr>
                <w:b w:val="0"/>
                <w:bCs/>
                <w:szCs w:val="20"/>
                <w:lang w:val="en-AU"/>
              </w:rPr>
            </w:pPr>
            <w:r w:rsidRPr="00E74297">
              <w:rPr>
                <w:rFonts w:eastAsiaTheme="minorHAnsi"/>
                <w:b w:val="0"/>
                <w:bCs/>
                <w:szCs w:val="20"/>
                <w:lang w:val="en-AU" w:eastAsia="zh-CN"/>
              </w:rPr>
              <w:t>0.226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F2DF93" w14:textId="21A7266F" w:rsidR="00202081" w:rsidRPr="00625752" w:rsidRDefault="006F55C1" w:rsidP="00B22C7C">
            <w:pPr>
              <w:pStyle w:val="In-tableHeading"/>
              <w:keepNext w:val="0"/>
              <w:widowControl w:val="0"/>
              <w:jc w:val="center"/>
              <w:rPr>
                <w:b w:val="0"/>
                <w:bCs/>
                <w:szCs w:val="20"/>
                <w:highlight w:val="darkGray"/>
                <w:lang w:val="en-AU"/>
              </w:rPr>
            </w:pPr>
            <w:r w:rsidRPr="006F55C1">
              <w:rPr>
                <w:rFonts w:eastAsiaTheme="minorHAnsi"/>
                <w:b w:val="0"/>
                <w:bCs/>
                <w:color w:val="000000"/>
                <w:spacing w:val="79"/>
                <w:szCs w:val="20"/>
                <w:shd w:val="solid" w:color="000000" w:fill="000000"/>
                <w:fitText w:val="165" w:id="-1168282366"/>
                <w:lang w:val="en-AU" w:eastAsia="zh-CN"/>
                <w14:textFill>
                  <w14:solidFill>
                    <w14:srgbClr w14:val="000000">
                      <w14:alpha w14:val="100000"/>
                    </w14:srgbClr>
                  </w14:solidFill>
                </w14:textFill>
              </w:rPr>
              <w:t>|</w:t>
            </w:r>
            <w:r w:rsidRPr="006F55C1">
              <w:rPr>
                <w:rFonts w:eastAsiaTheme="minorHAnsi"/>
                <w:b w:val="0"/>
                <w:bCs/>
                <w:color w:val="000000"/>
                <w:spacing w:val="1"/>
                <w:szCs w:val="20"/>
                <w:shd w:val="solid" w:color="000000" w:fill="000000"/>
                <w:fitText w:val="165" w:id="-1168282366"/>
                <w:lang w:val="en-AU" w:eastAsia="zh-CN"/>
                <w14:textFill>
                  <w14:solidFill>
                    <w14:srgbClr w14:val="000000">
                      <w14:alpha w14:val="100000"/>
                    </w14:srgbClr>
                  </w14:solidFill>
                </w14:textFill>
              </w:rPr>
              <w:t>|</w:t>
            </w:r>
            <w:r w:rsidR="00227288">
              <w:rPr>
                <w:rFonts w:cs="Arial Narrow"/>
                <w:b w:val="0"/>
                <w:bCs/>
                <w:sz w:val="18"/>
                <w:szCs w:val="18"/>
                <w:vertAlign w:val="superscript"/>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77D1D0" w14:textId="1CDAC71F" w:rsidR="00202081" w:rsidRPr="00E74297" w:rsidRDefault="00202081" w:rsidP="00B22C7C">
            <w:pPr>
              <w:pStyle w:val="In-tableHeading"/>
              <w:keepNext w:val="0"/>
              <w:widowControl w:val="0"/>
              <w:jc w:val="center"/>
              <w:rPr>
                <w:b w:val="0"/>
                <w:bCs/>
                <w:szCs w:val="20"/>
                <w:lang w:val="en-AU"/>
              </w:rPr>
            </w:pPr>
            <w:r w:rsidRPr="00E74297">
              <w:rPr>
                <w:rFonts w:eastAsiaTheme="minorHAnsi"/>
                <w:b w:val="0"/>
                <w:bCs/>
                <w:szCs w:val="20"/>
                <w:lang w:val="en-AU" w:eastAsia="zh-CN"/>
              </w:rPr>
              <w:t>76%</w:t>
            </w:r>
          </w:p>
        </w:tc>
      </w:tr>
      <w:tr w:rsidR="00A61FC1" w:rsidRPr="00E74297" w14:paraId="2304DADA" w14:textId="77777777" w:rsidTr="00AF2668">
        <w:trPr>
          <w:trHeight w:val="2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76C7B528" w14:textId="1B0E095B" w:rsidR="00A61FC1" w:rsidRPr="00E74297" w:rsidRDefault="00A61FC1" w:rsidP="00B22C7C">
            <w:pPr>
              <w:pStyle w:val="In-tableHeading"/>
              <w:keepNext w:val="0"/>
              <w:widowControl w:val="0"/>
              <w:rPr>
                <w:lang w:val="en-AU"/>
              </w:rPr>
            </w:pPr>
            <w:r w:rsidRPr="00E74297">
              <w:rPr>
                <w:lang w:val="en-AU"/>
              </w:rPr>
              <w:t>#1, #2, #3a</w:t>
            </w:r>
          </w:p>
        </w:tc>
        <w:tc>
          <w:tcPr>
            <w:tcW w:w="1134" w:type="dxa"/>
            <w:tcBorders>
              <w:top w:val="single" w:sz="4" w:space="0" w:color="auto"/>
              <w:left w:val="single" w:sz="4" w:space="0" w:color="auto"/>
              <w:bottom w:val="single" w:sz="4" w:space="0" w:color="auto"/>
              <w:right w:val="single" w:sz="4" w:space="0" w:color="auto"/>
            </w:tcBorders>
            <w:shd w:val="solid" w:color="000000" w:fill="000000"/>
          </w:tcPr>
          <w:p w14:paraId="667DB099" w14:textId="2151E707" w:rsidR="00A61FC1" w:rsidRPr="009D0A03" w:rsidRDefault="006F55C1" w:rsidP="00B22C7C">
            <w:pPr>
              <w:pStyle w:val="In-tableHeading"/>
              <w:keepNext w:val="0"/>
              <w:widowControl w:val="0"/>
              <w:jc w:val="center"/>
              <w:rPr>
                <w:rFonts w:eastAsiaTheme="minorHAnsi"/>
                <w:b w:val="0"/>
                <w:bCs/>
                <w:szCs w:val="20"/>
                <w:highlight w:val="darkGray"/>
                <w:lang w:val="en-AU" w:eastAsia="zh-CN"/>
              </w:rPr>
            </w:pPr>
            <w:r w:rsidRPr="006F55C1">
              <w:rPr>
                <w:rFonts w:eastAsiaTheme="minorHAnsi"/>
                <w:b w:val="0"/>
                <w:bCs/>
                <w:color w:val="000000"/>
                <w:szCs w:val="20"/>
                <w:lang w:val="en-AU" w:eastAsia="zh-CN"/>
                <w14:textFill>
                  <w14:solidFill>
                    <w14:srgbClr w14:val="000000">
                      <w14:alpha w14:val="100000"/>
                    </w14:srgbClr>
                  </w14:solidFill>
                </w14:textFill>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ECBB2A" w14:textId="3FC97721" w:rsidR="00A61FC1" w:rsidRPr="00E74297" w:rsidRDefault="00A61FC1" w:rsidP="00B22C7C">
            <w:pPr>
              <w:pStyle w:val="In-tableHeading"/>
              <w:keepNext w:val="0"/>
              <w:widowControl w:val="0"/>
              <w:jc w:val="center"/>
              <w:rPr>
                <w:rFonts w:eastAsiaTheme="minorHAnsi"/>
                <w:b w:val="0"/>
                <w:bCs/>
                <w:szCs w:val="20"/>
                <w:lang w:val="en-AU" w:eastAsia="zh-CN"/>
              </w:rPr>
            </w:pPr>
            <w:r w:rsidRPr="00E74297">
              <w:rPr>
                <w:rFonts w:eastAsiaTheme="minorHAnsi"/>
                <w:b w:val="0"/>
                <w:bCs/>
                <w:szCs w:val="20"/>
                <w:lang w:val="en-AU" w:eastAsia="zh-CN"/>
              </w:rPr>
              <w:t>0.244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D53570" w14:textId="6D418166" w:rsidR="00A61FC1" w:rsidRPr="00227288" w:rsidRDefault="006F55C1" w:rsidP="00B22C7C">
            <w:pPr>
              <w:pStyle w:val="In-tableHeading"/>
              <w:keepNext w:val="0"/>
              <w:widowControl w:val="0"/>
              <w:jc w:val="center"/>
              <w:rPr>
                <w:rFonts w:eastAsiaTheme="minorHAnsi"/>
                <w:b w:val="0"/>
                <w:bCs/>
                <w:szCs w:val="20"/>
                <w:highlight w:val="darkGray"/>
                <w:lang w:val="en-AU" w:eastAsia="zh-CN"/>
              </w:rPr>
            </w:pPr>
            <w:r w:rsidRPr="006F55C1">
              <w:rPr>
                <w:rFonts w:eastAsiaTheme="minorHAnsi"/>
                <w:b w:val="0"/>
                <w:bCs/>
                <w:color w:val="000000"/>
                <w:spacing w:val="79"/>
                <w:szCs w:val="20"/>
                <w:shd w:val="solid" w:color="000000" w:fill="000000"/>
                <w:fitText w:val="165" w:id="-1168282365"/>
                <w:lang w:val="en-AU" w:eastAsia="zh-CN"/>
                <w14:textFill>
                  <w14:solidFill>
                    <w14:srgbClr w14:val="000000">
                      <w14:alpha w14:val="100000"/>
                    </w14:srgbClr>
                  </w14:solidFill>
                </w14:textFill>
              </w:rPr>
              <w:t>|</w:t>
            </w:r>
            <w:r w:rsidRPr="006F55C1">
              <w:rPr>
                <w:rFonts w:eastAsiaTheme="minorHAnsi"/>
                <w:b w:val="0"/>
                <w:bCs/>
                <w:color w:val="000000"/>
                <w:spacing w:val="1"/>
                <w:szCs w:val="20"/>
                <w:shd w:val="solid" w:color="000000" w:fill="000000"/>
                <w:fitText w:val="165" w:id="-1168282365"/>
                <w:lang w:val="en-AU" w:eastAsia="zh-CN"/>
                <w14:textFill>
                  <w14:solidFill>
                    <w14:srgbClr w14:val="000000">
                      <w14:alpha w14:val="100000"/>
                    </w14:srgbClr>
                  </w14:solidFill>
                </w14:textFill>
              </w:rPr>
              <w:t>|</w:t>
            </w:r>
            <w:r w:rsidR="00227288" w:rsidRPr="00227288">
              <w:rPr>
                <w:rFonts w:cs="Arial Narrow"/>
                <w:b w:val="0"/>
                <w:bCs/>
                <w:sz w:val="18"/>
                <w:szCs w:val="18"/>
                <w:vertAlign w:val="superscript"/>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6FFB34" w14:textId="7E45B1DB" w:rsidR="00A61FC1" w:rsidRPr="00E74297" w:rsidRDefault="00A61FC1" w:rsidP="00B22C7C">
            <w:pPr>
              <w:pStyle w:val="In-tableHeading"/>
              <w:keepNext w:val="0"/>
              <w:widowControl w:val="0"/>
              <w:jc w:val="center"/>
              <w:rPr>
                <w:rFonts w:eastAsiaTheme="minorHAnsi"/>
                <w:b w:val="0"/>
                <w:bCs/>
                <w:szCs w:val="20"/>
                <w:lang w:val="en-AU" w:eastAsia="zh-CN"/>
              </w:rPr>
            </w:pPr>
            <w:r w:rsidRPr="00E74297">
              <w:rPr>
                <w:rFonts w:eastAsiaTheme="minorHAnsi"/>
                <w:b w:val="0"/>
                <w:bCs/>
                <w:szCs w:val="20"/>
                <w:lang w:val="en-AU" w:eastAsia="zh-CN"/>
              </w:rPr>
              <w:t>63%</w:t>
            </w:r>
          </w:p>
        </w:tc>
      </w:tr>
      <w:tr w:rsidR="00F02235" w:rsidRPr="00E74297" w14:paraId="26B6B43C" w14:textId="77777777" w:rsidTr="00AF2668">
        <w:trPr>
          <w:trHeight w:val="2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5E403C13" w14:textId="69FD4CB3" w:rsidR="00F02235" w:rsidRPr="00E74297" w:rsidRDefault="00A61FC1" w:rsidP="00B22C7C">
            <w:pPr>
              <w:pStyle w:val="In-tableHeading"/>
              <w:keepNext w:val="0"/>
              <w:widowControl w:val="0"/>
              <w:rPr>
                <w:lang w:val="en-AU"/>
              </w:rPr>
            </w:pPr>
            <w:r w:rsidRPr="00E74297">
              <w:rPr>
                <w:lang w:val="en-AU"/>
              </w:rPr>
              <w:t>#1, #2, #3.a, #4</w:t>
            </w:r>
          </w:p>
        </w:tc>
        <w:tc>
          <w:tcPr>
            <w:tcW w:w="1134" w:type="dxa"/>
            <w:tcBorders>
              <w:top w:val="single" w:sz="4" w:space="0" w:color="auto"/>
              <w:left w:val="single" w:sz="4" w:space="0" w:color="auto"/>
              <w:bottom w:val="single" w:sz="4" w:space="0" w:color="auto"/>
              <w:right w:val="single" w:sz="4" w:space="0" w:color="auto"/>
            </w:tcBorders>
            <w:shd w:val="solid" w:color="000000" w:fill="000000"/>
          </w:tcPr>
          <w:p w14:paraId="614D814A" w14:textId="4A87FE6B" w:rsidR="00F02235" w:rsidRPr="009D0A03" w:rsidRDefault="006F55C1" w:rsidP="00B22C7C">
            <w:pPr>
              <w:pStyle w:val="In-tableHeading"/>
              <w:keepNext w:val="0"/>
              <w:widowControl w:val="0"/>
              <w:jc w:val="center"/>
              <w:rPr>
                <w:rFonts w:eastAsiaTheme="minorHAnsi"/>
                <w:b w:val="0"/>
                <w:bCs/>
                <w:szCs w:val="20"/>
                <w:highlight w:val="darkGray"/>
                <w:lang w:val="en-AU" w:eastAsia="zh-CN"/>
              </w:rPr>
            </w:pPr>
            <w:r w:rsidRPr="006F55C1">
              <w:rPr>
                <w:rFonts w:eastAsiaTheme="minorHAnsi"/>
                <w:b w:val="0"/>
                <w:bCs/>
                <w:color w:val="000000"/>
                <w:szCs w:val="20"/>
                <w:lang w:val="en-AU" w:eastAsia="zh-CN"/>
                <w14:textFill>
                  <w14:solidFill>
                    <w14:srgbClr w14:val="000000">
                      <w14:alpha w14:val="100000"/>
                    </w14:srgbClr>
                  </w14:solidFill>
                </w14:textFill>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65CC4C" w14:textId="72F2F7FE" w:rsidR="00F02235" w:rsidRPr="00E74297" w:rsidRDefault="00A61FC1" w:rsidP="00B22C7C">
            <w:pPr>
              <w:pStyle w:val="In-tableHeading"/>
              <w:keepNext w:val="0"/>
              <w:widowControl w:val="0"/>
              <w:jc w:val="center"/>
              <w:rPr>
                <w:rFonts w:eastAsiaTheme="minorHAnsi"/>
                <w:b w:val="0"/>
                <w:bCs/>
                <w:szCs w:val="20"/>
                <w:lang w:val="en-AU" w:eastAsia="zh-CN"/>
              </w:rPr>
            </w:pPr>
            <w:r w:rsidRPr="00E74297">
              <w:rPr>
                <w:rFonts w:eastAsiaTheme="minorHAnsi"/>
                <w:b w:val="0"/>
                <w:bCs/>
                <w:szCs w:val="20"/>
                <w:lang w:val="en-AU" w:eastAsia="zh-CN"/>
              </w:rPr>
              <w:t>0.218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5B6656" w14:textId="1B76AE34" w:rsidR="00F02235" w:rsidRPr="00625752" w:rsidRDefault="006F55C1" w:rsidP="00B22C7C">
            <w:pPr>
              <w:pStyle w:val="In-tableHeading"/>
              <w:keepNext w:val="0"/>
              <w:widowControl w:val="0"/>
              <w:jc w:val="center"/>
              <w:rPr>
                <w:rFonts w:eastAsiaTheme="minorHAnsi"/>
                <w:b w:val="0"/>
                <w:bCs/>
                <w:szCs w:val="20"/>
                <w:highlight w:val="darkGray"/>
                <w:lang w:val="en-AU" w:eastAsia="zh-CN"/>
              </w:rPr>
            </w:pPr>
            <w:r w:rsidRPr="006F55C1">
              <w:rPr>
                <w:rFonts w:eastAsiaTheme="minorHAnsi"/>
                <w:b w:val="0"/>
                <w:bCs/>
                <w:color w:val="000000"/>
                <w:spacing w:val="79"/>
                <w:szCs w:val="20"/>
                <w:shd w:val="solid" w:color="000000" w:fill="000000"/>
                <w:fitText w:val="165" w:id="-1168282364"/>
                <w:lang w:val="en-AU" w:eastAsia="zh-CN"/>
                <w14:textFill>
                  <w14:solidFill>
                    <w14:srgbClr w14:val="000000">
                      <w14:alpha w14:val="100000"/>
                    </w14:srgbClr>
                  </w14:solidFill>
                </w14:textFill>
              </w:rPr>
              <w:t>|</w:t>
            </w:r>
            <w:r w:rsidRPr="006F55C1">
              <w:rPr>
                <w:rFonts w:eastAsiaTheme="minorHAnsi"/>
                <w:b w:val="0"/>
                <w:bCs/>
                <w:color w:val="000000"/>
                <w:spacing w:val="1"/>
                <w:szCs w:val="20"/>
                <w:shd w:val="solid" w:color="000000" w:fill="000000"/>
                <w:fitText w:val="165" w:id="-1168282364"/>
                <w:lang w:val="en-AU" w:eastAsia="zh-CN"/>
                <w14:textFill>
                  <w14:solidFill>
                    <w14:srgbClr w14:val="000000">
                      <w14:alpha w14:val="100000"/>
                    </w14:srgbClr>
                  </w14:solidFill>
                </w14:textFill>
              </w:rPr>
              <w:t>|</w:t>
            </w:r>
            <w:r w:rsidR="00227288">
              <w:rPr>
                <w:rFonts w:cs="Arial Narrow"/>
                <w:sz w:val="18"/>
                <w:szCs w:val="18"/>
                <w:vertAlign w:val="superscript"/>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71CC48" w14:textId="6F27F1F0" w:rsidR="00F02235" w:rsidRPr="00E74297" w:rsidRDefault="00A61FC1" w:rsidP="00B22C7C">
            <w:pPr>
              <w:pStyle w:val="In-tableHeading"/>
              <w:keepNext w:val="0"/>
              <w:widowControl w:val="0"/>
              <w:jc w:val="center"/>
              <w:rPr>
                <w:rFonts w:eastAsiaTheme="minorHAnsi"/>
                <w:b w:val="0"/>
                <w:bCs/>
                <w:szCs w:val="20"/>
                <w:lang w:val="en-AU" w:eastAsia="zh-CN"/>
              </w:rPr>
            </w:pPr>
            <w:r w:rsidRPr="00E74297">
              <w:rPr>
                <w:rFonts w:eastAsiaTheme="minorHAnsi"/>
                <w:b w:val="0"/>
                <w:bCs/>
                <w:szCs w:val="20"/>
                <w:lang w:val="en-AU" w:eastAsia="zh-CN"/>
              </w:rPr>
              <w:t>79%</w:t>
            </w:r>
          </w:p>
        </w:tc>
      </w:tr>
      <w:tr w:rsidR="00A61FC1" w:rsidRPr="00E74297" w14:paraId="5530D7EB" w14:textId="77777777" w:rsidTr="00AF2668">
        <w:trPr>
          <w:trHeight w:val="2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4C164F29" w14:textId="6F72A700" w:rsidR="00A61FC1" w:rsidRPr="00E74297" w:rsidRDefault="00A61FC1" w:rsidP="00B22C7C">
            <w:pPr>
              <w:pStyle w:val="In-tableHeading"/>
              <w:keepNext w:val="0"/>
              <w:widowControl w:val="0"/>
              <w:rPr>
                <w:lang w:val="en-AU"/>
              </w:rPr>
            </w:pPr>
            <w:r w:rsidRPr="00E74297">
              <w:rPr>
                <w:lang w:val="en-AU"/>
              </w:rPr>
              <w:t>#1, #2, #3.a, #4 and #5</w:t>
            </w:r>
          </w:p>
        </w:tc>
        <w:tc>
          <w:tcPr>
            <w:tcW w:w="1134" w:type="dxa"/>
            <w:tcBorders>
              <w:top w:val="single" w:sz="4" w:space="0" w:color="auto"/>
              <w:left w:val="single" w:sz="4" w:space="0" w:color="auto"/>
              <w:bottom w:val="single" w:sz="4" w:space="0" w:color="auto"/>
              <w:right w:val="single" w:sz="4" w:space="0" w:color="auto"/>
            </w:tcBorders>
            <w:shd w:val="solid" w:color="000000" w:fill="000000"/>
          </w:tcPr>
          <w:p w14:paraId="0EE7A7EC" w14:textId="3DE4B4A8" w:rsidR="00A61FC1" w:rsidRPr="009D0A03" w:rsidRDefault="006F55C1" w:rsidP="00B22C7C">
            <w:pPr>
              <w:pStyle w:val="In-tableHeading"/>
              <w:keepNext w:val="0"/>
              <w:widowControl w:val="0"/>
              <w:jc w:val="center"/>
              <w:rPr>
                <w:rFonts w:eastAsiaTheme="minorHAnsi"/>
                <w:b w:val="0"/>
                <w:bCs/>
                <w:szCs w:val="20"/>
                <w:highlight w:val="darkGray"/>
                <w:lang w:val="en-AU" w:eastAsia="zh-CN"/>
              </w:rPr>
            </w:pPr>
            <w:r w:rsidRPr="006F55C1">
              <w:rPr>
                <w:rFonts w:eastAsiaTheme="minorHAnsi"/>
                <w:b w:val="0"/>
                <w:bCs/>
                <w:color w:val="000000"/>
                <w:szCs w:val="20"/>
                <w:lang w:val="en-AU" w:eastAsia="zh-CN"/>
                <w14:textFill>
                  <w14:solidFill>
                    <w14:srgbClr w14:val="000000">
                      <w14:alpha w14:val="100000"/>
                    </w14:srgbClr>
                  </w14:solidFill>
                </w14:textFill>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21BBE9" w14:textId="23A7B8BB" w:rsidR="00A61FC1" w:rsidRPr="00E74297" w:rsidRDefault="00321A07" w:rsidP="00B22C7C">
            <w:pPr>
              <w:pStyle w:val="In-tableHeading"/>
              <w:keepNext w:val="0"/>
              <w:widowControl w:val="0"/>
              <w:jc w:val="center"/>
              <w:rPr>
                <w:rFonts w:eastAsiaTheme="minorHAnsi"/>
                <w:b w:val="0"/>
                <w:bCs/>
                <w:szCs w:val="20"/>
                <w:lang w:val="en-AU" w:eastAsia="zh-CN"/>
              </w:rPr>
            </w:pPr>
            <w:r w:rsidRPr="00E74297">
              <w:rPr>
                <w:rFonts w:eastAsiaTheme="minorHAnsi"/>
                <w:b w:val="0"/>
                <w:bCs/>
                <w:szCs w:val="20"/>
                <w:lang w:val="en-AU" w:eastAsia="zh-CN"/>
              </w:rPr>
              <w:t>0.186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32B5CE" w14:textId="493D5575" w:rsidR="00A61FC1" w:rsidRPr="00625752" w:rsidRDefault="006F55C1" w:rsidP="00B22C7C">
            <w:pPr>
              <w:pStyle w:val="In-tableHeading"/>
              <w:keepNext w:val="0"/>
              <w:widowControl w:val="0"/>
              <w:jc w:val="center"/>
              <w:rPr>
                <w:rFonts w:eastAsiaTheme="minorHAnsi"/>
                <w:b w:val="0"/>
                <w:bCs/>
                <w:szCs w:val="20"/>
                <w:highlight w:val="darkGray"/>
                <w:lang w:val="en-AU" w:eastAsia="zh-CN"/>
              </w:rPr>
            </w:pPr>
            <w:r w:rsidRPr="006F55C1">
              <w:rPr>
                <w:rFonts w:eastAsiaTheme="minorHAnsi"/>
                <w:b w:val="0"/>
                <w:bCs/>
                <w:color w:val="000000"/>
                <w:spacing w:val="79"/>
                <w:szCs w:val="20"/>
                <w:shd w:val="solid" w:color="000000" w:fill="000000"/>
                <w:fitText w:val="165" w:id="-1168282363"/>
                <w:lang w:val="en-AU" w:eastAsia="zh-CN"/>
                <w14:textFill>
                  <w14:solidFill>
                    <w14:srgbClr w14:val="000000">
                      <w14:alpha w14:val="100000"/>
                    </w14:srgbClr>
                  </w14:solidFill>
                </w14:textFill>
              </w:rPr>
              <w:t>|</w:t>
            </w:r>
            <w:r w:rsidRPr="006F55C1">
              <w:rPr>
                <w:rFonts w:eastAsiaTheme="minorHAnsi"/>
                <w:b w:val="0"/>
                <w:bCs/>
                <w:color w:val="000000"/>
                <w:spacing w:val="1"/>
                <w:szCs w:val="20"/>
                <w:shd w:val="solid" w:color="000000" w:fill="000000"/>
                <w:fitText w:val="165" w:id="-1168282363"/>
                <w:lang w:val="en-AU" w:eastAsia="zh-CN"/>
                <w14:textFill>
                  <w14:solidFill>
                    <w14:srgbClr w14:val="000000">
                      <w14:alpha w14:val="100000"/>
                    </w14:srgbClr>
                  </w14:solidFill>
                </w14:textFill>
              </w:rPr>
              <w:t>|</w:t>
            </w:r>
            <w:r w:rsidR="00227288">
              <w:rPr>
                <w:rFonts w:cs="Arial Narrow"/>
                <w:sz w:val="18"/>
                <w:szCs w:val="18"/>
                <w:vertAlign w:val="superscript"/>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7589B6" w14:textId="278AEF80" w:rsidR="00A61FC1" w:rsidRPr="00E74297" w:rsidRDefault="00321A07" w:rsidP="00B22C7C">
            <w:pPr>
              <w:pStyle w:val="In-tableHeading"/>
              <w:keepNext w:val="0"/>
              <w:widowControl w:val="0"/>
              <w:jc w:val="center"/>
              <w:rPr>
                <w:rFonts w:eastAsiaTheme="minorHAnsi"/>
                <w:b w:val="0"/>
                <w:bCs/>
                <w:szCs w:val="20"/>
                <w:lang w:val="en-AU" w:eastAsia="zh-CN"/>
              </w:rPr>
            </w:pPr>
            <w:r w:rsidRPr="00E74297">
              <w:rPr>
                <w:rFonts w:eastAsiaTheme="minorHAnsi"/>
                <w:b w:val="0"/>
                <w:bCs/>
                <w:szCs w:val="20"/>
                <w:lang w:val="en-AU" w:eastAsia="zh-CN"/>
              </w:rPr>
              <w:t>110%</w:t>
            </w:r>
          </w:p>
        </w:tc>
      </w:tr>
      <w:tr w:rsidR="00F27F02" w:rsidRPr="00E74297" w14:paraId="015FC4EF" w14:textId="77777777" w:rsidTr="00AF2668">
        <w:trPr>
          <w:trHeight w:val="2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3574FBDC" w14:textId="2721F965" w:rsidR="00F27F02" w:rsidRPr="00E74297" w:rsidRDefault="00F27F02" w:rsidP="00B22C7C">
            <w:pPr>
              <w:pStyle w:val="In-tableHeading"/>
              <w:keepNext w:val="0"/>
              <w:widowControl w:val="0"/>
              <w:rPr>
                <w:lang w:val="en-AU"/>
              </w:rPr>
            </w:pPr>
            <w:r w:rsidRPr="00E74297">
              <w:rPr>
                <w:lang w:val="en-AU"/>
              </w:rPr>
              <w:t>#1, #2, #3.a, #4, #5 and TTD based on KM data only</w:t>
            </w:r>
          </w:p>
        </w:tc>
        <w:tc>
          <w:tcPr>
            <w:tcW w:w="1134" w:type="dxa"/>
            <w:tcBorders>
              <w:top w:val="single" w:sz="4" w:space="0" w:color="auto"/>
              <w:left w:val="single" w:sz="4" w:space="0" w:color="auto"/>
              <w:bottom w:val="single" w:sz="4" w:space="0" w:color="auto"/>
              <w:right w:val="single" w:sz="4" w:space="0" w:color="auto"/>
            </w:tcBorders>
            <w:shd w:val="solid" w:color="000000" w:fill="000000"/>
          </w:tcPr>
          <w:p w14:paraId="63EF0913" w14:textId="06AA09DF" w:rsidR="00F27F02" w:rsidRPr="009D0A03" w:rsidRDefault="006F55C1" w:rsidP="00B22C7C">
            <w:pPr>
              <w:pStyle w:val="In-tableHeading"/>
              <w:keepNext w:val="0"/>
              <w:widowControl w:val="0"/>
              <w:jc w:val="center"/>
              <w:rPr>
                <w:rFonts w:eastAsiaTheme="minorHAnsi"/>
                <w:b w:val="0"/>
                <w:bCs/>
                <w:szCs w:val="20"/>
                <w:highlight w:val="darkGray"/>
                <w:lang w:val="en-AU" w:eastAsia="zh-CN"/>
              </w:rPr>
            </w:pPr>
            <w:r w:rsidRPr="006F55C1">
              <w:rPr>
                <w:rFonts w:eastAsiaTheme="minorHAnsi"/>
                <w:b w:val="0"/>
                <w:bCs/>
                <w:color w:val="000000"/>
                <w:szCs w:val="20"/>
                <w:lang w:val="en-AU" w:eastAsia="zh-CN"/>
                <w14:textFill>
                  <w14:solidFill>
                    <w14:srgbClr w14:val="000000">
                      <w14:alpha w14:val="100000"/>
                    </w14:srgbClr>
                  </w14:solidFill>
                </w14:textFill>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C1C28" w14:textId="1DF96371" w:rsidR="00F27F02" w:rsidRPr="00E74297" w:rsidRDefault="00F27F02" w:rsidP="00B22C7C">
            <w:pPr>
              <w:pStyle w:val="In-tableHeading"/>
              <w:keepNext w:val="0"/>
              <w:widowControl w:val="0"/>
              <w:jc w:val="center"/>
              <w:rPr>
                <w:rFonts w:eastAsiaTheme="minorHAnsi"/>
                <w:b w:val="0"/>
                <w:bCs/>
                <w:szCs w:val="20"/>
                <w:lang w:val="en-AU" w:eastAsia="zh-CN"/>
              </w:rPr>
            </w:pPr>
            <w:r w:rsidRPr="00E74297">
              <w:rPr>
                <w:rFonts w:eastAsiaTheme="minorHAnsi"/>
                <w:b w:val="0"/>
                <w:bCs/>
                <w:szCs w:val="20"/>
                <w:lang w:val="en-AU" w:eastAsia="zh-CN"/>
              </w:rPr>
              <w:t>0.186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106D7" w14:textId="1854F022" w:rsidR="00F27F02" w:rsidRPr="00625752" w:rsidRDefault="006F55C1" w:rsidP="00B22C7C">
            <w:pPr>
              <w:pStyle w:val="In-tableHeading"/>
              <w:keepNext w:val="0"/>
              <w:widowControl w:val="0"/>
              <w:jc w:val="center"/>
              <w:rPr>
                <w:rFonts w:eastAsiaTheme="minorHAnsi"/>
                <w:b w:val="0"/>
                <w:bCs/>
                <w:szCs w:val="20"/>
                <w:highlight w:val="darkGray"/>
                <w:lang w:val="en-AU" w:eastAsia="zh-CN"/>
              </w:rPr>
            </w:pPr>
            <w:r w:rsidRPr="006F55C1">
              <w:rPr>
                <w:rFonts w:eastAsiaTheme="minorHAnsi"/>
                <w:b w:val="0"/>
                <w:bCs/>
                <w:color w:val="000000"/>
                <w:spacing w:val="79"/>
                <w:szCs w:val="20"/>
                <w:shd w:val="solid" w:color="000000" w:fill="000000"/>
                <w:fitText w:val="165" w:id="-1168282362"/>
                <w:lang w:val="en-AU" w:eastAsia="zh-CN"/>
                <w14:textFill>
                  <w14:solidFill>
                    <w14:srgbClr w14:val="000000">
                      <w14:alpha w14:val="100000"/>
                    </w14:srgbClr>
                  </w14:solidFill>
                </w14:textFill>
              </w:rPr>
              <w:t>|</w:t>
            </w:r>
            <w:r w:rsidRPr="006F55C1">
              <w:rPr>
                <w:rFonts w:eastAsiaTheme="minorHAnsi"/>
                <w:b w:val="0"/>
                <w:bCs/>
                <w:color w:val="000000"/>
                <w:spacing w:val="1"/>
                <w:szCs w:val="20"/>
                <w:shd w:val="solid" w:color="000000" w:fill="000000"/>
                <w:fitText w:val="165" w:id="-1168282362"/>
                <w:lang w:val="en-AU" w:eastAsia="zh-CN"/>
                <w14:textFill>
                  <w14:solidFill>
                    <w14:srgbClr w14:val="000000">
                      <w14:alpha w14:val="100000"/>
                    </w14:srgbClr>
                  </w14:solidFill>
                </w14:textFill>
              </w:rPr>
              <w:t>|</w:t>
            </w:r>
            <w:r w:rsidR="00227288">
              <w:rPr>
                <w:rFonts w:cs="Arial Narrow"/>
                <w:sz w:val="18"/>
                <w:szCs w:val="18"/>
                <w:vertAlign w:val="superscript"/>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405DEB" w14:textId="2BDAEC82" w:rsidR="00F27F02" w:rsidRPr="00E74297" w:rsidRDefault="00F27F02" w:rsidP="00B22C7C">
            <w:pPr>
              <w:pStyle w:val="In-tableHeading"/>
              <w:keepNext w:val="0"/>
              <w:widowControl w:val="0"/>
              <w:jc w:val="center"/>
              <w:rPr>
                <w:rFonts w:eastAsiaTheme="minorHAnsi"/>
                <w:b w:val="0"/>
                <w:bCs/>
                <w:szCs w:val="20"/>
                <w:lang w:val="en-AU" w:eastAsia="zh-CN"/>
              </w:rPr>
            </w:pPr>
            <w:r w:rsidRPr="00E74297">
              <w:rPr>
                <w:rFonts w:eastAsiaTheme="minorHAnsi"/>
                <w:b w:val="0"/>
                <w:bCs/>
                <w:szCs w:val="20"/>
                <w:lang w:val="en-AU" w:eastAsia="zh-CN"/>
              </w:rPr>
              <w:t>114%</w:t>
            </w:r>
          </w:p>
        </w:tc>
      </w:tr>
    </w:tbl>
    <w:p w14:paraId="38A211F3" w14:textId="77777777" w:rsidR="000624AF" w:rsidRPr="00E74297" w:rsidRDefault="000624AF" w:rsidP="00A970C2">
      <w:pPr>
        <w:keepNext/>
        <w:keepLines/>
        <w:rPr>
          <w:rFonts w:ascii="Arial Narrow" w:hAnsi="Arial Narrow"/>
          <w:snapToGrid w:val="0"/>
          <w:sz w:val="18"/>
          <w:szCs w:val="22"/>
        </w:rPr>
      </w:pPr>
      <w:r w:rsidRPr="00E74297">
        <w:rPr>
          <w:rFonts w:ascii="Arial Narrow" w:hAnsi="Arial Narrow"/>
          <w:snapToGrid w:val="0"/>
          <w:sz w:val="18"/>
          <w:szCs w:val="22"/>
        </w:rPr>
        <w:t>Source: Constructed during the evaluation from the “Attachment 07 – Trodelvy HR+HER2- mBC Economic model” Excel Workbook provided with the submission.</w:t>
      </w:r>
    </w:p>
    <w:p w14:paraId="7ECBAFD1" w14:textId="77777777" w:rsidR="000E337C" w:rsidRPr="00E74297" w:rsidRDefault="000624AF" w:rsidP="00C364BD">
      <w:pPr>
        <w:pStyle w:val="TableFigureFooter"/>
      </w:pPr>
      <w:r w:rsidRPr="00E74297">
        <w:t>AE = adverse event; BSA = body surface area; DRG = disease related group; ICER = incremental cost-effectiveness ratio; KM = Kaplan-Meier; MBS = Medicare Benefits Schedule; mTNBC = metastatic triple negative breast cancer; OS = overall survival; PD = progressed disease; PF = progression free; PFS = progression free survival; QALY = quality adjusted life year; RDI = relative dose intensity; SG = sacituzumab govitecan; TPC = treatment of physician choice (consisting of eribulin, capecitabine, gemcitabine or vinorelbine); TTD = time to treatment discontinuation.</w:t>
      </w:r>
    </w:p>
    <w:p w14:paraId="0C464272" w14:textId="77777777" w:rsidR="000E337C" w:rsidRPr="00E74297" w:rsidRDefault="000624AF" w:rsidP="00C364BD">
      <w:pPr>
        <w:pStyle w:val="TableFigureFooter"/>
      </w:pPr>
      <w:r w:rsidRPr="00E74297">
        <w:rPr>
          <w:vertAlign w:val="superscript"/>
        </w:rPr>
        <w:t xml:space="preserve">a </w:t>
      </w:r>
      <w:r w:rsidRPr="00E74297">
        <w:t>Best fitting independent curve by visual inspection (identified during the evaluation).</w:t>
      </w:r>
    </w:p>
    <w:p w14:paraId="6C379F6B" w14:textId="57399A28" w:rsidR="000624AF" w:rsidRDefault="000624AF" w:rsidP="00625752">
      <w:pPr>
        <w:pStyle w:val="TableFigureFooter"/>
        <w:spacing w:after="0"/>
        <w:rPr>
          <w:iCs/>
          <w:color w:val="000000" w:themeColor="text1"/>
        </w:rPr>
      </w:pPr>
      <w:r w:rsidRPr="00E74297">
        <w:rPr>
          <w:vertAlign w:val="superscript"/>
        </w:rPr>
        <w:t xml:space="preserve">b </w:t>
      </w:r>
      <w:r w:rsidRPr="00E74297">
        <w:t xml:space="preserve">Provided in the pre-PBAC response of the SG submission for mTNBC </w:t>
      </w:r>
      <w:r w:rsidRPr="00E74297">
        <w:rPr>
          <w:iCs/>
          <w:color w:val="000000" w:themeColor="text1"/>
        </w:rPr>
        <w:t>(para 6.56, sacituzumab govitecan PSD, March 2022 PBAC Meeting)</w:t>
      </w:r>
    </w:p>
    <w:p w14:paraId="4AFB2ECD" w14:textId="77777777" w:rsidR="00625752" w:rsidRPr="007D6FC5" w:rsidRDefault="00625752" w:rsidP="00625752">
      <w:pPr>
        <w:pStyle w:val="FooterTableFigure"/>
        <w:spacing w:after="0"/>
        <w:rPr>
          <w:i/>
          <w:iCs/>
        </w:rPr>
      </w:pPr>
      <w:r w:rsidRPr="007D6FC5">
        <w:rPr>
          <w:i/>
          <w:iCs/>
        </w:rPr>
        <w:t>The redacted values correspond to the following ranges</w:t>
      </w:r>
      <w:r>
        <w:rPr>
          <w:i/>
          <w:iCs/>
        </w:rPr>
        <w:t>:</w:t>
      </w:r>
    </w:p>
    <w:p w14:paraId="35FABAE6" w14:textId="34B6E170" w:rsidR="00625752" w:rsidRDefault="00227288" w:rsidP="00625752">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1</w:t>
      </w:r>
      <w:r w:rsidR="00625752">
        <w:rPr>
          <w:rFonts w:ascii="Arial Narrow" w:hAnsi="Arial Narrow" w:cs="Arial Narrow"/>
          <w:i/>
          <w:iCs/>
          <w:sz w:val="18"/>
          <w:szCs w:val="18"/>
        </w:rPr>
        <w:t xml:space="preserve"> </w:t>
      </w:r>
      <w:r w:rsidR="00625752" w:rsidRPr="00625752">
        <w:rPr>
          <w:rFonts w:ascii="Arial Narrow" w:hAnsi="Arial Narrow" w:cs="Arial Narrow"/>
          <w:i/>
          <w:iCs/>
          <w:sz w:val="18"/>
          <w:szCs w:val="18"/>
        </w:rPr>
        <w:t>$75,000 to &lt; $95,000</w:t>
      </w:r>
    </w:p>
    <w:p w14:paraId="6EE0E6D6" w14:textId="4181739C" w:rsidR="00625752" w:rsidRDefault="00227288" w:rsidP="00625752">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2</w:t>
      </w:r>
      <w:r w:rsidR="00625752">
        <w:rPr>
          <w:rFonts w:ascii="Arial Narrow" w:hAnsi="Arial Narrow" w:cs="Arial Narrow"/>
          <w:i/>
          <w:iCs/>
          <w:sz w:val="18"/>
          <w:szCs w:val="18"/>
        </w:rPr>
        <w:t xml:space="preserve"> </w:t>
      </w:r>
      <w:r w:rsidR="00625752" w:rsidRPr="00625752">
        <w:rPr>
          <w:rFonts w:ascii="Arial Narrow" w:hAnsi="Arial Narrow" w:cs="Arial Narrow"/>
          <w:i/>
          <w:iCs/>
          <w:sz w:val="18"/>
          <w:szCs w:val="18"/>
        </w:rPr>
        <w:t>$55,000 to &lt; $75,000</w:t>
      </w:r>
    </w:p>
    <w:p w14:paraId="4504A56A" w14:textId="3F7C26BA" w:rsidR="00625752" w:rsidRDefault="00227288" w:rsidP="00625752">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3</w:t>
      </w:r>
      <w:r w:rsidR="00625752">
        <w:rPr>
          <w:rFonts w:ascii="Arial Narrow" w:hAnsi="Arial Narrow" w:cs="Arial Narrow"/>
          <w:i/>
          <w:iCs/>
          <w:sz w:val="18"/>
          <w:szCs w:val="18"/>
        </w:rPr>
        <w:t xml:space="preserve"> </w:t>
      </w:r>
      <w:r w:rsidR="00625752" w:rsidRPr="00625752">
        <w:rPr>
          <w:rFonts w:ascii="Arial Narrow" w:hAnsi="Arial Narrow" w:cs="Arial Narrow"/>
          <w:i/>
          <w:iCs/>
          <w:sz w:val="18"/>
          <w:szCs w:val="18"/>
        </w:rPr>
        <w:t>$95,000 to &lt; $115,000</w:t>
      </w:r>
    </w:p>
    <w:p w14:paraId="7438DA7E" w14:textId="00EC0596" w:rsidR="00625752" w:rsidRDefault="00227288" w:rsidP="00625752">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4</w:t>
      </w:r>
      <w:r w:rsidR="00625752">
        <w:rPr>
          <w:rFonts w:ascii="Arial Narrow" w:hAnsi="Arial Narrow" w:cs="Arial Narrow"/>
          <w:i/>
          <w:iCs/>
          <w:sz w:val="18"/>
          <w:szCs w:val="18"/>
        </w:rPr>
        <w:t xml:space="preserve"> </w:t>
      </w:r>
      <w:r w:rsidR="001A3E36" w:rsidRPr="001A3E36">
        <w:rPr>
          <w:rFonts w:ascii="Arial Narrow" w:hAnsi="Arial Narrow" w:cs="Arial Narrow"/>
          <w:i/>
          <w:iCs/>
          <w:sz w:val="18"/>
          <w:szCs w:val="18"/>
        </w:rPr>
        <w:t>$115,000 to &lt; $135,000</w:t>
      </w:r>
    </w:p>
    <w:p w14:paraId="4423177F" w14:textId="3AD3B4C5" w:rsidR="00625752" w:rsidRDefault="00227288" w:rsidP="00625752">
      <w:pPr>
        <w:autoSpaceDE w:val="0"/>
        <w:autoSpaceDN w:val="0"/>
        <w:adjustRightInd w:val="0"/>
        <w:jc w:val="left"/>
        <w:rPr>
          <w:rFonts w:ascii="Arial Narrow" w:hAnsi="Arial Narrow" w:cs="Arial Narrow"/>
          <w:i/>
          <w:iCs/>
          <w:sz w:val="18"/>
          <w:szCs w:val="18"/>
        </w:rPr>
      </w:pPr>
      <w:r>
        <w:rPr>
          <w:rFonts w:ascii="Arial Narrow" w:hAnsi="Arial Narrow" w:cs="Arial Narrow"/>
          <w:i/>
          <w:iCs/>
          <w:sz w:val="18"/>
          <w:szCs w:val="18"/>
          <w:vertAlign w:val="superscript"/>
        </w:rPr>
        <w:t>5</w:t>
      </w:r>
      <w:r w:rsidR="00625752">
        <w:rPr>
          <w:rFonts w:ascii="Arial Narrow" w:hAnsi="Arial Narrow" w:cs="Arial Narrow"/>
          <w:i/>
          <w:iCs/>
          <w:sz w:val="18"/>
          <w:szCs w:val="18"/>
        </w:rPr>
        <w:t xml:space="preserve"> </w:t>
      </w:r>
      <w:r w:rsidR="001A3E36" w:rsidRPr="001A3E36">
        <w:rPr>
          <w:rFonts w:ascii="Arial Narrow" w:hAnsi="Arial Narrow" w:cs="Arial Narrow"/>
          <w:i/>
          <w:iCs/>
          <w:sz w:val="18"/>
          <w:szCs w:val="18"/>
        </w:rPr>
        <w:t>$135,000 to &lt; $155,000</w:t>
      </w:r>
    </w:p>
    <w:p w14:paraId="57DBE33F" w14:textId="67836E69" w:rsidR="00625752" w:rsidRPr="00057A97" w:rsidRDefault="00227288" w:rsidP="00057A97">
      <w:pPr>
        <w:autoSpaceDE w:val="0"/>
        <w:autoSpaceDN w:val="0"/>
        <w:adjustRightInd w:val="0"/>
        <w:spacing w:after="120"/>
        <w:jc w:val="left"/>
        <w:rPr>
          <w:rFonts w:ascii="Arial Narrow" w:hAnsi="Arial Narrow" w:cs="Arial Narrow"/>
          <w:i/>
          <w:iCs/>
          <w:sz w:val="18"/>
          <w:szCs w:val="18"/>
        </w:rPr>
      </w:pPr>
      <w:r>
        <w:rPr>
          <w:rFonts w:ascii="Arial Narrow" w:hAnsi="Arial Narrow" w:cs="Arial Narrow"/>
          <w:i/>
          <w:iCs/>
          <w:sz w:val="18"/>
          <w:szCs w:val="18"/>
          <w:vertAlign w:val="superscript"/>
        </w:rPr>
        <w:t>6</w:t>
      </w:r>
      <w:r w:rsidR="001A3E36">
        <w:rPr>
          <w:rFonts w:ascii="Arial Narrow" w:hAnsi="Arial Narrow" w:cs="Arial Narrow"/>
          <w:i/>
          <w:iCs/>
          <w:sz w:val="18"/>
          <w:szCs w:val="18"/>
        </w:rPr>
        <w:t xml:space="preserve"> </w:t>
      </w:r>
      <w:r w:rsidR="001A3E36" w:rsidRPr="001A3E36">
        <w:rPr>
          <w:rFonts w:ascii="Arial Narrow" w:hAnsi="Arial Narrow" w:cs="Arial Narrow"/>
          <w:i/>
          <w:iCs/>
          <w:sz w:val="18"/>
          <w:szCs w:val="18"/>
        </w:rPr>
        <w:t>$155,000 to &lt; $255,000</w:t>
      </w:r>
    </w:p>
    <w:p w14:paraId="23C7B1A5" w14:textId="77777777" w:rsidR="000E337C" w:rsidRPr="00E74297" w:rsidRDefault="000624AF" w:rsidP="000624AF">
      <w:pPr>
        <w:pStyle w:val="3-BodyText"/>
      </w:pPr>
      <w:r w:rsidRPr="00E74297">
        <w:t xml:space="preserve">Multivariate analyses were conducted during the evaluation, parameters of increasing uncertainty were varied in a stepped manner. </w:t>
      </w:r>
      <w:r w:rsidR="00202081" w:rsidRPr="00E74297">
        <w:t xml:space="preserve">These were added to and corrected for the ESC advice. </w:t>
      </w:r>
      <w:r w:rsidRPr="00E74297">
        <w:t>The first step (#1, #2) incorporate</w:t>
      </w:r>
      <w:r w:rsidR="007B0C46" w:rsidRPr="00E74297">
        <w:t>s</w:t>
      </w:r>
      <w:r w:rsidRPr="00E74297">
        <w:t xml:space="preserve"> changes</w:t>
      </w:r>
      <w:r w:rsidR="007B0C46" w:rsidRPr="00E74297">
        <w:t xml:space="preserve"> considered </w:t>
      </w:r>
      <w:r w:rsidR="00524A2F" w:rsidRPr="00E74297">
        <w:t xml:space="preserve">most </w:t>
      </w:r>
      <w:r w:rsidR="007B0C46" w:rsidRPr="00E74297">
        <w:t>clearly justified</w:t>
      </w:r>
      <w:r w:rsidRPr="00E74297">
        <w:t xml:space="preserve"> to the submission’s economic evaluation (i.e. vial sharing approach, SG use in the comparator arm and not accounting for patients who do not receive subsequent treatment). If using the key trial-based PF health state utility (non-treatment specific) </w:t>
      </w:r>
      <w:r w:rsidRPr="00E74297">
        <w:lastRenderedPageBreak/>
        <w:t>the ICER is not sensitive to the PD health utility (derived from the mTNBC submission or Lloyd et al).</w:t>
      </w:r>
    </w:p>
    <w:p w14:paraId="7A141FE9" w14:textId="63419F26" w:rsidR="002D732D" w:rsidRPr="00E74297" w:rsidRDefault="002D732D" w:rsidP="002D732D">
      <w:pPr>
        <w:pStyle w:val="3-BodyText"/>
      </w:pPr>
      <w:r w:rsidRPr="00E74297">
        <w:t>The ESC considered the base case should be respecified to include sensitivity analyses #1 through #3, which results in a respecified base case ICER of $</w:t>
      </w:r>
      <w:r w:rsidR="00F10823">
        <w:t>115,000</w:t>
      </w:r>
      <w:r w:rsidR="00D33126">
        <w:t> </w:t>
      </w:r>
      <w:r w:rsidR="00F10823">
        <w:t>to</w:t>
      </w:r>
      <w:r w:rsidR="00D33126">
        <w:t> </w:t>
      </w:r>
      <w:r w:rsidR="00F10823">
        <w:t>&lt;</w:t>
      </w:r>
      <w:r w:rsidR="00D33126">
        <w:t> </w:t>
      </w:r>
      <w:r w:rsidR="00F10823">
        <w:t>$135,000</w:t>
      </w:r>
      <w:r w:rsidR="00824B63" w:rsidRPr="00E74297">
        <w:t xml:space="preserve"> per QALY</w:t>
      </w:r>
      <w:r w:rsidRPr="00E74297">
        <w:t>. This account</w:t>
      </w:r>
      <w:r w:rsidR="00BB170E" w:rsidRPr="00E74297">
        <w:t>s</w:t>
      </w:r>
      <w:r w:rsidRPr="00E74297">
        <w:t xml:space="preserve"> for wastage, subsequent treatment costs, and a</w:t>
      </w:r>
      <w:r w:rsidR="00E76D31" w:rsidRPr="00E74297">
        <w:t xml:space="preserve"> later</w:t>
      </w:r>
      <w:r w:rsidRPr="00E74297">
        <w:t xml:space="preserve"> OS KM truncation time point. </w:t>
      </w:r>
      <w:r w:rsidR="00E76D31" w:rsidRPr="00E74297">
        <w:t>The PBAC agreed with the ESC these changes were reasonable and considered that, additionally, the time horizon should be reduced to 5 years to account for the more heavily pre-treated population and the utility values applied should be trial-based (from TROPiCS-002) and non-treatment-specific</w:t>
      </w:r>
      <w:r w:rsidR="00F27F02" w:rsidRPr="00E74297">
        <w:t>, with TTD extrapolation removed</w:t>
      </w:r>
      <w:r w:rsidR="00E76D31" w:rsidRPr="00E74297">
        <w:t>.</w:t>
      </w:r>
      <w:r w:rsidR="00F27F02" w:rsidRPr="00E74297">
        <w:t xml:space="preserve"> The PBAC noted that </w:t>
      </w:r>
      <w:r w:rsidR="00365192" w:rsidRPr="00E74297">
        <w:t>these changes resulted in an ICER of $</w:t>
      </w:r>
      <w:r w:rsidR="00F10823">
        <w:t>155,000</w:t>
      </w:r>
      <w:r w:rsidR="00D33126">
        <w:t> </w:t>
      </w:r>
      <w:r w:rsidR="00F10823">
        <w:t>to</w:t>
      </w:r>
      <w:r w:rsidR="00D33126">
        <w:t> </w:t>
      </w:r>
      <w:r w:rsidR="00F10823">
        <w:t>&lt;</w:t>
      </w:r>
      <w:r w:rsidR="00D33126">
        <w:t> </w:t>
      </w:r>
      <w:r w:rsidR="00F10823">
        <w:t>$255,000</w:t>
      </w:r>
      <w:r w:rsidR="00057A97">
        <w:t xml:space="preserve"> </w:t>
      </w:r>
      <w:r w:rsidR="00365192" w:rsidRPr="00E74297">
        <w:t>when using OS KM data up to 30 months.</w:t>
      </w:r>
    </w:p>
    <w:p w14:paraId="46C2CDBB" w14:textId="77777777" w:rsidR="000624AF" w:rsidRPr="00E74297" w:rsidRDefault="000624AF" w:rsidP="000624AF">
      <w:pPr>
        <w:pStyle w:val="4-SubsectionHeading"/>
      </w:pPr>
      <w:bookmarkStart w:id="77" w:name="_Toc82595297"/>
      <w:bookmarkStart w:id="78" w:name="_Toc135207388"/>
      <w:r w:rsidRPr="00E74297">
        <w:t>Drug cost/patient/course</w:t>
      </w:r>
      <w:bookmarkEnd w:id="77"/>
      <w:bookmarkEnd w:id="78"/>
    </w:p>
    <w:p w14:paraId="1C8253B7" w14:textId="77777777" w:rsidR="000E337C" w:rsidRPr="00E74297" w:rsidRDefault="000624AF" w:rsidP="000624AF">
      <w:pPr>
        <w:pStyle w:val="3-BodyText"/>
      </w:pPr>
      <w:r w:rsidRPr="00E74297">
        <w:t>The cost per patient per course observed in the trial and derived from the economic model and financial analyses are presented in</w:t>
      </w:r>
      <w:r w:rsidR="00176508" w:rsidRPr="00E74297">
        <w:t xml:space="preserve"> </w:t>
      </w:r>
      <w:r w:rsidR="00176508" w:rsidRPr="00E74297">
        <w:fldChar w:fldCharType="begin" w:fldLock="1"/>
      </w:r>
      <w:r w:rsidR="00176508" w:rsidRPr="00E74297">
        <w:instrText xml:space="preserve"> REF _Ref134787784 \h </w:instrText>
      </w:r>
      <w:r w:rsidR="00176508" w:rsidRPr="00E74297">
        <w:fldChar w:fldCharType="separate"/>
      </w:r>
      <w:r w:rsidR="00AE1DC7" w:rsidRPr="00E74297">
        <w:t>Table 14</w:t>
      </w:r>
      <w:r w:rsidR="00176508" w:rsidRPr="00E74297">
        <w:fldChar w:fldCharType="end"/>
      </w:r>
      <w:r w:rsidR="00365192" w:rsidRPr="00E74297">
        <w:t xml:space="preserve">. </w:t>
      </w:r>
      <w:r w:rsidR="002A348F" w:rsidRPr="00E74297">
        <w:t xml:space="preserve">The higher cost for SG in the financial estimates </w:t>
      </w:r>
      <w:r w:rsidR="001C2213" w:rsidRPr="00E74297">
        <w:t xml:space="preserve">compared with the model </w:t>
      </w:r>
      <w:r w:rsidR="002A348F" w:rsidRPr="00E74297">
        <w:t xml:space="preserve">was due to </w:t>
      </w:r>
      <w:r w:rsidR="001C2213" w:rsidRPr="00E74297">
        <w:t>the inclusion of wastage in the financial estimates, whereas the model assumed no wastage.</w:t>
      </w:r>
    </w:p>
    <w:p w14:paraId="4A5EB05B" w14:textId="3EF6C8CE" w:rsidR="000624AF" w:rsidRPr="00E74297" w:rsidRDefault="000624AF" w:rsidP="000624AF">
      <w:pPr>
        <w:pStyle w:val="Caption"/>
        <w:rPr>
          <w:rStyle w:val="CommentReference"/>
          <w:b/>
          <w:szCs w:val="24"/>
        </w:rPr>
      </w:pPr>
      <w:bookmarkStart w:id="79" w:name="_Ref134787784"/>
      <w:r w:rsidRPr="00E74297">
        <w:t xml:space="preserve">Table </w:t>
      </w:r>
      <w:fldSimple w:instr=" SEQ Table \* ARABIC " w:fldLock="1">
        <w:r w:rsidR="00AE1DC7" w:rsidRPr="00E74297">
          <w:t>14</w:t>
        </w:r>
      </w:fldSimple>
      <w:bookmarkEnd w:id="79"/>
      <w:r w:rsidRPr="00E74297">
        <w:rPr>
          <w:rStyle w:val="CommentReference"/>
          <w:b/>
          <w:szCs w:val="24"/>
        </w:rPr>
        <w:t>: Drug costs per patient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992"/>
        <w:gridCol w:w="851"/>
        <w:gridCol w:w="1134"/>
        <w:gridCol w:w="1133"/>
        <w:gridCol w:w="994"/>
        <w:gridCol w:w="1933"/>
      </w:tblGrid>
      <w:tr w:rsidR="000624AF" w:rsidRPr="00E74297" w14:paraId="313446DA" w14:textId="77777777" w:rsidTr="000624AF">
        <w:trPr>
          <w:cantSplit/>
          <w:tblHeader/>
          <w:jc w:val="center"/>
        </w:trPr>
        <w:tc>
          <w:tcPr>
            <w:tcW w:w="1098" w:type="pct"/>
            <w:shd w:val="clear" w:color="auto" w:fill="auto"/>
            <w:vAlign w:val="center"/>
          </w:tcPr>
          <w:p w14:paraId="2DA06CD3" w14:textId="77777777" w:rsidR="000624AF" w:rsidRPr="00E74297" w:rsidRDefault="000624AF" w:rsidP="000624AF">
            <w:pPr>
              <w:pStyle w:val="In-tableHeading"/>
              <w:jc w:val="center"/>
              <w:rPr>
                <w:lang w:val="en-AU"/>
              </w:rPr>
            </w:pPr>
          </w:p>
        </w:tc>
        <w:tc>
          <w:tcPr>
            <w:tcW w:w="550" w:type="pct"/>
            <w:shd w:val="clear" w:color="auto" w:fill="auto"/>
          </w:tcPr>
          <w:p w14:paraId="7E7BA55A" w14:textId="77777777" w:rsidR="000624AF" w:rsidRPr="00E74297" w:rsidRDefault="000624AF" w:rsidP="000624AF">
            <w:pPr>
              <w:pStyle w:val="In-tableHeading"/>
              <w:jc w:val="center"/>
              <w:rPr>
                <w:lang w:val="en-AU"/>
              </w:rPr>
            </w:pPr>
            <w:r w:rsidRPr="00E74297">
              <w:rPr>
                <w:lang w:val="en-AU"/>
              </w:rPr>
              <w:t>SG</w:t>
            </w:r>
          </w:p>
          <w:p w14:paraId="68837191" w14:textId="77777777" w:rsidR="000624AF" w:rsidRPr="00E74297" w:rsidRDefault="000624AF" w:rsidP="000624AF">
            <w:pPr>
              <w:pStyle w:val="In-tableHeading"/>
              <w:jc w:val="center"/>
              <w:rPr>
                <w:lang w:val="en-AU"/>
              </w:rPr>
            </w:pPr>
            <w:r w:rsidRPr="00E74297">
              <w:rPr>
                <w:lang w:val="en-AU"/>
              </w:rPr>
              <w:t>Trial</w:t>
            </w:r>
          </w:p>
        </w:tc>
        <w:tc>
          <w:tcPr>
            <w:tcW w:w="472" w:type="pct"/>
            <w:shd w:val="clear" w:color="auto" w:fill="auto"/>
          </w:tcPr>
          <w:p w14:paraId="15A8BBE4" w14:textId="77777777" w:rsidR="000624AF" w:rsidRPr="00E74297" w:rsidRDefault="000624AF" w:rsidP="000624AF">
            <w:pPr>
              <w:pStyle w:val="In-tableHeading"/>
              <w:jc w:val="center"/>
              <w:rPr>
                <w:lang w:val="en-AU"/>
              </w:rPr>
            </w:pPr>
            <w:r w:rsidRPr="00E74297">
              <w:rPr>
                <w:lang w:val="en-AU"/>
              </w:rPr>
              <w:t>SG</w:t>
            </w:r>
          </w:p>
          <w:p w14:paraId="053CE91B" w14:textId="77777777" w:rsidR="000624AF" w:rsidRPr="00E74297" w:rsidRDefault="000624AF" w:rsidP="000624AF">
            <w:pPr>
              <w:pStyle w:val="In-tableHeading"/>
              <w:jc w:val="center"/>
              <w:rPr>
                <w:lang w:val="en-AU"/>
              </w:rPr>
            </w:pPr>
            <w:r w:rsidRPr="00E74297">
              <w:rPr>
                <w:lang w:val="en-AU"/>
              </w:rPr>
              <w:t>Model</w:t>
            </w:r>
          </w:p>
        </w:tc>
        <w:tc>
          <w:tcPr>
            <w:tcW w:w="629" w:type="pct"/>
            <w:shd w:val="clear" w:color="auto" w:fill="auto"/>
          </w:tcPr>
          <w:p w14:paraId="0CC76B08" w14:textId="77777777" w:rsidR="000624AF" w:rsidRPr="00E74297" w:rsidRDefault="000624AF" w:rsidP="000624AF">
            <w:pPr>
              <w:pStyle w:val="In-tableHeading"/>
              <w:jc w:val="center"/>
              <w:rPr>
                <w:lang w:val="en-AU"/>
              </w:rPr>
            </w:pPr>
            <w:r w:rsidRPr="00E74297">
              <w:rPr>
                <w:lang w:val="en-AU"/>
              </w:rPr>
              <w:t>SG</w:t>
            </w:r>
          </w:p>
          <w:p w14:paraId="5961CA8D" w14:textId="77777777" w:rsidR="000624AF" w:rsidRPr="00E74297" w:rsidRDefault="000624AF" w:rsidP="000624AF">
            <w:pPr>
              <w:pStyle w:val="In-tableHeading"/>
              <w:jc w:val="center"/>
              <w:rPr>
                <w:lang w:val="en-AU"/>
              </w:rPr>
            </w:pPr>
            <w:r w:rsidRPr="00E74297">
              <w:rPr>
                <w:lang w:val="en-AU"/>
              </w:rPr>
              <w:t>Financial estimates</w:t>
            </w:r>
          </w:p>
        </w:tc>
        <w:tc>
          <w:tcPr>
            <w:tcW w:w="628" w:type="pct"/>
            <w:shd w:val="clear" w:color="auto" w:fill="FFFFFF" w:themeFill="background1"/>
          </w:tcPr>
          <w:p w14:paraId="17A4695A" w14:textId="77777777" w:rsidR="000624AF" w:rsidRPr="00E74297" w:rsidRDefault="000624AF" w:rsidP="000624AF">
            <w:pPr>
              <w:pStyle w:val="In-tableHeading"/>
              <w:jc w:val="center"/>
              <w:rPr>
                <w:lang w:val="en-AU"/>
              </w:rPr>
            </w:pPr>
            <w:r w:rsidRPr="00E74297">
              <w:rPr>
                <w:lang w:val="en-AU"/>
              </w:rPr>
              <w:t>TPC</w:t>
            </w:r>
          </w:p>
          <w:p w14:paraId="196A6B47" w14:textId="77777777" w:rsidR="000624AF" w:rsidRPr="00E74297" w:rsidRDefault="000624AF" w:rsidP="000624AF">
            <w:pPr>
              <w:pStyle w:val="In-tableHeading"/>
              <w:jc w:val="center"/>
              <w:rPr>
                <w:lang w:val="en-AU"/>
              </w:rPr>
            </w:pPr>
            <w:r w:rsidRPr="00E74297">
              <w:rPr>
                <w:lang w:val="en-AU"/>
              </w:rPr>
              <w:t>Trial</w:t>
            </w:r>
          </w:p>
        </w:tc>
        <w:tc>
          <w:tcPr>
            <w:tcW w:w="551" w:type="pct"/>
            <w:shd w:val="clear" w:color="auto" w:fill="FFFFFF" w:themeFill="background1"/>
          </w:tcPr>
          <w:p w14:paraId="22A24482" w14:textId="77777777" w:rsidR="000624AF" w:rsidRPr="00E74297" w:rsidRDefault="000624AF" w:rsidP="000624AF">
            <w:pPr>
              <w:pStyle w:val="In-tableHeading"/>
              <w:jc w:val="center"/>
              <w:rPr>
                <w:lang w:val="en-AU"/>
              </w:rPr>
            </w:pPr>
            <w:r w:rsidRPr="00E74297">
              <w:rPr>
                <w:lang w:val="en-AU"/>
              </w:rPr>
              <w:t>TPC</w:t>
            </w:r>
          </w:p>
          <w:p w14:paraId="462AEE2B" w14:textId="77777777" w:rsidR="000624AF" w:rsidRPr="00E74297" w:rsidRDefault="000624AF" w:rsidP="000624AF">
            <w:pPr>
              <w:pStyle w:val="In-tableHeading"/>
              <w:jc w:val="center"/>
              <w:rPr>
                <w:lang w:val="en-AU"/>
              </w:rPr>
            </w:pPr>
            <w:r w:rsidRPr="00E74297">
              <w:rPr>
                <w:lang w:val="en-AU"/>
              </w:rPr>
              <w:t>Model</w:t>
            </w:r>
          </w:p>
        </w:tc>
        <w:tc>
          <w:tcPr>
            <w:tcW w:w="1072" w:type="pct"/>
            <w:shd w:val="clear" w:color="auto" w:fill="FFFFFF" w:themeFill="background1"/>
          </w:tcPr>
          <w:p w14:paraId="77FFB146" w14:textId="77777777" w:rsidR="000624AF" w:rsidRPr="00E74297" w:rsidRDefault="000624AF" w:rsidP="000624AF">
            <w:pPr>
              <w:pStyle w:val="In-tableHeading"/>
              <w:jc w:val="center"/>
              <w:rPr>
                <w:lang w:val="en-AU"/>
              </w:rPr>
            </w:pPr>
            <w:r w:rsidRPr="00E74297">
              <w:rPr>
                <w:lang w:val="en-AU"/>
              </w:rPr>
              <w:t>TPC</w:t>
            </w:r>
          </w:p>
          <w:p w14:paraId="5FB0A3AC" w14:textId="77777777" w:rsidR="000E337C" w:rsidRPr="00E74297" w:rsidRDefault="000624AF" w:rsidP="000624AF">
            <w:pPr>
              <w:pStyle w:val="In-tableHeading"/>
              <w:jc w:val="center"/>
              <w:rPr>
                <w:lang w:val="en-AU"/>
              </w:rPr>
            </w:pPr>
            <w:r w:rsidRPr="00E74297">
              <w:rPr>
                <w:lang w:val="en-AU"/>
              </w:rPr>
              <w:t>Financial</w:t>
            </w:r>
          </w:p>
          <w:p w14:paraId="79183849" w14:textId="3495537D" w:rsidR="000624AF" w:rsidRPr="00E74297" w:rsidRDefault="000624AF" w:rsidP="000624AF">
            <w:pPr>
              <w:pStyle w:val="In-tableHeading"/>
              <w:jc w:val="center"/>
              <w:rPr>
                <w:lang w:val="en-AU"/>
              </w:rPr>
            </w:pPr>
            <w:r w:rsidRPr="00E74297">
              <w:rPr>
                <w:lang w:val="en-AU"/>
              </w:rPr>
              <w:t>estimates</w:t>
            </w:r>
          </w:p>
        </w:tc>
      </w:tr>
      <w:tr w:rsidR="000624AF" w:rsidRPr="00E74297" w14:paraId="0E811F36" w14:textId="77777777" w:rsidTr="000624AF">
        <w:trPr>
          <w:cantSplit/>
          <w:jc w:val="center"/>
        </w:trPr>
        <w:tc>
          <w:tcPr>
            <w:tcW w:w="1098" w:type="pct"/>
            <w:shd w:val="clear" w:color="auto" w:fill="auto"/>
            <w:vAlign w:val="center"/>
          </w:tcPr>
          <w:p w14:paraId="3D8ED643" w14:textId="4E9463A0" w:rsidR="000624AF" w:rsidRPr="00E74297" w:rsidRDefault="000624AF" w:rsidP="000624AF">
            <w:pPr>
              <w:pStyle w:val="TableText0"/>
            </w:pPr>
            <w:r w:rsidRPr="00E74297">
              <w:t>Mean dose per administration</w:t>
            </w:r>
          </w:p>
        </w:tc>
        <w:tc>
          <w:tcPr>
            <w:tcW w:w="550" w:type="pct"/>
            <w:shd w:val="clear" w:color="auto" w:fill="auto"/>
            <w:vAlign w:val="center"/>
          </w:tcPr>
          <w:p w14:paraId="2BBEA39B" w14:textId="77777777" w:rsidR="000624AF" w:rsidRPr="00E74297" w:rsidRDefault="000624AF" w:rsidP="000624AF">
            <w:pPr>
              <w:pStyle w:val="TableText0"/>
              <w:jc w:val="center"/>
            </w:pPr>
            <w:r w:rsidRPr="00E74297">
              <w:t>631 mg</w:t>
            </w:r>
            <w:r w:rsidRPr="00E74297">
              <w:rPr>
                <w:vertAlign w:val="superscript"/>
              </w:rPr>
              <w:t>a</w:t>
            </w:r>
          </w:p>
        </w:tc>
        <w:tc>
          <w:tcPr>
            <w:tcW w:w="472" w:type="pct"/>
            <w:shd w:val="clear" w:color="auto" w:fill="auto"/>
            <w:vAlign w:val="center"/>
          </w:tcPr>
          <w:p w14:paraId="4B972DED" w14:textId="77777777" w:rsidR="000624AF" w:rsidRPr="00E74297" w:rsidRDefault="000624AF" w:rsidP="000624AF">
            <w:pPr>
              <w:pStyle w:val="TableText0"/>
              <w:jc w:val="center"/>
            </w:pPr>
            <w:r w:rsidRPr="00E74297">
              <w:t>478 mg</w:t>
            </w:r>
            <w:r w:rsidRPr="00E74297">
              <w:rPr>
                <w:vertAlign w:val="superscript"/>
              </w:rPr>
              <w:t>b</w:t>
            </w:r>
          </w:p>
        </w:tc>
        <w:tc>
          <w:tcPr>
            <w:tcW w:w="629" w:type="pct"/>
            <w:shd w:val="clear" w:color="auto" w:fill="auto"/>
            <w:vAlign w:val="center"/>
          </w:tcPr>
          <w:p w14:paraId="01C9B4EB" w14:textId="370CA828" w:rsidR="000624AF" w:rsidRPr="00E74297" w:rsidRDefault="000624AF" w:rsidP="000624AF">
            <w:pPr>
              <w:pStyle w:val="TableText0"/>
              <w:jc w:val="center"/>
            </w:pPr>
            <w:r w:rsidRPr="00E74297">
              <w:t>478 mg</w:t>
            </w:r>
          </w:p>
        </w:tc>
        <w:tc>
          <w:tcPr>
            <w:tcW w:w="628" w:type="pct"/>
            <w:shd w:val="clear" w:color="auto" w:fill="FFFFFF" w:themeFill="background1"/>
            <w:vAlign w:val="center"/>
          </w:tcPr>
          <w:p w14:paraId="322E4A5A" w14:textId="77777777" w:rsidR="000624AF" w:rsidRPr="00E74297" w:rsidRDefault="000624AF" w:rsidP="000624AF">
            <w:pPr>
              <w:pStyle w:val="TableText0"/>
              <w:jc w:val="center"/>
            </w:pPr>
            <w:r w:rsidRPr="00E74297">
              <w:t>E: 1.95 mg</w:t>
            </w:r>
          </w:p>
          <w:p w14:paraId="34E73444" w14:textId="77777777" w:rsidR="000624AF" w:rsidRPr="00E74297" w:rsidRDefault="000624AF" w:rsidP="000624AF">
            <w:pPr>
              <w:pStyle w:val="TableText0"/>
              <w:jc w:val="center"/>
            </w:pPr>
            <w:r w:rsidRPr="00E74297">
              <w:t>V: 39.3 mg</w:t>
            </w:r>
          </w:p>
          <w:p w14:paraId="24CCEFD1" w14:textId="77777777" w:rsidR="000624AF" w:rsidRPr="00E74297" w:rsidRDefault="000624AF" w:rsidP="000624AF">
            <w:pPr>
              <w:pStyle w:val="TableText0"/>
              <w:jc w:val="center"/>
            </w:pPr>
            <w:r w:rsidRPr="00E74297">
              <w:t>G: 1,555 mg</w:t>
            </w:r>
          </w:p>
          <w:p w14:paraId="6518F9F8" w14:textId="77777777" w:rsidR="000624AF" w:rsidRPr="00E74297" w:rsidRDefault="000624AF" w:rsidP="000624AF">
            <w:pPr>
              <w:pStyle w:val="TableText0"/>
              <w:jc w:val="center"/>
            </w:pPr>
            <w:r w:rsidRPr="00E74297">
              <w:t xml:space="preserve">C: 1645 mg </w:t>
            </w:r>
          </w:p>
        </w:tc>
        <w:tc>
          <w:tcPr>
            <w:tcW w:w="551" w:type="pct"/>
            <w:shd w:val="clear" w:color="auto" w:fill="FFFFFF" w:themeFill="background1"/>
            <w:vAlign w:val="center"/>
          </w:tcPr>
          <w:p w14:paraId="0A3A7F28" w14:textId="77777777" w:rsidR="000624AF" w:rsidRPr="00E74297" w:rsidRDefault="000624AF" w:rsidP="000624AF">
            <w:pPr>
              <w:pStyle w:val="TableText0"/>
              <w:jc w:val="center"/>
            </w:pPr>
            <w:r w:rsidRPr="00E74297">
              <w:t>E: 2.38 mg</w:t>
            </w:r>
          </w:p>
          <w:p w14:paraId="012CCFC4" w14:textId="77777777" w:rsidR="000624AF" w:rsidRPr="00E74297" w:rsidRDefault="000624AF" w:rsidP="000624AF">
            <w:pPr>
              <w:pStyle w:val="TableText0"/>
              <w:jc w:val="center"/>
            </w:pPr>
            <w:r w:rsidRPr="00E74297">
              <w:t>V: 42.5 mg</w:t>
            </w:r>
          </w:p>
          <w:p w14:paraId="2F2B4874" w14:textId="77777777" w:rsidR="000624AF" w:rsidRPr="00E74297" w:rsidRDefault="000624AF" w:rsidP="000624AF">
            <w:pPr>
              <w:pStyle w:val="TableText0"/>
              <w:jc w:val="center"/>
            </w:pPr>
            <w:r w:rsidRPr="00E74297">
              <w:t>G: 2,125 mg</w:t>
            </w:r>
          </w:p>
          <w:p w14:paraId="2A87511A" w14:textId="77777777" w:rsidR="000624AF" w:rsidRPr="00E74297" w:rsidRDefault="000624AF" w:rsidP="000624AF">
            <w:pPr>
              <w:pStyle w:val="TableText0"/>
              <w:jc w:val="center"/>
            </w:pPr>
            <w:r w:rsidRPr="00E74297">
              <w:t>C: 2,125 mg</w:t>
            </w:r>
          </w:p>
        </w:tc>
        <w:tc>
          <w:tcPr>
            <w:tcW w:w="1072" w:type="pct"/>
            <w:shd w:val="clear" w:color="auto" w:fill="FFFFFF" w:themeFill="background1"/>
          </w:tcPr>
          <w:p w14:paraId="243F11F3" w14:textId="70B96FCD" w:rsidR="000624AF" w:rsidRPr="00E74297" w:rsidRDefault="000624AF" w:rsidP="000624AF">
            <w:pPr>
              <w:pStyle w:val="TableText0"/>
              <w:jc w:val="center"/>
            </w:pPr>
            <w:r w:rsidRPr="00E74297">
              <w:t>E: 3 3 mg</w:t>
            </w:r>
          </w:p>
          <w:p w14:paraId="22A05BA7" w14:textId="329AE5A0" w:rsidR="000624AF" w:rsidRPr="00E74297" w:rsidRDefault="000624AF" w:rsidP="000624AF">
            <w:pPr>
              <w:pStyle w:val="TableText0"/>
              <w:jc w:val="center"/>
            </w:pPr>
            <w:r w:rsidRPr="00E74297">
              <w:t>V: 48 mg</w:t>
            </w:r>
          </w:p>
          <w:p w14:paraId="7CE8D29E" w14:textId="6F33E19F" w:rsidR="000624AF" w:rsidRPr="00E74297" w:rsidRDefault="000624AF" w:rsidP="000624AF">
            <w:pPr>
              <w:pStyle w:val="TableText0"/>
              <w:jc w:val="center"/>
            </w:pPr>
            <w:r w:rsidRPr="00E74297">
              <w:t>G: 2,711 mg</w:t>
            </w:r>
          </w:p>
          <w:p w14:paraId="0AE501C2" w14:textId="77777777" w:rsidR="000624AF" w:rsidRPr="00E74297" w:rsidRDefault="000624AF" w:rsidP="000624AF">
            <w:pPr>
              <w:pStyle w:val="TableText0"/>
              <w:jc w:val="center"/>
            </w:pPr>
            <w:r w:rsidRPr="00E74297">
              <w:t>C: 2,125 mg</w:t>
            </w:r>
          </w:p>
        </w:tc>
      </w:tr>
      <w:tr w:rsidR="000624AF" w:rsidRPr="00E74297" w14:paraId="49419144" w14:textId="77777777" w:rsidTr="006F55C1">
        <w:trPr>
          <w:cantSplit/>
          <w:jc w:val="center"/>
        </w:trPr>
        <w:tc>
          <w:tcPr>
            <w:tcW w:w="1098" w:type="pct"/>
            <w:shd w:val="clear" w:color="auto" w:fill="auto"/>
            <w:vAlign w:val="center"/>
          </w:tcPr>
          <w:p w14:paraId="0A9702C8" w14:textId="77777777" w:rsidR="000624AF" w:rsidRPr="00E74297" w:rsidRDefault="000624AF" w:rsidP="000624AF">
            <w:pPr>
              <w:pStyle w:val="TableText0"/>
            </w:pPr>
            <w:r w:rsidRPr="00E74297">
              <w:t>Mean duration (months)</w:t>
            </w:r>
          </w:p>
        </w:tc>
        <w:tc>
          <w:tcPr>
            <w:tcW w:w="550" w:type="pct"/>
            <w:tcBorders>
              <w:bottom w:val="single" w:sz="4" w:space="0" w:color="auto"/>
            </w:tcBorders>
            <w:shd w:val="clear" w:color="auto" w:fill="auto"/>
            <w:vAlign w:val="center"/>
          </w:tcPr>
          <w:p w14:paraId="5E5273EB" w14:textId="77777777" w:rsidR="000624AF" w:rsidRPr="00E74297" w:rsidRDefault="000624AF" w:rsidP="000624AF">
            <w:pPr>
              <w:pStyle w:val="TableText0"/>
              <w:jc w:val="center"/>
              <w:rPr>
                <w:vertAlign w:val="superscript"/>
              </w:rPr>
            </w:pPr>
            <w:r w:rsidRPr="00E74297">
              <w:t>5.81</w:t>
            </w:r>
            <w:r w:rsidRPr="00E74297">
              <w:rPr>
                <w:vertAlign w:val="superscript"/>
              </w:rPr>
              <w:t>c</w:t>
            </w:r>
          </w:p>
        </w:tc>
        <w:tc>
          <w:tcPr>
            <w:tcW w:w="1101" w:type="pct"/>
            <w:gridSpan w:val="2"/>
            <w:shd w:val="clear" w:color="auto" w:fill="auto"/>
            <w:vAlign w:val="center"/>
          </w:tcPr>
          <w:p w14:paraId="1C35E03B" w14:textId="77777777" w:rsidR="000624AF" w:rsidRPr="00E74297" w:rsidRDefault="000624AF" w:rsidP="000624AF">
            <w:pPr>
              <w:pStyle w:val="TableText0"/>
              <w:jc w:val="center"/>
            </w:pPr>
            <w:r w:rsidRPr="00E74297">
              <w:t>6.08</w:t>
            </w:r>
          </w:p>
        </w:tc>
        <w:tc>
          <w:tcPr>
            <w:tcW w:w="628" w:type="pct"/>
            <w:shd w:val="clear" w:color="auto" w:fill="FFFFFF" w:themeFill="background1"/>
            <w:vAlign w:val="center"/>
          </w:tcPr>
          <w:p w14:paraId="59E7F373" w14:textId="77777777" w:rsidR="000624AF" w:rsidRPr="00E74297" w:rsidRDefault="000624AF" w:rsidP="000624AF">
            <w:pPr>
              <w:pStyle w:val="TableText0"/>
              <w:jc w:val="center"/>
              <w:rPr>
                <w:vertAlign w:val="superscript"/>
              </w:rPr>
            </w:pPr>
            <w:r w:rsidRPr="00E74297">
              <w:t>3.55</w:t>
            </w:r>
            <w:r w:rsidRPr="00E74297">
              <w:rPr>
                <w:vertAlign w:val="superscript"/>
              </w:rPr>
              <w:t>c</w:t>
            </w:r>
          </w:p>
        </w:tc>
        <w:tc>
          <w:tcPr>
            <w:tcW w:w="551" w:type="pct"/>
            <w:shd w:val="clear" w:color="auto" w:fill="FFFFFF" w:themeFill="background1"/>
          </w:tcPr>
          <w:p w14:paraId="32736F93" w14:textId="77777777" w:rsidR="000624AF" w:rsidRPr="00E74297" w:rsidRDefault="000624AF" w:rsidP="000624AF">
            <w:pPr>
              <w:pStyle w:val="TableText0"/>
              <w:jc w:val="center"/>
              <w:rPr>
                <w:vertAlign w:val="superscript"/>
              </w:rPr>
            </w:pPr>
            <w:r w:rsidRPr="00E74297">
              <w:t>3.78</w:t>
            </w:r>
            <w:r w:rsidRPr="00E74297">
              <w:rPr>
                <w:vertAlign w:val="superscript"/>
              </w:rPr>
              <w:t>d</w:t>
            </w:r>
          </w:p>
        </w:tc>
        <w:tc>
          <w:tcPr>
            <w:tcW w:w="1072" w:type="pct"/>
            <w:shd w:val="clear" w:color="auto" w:fill="FFFFFF" w:themeFill="background1"/>
            <w:vAlign w:val="center"/>
          </w:tcPr>
          <w:p w14:paraId="118C2A5B" w14:textId="77777777" w:rsidR="000624AF" w:rsidRPr="00E74297" w:rsidRDefault="000624AF" w:rsidP="000624AF">
            <w:pPr>
              <w:pStyle w:val="TableText0"/>
              <w:jc w:val="center"/>
              <w:rPr>
                <w:vertAlign w:val="superscript"/>
              </w:rPr>
            </w:pPr>
            <w:r w:rsidRPr="00E74297">
              <w:t>3.52</w:t>
            </w:r>
            <w:r w:rsidRPr="00E74297">
              <w:rPr>
                <w:vertAlign w:val="superscript"/>
              </w:rPr>
              <w:t>e</w:t>
            </w:r>
          </w:p>
        </w:tc>
      </w:tr>
      <w:tr w:rsidR="00D453AA" w:rsidRPr="00E74297" w14:paraId="2BE99D1D" w14:textId="77777777" w:rsidTr="006F55C1">
        <w:trPr>
          <w:cantSplit/>
          <w:jc w:val="center"/>
        </w:trPr>
        <w:tc>
          <w:tcPr>
            <w:tcW w:w="1098" w:type="pct"/>
            <w:shd w:val="clear" w:color="auto" w:fill="auto"/>
            <w:vAlign w:val="center"/>
          </w:tcPr>
          <w:p w14:paraId="7A7B560B" w14:textId="7B20E76B" w:rsidR="00D453AA" w:rsidRPr="00E74297" w:rsidRDefault="00D453AA" w:rsidP="00D453AA">
            <w:pPr>
              <w:pStyle w:val="TableText0"/>
            </w:pPr>
            <w:r w:rsidRPr="00E74297">
              <w:t xml:space="preserve">Cost/patient/month </w:t>
            </w:r>
          </w:p>
        </w:tc>
        <w:tc>
          <w:tcPr>
            <w:tcW w:w="550" w:type="pct"/>
            <w:tcBorders>
              <w:bottom w:val="single" w:sz="4" w:space="0" w:color="auto"/>
            </w:tcBorders>
            <w:shd w:val="solid" w:color="000000" w:fill="000000"/>
            <w:vAlign w:val="center"/>
          </w:tcPr>
          <w:p w14:paraId="68A0DA9B" w14:textId="115C4B09" w:rsidR="00D453AA" w:rsidRPr="00D453AA" w:rsidRDefault="006F55C1" w:rsidP="00D453AA">
            <w:pPr>
              <w:pStyle w:val="TableText0"/>
              <w:jc w:val="center"/>
              <w:rPr>
                <w:highlight w:val="lightGray"/>
              </w:rPr>
            </w:pPr>
            <w:r w:rsidRPr="006F55C1">
              <w:rPr>
                <w:rFonts w:hint="eastAsia"/>
                <w:color w:val="000000"/>
                <w:w w:val="16"/>
                <w:fitText w:val="75" w:id="-1168282361"/>
                <w14:textFill>
                  <w14:solidFill>
                    <w14:srgbClr w14:val="000000">
                      <w14:alpha w14:val="100000"/>
                    </w14:srgbClr>
                  </w14:solidFill>
                </w14:textFill>
              </w:rPr>
              <w:t xml:space="preserve">　</w:t>
            </w:r>
            <w:r w:rsidRPr="006F55C1">
              <w:rPr>
                <w:color w:val="000000"/>
                <w:w w:val="16"/>
                <w:fitText w:val="75" w:id="-1168282361"/>
                <w14:textFill>
                  <w14:solidFill>
                    <w14:srgbClr w14:val="000000">
                      <w14:alpha w14:val="100000"/>
                    </w14:srgbClr>
                  </w14:solidFill>
                </w14:textFill>
              </w:rPr>
              <w:t>|</w:t>
            </w:r>
            <w:r w:rsidRPr="006F55C1">
              <w:rPr>
                <w:rFonts w:hint="eastAsia"/>
                <w:color w:val="000000"/>
                <w:w w:val="16"/>
                <w:fitText w:val="75" w:id="-1168282361"/>
                <w14:textFill>
                  <w14:solidFill>
                    <w14:srgbClr w14:val="000000">
                      <w14:alpha w14:val="100000"/>
                    </w14:srgbClr>
                  </w14:solidFill>
                </w14:textFill>
              </w:rPr>
              <w:t xml:space="preserve">　</w:t>
            </w:r>
          </w:p>
        </w:tc>
        <w:tc>
          <w:tcPr>
            <w:tcW w:w="472" w:type="pct"/>
            <w:tcBorders>
              <w:bottom w:val="single" w:sz="4" w:space="0" w:color="auto"/>
            </w:tcBorders>
            <w:shd w:val="solid" w:color="000000" w:fill="000000"/>
            <w:vAlign w:val="center"/>
          </w:tcPr>
          <w:p w14:paraId="7DEF5AD3" w14:textId="0DFE3705" w:rsidR="00D453AA" w:rsidRPr="00D453AA" w:rsidRDefault="006F55C1" w:rsidP="00D453AA">
            <w:pPr>
              <w:pStyle w:val="TableText0"/>
              <w:jc w:val="center"/>
              <w:rPr>
                <w:highlight w:val="lightGray"/>
              </w:rPr>
            </w:pPr>
            <w:r w:rsidRPr="001777F5">
              <w:rPr>
                <w:rFonts w:hint="eastAsia"/>
                <w:color w:val="000000"/>
                <w:w w:val="33"/>
                <w:fitText w:val="150" w:id="-1168282360"/>
                <w14:textFill>
                  <w14:solidFill>
                    <w14:srgbClr w14:val="000000">
                      <w14:alpha w14:val="100000"/>
                    </w14:srgbClr>
                  </w14:solidFill>
                </w14:textFill>
              </w:rPr>
              <w:t xml:space="preserve">　</w:t>
            </w:r>
            <w:r w:rsidRPr="001777F5">
              <w:rPr>
                <w:color w:val="000000"/>
                <w:w w:val="33"/>
                <w:fitText w:val="150" w:id="-1168282360"/>
                <w14:textFill>
                  <w14:solidFill>
                    <w14:srgbClr w14:val="000000">
                      <w14:alpha w14:val="100000"/>
                    </w14:srgbClr>
                  </w14:solidFill>
                </w14:textFill>
              </w:rPr>
              <w:t>|</w:t>
            </w:r>
            <w:r w:rsidRPr="001777F5">
              <w:rPr>
                <w:rFonts w:hint="eastAsia"/>
                <w:color w:val="000000"/>
                <w:spacing w:val="4"/>
                <w:w w:val="33"/>
                <w:fitText w:val="150" w:id="-1168282360"/>
                <w14:textFill>
                  <w14:solidFill>
                    <w14:srgbClr w14:val="000000">
                      <w14:alpha w14:val="100000"/>
                    </w14:srgbClr>
                  </w14:solidFill>
                </w14:textFill>
              </w:rPr>
              <w:t xml:space="preserve">　</w:t>
            </w:r>
          </w:p>
        </w:tc>
        <w:tc>
          <w:tcPr>
            <w:tcW w:w="629" w:type="pct"/>
            <w:tcBorders>
              <w:bottom w:val="single" w:sz="4" w:space="0" w:color="auto"/>
            </w:tcBorders>
            <w:shd w:val="solid" w:color="000000" w:fill="000000"/>
            <w:vAlign w:val="center"/>
          </w:tcPr>
          <w:p w14:paraId="55C0D8AF" w14:textId="22C88978" w:rsidR="00D453AA" w:rsidRPr="00D453AA" w:rsidRDefault="006F55C1" w:rsidP="00D453AA">
            <w:pPr>
              <w:pStyle w:val="TableText0"/>
              <w:jc w:val="center"/>
              <w:rPr>
                <w:highlight w:val="lightGray"/>
              </w:rPr>
            </w:pPr>
            <w:r w:rsidRPr="00075DC2">
              <w:rPr>
                <w:rFonts w:hint="eastAsia"/>
                <w:color w:val="000000"/>
                <w:w w:val="15"/>
                <w:fitText w:val="15" w:id="-1168282359"/>
                <w14:textFill>
                  <w14:solidFill>
                    <w14:srgbClr w14:val="000000">
                      <w14:alpha w14:val="100000"/>
                    </w14:srgbClr>
                  </w14:solidFill>
                </w14:textFill>
              </w:rPr>
              <w:t xml:space="preserve">　</w:t>
            </w:r>
            <w:r w:rsidRPr="00075DC2">
              <w:rPr>
                <w:color w:val="000000"/>
                <w:w w:val="15"/>
                <w:fitText w:val="15" w:id="-1168282359"/>
                <w14:textFill>
                  <w14:solidFill>
                    <w14:srgbClr w14:val="000000">
                      <w14:alpha w14:val="100000"/>
                    </w14:srgbClr>
                  </w14:solidFill>
                </w14:textFill>
              </w:rPr>
              <w:t>|</w:t>
            </w:r>
            <w:r w:rsidRPr="00075DC2">
              <w:rPr>
                <w:rFonts w:hint="eastAsia"/>
                <w:color w:val="000000"/>
                <w:spacing w:val="-50"/>
                <w:w w:val="15"/>
                <w:fitText w:val="15" w:id="-1168282359"/>
                <w14:textFill>
                  <w14:solidFill>
                    <w14:srgbClr w14:val="000000">
                      <w14:alpha w14:val="100000"/>
                    </w14:srgbClr>
                  </w14:solidFill>
                </w14:textFill>
              </w:rPr>
              <w:t xml:space="preserve">　</w:t>
            </w:r>
          </w:p>
        </w:tc>
        <w:tc>
          <w:tcPr>
            <w:tcW w:w="628" w:type="pct"/>
            <w:shd w:val="clear" w:color="auto" w:fill="FFFFFF" w:themeFill="background1"/>
            <w:vAlign w:val="center"/>
          </w:tcPr>
          <w:p w14:paraId="6245820C" w14:textId="77777777" w:rsidR="00D453AA" w:rsidRPr="00E74297" w:rsidRDefault="00D453AA" w:rsidP="00D453AA">
            <w:pPr>
              <w:pStyle w:val="TableText0"/>
              <w:jc w:val="center"/>
            </w:pPr>
            <w:r w:rsidRPr="00E74297">
              <w:t>$1,226</w:t>
            </w:r>
          </w:p>
        </w:tc>
        <w:tc>
          <w:tcPr>
            <w:tcW w:w="551" w:type="pct"/>
            <w:shd w:val="clear" w:color="auto" w:fill="FFFFFF" w:themeFill="background1"/>
            <w:vAlign w:val="center"/>
          </w:tcPr>
          <w:p w14:paraId="1F9AE359" w14:textId="77777777" w:rsidR="00D453AA" w:rsidRPr="00E74297" w:rsidRDefault="00D453AA" w:rsidP="00D453AA">
            <w:pPr>
              <w:pStyle w:val="TableText0"/>
              <w:jc w:val="center"/>
            </w:pPr>
            <w:r w:rsidRPr="00E74297">
              <w:t>$1,096</w:t>
            </w:r>
          </w:p>
        </w:tc>
        <w:tc>
          <w:tcPr>
            <w:tcW w:w="1072" w:type="pct"/>
            <w:shd w:val="clear" w:color="auto" w:fill="FFFFFF" w:themeFill="background1"/>
            <w:vAlign w:val="center"/>
          </w:tcPr>
          <w:p w14:paraId="5A8E9B53" w14:textId="3D02D8FB" w:rsidR="00D453AA" w:rsidRPr="00E74297" w:rsidRDefault="00D453AA" w:rsidP="00D453AA">
            <w:pPr>
              <w:pStyle w:val="TableText0"/>
              <w:jc w:val="center"/>
            </w:pPr>
            <w:r w:rsidRPr="00E74297">
              <w:t>$1,554</w:t>
            </w:r>
          </w:p>
        </w:tc>
      </w:tr>
      <w:tr w:rsidR="00D453AA" w:rsidRPr="00E74297" w14:paraId="65A7C6D8" w14:textId="77777777" w:rsidTr="006F55C1">
        <w:trPr>
          <w:cantSplit/>
          <w:jc w:val="center"/>
        </w:trPr>
        <w:tc>
          <w:tcPr>
            <w:tcW w:w="1098" w:type="pct"/>
            <w:shd w:val="clear" w:color="auto" w:fill="auto"/>
            <w:vAlign w:val="center"/>
          </w:tcPr>
          <w:p w14:paraId="3C3D32D5" w14:textId="1026E33E" w:rsidR="00D453AA" w:rsidRPr="00E74297" w:rsidRDefault="00D453AA" w:rsidP="00D453AA">
            <w:pPr>
              <w:pStyle w:val="TableText0"/>
            </w:pPr>
            <w:r w:rsidRPr="00E74297">
              <w:t>Cost per course</w:t>
            </w:r>
          </w:p>
        </w:tc>
        <w:tc>
          <w:tcPr>
            <w:tcW w:w="550" w:type="pct"/>
            <w:shd w:val="solid" w:color="000000" w:fill="000000"/>
            <w:vAlign w:val="center"/>
          </w:tcPr>
          <w:p w14:paraId="12D3F24B" w14:textId="7FF4923E" w:rsidR="00D453AA" w:rsidRPr="00D453AA" w:rsidRDefault="006F55C1" w:rsidP="00D453AA">
            <w:pPr>
              <w:pStyle w:val="TableText0"/>
              <w:jc w:val="center"/>
              <w:rPr>
                <w:highlight w:val="lightGray"/>
              </w:rPr>
            </w:pPr>
            <w:r w:rsidRPr="006F55C1">
              <w:rPr>
                <w:rFonts w:hint="eastAsia"/>
                <w:color w:val="000000"/>
                <w:w w:val="16"/>
                <w:fitText w:val="75" w:id="-1168282358"/>
                <w14:textFill>
                  <w14:solidFill>
                    <w14:srgbClr w14:val="000000">
                      <w14:alpha w14:val="100000"/>
                    </w14:srgbClr>
                  </w14:solidFill>
                </w14:textFill>
              </w:rPr>
              <w:t xml:space="preserve">　</w:t>
            </w:r>
            <w:r w:rsidRPr="006F55C1">
              <w:rPr>
                <w:color w:val="000000"/>
                <w:w w:val="16"/>
                <w:fitText w:val="75" w:id="-1168282358"/>
                <w14:textFill>
                  <w14:solidFill>
                    <w14:srgbClr w14:val="000000">
                      <w14:alpha w14:val="100000"/>
                    </w14:srgbClr>
                  </w14:solidFill>
                </w14:textFill>
              </w:rPr>
              <w:t>|</w:t>
            </w:r>
            <w:r w:rsidRPr="006F55C1">
              <w:rPr>
                <w:rFonts w:hint="eastAsia"/>
                <w:color w:val="000000"/>
                <w:w w:val="16"/>
                <w:fitText w:val="75" w:id="-1168282358"/>
                <w14:textFill>
                  <w14:solidFill>
                    <w14:srgbClr w14:val="000000">
                      <w14:alpha w14:val="100000"/>
                    </w14:srgbClr>
                  </w14:solidFill>
                </w14:textFill>
              </w:rPr>
              <w:t xml:space="preserve">　</w:t>
            </w:r>
          </w:p>
        </w:tc>
        <w:tc>
          <w:tcPr>
            <w:tcW w:w="472" w:type="pct"/>
            <w:shd w:val="solid" w:color="000000" w:fill="000000"/>
            <w:vAlign w:val="center"/>
          </w:tcPr>
          <w:p w14:paraId="6802E3B6" w14:textId="7BE33395" w:rsidR="00D453AA" w:rsidRPr="00D453AA" w:rsidRDefault="006F55C1" w:rsidP="00D453AA">
            <w:pPr>
              <w:pStyle w:val="TableText0"/>
              <w:jc w:val="center"/>
              <w:rPr>
                <w:highlight w:val="lightGray"/>
                <w:vertAlign w:val="superscript"/>
              </w:rPr>
            </w:pPr>
            <w:r w:rsidRPr="001777F5">
              <w:rPr>
                <w:rFonts w:hint="eastAsia"/>
                <w:color w:val="000000"/>
                <w:w w:val="33"/>
                <w:fitText w:val="150" w:id="-1168282357"/>
                <w14:textFill>
                  <w14:solidFill>
                    <w14:srgbClr w14:val="000000">
                      <w14:alpha w14:val="100000"/>
                    </w14:srgbClr>
                  </w14:solidFill>
                </w14:textFill>
              </w:rPr>
              <w:t xml:space="preserve">　</w:t>
            </w:r>
            <w:r w:rsidRPr="001777F5">
              <w:rPr>
                <w:color w:val="000000"/>
                <w:w w:val="33"/>
                <w:fitText w:val="150" w:id="-1168282357"/>
                <w14:textFill>
                  <w14:solidFill>
                    <w14:srgbClr w14:val="000000">
                      <w14:alpha w14:val="100000"/>
                    </w14:srgbClr>
                  </w14:solidFill>
                </w14:textFill>
              </w:rPr>
              <w:t>|</w:t>
            </w:r>
            <w:r w:rsidRPr="001777F5">
              <w:rPr>
                <w:rFonts w:hint="eastAsia"/>
                <w:color w:val="000000"/>
                <w:spacing w:val="4"/>
                <w:w w:val="33"/>
                <w:fitText w:val="150" w:id="-1168282357"/>
                <w14:textFill>
                  <w14:solidFill>
                    <w14:srgbClr w14:val="000000">
                      <w14:alpha w14:val="100000"/>
                    </w14:srgbClr>
                  </w14:solidFill>
                </w14:textFill>
              </w:rPr>
              <w:t xml:space="preserve">　</w:t>
            </w:r>
          </w:p>
        </w:tc>
        <w:tc>
          <w:tcPr>
            <w:tcW w:w="629" w:type="pct"/>
            <w:shd w:val="solid" w:color="000000" w:fill="000000"/>
            <w:vAlign w:val="center"/>
          </w:tcPr>
          <w:p w14:paraId="51E6AD5C" w14:textId="2D261096" w:rsidR="00D453AA" w:rsidRPr="00D453AA" w:rsidRDefault="006F55C1" w:rsidP="00D453AA">
            <w:pPr>
              <w:pStyle w:val="TableText0"/>
              <w:jc w:val="center"/>
              <w:rPr>
                <w:highlight w:val="lightGray"/>
              </w:rPr>
            </w:pPr>
            <w:r w:rsidRPr="00075DC2">
              <w:rPr>
                <w:rFonts w:hint="eastAsia"/>
                <w:color w:val="000000"/>
                <w:w w:val="15"/>
                <w:fitText w:val="15" w:id="-1168282356"/>
                <w14:textFill>
                  <w14:solidFill>
                    <w14:srgbClr w14:val="000000">
                      <w14:alpha w14:val="100000"/>
                    </w14:srgbClr>
                  </w14:solidFill>
                </w14:textFill>
              </w:rPr>
              <w:t xml:space="preserve">　</w:t>
            </w:r>
            <w:r w:rsidRPr="00075DC2">
              <w:rPr>
                <w:color w:val="000000"/>
                <w:w w:val="15"/>
                <w:fitText w:val="15" w:id="-1168282356"/>
                <w14:textFill>
                  <w14:solidFill>
                    <w14:srgbClr w14:val="000000">
                      <w14:alpha w14:val="100000"/>
                    </w14:srgbClr>
                  </w14:solidFill>
                </w14:textFill>
              </w:rPr>
              <w:t>|</w:t>
            </w:r>
            <w:r w:rsidRPr="00075DC2">
              <w:rPr>
                <w:rFonts w:hint="eastAsia"/>
                <w:color w:val="000000"/>
                <w:spacing w:val="-50"/>
                <w:w w:val="15"/>
                <w:fitText w:val="15" w:id="-1168282356"/>
                <w14:textFill>
                  <w14:solidFill>
                    <w14:srgbClr w14:val="000000">
                      <w14:alpha w14:val="100000"/>
                    </w14:srgbClr>
                  </w14:solidFill>
                </w14:textFill>
              </w:rPr>
              <w:t xml:space="preserve">　</w:t>
            </w:r>
          </w:p>
        </w:tc>
        <w:tc>
          <w:tcPr>
            <w:tcW w:w="628" w:type="pct"/>
            <w:shd w:val="clear" w:color="auto" w:fill="FFFFFF" w:themeFill="background1"/>
            <w:vAlign w:val="center"/>
          </w:tcPr>
          <w:p w14:paraId="19958003" w14:textId="77777777" w:rsidR="00D453AA" w:rsidRPr="00E74297" w:rsidRDefault="00D453AA" w:rsidP="00D453AA">
            <w:pPr>
              <w:pStyle w:val="TableText0"/>
              <w:jc w:val="center"/>
            </w:pPr>
            <w:r w:rsidRPr="00E74297">
              <w:t>$4,353</w:t>
            </w:r>
          </w:p>
        </w:tc>
        <w:tc>
          <w:tcPr>
            <w:tcW w:w="551" w:type="pct"/>
            <w:shd w:val="clear" w:color="auto" w:fill="FFFFFF" w:themeFill="background1"/>
            <w:vAlign w:val="center"/>
          </w:tcPr>
          <w:p w14:paraId="175CA18C" w14:textId="77777777" w:rsidR="00D453AA" w:rsidRPr="00E74297" w:rsidRDefault="00D453AA" w:rsidP="00D453AA">
            <w:pPr>
              <w:pStyle w:val="TableText0"/>
              <w:jc w:val="center"/>
              <w:rPr>
                <w:vertAlign w:val="superscript"/>
              </w:rPr>
            </w:pPr>
            <w:r w:rsidRPr="00E74297">
              <w:t>$4,145</w:t>
            </w:r>
          </w:p>
        </w:tc>
        <w:tc>
          <w:tcPr>
            <w:tcW w:w="1072" w:type="pct"/>
            <w:shd w:val="clear" w:color="auto" w:fill="FFFFFF" w:themeFill="background1"/>
            <w:vAlign w:val="center"/>
          </w:tcPr>
          <w:p w14:paraId="534DAB0C" w14:textId="4A7CC5E9" w:rsidR="00D453AA" w:rsidRPr="00E74297" w:rsidRDefault="00D453AA" w:rsidP="00D453AA">
            <w:pPr>
              <w:pStyle w:val="TableText0"/>
              <w:jc w:val="center"/>
            </w:pPr>
            <w:r w:rsidRPr="00E74297">
              <w:t>$54,670</w:t>
            </w:r>
          </w:p>
        </w:tc>
      </w:tr>
    </w:tbl>
    <w:p w14:paraId="7084445A" w14:textId="77777777" w:rsidR="000624AF" w:rsidRPr="00E74297" w:rsidRDefault="000624AF" w:rsidP="000624AF">
      <w:pPr>
        <w:pStyle w:val="FooterTableFigure"/>
      </w:pPr>
      <w:r w:rsidRPr="00E74297">
        <w:t>Source: Constructed during the evaluation from the “Attachment 07 – Trodelvy HR+HER2- mBC Economic model” and ‘Attachment 12 Trodelvy HRHER2 mBC Financial Model.xlsx’ excel workbooks provided with the submission, Table 28, pp 140-143 of the November 2022 CSR.</w:t>
      </w:r>
    </w:p>
    <w:p w14:paraId="5C1BEEFC" w14:textId="77777777" w:rsidR="000E337C" w:rsidRPr="00E74297" w:rsidRDefault="000624AF" w:rsidP="000624AF">
      <w:pPr>
        <w:pStyle w:val="FooterTableFigure"/>
      </w:pPr>
      <w:r w:rsidRPr="00E74297">
        <w:t>C = capecitabine; E = eribulin; G = gemcitabine; SG = sacituzumab gov</w:t>
      </w:r>
      <w:r w:rsidR="00E64A3A" w:rsidRPr="00E74297">
        <w:t>i</w:t>
      </w:r>
      <w:r w:rsidRPr="00E74297">
        <w:t>t</w:t>
      </w:r>
      <w:r w:rsidR="00E64A3A" w:rsidRPr="00E74297">
        <w:t>e</w:t>
      </w:r>
      <w:r w:rsidRPr="00E74297">
        <w:t>can; TPC = treatment of physician choice (consisting of eribulin, capecitabine, gemcitabine or vinorelbine); V = vinorelbine.</w:t>
      </w:r>
    </w:p>
    <w:p w14:paraId="38593453" w14:textId="1683DF58" w:rsidR="000624AF" w:rsidRPr="00E74297" w:rsidRDefault="000624AF" w:rsidP="000624AF">
      <w:pPr>
        <w:pStyle w:val="FooterTableFigure"/>
      </w:pPr>
      <w:r w:rsidRPr="00E74297">
        <w:rPr>
          <w:vertAlign w:val="superscript"/>
        </w:rPr>
        <w:t>a</w:t>
      </w:r>
      <w:r w:rsidR="00443AF8" w:rsidRPr="00E74297">
        <w:rPr>
          <w:vertAlign w:val="superscript"/>
        </w:rPr>
        <w:t xml:space="preserve"> </w:t>
      </w:r>
      <w:r w:rsidRPr="00E74297">
        <w:t>(Cumulative dose reported in the CSR/number of doses) × 69.2 kg (mean weight for SG patients) or 1.7 m</w:t>
      </w:r>
      <w:r w:rsidRPr="00E74297">
        <w:rPr>
          <w:vertAlign w:val="superscript"/>
        </w:rPr>
        <w:t>2</w:t>
      </w:r>
      <w:r w:rsidRPr="00E74297">
        <w:t xml:space="preserve"> (mean BSA for TPC patients)</w:t>
      </w:r>
    </w:p>
    <w:p w14:paraId="5139230D" w14:textId="77777777" w:rsidR="000624AF" w:rsidRPr="00E74297" w:rsidRDefault="000624AF" w:rsidP="000624AF">
      <w:pPr>
        <w:pStyle w:val="FooterTableFigure"/>
      </w:pPr>
      <w:r w:rsidRPr="00E74297">
        <w:rPr>
          <w:vertAlign w:val="superscript"/>
        </w:rPr>
        <w:t>b</w:t>
      </w:r>
      <w:r w:rsidRPr="00E74297">
        <w:t xml:space="preserve"> 10 mg/kg × 69.2 kg (mean weight for SG patients) × 70% RDI</w:t>
      </w:r>
    </w:p>
    <w:p w14:paraId="14A005E9" w14:textId="77777777" w:rsidR="0060446D" w:rsidRPr="00E74297" w:rsidRDefault="000624AF" w:rsidP="000624AF">
      <w:pPr>
        <w:pStyle w:val="FooterTableFigure"/>
      </w:pPr>
      <w:r w:rsidRPr="00E74297">
        <w:rPr>
          <w:vertAlign w:val="superscript"/>
        </w:rPr>
        <w:t>c</w:t>
      </w:r>
      <w:r w:rsidRPr="00E74297">
        <w:t xml:space="preserve"> Reported in the CSR</w:t>
      </w:r>
    </w:p>
    <w:p w14:paraId="3507CB45" w14:textId="5E238B33" w:rsidR="000624AF" w:rsidRPr="00E74297" w:rsidRDefault="000624AF" w:rsidP="000624AF">
      <w:pPr>
        <w:pStyle w:val="FooterTableFigure"/>
      </w:pPr>
      <w:r w:rsidRPr="00E74297">
        <w:rPr>
          <w:vertAlign w:val="superscript"/>
        </w:rPr>
        <w:t xml:space="preserve">d </w:t>
      </w:r>
      <w:r w:rsidRPr="00E74297">
        <w:t>Pooled TPC KM TTD data</w:t>
      </w:r>
    </w:p>
    <w:p w14:paraId="0547CDEC" w14:textId="77777777" w:rsidR="000E337C" w:rsidRPr="00E74297" w:rsidRDefault="000624AF" w:rsidP="000624AF">
      <w:pPr>
        <w:pStyle w:val="FooterTableFigure"/>
      </w:pPr>
      <w:r w:rsidRPr="00E74297">
        <w:rPr>
          <w:vertAlign w:val="superscript"/>
        </w:rPr>
        <w:t>e</w:t>
      </w:r>
      <w:r w:rsidRPr="00E74297">
        <w:t xml:space="preserve"> Weighted for the time on treatment for eribulin 4.34 months (48%), vinorelbine 1.91 months (23%), gemcitabine 2.9 months (21%) and capecitabine 4.8 months (8%).</w:t>
      </w:r>
    </w:p>
    <w:p w14:paraId="2AE74F80" w14:textId="36AC2658" w:rsidR="000624AF" w:rsidRPr="00E74297" w:rsidRDefault="000624AF" w:rsidP="000624AF">
      <w:pPr>
        <w:pStyle w:val="4-SubsectionHeading"/>
      </w:pPr>
      <w:bookmarkStart w:id="80" w:name="_Toc22897647"/>
      <w:bookmarkStart w:id="81" w:name="_Toc107927633"/>
      <w:bookmarkStart w:id="82" w:name="_Toc135207389"/>
      <w:bookmarkStart w:id="83" w:name="_Toc22897650"/>
      <w:r w:rsidRPr="00E74297">
        <w:t>Estimated PBS usage &amp; financial implications</w:t>
      </w:r>
      <w:bookmarkEnd w:id="80"/>
      <w:bookmarkEnd w:id="81"/>
      <w:bookmarkEnd w:id="82"/>
    </w:p>
    <w:p w14:paraId="37B337D6" w14:textId="77777777" w:rsidR="000E337C" w:rsidRPr="00E74297" w:rsidRDefault="000624AF" w:rsidP="00C66816">
      <w:pPr>
        <w:pStyle w:val="3-BodyText"/>
      </w:pPr>
      <w:r w:rsidRPr="00E74297">
        <w:t xml:space="preserve">This submission </w:t>
      </w:r>
      <w:r w:rsidR="00381A28" w:rsidRPr="00E74297">
        <w:t>was</w:t>
      </w:r>
      <w:r w:rsidRPr="00E74297">
        <w:t xml:space="preserve"> not considered by DUSC. An epidemiological approach was used to estimate the financial impact of listing SG for the HR+ HER2- population of advanced breast cancer patients who have had at least 2 lines of prior therapy. The key data sources and parameter values used in the financial estimates are summarised in </w:t>
      </w:r>
      <w:r w:rsidRPr="00E74297">
        <w:fldChar w:fldCharType="begin" w:fldLock="1"/>
      </w:r>
      <w:r w:rsidRPr="00E74297">
        <w:instrText xml:space="preserve"> REF _Ref104805262 \h  \* MERGEFORMAT </w:instrText>
      </w:r>
      <w:r w:rsidRPr="00E74297">
        <w:fldChar w:fldCharType="separate"/>
      </w:r>
      <w:r w:rsidR="00AE1DC7" w:rsidRPr="00E74297">
        <w:t>Table 15</w:t>
      </w:r>
      <w:r w:rsidRPr="00E74297">
        <w:fldChar w:fldCharType="end"/>
      </w:r>
      <w:r w:rsidRPr="00E74297">
        <w:t>.</w:t>
      </w:r>
    </w:p>
    <w:p w14:paraId="1C21F2B0" w14:textId="2EB382F2" w:rsidR="000624AF" w:rsidRPr="00E74297" w:rsidRDefault="000624AF" w:rsidP="00272C1E">
      <w:pPr>
        <w:pStyle w:val="Caption"/>
        <w:rPr>
          <w:rStyle w:val="CommentReference"/>
          <w:b/>
          <w:szCs w:val="24"/>
        </w:rPr>
      </w:pPr>
      <w:bookmarkStart w:id="84" w:name="_Ref104805262"/>
      <w:r w:rsidRPr="00E74297">
        <w:lastRenderedPageBreak/>
        <w:t xml:space="preserve">Table </w:t>
      </w:r>
      <w:fldSimple w:instr=" SEQ Table \* ARABIC " w:fldLock="1">
        <w:r w:rsidR="00AE1DC7" w:rsidRPr="00E74297">
          <w:t>15</w:t>
        </w:r>
      </w:fldSimple>
      <w:bookmarkEnd w:id="84"/>
      <w:r w:rsidRPr="00E74297">
        <w:t>:</w:t>
      </w:r>
      <w:r w:rsidRPr="00E74297">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3403"/>
        <w:gridCol w:w="4059"/>
      </w:tblGrid>
      <w:tr w:rsidR="000624AF" w:rsidRPr="00E74297" w14:paraId="0C154BC8" w14:textId="77777777" w:rsidTr="00F927DB">
        <w:trPr>
          <w:cantSplit/>
          <w:tblHeader/>
        </w:trPr>
        <w:tc>
          <w:tcPr>
            <w:tcW w:w="862" w:type="pct"/>
            <w:shd w:val="clear" w:color="auto" w:fill="auto"/>
            <w:vAlign w:val="center"/>
          </w:tcPr>
          <w:p w14:paraId="5D67FC4A" w14:textId="77777777" w:rsidR="000624AF" w:rsidRPr="00E74297" w:rsidRDefault="000624AF" w:rsidP="00272C1E">
            <w:pPr>
              <w:pStyle w:val="In-tableHeading"/>
              <w:keepLines/>
              <w:rPr>
                <w:lang w:val="en-AU"/>
              </w:rPr>
            </w:pPr>
            <w:r w:rsidRPr="00E74297">
              <w:rPr>
                <w:lang w:val="en-AU"/>
              </w:rPr>
              <w:t>Parameter</w:t>
            </w:r>
          </w:p>
        </w:tc>
        <w:tc>
          <w:tcPr>
            <w:tcW w:w="1887" w:type="pct"/>
            <w:shd w:val="clear" w:color="auto" w:fill="auto"/>
            <w:vAlign w:val="center"/>
          </w:tcPr>
          <w:p w14:paraId="79467F1E" w14:textId="77777777" w:rsidR="000624AF" w:rsidRPr="00E74297" w:rsidRDefault="000624AF" w:rsidP="00272C1E">
            <w:pPr>
              <w:pStyle w:val="In-tableHeading"/>
              <w:keepLines/>
              <w:rPr>
                <w:lang w:val="en-AU"/>
              </w:rPr>
            </w:pPr>
            <w:r w:rsidRPr="00E74297">
              <w:rPr>
                <w:lang w:val="en-AU"/>
              </w:rPr>
              <w:t>Value applied and source</w:t>
            </w:r>
          </w:p>
        </w:tc>
        <w:tc>
          <w:tcPr>
            <w:tcW w:w="2251" w:type="pct"/>
            <w:shd w:val="clear" w:color="auto" w:fill="auto"/>
            <w:vAlign w:val="center"/>
          </w:tcPr>
          <w:p w14:paraId="208792BE" w14:textId="77777777" w:rsidR="000624AF" w:rsidRPr="00E74297" w:rsidRDefault="000624AF" w:rsidP="00272C1E">
            <w:pPr>
              <w:pStyle w:val="In-tableHeading"/>
              <w:keepLines/>
              <w:rPr>
                <w:lang w:val="en-AU"/>
              </w:rPr>
            </w:pPr>
            <w:r w:rsidRPr="00E74297">
              <w:rPr>
                <w:lang w:val="en-AU"/>
              </w:rPr>
              <w:t>Comment</w:t>
            </w:r>
          </w:p>
        </w:tc>
      </w:tr>
      <w:tr w:rsidR="000624AF" w:rsidRPr="00E74297" w14:paraId="7B565052" w14:textId="77777777" w:rsidTr="000624AF">
        <w:trPr>
          <w:cantSplit/>
        </w:trPr>
        <w:tc>
          <w:tcPr>
            <w:tcW w:w="5000" w:type="pct"/>
            <w:gridSpan w:val="3"/>
            <w:shd w:val="clear" w:color="auto" w:fill="auto"/>
            <w:vAlign w:val="center"/>
          </w:tcPr>
          <w:p w14:paraId="2808F972" w14:textId="77777777" w:rsidR="000624AF" w:rsidRPr="00E74297" w:rsidRDefault="000624AF" w:rsidP="00272C1E">
            <w:pPr>
              <w:pStyle w:val="In-tableHeading"/>
              <w:keepLines/>
              <w:rPr>
                <w:lang w:val="en-AU"/>
              </w:rPr>
            </w:pPr>
            <w:r w:rsidRPr="00E74297">
              <w:rPr>
                <w:lang w:val="en-AU"/>
              </w:rPr>
              <w:t>Eligible population</w:t>
            </w:r>
          </w:p>
        </w:tc>
      </w:tr>
      <w:tr w:rsidR="000624AF" w:rsidRPr="00E74297" w14:paraId="71B286C2" w14:textId="77777777" w:rsidTr="00F927DB">
        <w:trPr>
          <w:cantSplit/>
        </w:trPr>
        <w:tc>
          <w:tcPr>
            <w:tcW w:w="862" w:type="pct"/>
            <w:shd w:val="clear" w:color="auto" w:fill="auto"/>
            <w:vAlign w:val="center"/>
          </w:tcPr>
          <w:p w14:paraId="395445B0" w14:textId="77777777" w:rsidR="000624AF" w:rsidRPr="00E74297" w:rsidRDefault="000624AF" w:rsidP="00272C1E">
            <w:pPr>
              <w:pStyle w:val="TableText0"/>
              <w:keepLines/>
            </w:pPr>
            <w:r w:rsidRPr="00E74297">
              <w:t>Breast cancer incident population</w:t>
            </w:r>
          </w:p>
        </w:tc>
        <w:tc>
          <w:tcPr>
            <w:tcW w:w="1887" w:type="pct"/>
            <w:shd w:val="clear" w:color="auto" w:fill="auto"/>
            <w:vAlign w:val="center"/>
          </w:tcPr>
          <w:p w14:paraId="710239FD" w14:textId="77777777" w:rsidR="000624AF" w:rsidRPr="00E74297" w:rsidRDefault="000624AF" w:rsidP="00272C1E">
            <w:pPr>
              <w:pStyle w:val="TableText0"/>
              <w:keepLines/>
            </w:pPr>
            <w:r w:rsidRPr="00E74297">
              <w:t>The annual incidence of breast cancer was estimated to be 0.1% based on the number of incident breast cancer cases reported by the AIHW in 2022 divided by the estimated size of the of the Australian population (based on ABS projections) aged 18−100 in that same year. This estimate was then applied to ABS population projections of the Australian aged 18−100, 2024−2029.</w:t>
            </w:r>
          </w:p>
        </w:tc>
        <w:tc>
          <w:tcPr>
            <w:tcW w:w="2251" w:type="pct"/>
            <w:shd w:val="clear" w:color="auto" w:fill="auto"/>
          </w:tcPr>
          <w:p w14:paraId="7D77A2EE" w14:textId="53BA6D77" w:rsidR="000624AF" w:rsidRPr="00E74297" w:rsidRDefault="000624AF" w:rsidP="00272C1E">
            <w:pPr>
              <w:pStyle w:val="TableText0"/>
              <w:keepLines/>
              <w:rPr>
                <w:i/>
                <w:iCs/>
              </w:rPr>
            </w:pPr>
            <w:r w:rsidRPr="00E74297">
              <w:t>The AIHW have reported projections for the estimated number of breast cancer cases until 2031</w:t>
            </w:r>
            <w:r w:rsidRPr="00E74297">
              <w:rPr>
                <w:vertAlign w:val="superscript"/>
              </w:rPr>
              <w:t>a</w:t>
            </w:r>
            <w:r w:rsidRPr="00E74297">
              <w:t xml:space="preserve">. Compared to these direct projections, the submission’s estimates were underestimated. </w:t>
            </w:r>
            <w:r w:rsidR="00267244" w:rsidRPr="00E74297">
              <w:t>The PSCR provided updated financial estimates accounting for the updated AIHW projections.</w:t>
            </w:r>
          </w:p>
        </w:tc>
      </w:tr>
      <w:tr w:rsidR="000624AF" w:rsidRPr="00E74297" w14:paraId="4BDD4BE9" w14:textId="77777777" w:rsidTr="00F927DB">
        <w:trPr>
          <w:cantSplit/>
        </w:trPr>
        <w:tc>
          <w:tcPr>
            <w:tcW w:w="862" w:type="pct"/>
            <w:shd w:val="clear" w:color="auto" w:fill="auto"/>
            <w:vAlign w:val="center"/>
          </w:tcPr>
          <w:p w14:paraId="68E8BBE2" w14:textId="77777777" w:rsidR="000624AF" w:rsidRPr="00E74297" w:rsidRDefault="000624AF" w:rsidP="000624AF">
            <w:pPr>
              <w:pStyle w:val="TableText0"/>
              <w:keepNext w:val="0"/>
            </w:pPr>
            <w:r w:rsidRPr="00E74297">
              <w:t>Proportion HR+ and HER2-</w:t>
            </w:r>
          </w:p>
        </w:tc>
        <w:tc>
          <w:tcPr>
            <w:tcW w:w="1887" w:type="pct"/>
            <w:shd w:val="clear" w:color="auto" w:fill="auto"/>
            <w:vAlign w:val="center"/>
          </w:tcPr>
          <w:p w14:paraId="437CAD3C" w14:textId="77777777" w:rsidR="000624AF" w:rsidRPr="00E74297" w:rsidRDefault="000624AF" w:rsidP="000624AF">
            <w:pPr>
              <w:pStyle w:val="TableText0"/>
              <w:keepNext w:val="0"/>
              <w:rPr>
                <w:vertAlign w:val="superscript"/>
              </w:rPr>
            </w:pPr>
            <w:r w:rsidRPr="00E74297">
              <w:t>70% based on Boyle et al.</w:t>
            </w:r>
            <w:r w:rsidRPr="00E74297">
              <w:rPr>
                <w:vertAlign w:val="superscript"/>
              </w:rPr>
              <w:t>b</w:t>
            </w:r>
          </w:p>
        </w:tc>
        <w:tc>
          <w:tcPr>
            <w:tcW w:w="2251" w:type="pct"/>
            <w:shd w:val="clear" w:color="auto" w:fill="auto"/>
          </w:tcPr>
          <w:p w14:paraId="210EB25D" w14:textId="0C8D5095" w:rsidR="000624AF" w:rsidRPr="00E74297" w:rsidRDefault="000624AF" w:rsidP="000624AF">
            <w:pPr>
              <w:pStyle w:val="TableText0"/>
              <w:keepNext w:val="0"/>
            </w:pPr>
            <w:r w:rsidRPr="00E74297">
              <w:t xml:space="preserve">This was consistent with previous submissions to the PBAC (fulvestrant </w:t>
            </w:r>
            <w:r w:rsidR="007E2A59" w:rsidRPr="00E74297">
              <w:t>PSD</w:t>
            </w:r>
            <w:r w:rsidRPr="00E74297">
              <w:t xml:space="preserve">, July 2020 PBAC Meeting; and abemaciclib </w:t>
            </w:r>
            <w:r w:rsidR="007E2A59" w:rsidRPr="00E74297">
              <w:t>PSD</w:t>
            </w:r>
            <w:r w:rsidRPr="00E74297">
              <w:t>, March 2022 PBAC Meeting).</w:t>
            </w:r>
          </w:p>
        </w:tc>
      </w:tr>
      <w:tr w:rsidR="000624AF" w:rsidRPr="00E74297" w14:paraId="34A732E8" w14:textId="77777777" w:rsidTr="00F927DB">
        <w:trPr>
          <w:cantSplit/>
        </w:trPr>
        <w:tc>
          <w:tcPr>
            <w:tcW w:w="862" w:type="pct"/>
            <w:shd w:val="clear" w:color="auto" w:fill="auto"/>
            <w:vAlign w:val="center"/>
          </w:tcPr>
          <w:p w14:paraId="03B61758" w14:textId="77777777" w:rsidR="000624AF" w:rsidRPr="00E74297" w:rsidRDefault="000624AF" w:rsidP="000624AF">
            <w:pPr>
              <w:pStyle w:val="TableText0"/>
              <w:keepNext w:val="0"/>
            </w:pPr>
            <w:r w:rsidRPr="00E74297">
              <w:t>Proportion with Stage III/IV disease (incident or progressed)</w:t>
            </w:r>
          </w:p>
        </w:tc>
        <w:tc>
          <w:tcPr>
            <w:tcW w:w="1887" w:type="pct"/>
            <w:shd w:val="clear" w:color="auto" w:fill="auto"/>
            <w:vAlign w:val="center"/>
          </w:tcPr>
          <w:p w14:paraId="7BAA3B72" w14:textId="50D06513" w:rsidR="000624AF" w:rsidRPr="00E74297" w:rsidRDefault="000624AF" w:rsidP="000624AF">
            <w:pPr>
              <w:pStyle w:val="TableText0"/>
              <w:keepNext w:val="0"/>
              <w:rPr>
                <w:vertAlign w:val="superscript"/>
              </w:rPr>
            </w:pPr>
            <w:r w:rsidRPr="00E74297">
              <w:t>28.4% derived based on AIHW estimates</w:t>
            </w:r>
            <w:r w:rsidRPr="00E74297">
              <w:rPr>
                <w:vertAlign w:val="superscript"/>
              </w:rPr>
              <w:t>c</w:t>
            </w:r>
            <w:r w:rsidRPr="00E74297">
              <w:t xml:space="preserve"> of the distribution of stage at diagnosis of breast cancer (83.3% Stage I−II, 12.1% Stage III and 4.6% Stage IV), assuming 20% of Stage III were inoperable at diagnosis, based on expert opinion cited by Moo et al.</w:t>
            </w:r>
            <w:r w:rsidRPr="00E74297">
              <w:rPr>
                <w:vertAlign w:val="superscript"/>
              </w:rPr>
              <w:t>d</w:t>
            </w:r>
            <w:r w:rsidRPr="00E74297">
              <w:t xml:space="preserve"> (20% × 12.1% + 4.6%). Of those operable at diagnosis (83.3% + 12.1% × 80%), 23% were assumed to progress, based on Lord et al.</w:t>
            </w:r>
            <w:r w:rsidRPr="00E74297">
              <w:rPr>
                <w:vertAlign w:val="superscript"/>
              </w:rPr>
              <w:t>e</w:t>
            </w:r>
          </w:p>
        </w:tc>
        <w:tc>
          <w:tcPr>
            <w:tcW w:w="2251" w:type="pct"/>
            <w:shd w:val="clear" w:color="auto" w:fill="auto"/>
          </w:tcPr>
          <w:p w14:paraId="4CB77242" w14:textId="533DDBC9" w:rsidR="000624AF" w:rsidRPr="00E74297" w:rsidRDefault="000624AF" w:rsidP="000624AF">
            <w:pPr>
              <w:pStyle w:val="TableText0"/>
              <w:keepNext w:val="0"/>
              <w:rPr>
                <w:vertAlign w:val="superscript"/>
              </w:rPr>
            </w:pPr>
            <w:r w:rsidRPr="00E74297">
              <w:t>The extent of Stage III disease that is inoperable at diagnosis is uncertain as the expert opinion cited for the proportion that are operable was based on international expert opinion from 1988.</w:t>
            </w:r>
            <w:r w:rsidRPr="00E74297">
              <w:rPr>
                <w:vertAlign w:val="superscript"/>
              </w:rPr>
              <w:t>d</w:t>
            </w:r>
          </w:p>
        </w:tc>
      </w:tr>
      <w:tr w:rsidR="000624AF" w:rsidRPr="00E74297" w14:paraId="2D6D69F1" w14:textId="77777777" w:rsidTr="00F927DB">
        <w:trPr>
          <w:cantSplit/>
        </w:trPr>
        <w:tc>
          <w:tcPr>
            <w:tcW w:w="862" w:type="pct"/>
            <w:shd w:val="clear" w:color="auto" w:fill="auto"/>
            <w:vAlign w:val="center"/>
          </w:tcPr>
          <w:p w14:paraId="0D58BB76" w14:textId="4BBD4EE3" w:rsidR="000624AF" w:rsidRPr="00E74297" w:rsidRDefault="000624AF" w:rsidP="000624AF">
            <w:pPr>
              <w:pStyle w:val="TableText0"/>
              <w:keepNext w:val="0"/>
            </w:pPr>
            <w:r w:rsidRPr="00E74297">
              <w:t>Proportion of second-line advance</w:t>
            </w:r>
            <w:r w:rsidR="009D0CC3" w:rsidRPr="00E74297">
              <w:t>d</w:t>
            </w:r>
            <w:r w:rsidRPr="00E74297">
              <w:t xml:space="preserve"> breast cancer patients.</w:t>
            </w:r>
          </w:p>
        </w:tc>
        <w:tc>
          <w:tcPr>
            <w:tcW w:w="1887" w:type="pct"/>
            <w:shd w:val="clear" w:color="auto" w:fill="auto"/>
            <w:vAlign w:val="center"/>
          </w:tcPr>
          <w:p w14:paraId="201C54CB" w14:textId="77777777" w:rsidR="000624AF" w:rsidRPr="00E74297" w:rsidRDefault="000624AF" w:rsidP="000624AF">
            <w:pPr>
              <w:pStyle w:val="TableText0"/>
              <w:keepNext w:val="0"/>
              <w:rPr>
                <w:vertAlign w:val="superscript"/>
              </w:rPr>
            </w:pPr>
            <w:r w:rsidRPr="00E74297">
              <w:t>85.5% based on Bernardo et al.</w:t>
            </w:r>
            <w:r w:rsidRPr="00E74297">
              <w:rPr>
                <w:vertAlign w:val="superscript"/>
              </w:rPr>
              <w:t>f</w:t>
            </w:r>
          </w:p>
        </w:tc>
        <w:tc>
          <w:tcPr>
            <w:tcW w:w="2251" w:type="pct"/>
            <w:shd w:val="clear" w:color="auto" w:fill="auto"/>
          </w:tcPr>
          <w:p w14:paraId="79EDA8B0" w14:textId="7F3E1C33" w:rsidR="000624AF" w:rsidRPr="00E74297" w:rsidRDefault="000624AF" w:rsidP="000624AF">
            <w:pPr>
              <w:pStyle w:val="TableText0"/>
              <w:keepNext w:val="0"/>
            </w:pPr>
            <w:r w:rsidRPr="00E74297">
              <w:t xml:space="preserve">This was consistent with previous submissions to the PBAC (fulvestrant </w:t>
            </w:r>
            <w:r w:rsidR="007E2A59" w:rsidRPr="00E74297">
              <w:t>PSD</w:t>
            </w:r>
            <w:r w:rsidRPr="00E74297">
              <w:t>, July 2020 PBAC Meeting).</w:t>
            </w:r>
            <w:r w:rsidR="008835CB" w:rsidRPr="00E74297">
              <w:t xml:space="preserve"> The ESC considered the </w:t>
            </w:r>
            <w:r w:rsidR="007E2A59" w:rsidRPr="00E74297">
              <w:t>clinical place for SG was in a later line of therapy</w:t>
            </w:r>
            <w:r w:rsidR="008835CB" w:rsidRPr="00E74297">
              <w:t xml:space="preserve"> </w:t>
            </w:r>
            <w:r w:rsidR="007E2A59" w:rsidRPr="00E74297">
              <w:t xml:space="preserve">and therefore this assumption </w:t>
            </w:r>
            <w:r w:rsidR="00892548" w:rsidRPr="00E74297">
              <w:t>overestimated</w:t>
            </w:r>
            <w:r w:rsidR="007E2A59" w:rsidRPr="00E74297">
              <w:t xml:space="preserve"> the relevant patient population. The ESC</w:t>
            </w:r>
            <w:r w:rsidR="008835CB" w:rsidRPr="00E74297">
              <w:t xml:space="preserve"> considered 60% </w:t>
            </w:r>
            <w:r w:rsidR="007E2A59" w:rsidRPr="00E74297">
              <w:t>or fewer patients would be in the 4</w:t>
            </w:r>
            <w:r w:rsidR="007E2A59" w:rsidRPr="00E74297">
              <w:rPr>
                <w:vertAlign w:val="superscript"/>
              </w:rPr>
              <w:t>th</w:t>
            </w:r>
            <w:r w:rsidR="007E2A59" w:rsidRPr="00E74297">
              <w:t xml:space="preserve"> or later line of treatment</w:t>
            </w:r>
            <w:r w:rsidR="008835CB" w:rsidRPr="00E74297">
              <w:t>.</w:t>
            </w:r>
          </w:p>
        </w:tc>
      </w:tr>
      <w:tr w:rsidR="000624AF" w:rsidRPr="00E74297" w14:paraId="0416B264" w14:textId="77777777" w:rsidTr="000624AF">
        <w:trPr>
          <w:cantSplit/>
        </w:trPr>
        <w:tc>
          <w:tcPr>
            <w:tcW w:w="5000" w:type="pct"/>
            <w:gridSpan w:val="3"/>
            <w:shd w:val="clear" w:color="auto" w:fill="auto"/>
            <w:vAlign w:val="center"/>
          </w:tcPr>
          <w:p w14:paraId="5985FBB8" w14:textId="77777777" w:rsidR="000624AF" w:rsidRPr="00E74297" w:rsidRDefault="000624AF" w:rsidP="000624AF">
            <w:pPr>
              <w:pStyle w:val="TableText0"/>
              <w:keepNext w:val="0"/>
              <w:rPr>
                <w:b/>
                <w:i/>
              </w:rPr>
            </w:pPr>
            <w:r w:rsidRPr="00E74297">
              <w:rPr>
                <w:b/>
              </w:rPr>
              <w:t>Treatment utilisation</w:t>
            </w:r>
          </w:p>
        </w:tc>
      </w:tr>
      <w:tr w:rsidR="000624AF" w:rsidRPr="00E74297" w14:paraId="1D2BBA61" w14:textId="77777777" w:rsidTr="00F927DB">
        <w:trPr>
          <w:cantSplit/>
        </w:trPr>
        <w:tc>
          <w:tcPr>
            <w:tcW w:w="862" w:type="pct"/>
            <w:shd w:val="clear" w:color="auto" w:fill="auto"/>
            <w:vAlign w:val="center"/>
          </w:tcPr>
          <w:p w14:paraId="75C6530F" w14:textId="77777777" w:rsidR="000624AF" w:rsidRPr="00E74297" w:rsidRDefault="000624AF" w:rsidP="000624AF">
            <w:pPr>
              <w:pStyle w:val="TableText0"/>
              <w:keepNext w:val="0"/>
            </w:pPr>
            <w:r w:rsidRPr="00E74297">
              <w:t>Uptake rate</w:t>
            </w:r>
          </w:p>
        </w:tc>
        <w:tc>
          <w:tcPr>
            <w:tcW w:w="1887" w:type="pct"/>
            <w:shd w:val="clear" w:color="auto" w:fill="auto"/>
            <w:vAlign w:val="center"/>
          </w:tcPr>
          <w:p w14:paraId="546D5125" w14:textId="77777777" w:rsidR="000624AF" w:rsidRPr="00E74297" w:rsidRDefault="000624AF" w:rsidP="000624AF">
            <w:pPr>
              <w:pStyle w:val="TableText0"/>
              <w:keepNext w:val="0"/>
            </w:pPr>
            <w:r w:rsidRPr="00E74297">
              <w:t>65% in Year 1, increasing to 75% by Year 3. Based on local clinical opinion.</w:t>
            </w:r>
          </w:p>
        </w:tc>
        <w:tc>
          <w:tcPr>
            <w:tcW w:w="2251" w:type="pct"/>
            <w:shd w:val="clear" w:color="auto" w:fill="auto"/>
          </w:tcPr>
          <w:p w14:paraId="2D404AC3" w14:textId="4002C580" w:rsidR="009F0758" w:rsidRPr="00E74297" w:rsidRDefault="00762EFB" w:rsidP="000624AF">
            <w:pPr>
              <w:pStyle w:val="TableText0"/>
              <w:keepNext w:val="0"/>
            </w:pPr>
            <w:r w:rsidRPr="00E74297">
              <w:t>The evaluation considered this m</w:t>
            </w:r>
            <w:r w:rsidR="000624AF" w:rsidRPr="00E74297">
              <w:t>ay be an underestimate given the claim of superiority for SG over current options</w:t>
            </w:r>
            <w:r w:rsidRPr="00E74297">
              <w:t>.</w:t>
            </w:r>
          </w:p>
          <w:p w14:paraId="00CEEB76" w14:textId="379CF9FA" w:rsidR="000624AF" w:rsidRPr="00E74297" w:rsidRDefault="009F0758" w:rsidP="000624AF">
            <w:pPr>
              <w:pStyle w:val="TableText0"/>
              <w:keepNext w:val="0"/>
            </w:pPr>
            <w:r w:rsidRPr="00E74297">
              <w:t>The PSCR provided updated financial estimates with the inclusion of uptake rates</w:t>
            </w:r>
            <w:r w:rsidR="007E2A59" w:rsidRPr="00E74297">
              <w:t xml:space="preserve"> from</w:t>
            </w:r>
            <w:r w:rsidRPr="00E74297">
              <w:t xml:space="preserve"> the mTNBC submission (Table 15, sacituzumab govitecan PSD, March 2022 PBAC Meeting)</w:t>
            </w:r>
            <w:r w:rsidR="00CF4B64" w:rsidRPr="00E74297">
              <w:t xml:space="preserve">: </w:t>
            </w:r>
            <w:r w:rsidRPr="00E74297">
              <w:t>73% in Year 1, increasing to 78% in Year 2 and 85% in Year 3 and thereafter.</w:t>
            </w:r>
            <w:r w:rsidR="00762EFB" w:rsidRPr="00E74297">
              <w:t xml:space="preserve"> The PBAC considered that the submission’s estimates were likely to be more reasonable as SG is a relatively toxic treatment for a heavily pre-treated population and uptake may be lower than in the mTNBC setting.</w:t>
            </w:r>
          </w:p>
        </w:tc>
      </w:tr>
      <w:tr w:rsidR="000624AF" w:rsidRPr="00E74297" w14:paraId="59A1D08E" w14:textId="77777777" w:rsidTr="00F927DB">
        <w:trPr>
          <w:cantSplit/>
        </w:trPr>
        <w:tc>
          <w:tcPr>
            <w:tcW w:w="862" w:type="pct"/>
            <w:shd w:val="clear" w:color="auto" w:fill="auto"/>
            <w:vAlign w:val="center"/>
          </w:tcPr>
          <w:p w14:paraId="3199CAAC" w14:textId="77777777" w:rsidR="000624AF" w:rsidRPr="00E74297" w:rsidRDefault="000624AF" w:rsidP="000624AF">
            <w:pPr>
              <w:pStyle w:val="TableText0"/>
              <w:keepNext w:val="0"/>
            </w:pPr>
            <w:r w:rsidRPr="00E74297">
              <w:t>Average number of SG scripts per patient</w:t>
            </w:r>
          </w:p>
        </w:tc>
        <w:tc>
          <w:tcPr>
            <w:tcW w:w="1887" w:type="pct"/>
            <w:shd w:val="clear" w:color="auto" w:fill="auto"/>
            <w:vAlign w:val="center"/>
          </w:tcPr>
          <w:p w14:paraId="7400E6A2" w14:textId="6272FEAC" w:rsidR="000624AF" w:rsidRPr="00E74297" w:rsidRDefault="000624AF" w:rsidP="000624AF">
            <w:pPr>
              <w:pStyle w:val="TableText0"/>
              <w:keepNext w:val="0"/>
            </w:pPr>
            <w:r w:rsidRPr="00E74297">
              <w:t>12.3 scripts per patient-year on treatment (equivalent to 6.3 scripts per patient treated). Derived from average treatment duration estimated from the economic model (6.08 months), assuming two scripts every 21 days, and adjustment for compliance, assuming 70% RDI.</w:t>
            </w:r>
          </w:p>
        </w:tc>
        <w:tc>
          <w:tcPr>
            <w:tcW w:w="2251" w:type="pct"/>
            <w:shd w:val="clear" w:color="auto" w:fill="auto"/>
          </w:tcPr>
          <w:p w14:paraId="50D868B1" w14:textId="4878E08B" w:rsidR="000624AF" w:rsidRPr="00E74297" w:rsidRDefault="000624AF" w:rsidP="000624AF">
            <w:pPr>
              <w:pStyle w:val="TableText0"/>
              <w:keepNext w:val="0"/>
            </w:pPr>
            <w:r w:rsidRPr="00E74297">
              <w:t>The adjustment of the number of scripts for dose compliance was not appropriate and was lower than applied in the economic model (17.6). Further, it is not appropriate to apply estimates of scripts per patient to patient-years on treatment.</w:t>
            </w:r>
            <w:r w:rsidR="00073BD7" w:rsidRPr="00E74297">
              <w:t xml:space="preserve"> The PSCR provided updated financial estimates with the inclusion of 17.6 scripts per course of SG</w:t>
            </w:r>
            <w:r w:rsidR="00B22C7C" w:rsidRPr="00E74297">
              <w:t>, the PBAC considered this was appropriate</w:t>
            </w:r>
            <w:r w:rsidR="00073BD7" w:rsidRPr="00E74297">
              <w:t>.</w:t>
            </w:r>
          </w:p>
          <w:p w14:paraId="619CDB9C" w14:textId="06E85770" w:rsidR="003D0B92" w:rsidRPr="00E74297" w:rsidRDefault="003D0B92" w:rsidP="000624AF">
            <w:pPr>
              <w:pStyle w:val="TableText0"/>
              <w:keepNext w:val="0"/>
            </w:pPr>
            <w:r w:rsidRPr="00E74297">
              <w:t>The PBAC considered the application of 70% RDI for SG was reasonable.</w:t>
            </w:r>
          </w:p>
        </w:tc>
      </w:tr>
      <w:tr w:rsidR="000624AF" w:rsidRPr="00E74297" w14:paraId="0E6C9C56" w14:textId="77777777" w:rsidTr="00F927DB">
        <w:trPr>
          <w:cantSplit/>
        </w:trPr>
        <w:tc>
          <w:tcPr>
            <w:tcW w:w="862" w:type="pct"/>
            <w:shd w:val="clear" w:color="auto" w:fill="auto"/>
            <w:vAlign w:val="center"/>
          </w:tcPr>
          <w:p w14:paraId="2FCAAC1B" w14:textId="77777777" w:rsidR="000624AF" w:rsidRPr="00E74297" w:rsidRDefault="000624AF" w:rsidP="000624AF">
            <w:pPr>
              <w:pStyle w:val="TableText0"/>
              <w:keepNext w:val="0"/>
            </w:pPr>
            <w:r w:rsidRPr="00E74297">
              <w:lastRenderedPageBreak/>
              <w:t>SG cost per script</w:t>
            </w:r>
          </w:p>
        </w:tc>
        <w:tc>
          <w:tcPr>
            <w:tcW w:w="1887" w:type="pct"/>
            <w:shd w:val="clear" w:color="auto" w:fill="auto"/>
            <w:vAlign w:val="center"/>
          </w:tcPr>
          <w:p w14:paraId="0D395D74" w14:textId="00CC3223" w:rsidR="000624AF" w:rsidRPr="00E74297" w:rsidRDefault="000624AF" w:rsidP="000624AF">
            <w:pPr>
              <w:pStyle w:val="TableText0"/>
              <w:keepNext w:val="0"/>
            </w:pPr>
            <w:r w:rsidRPr="00E74297">
              <w:t>$</w:t>
            </w:r>
            <w:r w:rsidR="006F55C1" w:rsidRPr="001777F5">
              <w:rPr>
                <w:color w:val="000000"/>
                <w:spacing w:val="45"/>
                <w:shd w:val="solid" w:color="000000" w:fill="000000"/>
                <w:fitText w:val="330" w:id="-1168282355"/>
                <w14:textFill>
                  <w14:solidFill>
                    <w14:srgbClr w14:val="000000">
                      <w14:alpha w14:val="100000"/>
                    </w14:srgbClr>
                  </w14:solidFill>
                </w14:textFill>
              </w:rPr>
              <w:t>|||</w:t>
            </w:r>
            <w:r w:rsidR="006F55C1" w:rsidRPr="001777F5">
              <w:rPr>
                <w:color w:val="000000"/>
                <w:spacing w:val="15"/>
                <w:shd w:val="solid" w:color="000000" w:fill="000000"/>
                <w:fitText w:val="330" w:id="-1168282355"/>
                <w14:textFill>
                  <w14:solidFill>
                    <w14:srgbClr w14:val="000000">
                      <w14:alpha w14:val="100000"/>
                    </w14:srgbClr>
                  </w14:solidFill>
                </w14:textFill>
              </w:rPr>
              <w:t>|</w:t>
            </w:r>
            <w:r w:rsidRPr="00E74297">
              <w:t xml:space="preserve"> based on the DPMA weighted by the split of public and private services for eribulin, vinorelbine and gemcitabine in 2022. </w:t>
            </w:r>
          </w:p>
        </w:tc>
        <w:tc>
          <w:tcPr>
            <w:tcW w:w="2251" w:type="pct"/>
            <w:shd w:val="clear" w:color="auto" w:fill="auto"/>
          </w:tcPr>
          <w:p w14:paraId="6CC2F637" w14:textId="14E3ECB8" w:rsidR="000624AF" w:rsidRPr="00E74297" w:rsidRDefault="000624AF" w:rsidP="000624AF">
            <w:pPr>
              <w:pStyle w:val="TableText0"/>
              <w:keepNext w:val="0"/>
            </w:pPr>
            <w:r w:rsidRPr="00E74297">
              <w:t>This is not appropriate as not every patient would receive the maximum amount per script (i.e. 1,620 mg).</w:t>
            </w:r>
            <w:r w:rsidR="00CF4B64" w:rsidRPr="00E74297">
              <w:t xml:space="preserve"> The updated financial estimates provided in the PSCR applied the cost of the mean dose per patient with no drug wastage (as applied in the economic model i.e., $</w:t>
            </w:r>
            <w:r w:rsidR="006F55C1" w:rsidRPr="001777F5">
              <w:rPr>
                <w:color w:val="000000"/>
                <w:spacing w:val="45"/>
                <w:shd w:val="solid" w:color="000000" w:fill="000000"/>
                <w:fitText w:val="330" w:id="-1168282354"/>
                <w14:textFill>
                  <w14:solidFill>
                    <w14:srgbClr w14:val="000000">
                      <w14:alpha w14:val="100000"/>
                    </w14:srgbClr>
                  </w14:solidFill>
                </w14:textFill>
              </w:rPr>
              <w:t>|||</w:t>
            </w:r>
            <w:r w:rsidR="006F55C1" w:rsidRPr="001777F5">
              <w:rPr>
                <w:color w:val="000000"/>
                <w:spacing w:val="15"/>
                <w:shd w:val="solid" w:color="000000" w:fill="000000"/>
                <w:fitText w:val="330" w:id="-1168282354"/>
                <w14:textFill>
                  <w14:solidFill>
                    <w14:srgbClr w14:val="000000">
                      <w14:alpha w14:val="100000"/>
                    </w14:srgbClr>
                  </w14:solidFill>
                </w14:textFill>
              </w:rPr>
              <w:t>|</w:t>
            </w:r>
            <w:r w:rsidR="00CF4B64" w:rsidRPr="00E74297">
              <w:t xml:space="preserve"> at effective SG price and $4,017.39 at published SG price).</w:t>
            </w:r>
            <w:r w:rsidR="00B22C7C" w:rsidRPr="00E74297">
              <w:t xml:space="preserve"> The PBAC considered that</w:t>
            </w:r>
            <w:r w:rsidR="00056893" w:rsidRPr="00E74297">
              <w:t>, as for the economic model, wastage should be accounted for in the financial estimates.</w:t>
            </w:r>
            <w:r w:rsidR="00B22C7C" w:rsidRPr="00E74297">
              <w:t xml:space="preserve"> </w:t>
            </w:r>
          </w:p>
        </w:tc>
      </w:tr>
      <w:tr w:rsidR="000624AF" w:rsidRPr="00E74297" w14:paraId="2FC4B903" w14:textId="77777777" w:rsidTr="00F927DB">
        <w:trPr>
          <w:cantSplit/>
        </w:trPr>
        <w:tc>
          <w:tcPr>
            <w:tcW w:w="862" w:type="pct"/>
            <w:shd w:val="clear" w:color="auto" w:fill="auto"/>
            <w:vAlign w:val="center"/>
          </w:tcPr>
          <w:p w14:paraId="77B6488F" w14:textId="77777777" w:rsidR="000624AF" w:rsidRPr="00E74297" w:rsidRDefault="000624AF" w:rsidP="000624AF">
            <w:pPr>
              <w:pStyle w:val="TableText0"/>
              <w:keepNext w:val="0"/>
            </w:pPr>
            <w:r w:rsidRPr="00E74297">
              <w:t>Average number of TPC scripts per patient</w:t>
            </w:r>
          </w:p>
        </w:tc>
        <w:tc>
          <w:tcPr>
            <w:tcW w:w="1887" w:type="pct"/>
            <w:shd w:val="clear" w:color="auto" w:fill="auto"/>
            <w:vAlign w:val="center"/>
          </w:tcPr>
          <w:p w14:paraId="270A946E" w14:textId="77777777" w:rsidR="000624AF" w:rsidRPr="00E74297" w:rsidRDefault="000624AF" w:rsidP="000624AF">
            <w:pPr>
              <w:pStyle w:val="TableText0"/>
              <w:keepNext w:val="0"/>
            </w:pPr>
            <w:r w:rsidRPr="00E74297">
              <w:t>Derived from the average duration of each TPC as observed in the TROPiCS-02 trial and the number of administrations (or packs) required per treatment cycle.</w:t>
            </w:r>
          </w:p>
        </w:tc>
        <w:tc>
          <w:tcPr>
            <w:tcW w:w="2251" w:type="pct"/>
            <w:shd w:val="clear" w:color="auto" w:fill="auto"/>
          </w:tcPr>
          <w:p w14:paraId="5BED0AD0" w14:textId="06FCF942" w:rsidR="000624AF" w:rsidRPr="00E74297" w:rsidRDefault="000624AF" w:rsidP="000624AF">
            <w:pPr>
              <w:pStyle w:val="TableText0"/>
              <w:keepNext w:val="0"/>
            </w:pPr>
            <w:r w:rsidRPr="00E74297">
              <w:t>As for the estimated number of SG scripts, the submission erroneously applied the estimated number of scripts per patient to each patient-year on treatment.</w:t>
            </w:r>
            <w:r w:rsidR="00BD24AF" w:rsidRPr="00E74297">
              <w:t xml:space="preserve"> The PSCR stated it had applied ‘similar adjustments’ to the TPC scripts as described for SG (above).</w:t>
            </w:r>
          </w:p>
        </w:tc>
      </w:tr>
      <w:tr w:rsidR="000624AF" w:rsidRPr="00E74297" w14:paraId="1D411E81" w14:textId="77777777" w:rsidTr="00F927DB">
        <w:trPr>
          <w:cantSplit/>
        </w:trPr>
        <w:tc>
          <w:tcPr>
            <w:tcW w:w="862" w:type="pct"/>
            <w:shd w:val="clear" w:color="auto" w:fill="auto"/>
            <w:vAlign w:val="center"/>
          </w:tcPr>
          <w:p w14:paraId="28FA6DB3" w14:textId="77777777" w:rsidR="000624AF" w:rsidRPr="00E74297" w:rsidRDefault="000624AF" w:rsidP="000624AF">
            <w:pPr>
              <w:pStyle w:val="TableText0"/>
              <w:keepNext w:val="0"/>
            </w:pPr>
            <w:r w:rsidRPr="00E74297">
              <w:t>Cost per TPC script</w:t>
            </w:r>
          </w:p>
        </w:tc>
        <w:tc>
          <w:tcPr>
            <w:tcW w:w="1887" w:type="pct"/>
            <w:shd w:val="clear" w:color="auto" w:fill="auto"/>
            <w:vAlign w:val="center"/>
          </w:tcPr>
          <w:p w14:paraId="2A4F3C0D" w14:textId="77777777" w:rsidR="000624AF" w:rsidRPr="00E74297" w:rsidRDefault="000624AF" w:rsidP="000624AF">
            <w:pPr>
              <w:pStyle w:val="TableText0"/>
              <w:keepNext w:val="0"/>
            </w:pPr>
            <w:r w:rsidRPr="00E74297">
              <w:t>For infusible therapies, the DPMA was weighted by the split of public and private services observed in 2022.</w:t>
            </w:r>
          </w:p>
        </w:tc>
        <w:tc>
          <w:tcPr>
            <w:tcW w:w="2251" w:type="pct"/>
            <w:shd w:val="clear" w:color="auto" w:fill="auto"/>
          </w:tcPr>
          <w:p w14:paraId="3CBF9843" w14:textId="57F3D934" w:rsidR="000624AF" w:rsidRPr="00E74297" w:rsidRDefault="000624AF" w:rsidP="000624AF">
            <w:pPr>
              <w:pStyle w:val="TableText0"/>
              <w:keepNext w:val="0"/>
            </w:pPr>
            <w:r w:rsidRPr="00E74297">
              <w:t>It was not appropriate to assume that patients would receive the maximum amount per script.</w:t>
            </w:r>
            <w:r w:rsidR="00BD24AF" w:rsidRPr="00E74297">
              <w:t xml:space="preserve"> </w:t>
            </w:r>
          </w:p>
        </w:tc>
      </w:tr>
      <w:tr w:rsidR="000624AF" w:rsidRPr="00E74297" w14:paraId="6F0CE6B0" w14:textId="77777777" w:rsidTr="00F927DB">
        <w:trPr>
          <w:cantSplit/>
        </w:trPr>
        <w:tc>
          <w:tcPr>
            <w:tcW w:w="862" w:type="pct"/>
            <w:shd w:val="clear" w:color="auto" w:fill="auto"/>
            <w:vAlign w:val="center"/>
          </w:tcPr>
          <w:p w14:paraId="663BFE5F" w14:textId="77777777" w:rsidR="000624AF" w:rsidRPr="00E74297" w:rsidRDefault="000624AF" w:rsidP="000624AF">
            <w:pPr>
              <w:pStyle w:val="TableText0"/>
              <w:keepNext w:val="0"/>
            </w:pPr>
            <w:r w:rsidRPr="00E74297">
              <w:t>MBS items</w:t>
            </w:r>
          </w:p>
        </w:tc>
        <w:tc>
          <w:tcPr>
            <w:tcW w:w="1887" w:type="pct"/>
            <w:shd w:val="clear" w:color="auto" w:fill="auto"/>
            <w:vAlign w:val="center"/>
          </w:tcPr>
          <w:p w14:paraId="269A759A" w14:textId="77777777" w:rsidR="000624AF" w:rsidRPr="00E74297" w:rsidRDefault="000624AF" w:rsidP="000624AF">
            <w:pPr>
              <w:pStyle w:val="TableText0"/>
              <w:keepNext w:val="0"/>
            </w:pPr>
            <w:r w:rsidRPr="00E74297">
              <w:t>The submission claimed changes in the use and cost per patient (or per script) of a number of MBS services (13950 for IV administration; 104, 105 and 23 for specialist and GP attendances; and items 57001, 65060 and 66503 for monitoring tests associated with treatment).</w:t>
            </w:r>
          </w:p>
        </w:tc>
        <w:tc>
          <w:tcPr>
            <w:tcW w:w="2251" w:type="pct"/>
            <w:shd w:val="clear" w:color="auto" w:fill="auto"/>
          </w:tcPr>
          <w:p w14:paraId="0E9E6ECA" w14:textId="463D9E77" w:rsidR="000624AF" w:rsidRPr="00E74297" w:rsidRDefault="000624AF" w:rsidP="000624AF">
            <w:pPr>
              <w:pStyle w:val="TableText0"/>
              <w:keepNext w:val="0"/>
            </w:pPr>
            <w:r w:rsidRPr="00E74297">
              <w:t xml:space="preserve">Changes in GP use may not be realised. Changes in use were based on estimates on a per-patient level, </w:t>
            </w:r>
            <w:r w:rsidR="00343E3C" w:rsidRPr="00E74297">
              <w:t>however,</w:t>
            </w:r>
            <w:r w:rsidRPr="00E74297">
              <w:t xml:space="preserve"> were applied to patient-years on treatment, which was not appropriate.</w:t>
            </w:r>
          </w:p>
        </w:tc>
      </w:tr>
    </w:tbl>
    <w:p w14:paraId="5CFAEDB0" w14:textId="77777777" w:rsidR="000624AF" w:rsidRPr="00E74297" w:rsidRDefault="000624AF" w:rsidP="000624AF">
      <w:pPr>
        <w:pStyle w:val="FooterTableFigure"/>
      </w:pPr>
      <w:r w:rsidRPr="00E74297">
        <w:t>Source: Constructed during the evaluation from Table 4.1−1, p151 of the submission; and from the ‘Attachment 12 Trodelvy HRHER2 mBC Financial Model.xlsx’ workbook.</w:t>
      </w:r>
    </w:p>
    <w:p w14:paraId="217D6D9A" w14:textId="6FE3DAC6" w:rsidR="000624AF" w:rsidRPr="00E74297" w:rsidRDefault="000624AF" w:rsidP="000624AF">
      <w:pPr>
        <w:pStyle w:val="FooterTableFigure"/>
      </w:pPr>
      <w:bookmarkStart w:id="85" w:name="_Hlk134711938"/>
      <w:r w:rsidRPr="00E74297">
        <w:t>ABS = Australian Bureau of Statistics; AIHW = Australian Institute of Health and Welfare; DPMA = dispensed price for maximum amount; GP = general practitioner; HER2 = Human epidermal growth factor receptor 2; HR = hormone receptor; IV = intravenous; MBS = Medicare Benefits Scheme; PBAC = Pharmaceutical Benefits Advisory Committee; RDI = relative dose intensity; SG = sacituzumab govitecan;</w:t>
      </w:r>
      <w:r w:rsidR="00903C71">
        <w:t xml:space="preserve"> </w:t>
      </w:r>
      <w:r w:rsidRPr="00E74297">
        <w:t>TNBC = triple negative breast cancer; TPC = treatment of physician choice (consisting of eribulin, capecitabine, gemcitabine or vinorelbine).</w:t>
      </w:r>
    </w:p>
    <w:bookmarkEnd w:id="85"/>
    <w:p w14:paraId="63E27FAA" w14:textId="77777777" w:rsidR="000624AF" w:rsidRPr="00E74297" w:rsidRDefault="000624AF" w:rsidP="000624AF">
      <w:pPr>
        <w:pStyle w:val="FooterTableFigure"/>
      </w:pPr>
      <w:r w:rsidRPr="00E74297">
        <w:rPr>
          <w:vertAlign w:val="superscript"/>
        </w:rPr>
        <w:t xml:space="preserve">a </w:t>
      </w:r>
      <w:r w:rsidRPr="00E74297">
        <w:t>Australian Institute of Health Welfare 2022, Supplementary tables for Chapter 3: Cancer projections and Australia's ageing population, AIHW, Canberra.</w:t>
      </w:r>
    </w:p>
    <w:p w14:paraId="03488AFB" w14:textId="77777777" w:rsidR="000624AF" w:rsidRPr="00E74297" w:rsidRDefault="000624AF" w:rsidP="000624AF">
      <w:pPr>
        <w:pStyle w:val="FooterTableFigure"/>
      </w:pPr>
      <w:r w:rsidRPr="00E74297">
        <w:rPr>
          <w:vertAlign w:val="superscript"/>
        </w:rPr>
        <w:t xml:space="preserve">b </w:t>
      </w:r>
      <w:r w:rsidRPr="00E74297">
        <w:t>Boyle F, Beith J, Burslem K, de Boer R, Hui R, Lim E, et al. Hormone receptor positive, HER2 negative metastatic breast cancer: impact of CDK4/6 inhibitors on the current treatment paradigm. Asia‐Pacific Journal of Clinical Oncology. 2018;14:3-11.</w:t>
      </w:r>
    </w:p>
    <w:p w14:paraId="11087A15" w14:textId="77777777" w:rsidR="000624AF" w:rsidRPr="00E74297" w:rsidRDefault="000624AF" w:rsidP="000624AF">
      <w:pPr>
        <w:pStyle w:val="FooterTableFigure"/>
      </w:pPr>
      <w:r w:rsidRPr="00E74297">
        <w:rPr>
          <w:vertAlign w:val="superscript"/>
        </w:rPr>
        <w:t xml:space="preserve">c </w:t>
      </w:r>
      <w:r w:rsidRPr="00E74297">
        <w:t>Australian Institute of Health Welfare 2021, Cancer in Australia 2021, AIHW, Canberra.</w:t>
      </w:r>
    </w:p>
    <w:p w14:paraId="0D402245" w14:textId="77777777" w:rsidR="000624AF" w:rsidRPr="00E74297" w:rsidRDefault="000624AF" w:rsidP="000624AF">
      <w:pPr>
        <w:pStyle w:val="FooterTableFigure"/>
      </w:pPr>
      <w:r w:rsidRPr="00E74297">
        <w:rPr>
          <w:vertAlign w:val="superscript"/>
        </w:rPr>
        <w:t xml:space="preserve">d </w:t>
      </w:r>
      <w:r w:rsidRPr="00E74297">
        <w:t xml:space="preserve">Moo TA, Sanford R, Dang C, Morrow M. Overview of Breast Cancer Therapy. </w:t>
      </w:r>
      <w:r w:rsidRPr="00E74297">
        <w:rPr>
          <w:i/>
        </w:rPr>
        <w:t>PET Clin</w:t>
      </w:r>
      <w:r w:rsidRPr="00E74297">
        <w:t>. 2018 Jul;13(3):339-54.</w:t>
      </w:r>
    </w:p>
    <w:p w14:paraId="706F62BE" w14:textId="2A42142F" w:rsidR="000624AF" w:rsidRPr="00E74297" w:rsidRDefault="000624AF" w:rsidP="000624AF">
      <w:pPr>
        <w:pStyle w:val="FooterTableFigure"/>
      </w:pPr>
      <w:r w:rsidRPr="00E74297">
        <w:rPr>
          <w:vertAlign w:val="superscript"/>
        </w:rPr>
        <w:t>e</w:t>
      </w:r>
      <w:r w:rsidRPr="00E74297">
        <w:t xml:space="preserve"> Lord SJ, Daniels B, Kiely BE, O'Connell DL, Beith J, Pearson S, et al. </w:t>
      </w:r>
      <w:r w:rsidR="00606C6B" w:rsidRPr="00E74297">
        <w:t>Long-term</w:t>
      </w:r>
      <w:r w:rsidRPr="00E74297">
        <w:t xml:space="preserve"> risk of distant metastasis in women with non-metastatic breast cancer and survival after metastasis detection: a population-based linked health records study. </w:t>
      </w:r>
      <w:r w:rsidRPr="00E74297">
        <w:rPr>
          <w:i/>
        </w:rPr>
        <w:t>Medical Journal of Australia</w:t>
      </w:r>
      <w:r w:rsidRPr="00E74297">
        <w:t>. 2022;217(8):402-9.</w:t>
      </w:r>
    </w:p>
    <w:p w14:paraId="7C2BFD45" w14:textId="77777777" w:rsidR="000624AF" w:rsidRPr="00E74297" w:rsidRDefault="000624AF" w:rsidP="000624AF">
      <w:pPr>
        <w:pStyle w:val="FooterTableFigure"/>
      </w:pPr>
      <w:r w:rsidRPr="00E74297">
        <w:rPr>
          <w:vertAlign w:val="superscript"/>
        </w:rPr>
        <w:t xml:space="preserve">f </w:t>
      </w:r>
      <w:r w:rsidRPr="00E74297">
        <w:t xml:space="preserve">Bernardo G, Palumbo R, Poggi G, Bernardo A, Teragni C, Frascaroli M, et al. Abstract P6-11-03: Beyond the Second Line Chemotherapy in Metastatic Breast Cancer: When Stop the Treatment between Science and Conscience. </w:t>
      </w:r>
      <w:r w:rsidRPr="00E74297">
        <w:rPr>
          <w:i/>
        </w:rPr>
        <w:t>Cancer Research</w:t>
      </w:r>
      <w:r w:rsidRPr="00E74297">
        <w:t>. 2010;70(24_Supplement):P6-11-03-P6-11-03.</w:t>
      </w:r>
    </w:p>
    <w:p w14:paraId="3640BAFD" w14:textId="77777777" w:rsidR="000E337C" w:rsidRPr="00E74297" w:rsidRDefault="000624AF" w:rsidP="000624AF">
      <w:pPr>
        <w:pStyle w:val="3-BodyText"/>
      </w:pPr>
      <w:r w:rsidRPr="00E74297">
        <w:t xml:space="preserve">The epidemiological approach and key inputs were similar to those previously presented to the PBAC (fulvestrant </w:t>
      </w:r>
      <w:r w:rsidR="00AD42E0" w:rsidRPr="00E74297">
        <w:t>PSD</w:t>
      </w:r>
      <w:r w:rsidRPr="00E74297">
        <w:t xml:space="preserve">, July 2020 PBAC Meeting). </w:t>
      </w:r>
      <w:r w:rsidR="002F330F" w:rsidRPr="00E74297">
        <w:t>The PBAC considered that estimating the proportion of patients with Stage III/IV disease (incident or progressed) is complex and uncertain as it involved a number of steps with limited and dated data. The PBAC considered that a more robust approach would be to use the number of incident patients treated with CDK4/6 inhibitors for HR+/HER2- mBC</w:t>
      </w:r>
      <w:r w:rsidR="00DC5F20" w:rsidRPr="00E74297">
        <w:t xml:space="preserve">. </w:t>
      </w:r>
      <w:r w:rsidR="002F330F" w:rsidRPr="00E74297">
        <w:t>Drug utilisation data provided by the DUSC Secretariat indicated that 2</w:t>
      </w:r>
      <w:r w:rsidR="000D4E80" w:rsidRPr="00E74297">
        <w:t>,</w:t>
      </w:r>
      <w:r w:rsidR="002F330F" w:rsidRPr="00E74297">
        <w:t xml:space="preserve">031 patients were initiated on CDK4/6 inhibitors </w:t>
      </w:r>
      <w:r w:rsidR="000D4E80" w:rsidRPr="00E74297">
        <w:t xml:space="preserve">(palbociclib, ribociclib and abemaciclib) </w:t>
      </w:r>
      <w:r w:rsidR="002F330F" w:rsidRPr="00E74297">
        <w:t>in the most recent 12 months of data</w:t>
      </w:r>
      <w:r w:rsidR="000D4E80" w:rsidRPr="00E74297">
        <w:t xml:space="preserve"> (July 2022 to June 2023)</w:t>
      </w:r>
      <w:r w:rsidR="002F330F" w:rsidRPr="00E74297">
        <w:t xml:space="preserve">. </w:t>
      </w:r>
      <w:r w:rsidR="00DC5F20" w:rsidRPr="00E74297">
        <w:t>The PBAC considered that around 60% (1,219 patients) would be in the 4</w:t>
      </w:r>
      <w:r w:rsidR="00DC5F20" w:rsidRPr="00E74297">
        <w:rPr>
          <w:vertAlign w:val="superscript"/>
        </w:rPr>
        <w:t>th</w:t>
      </w:r>
      <w:r w:rsidR="00DC5F20" w:rsidRPr="00E74297">
        <w:t xml:space="preserve"> line or later of therapy and </w:t>
      </w:r>
      <w:r w:rsidR="00DC5F20" w:rsidRPr="00E74297">
        <w:lastRenderedPageBreak/>
        <w:t xml:space="preserve">therefore eligible for SG. </w:t>
      </w:r>
      <w:r w:rsidR="002F330F" w:rsidRPr="00E74297">
        <w:t>Th</w:t>
      </w:r>
      <w:r w:rsidR="000D4E80" w:rsidRPr="00E74297">
        <w:t>e PBAC considered th</w:t>
      </w:r>
      <w:r w:rsidR="002F330F" w:rsidRPr="00E74297">
        <w:t xml:space="preserve">is suggests that the </w:t>
      </w:r>
      <w:r w:rsidR="000D4E80" w:rsidRPr="00E74297">
        <w:t xml:space="preserve">number of eligible patients </w:t>
      </w:r>
      <w:r w:rsidR="00DC5F20" w:rsidRPr="00E74297">
        <w:t xml:space="preserve">(3,620 in year 1) </w:t>
      </w:r>
      <w:r w:rsidR="00825DA6" w:rsidRPr="00E74297">
        <w:t>wa</w:t>
      </w:r>
      <w:r w:rsidR="000D4E80" w:rsidRPr="00E74297">
        <w:t>s substantially overestimated</w:t>
      </w:r>
      <w:r w:rsidR="00825DA6" w:rsidRPr="00E74297">
        <w:t>.</w:t>
      </w:r>
    </w:p>
    <w:p w14:paraId="22560544" w14:textId="31F3051C" w:rsidR="000624AF" w:rsidRPr="00E74297" w:rsidRDefault="000624AF" w:rsidP="000624AF">
      <w:pPr>
        <w:pStyle w:val="3-BodyText"/>
      </w:pPr>
      <w:bookmarkStart w:id="86" w:name="_Ref138058770"/>
      <w:r w:rsidRPr="00E74297">
        <w:t xml:space="preserve">The average duration of SG treatment was assumed to be 6.08 months (equivalent to 8.8 treatment cycles), based on the average time on treatment estimated in the economic model. </w:t>
      </w:r>
      <w:r w:rsidR="003D0B92" w:rsidRPr="00E74297">
        <w:t>There were errors in the submission’s calculation of sc</w:t>
      </w:r>
      <w:r w:rsidR="00056893" w:rsidRPr="00E74297">
        <w:t>r</w:t>
      </w:r>
      <w:r w:rsidR="003D0B92" w:rsidRPr="00E74297">
        <w:t>ipts per patient and the application of the RDI to the number of scripts.</w:t>
      </w:r>
      <w:r w:rsidR="007917CF" w:rsidRPr="00E74297">
        <w:t xml:space="preserve"> </w:t>
      </w:r>
      <w:r w:rsidR="001551EB" w:rsidRPr="00E74297">
        <w:t>The PSCR provided updated financial estimates with the inclusion of 17.64 scripts per course of SG.</w:t>
      </w:r>
      <w:r w:rsidR="002E1C81" w:rsidRPr="00E74297">
        <w:t xml:space="preserve"> </w:t>
      </w:r>
      <w:r w:rsidR="008C5CB4" w:rsidRPr="00E74297">
        <w:t>The PBAC agreed with ESC that these changes were appropriate.</w:t>
      </w:r>
      <w:bookmarkEnd w:id="86"/>
    </w:p>
    <w:p w14:paraId="668F010E" w14:textId="5317DC7C" w:rsidR="009D6510" w:rsidRPr="00E74297" w:rsidRDefault="000624AF" w:rsidP="000624AF">
      <w:pPr>
        <w:pStyle w:val="3-BodyText"/>
      </w:pPr>
      <w:bookmarkStart w:id="87" w:name="_Ref138058774"/>
      <w:r w:rsidRPr="00E74297">
        <w:t>The submission assumed a cost of $</w:t>
      </w:r>
      <w:r w:rsidR="006F55C1" w:rsidRPr="00057A97">
        <w:rPr>
          <w:color w:val="000000"/>
          <w:w w:val="61"/>
          <w:shd w:val="solid" w:color="000000" w:fill="000000"/>
          <w:fitText w:val="475" w:id="-1168282353"/>
          <w14:textFill>
            <w14:solidFill>
              <w14:srgbClr w14:val="000000">
                <w14:alpha w14:val="100000"/>
              </w14:srgbClr>
            </w14:solidFill>
          </w14:textFill>
        </w:rPr>
        <w:t>|||  ||</w:t>
      </w:r>
      <w:r w:rsidR="006F55C1" w:rsidRPr="00057A97">
        <w:rPr>
          <w:color w:val="000000"/>
          <w:spacing w:val="5"/>
          <w:w w:val="61"/>
          <w:shd w:val="solid" w:color="000000" w:fill="000000"/>
          <w:fitText w:val="475" w:id="-1168282353"/>
          <w14:textFill>
            <w14:solidFill>
              <w14:srgbClr w14:val="000000">
                <w14:alpha w14:val="100000"/>
              </w14:srgbClr>
            </w14:solidFill>
          </w14:textFill>
        </w:rPr>
        <w:t>|</w:t>
      </w:r>
      <w:r w:rsidRPr="00E74297">
        <w:t xml:space="preserve"> per script of SG. This was the proposed effective public and private hospital DPMAs, weighted by a distribution of 28% and 72%, respectively. This was not appropriate as not all patients will receive the maximum amount per script and hence the cost per script applied in the submission was </w:t>
      </w:r>
      <w:r w:rsidRPr="00895768">
        <w:t>overestimate</w:t>
      </w:r>
      <w:r w:rsidR="00A86931" w:rsidRPr="00895768">
        <w:t>d</w:t>
      </w:r>
      <w:r w:rsidRPr="00895768">
        <w:t xml:space="preserve">. </w:t>
      </w:r>
      <w:r w:rsidR="00056893" w:rsidRPr="00895768">
        <w:t>T</w:t>
      </w:r>
      <w:r w:rsidRPr="00895768">
        <w:t xml:space="preserve">he </w:t>
      </w:r>
      <w:r w:rsidR="00056893" w:rsidRPr="00895768">
        <w:t xml:space="preserve">PBAC considered the </w:t>
      </w:r>
      <w:r w:rsidRPr="00895768">
        <w:t xml:space="preserve">weighted dispensed price for the average </w:t>
      </w:r>
      <w:r w:rsidR="00B9785D" w:rsidRPr="00895768">
        <w:t>dose (i.e</w:t>
      </w:r>
      <w:r w:rsidR="00B9785D" w:rsidRPr="00926F87">
        <w:t>. $</w:t>
      </w:r>
      <w:r w:rsidR="006F55C1" w:rsidRPr="00075DC2">
        <w:rPr>
          <w:color w:val="000000"/>
          <w:w w:val="15"/>
          <w:shd w:val="solid" w:color="000000" w:fill="000000"/>
          <w:fitText w:val="-20" w:id="-1168282352"/>
          <w14:textFill>
            <w14:solidFill>
              <w14:srgbClr w14:val="000000">
                <w14:alpha w14:val="100000"/>
              </w14:srgbClr>
            </w14:solidFill>
          </w14:textFill>
        </w:rPr>
        <w:t xml:space="preserve">|  </w:t>
      </w:r>
      <w:r w:rsidR="006F55C1" w:rsidRPr="00075DC2">
        <w:rPr>
          <w:color w:val="000000"/>
          <w:spacing w:val="-69"/>
          <w:w w:val="15"/>
          <w:shd w:val="solid" w:color="000000" w:fill="000000"/>
          <w:fitText w:val="-20" w:id="-1168282352"/>
          <w14:textFill>
            <w14:solidFill>
              <w14:srgbClr w14:val="000000">
                <w14:alpha w14:val="100000"/>
              </w14:srgbClr>
            </w14:solidFill>
          </w14:textFill>
        </w:rPr>
        <w:t>|</w:t>
      </w:r>
      <w:r w:rsidR="00B9785D" w:rsidRPr="00926F87">
        <w:t xml:space="preserve">, </w:t>
      </w:r>
      <w:r w:rsidR="00B9785D" w:rsidRPr="00895768">
        <w:t>assuming</w:t>
      </w:r>
      <w:r w:rsidR="00B9785D" w:rsidRPr="00E74297">
        <w:t xml:space="preserve"> the 70% RDI and wastage) should be applied. In the updated financial estimates provided in the PSCR the sponsor maintained that drug wastage should be excluded (see paragraph </w:t>
      </w:r>
      <w:r w:rsidR="00B9785D" w:rsidRPr="00E74297">
        <w:fldChar w:fldCharType="begin" w:fldLock="1"/>
      </w:r>
      <w:r w:rsidR="00B9785D" w:rsidRPr="00E74297">
        <w:instrText xml:space="preserve"> REF _Ref137287062 \r \h  \* MERGEFORMAT </w:instrText>
      </w:r>
      <w:r w:rsidR="00B9785D" w:rsidRPr="00E74297">
        <w:fldChar w:fldCharType="separate"/>
      </w:r>
      <w:r w:rsidR="00B9785D" w:rsidRPr="00E74297">
        <w:t>6.45</w:t>
      </w:r>
      <w:r w:rsidR="00B9785D" w:rsidRPr="00E74297">
        <w:fldChar w:fldCharType="end"/>
      </w:r>
      <w:r w:rsidR="00B9785D" w:rsidRPr="00E74297">
        <w:t>) and applied the cost of the mean dose per patient with no drug wastage assumed (as applied in the economic model i.e., $</w:t>
      </w:r>
      <w:r w:rsidR="006F55C1" w:rsidRPr="00075DC2">
        <w:rPr>
          <w:color w:val="000000"/>
          <w:w w:val="15"/>
          <w:shd w:val="solid" w:color="000000" w:fill="000000"/>
          <w:fitText w:val="-20" w:id="-1168282368"/>
          <w14:textFill>
            <w14:solidFill>
              <w14:srgbClr w14:val="000000">
                <w14:alpha w14:val="100000"/>
              </w14:srgbClr>
            </w14:solidFill>
          </w14:textFill>
        </w:rPr>
        <w:t xml:space="preserve">|  </w:t>
      </w:r>
      <w:r w:rsidR="006F55C1" w:rsidRPr="00075DC2">
        <w:rPr>
          <w:color w:val="000000"/>
          <w:spacing w:val="-69"/>
          <w:w w:val="15"/>
          <w:shd w:val="solid" w:color="000000" w:fill="000000"/>
          <w:fitText w:val="-20" w:id="-1168282368"/>
          <w14:textFill>
            <w14:solidFill>
              <w14:srgbClr w14:val="000000">
                <w14:alpha w14:val="100000"/>
              </w14:srgbClr>
            </w14:solidFill>
          </w14:textFill>
        </w:rPr>
        <w:t>|</w:t>
      </w:r>
      <w:r w:rsidR="00B9785D" w:rsidRPr="00E74297">
        <w:t xml:space="preserve"> at effective SG price and $4,017.39 at published SG price). The ESC and PBAC agreed with the evaluation and considered the assumption of vial sharing was not appropriate and advised that the weighted dispensed price for the average dose of SG that includes both the RDI and wastage that was calculated during the eval</w:t>
      </w:r>
      <w:r w:rsidR="00B9785D" w:rsidRPr="00895768">
        <w:t>uation ($</w:t>
      </w:r>
      <w:r w:rsidR="006F55C1" w:rsidRPr="00075DC2">
        <w:rPr>
          <w:color w:val="000000"/>
          <w:w w:val="15"/>
          <w:shd w:val="solid" w:color="000000" w:fill="000000"/>
          <w:fitText w:val="-20" w:id="-1168282367"/>
          <w14:textFill>
            <w14:solidFill>
              <w14:srgbClr w14:val="000000">
                <w14:alpha w14:val="100000"/>
              </w14:srgbClr>
            </w14:solidFill>
          </w14:textFill>
        </w:rPr>
        <w:t xml:space="preserve">|  </w:t>
      </w:r>
      <w:r w:rsidR="006F55C1" w:rsidRPr="00075DC2">
        <w:rPr>
          <w:color w:val="000000"/>
          <w:spacing w:val="-69"/>
          <w:w w:val="15"/>
          <w:shd w:val="solid" w:color="000000" w:fill="000000"/>
          <w:fitText w:val="-20" w:id="-1168282367"/>
          <w14:textFill>
            <w14:solidFill>
              <w14:srgbClr w14:val="000000">
                <w14:alpha w14:val="100000"/>
              </w14:srgbClr>
            </w14:solidFill>
          </w14:textFill>
        </w:rPr>
        <w:t>|</w:t>
      </w:r>
      <w:r w:rsidR="00B9785D" w:rsidRPr="00895768">
        <w:t>)</w:t>
      </w:r>
      <w:r w:rsidR="009131E5" w:rsidRPr="00895768">
        <w:t xml:space="preserve"> should</w:t>
      </w:r>
      <w:r w:rsidR="009131E5" w:rsidRPr="00E74297">
        <w:t xml:space="preserve"> </w:t>
      </w:r>
      <w:r w:rsidR="001C2213" w:rsidRPr="00E74297">
        <w:t xml:space="preserve">also </w:t>
      </w:r>
      <w:r w:rsidR="009131E5" w:rsidRPr="00E74297">
        <w:t>be applied to the financial estimates.</w:t>
      </w:r>
      <w:bookmarkEnd w:id="87"/>
    </w:p>
    <w:p w14:paraId="56664FCA" w14:textId="55726EAA" w:rsidR="008C5CB4" w:rsidRPr="00E74297" w:rsidRDefault="008C5CB4" w:rsidP="00D61F9C">
      <w:pPr>
        <w:pStyle w:val="3-BodyText"/>
      </w:pPr>
      <w:r w:rsidRPr="00E74297">
        <w:t>The PSCR also stated that the updated financial estimates had adjusted the TPC scripts and cost per dose, as described for SG. The PBAC agreed with ESC that these changes were appropriate.</w:t>
      </w:r>
    </w:p>
    <w:p w14:paraId="69B2B83D" w14:textId="77777777" w:rsidR="000E337C" w:rsidRPr="00E74297" w:rsidRDefault="000624AF" w:rsidP="00D61F9C">
      <w:pPr>
        <w:pStyle w:val="3-BodyText"/>
      </w:pPr>
      <w:r w:rsidRPr="00E74297">
        <w:t xml:space="preserve">For each patient assumed to </w:t>
      </w:r>
      <w:r w:rsidR="00022C2F" w:rsidRPr="00E74297">
        <w:t>receive</w:t>
      </w:r>
      <w:r w:rsidR="006D5E11" w:rsidRPr="00E74297">
        <w:t xml:space="preserve"> </w:t>
      </w:r>
      <w:r w:rsidRPr="00E74297">
        <w:t xml:space="preserve">SG treatment, a reduction in use of TPC medicines has been assumed (48.0% eribulin, 23.2% vinorelbine, 20.7% gemcitabine and 8.1% capecitabine), based on the distribution of use in the TROPiCS-02 trial. Therefore, the submission has considered that SG will replace TPC in </w:t>
      </w:r>
      <w:r w:rsidR="00DB3E31" w:rsidRPr="00E74297">
        <w:t xml:space="preserve">all </w:t>
      </w:r>
      <w:r w:rsidRPr="00E74297">
        <w:t>patients</w:t>
      </w:r>
      <w:r w:rsidR="00874111" w:rsidRPr="00E74297">
        <w:t xml:space="preserve"> (rather than displace to a later line)</w:t>
      </w:r>
      <w:r w:rsidRPr="00E74297">
        <w:t xml:space="preserve">, </w:t>
      </w:r>
      <w:r w:rsidR="008C5CB4" w:rsidRPr="00E74297">
        <w:t>however,</w:t>
      </w:r>
      <w:r w:rsidRPr="00E74297">
        <w:t xml:space="preserve"> more patients received subsequent therapy following SG than after TPC in TROPiCS-02.</w:t>
      </w:r>
    </w:p>
    <w:p w14:paraId="3D474622" w14:textId="77777777" w:rsidR="00AF2668" w:rsidRDefault="000624AF" w:rsidP="00086F11">
      <w:pPr>
        <w:pStyle w:val="3-BodyText"/>
      </w:pPr>
      <w:r w:rsidRPr="00E74297">
        <w:t xml:space="preserve">The estimated use and financial impact of listing SG is presented in </w:t>
      </w:r>
      <w:r w:rsidRPr="00E74297">
        <w:fldChar w:fldCharType="begin" w:fldLock="1"/>
      </w:r>
      <w:r w:rsidRPr="00E74297">
        <w:instrText xml:space="preserve"> REF _Ref104805295 \h </w:instrText>
      </w:r>
      <w:r w:rsidR="00086F11" w:rsidRPr="00E74297">
        <w:instrText xml:space="preserve"> \* MERGEFORMAT </w:instrText>
      </w:r>
      <w:r w:rsidRPr="00E74297">
        <w:fldChar w:fldCharType="separate"/>
      </w:r>
      <w:r w:rsidR="00AE1DC7" w:rsidRPr="00E74297">
        <w:t>Table 16</w:t>
      </w:r>
      <w:r w:rsidRPr="00E74297">
        <w:fldChar w:fldCharType="end"/>
      </w:r>
      <w:r w:rsidRPr="00E74297">
        <w:t>.</w:t>
      </w:r>
      <w:r w:rsidR="003A0A15" w:rsidRPr="00E74297">
        <w:t xml:space="preserve"> Updated financial estimates, provided in the PSCR are shown in </w:t>
      </w:r>
      <w:r w:rsidR="003A0A15" w:rsidRPr="00E74297">
        <w:fldChar w:fldCharType="begin" w:fldLock="1"/>
      </w:r>
      <w:r w:rsidR="003A0A15" w:rsidRPr="00E74297">
        <w:instrText xml:space="preserve"> REF _Ref137291301 \h  \* MERGEFORMAT </w:instrText>
      </w:r>
      <w:r w:rsidR="003A0A15" w:rsidRPr="00E74297">
        <w:fldChar w:fldCharType="separate"/>
      </w:r>
      <w:r w:rsidR="00AE1DC7" w:rsidRPr="00E74297">
        <w:t>Table 17</w:t>
      </w:r>
      <w:r w:rsidR="003A0A15" w:rsidRPr="00E74297">
        <w:fldChar w:fldCharType="end"/>
      </w:r>
      <w:r w:rsidR="003A0A15" w:rsidRPr="00E74297">
        <w:t>.</w:t>
      </w:r>
      <w:bookmarkStart w:id="88" w:name="_Ref104805295"/>
      <w:r w:rsidR="00AF2668" w:rsidRPr="00AF2668">
        <w:t xml:space="preserve"> </w:t>
      </w:r>
    </w:p>
    <w:p w14:paraId="0E885B57" w14:textId="4E00AC18" w:rsidR="001777F5" w:rsidRPr="00EB50C9" w:rsidRDefault="00AF2668" w:rsidP="00EB50C9">
      <w:pPr>
        <w:pStyle w:val="Caption"/>
        <w:keepNext w:val="0"/>
        <w:keepLines w:val="0"/>
        <w:pageBreakBefore/>
        <w:widowControl w:val="0"/>
      </w:pPr>
      <w:r w:rsidRPr="00E74297">
        <w:lastRenderedPageBreak/>
        <w:t xml:space="preserve">Table </w:t>
      </w:r>
      <w:r>
        <w:fldChar w:fldCharType="begin" w:fldLock="1"/>
      </w:r>
      <w:r>
        <w:instrText xml:space="preserve"> SEQ Table \* ARABIC </w:instrText>
      </w:r>
      <w:r>
        <w:fldChar w:fldCharType="separate"/>
      </w:r>
      <w:r w:rsidRPr="00E74297">
        <w:t>16</w:t>
      </w:r>
      <w:r>
        <w:fldChar w:fldCharType="end"/>
      </w:r>
      <w:bookmarkEnd w:id="88"/>
      <w:r w:rsidRPr="00E74297">
        <w:t>:</w:t>
      </w:r>
      <w:r w:rsidRPr="00E74297">
        <w:rPr>
          <w:rStyle w:val="CommentReference"/>
          <w:b/>
          <w:szCs w:val="24"/>
        </w:rPr>
        <w:t xml:space="preserve"> Estimated use and financial implications</w:t>
      </w:r>
    </w:p>
    <w:tbl>
      <w:tblPr>
        <w:tblStyle w:val="TableGrid"/>
        <w:tblW w:w="5011" w:type="pct"/>
        <w:tblLayout w:type="fixed"/>
        <w:tblLook w:val="04A0" w:firstRow="1" w:lastRow="0" w:firstColumn="1" w:lastColumn="0" w:noHBand="0" w:noVBand="1"/>
      </w:tblPr>
      <w:tblGrid>
        <w:gridCol w:w="3627"/>
        <w:gridCol w:w="902"/>
        <w:gridCol w:w="902"/>
        <w:gridCol w:w="902"/>
        <w:gridCol w:w="902"/>
        <w:gridCol w:w="902"/>
        <w:gridCol w:w="900"/>
      </w:tblGrid>
      <w:tr w:rsidR="00EB50C9" w:rsidRPr="00E74297" w14:paraId="7143C5DD" w14:textId="77777777" w:rsidTr="00EB50C9">
        <w:trPr>
          <w:tblHeader/>
        </w:trPr>
        <w:tc>
          <w:tcPr>
            <w:tcW w:w="2007" w:type="pct"/>
            <w:tcMar>
              <w:left w:w="85" w:type="dxa"/>
              <w:right w:w="85" w:type="dxa"/>
            </w:tcMar>
          </w:tcPr>
          <w:p w14:paraId="54023423" w14:textId="77777777" w:rsidR="009B6C7C" w:rsidRPr="00E74297" w:rsidRDefault="009B6C7C" w:rsidP="00EB50C9">
            <w:pPr>
              <w:pStyle w:val="In-tableHeading"/>
              <w:keepNext w:val="0"/>
              <w:widowControl w:val="0"/>
              <w:contextualSpacing/>
              <w:rPr>
                <w:szCs w:val="20"/>
                <w:lang w:val="en-AU"/>
              </w:rPr>
            </w:pPr>
          </w:p>
        </w:tc>
        <w:tc>
          <w:tcPr>
            <w:tcW w:w="499" w:type="pct"/>
          </w:tcPr>
          <w:p w14:paraId="73970E89" w14:textId="77777777" w:rsidR="009B6C7C" w:rsidRPr="00E74297" w:rsidRDefault="009B6C7C" w:rsidP="00EB50C9">
            <w:pPr>
              <w:pStyle w:val="In-tableHeading"/>
              <w:keepNext w:val="0"/>
              <w:widowControl w:val="0"/>
              <w:contextualSpacing/>
              <w:jc w:val="center"/>
              <w:rPr>
                <w:szCs w:val="20"/>
                <w:lang w:val="en-AU"/>
              </w:rPr>
            </w:pPr>
            <w:r w:rsidRPr="00E74297">
              <w:rPr>
                <w:szCs w:val="20"/>
                <w:lang w:val="en-AU"/>
              </w:rPr>
              <w:t>2024</w:t>
            </w:r>
          </w:p>
        </w:tc>
        <w:tc>
          <w:tcPr>
            <w:tcW w:w="499" w:type="pct"/>
          </w:tcPr>
          <w:p w14:paraId="05158639" w14:textId="77777777" w:rsidR="009B6C7C" w:rsidRPr="00E74297" w:rsidRDefault="009B6C7C" w:rsidP="00EB50C9">
            <w:pPr>
              <w:pStyle w:val="In-tableHeading"/>
              <w:keepNext w:val="0"/>
              <w:widowControl w:val="0"/>
              <w:contextualSpacing/>
              <w:jc w:val="center"/>
              <w:rPr>
                <w:szCs w:val="20"/>
                <w:lang w:val="en-AU"/>
              </w:rPr>
            </w:pPr>
            <w:r w:rsidRPr="00E74297">
              <w:rPr>
                <w:szCs w:val="20"/>
                <w:lang w:val="en-AU"/>
              </w:rPr>
              <w:t>2025</w:t>
            </w:r>
          </w:p>
        </w:tc>
        <w:tc>
          <w:tcPr>
            <w:tcW w:w="499" w:type="pct"/>
          </w:tcPr>
          <w:p w14:paraId="25CAF447" w14:textId="77777777" w:rsidR="009B6C7C" w:rsidRPr="00E74297" w:rsidRDefault="009B6C7C" w:rsidP="00EB50C9">
            <w:pPr>
              <w:pStyle w:val="In-tableHeading"/>
              <w:keepNext w:val="0"/>
              <w:widowControl w:val="0"/>
              <w:contextualSpacing/>
              <w:jc w:val="center"/>
              <w:rPr>
                <w:szCs w:val="20"/>
                <w:lang w:val="en-AU"/>
              </w:rPr>
            </w:pPr>
            <w:r w:rsidRPr="00E74297">
              <w:rPr>
                <w:szCs w:val="20"/>
                <w:lang w:val="en-AU"/>
              </w:rPr>
              <w:t>2026</w:t>
            </w:r>
          </w:p>
        </w:tc>
        <w:tc>
          <w:tcPr>
            <w:tcW w:w="499" w:type="pct"/>
          </w:tcPr>
          <w:p w14:paraId="760A0AC7" w14:textId="77777777" w:rsidR="009B6C7C" w:rsidRPr="00E74297" w:rsidRDefault="009B6C7C" w:rsidP="00EB50C9">
            <w:pPr>
              <w:pStyle w:val="In-tableHeading"/>
              <w:keepNext w:val="0"/>
              <w:widowControl w:val="0"/>
              <w:contextualSpacing/>
              <w:jc w:val="center"/>
              <w:rPr>
                <w:szCs w:val="20"/>
                <w:lang w:val="en-AU"/>
              </w:rPr>
            </w:pPr>
            <w:r w:rsidRPr="00E74297">
              <w:rPr>
                <w:szCs w:val="20"/>
                <w:lang w:val="en-AU"/>
              </w:rPr>
              <w:t>2027</w:t>
            </w:r>
          </w:p>
        </w:tc>
        <w:tc>
          <w:tcPr>
            <w:tcW w:w="499" w:type="pct"/>
          </w:tcPr>
          <w:p w14:paraId="7A4C5CF7" w14:textId="77777777" w:rsidR="009B6C7C" w:rsidRPr="00E74297" w:rsidRDefault="009B6C7C" w:rsidP="00EB50C9">
            <w:pPr>
              <w:pStyle w:val="In-tableHeading"/>
              <w:keepNext w:val="0"/>
              <w:widowControl w:val="0"/>
              <w:contextualSpacing/>
              <w:jc w:val="center"/>
              <w:rPr>
                <w:szCs w:val="20"/>
                <w:lang w:val="en-AU"/>
              </w:rPr>
            </w:pPr>
            <w:r w:rsidRPr="00E74297">
              <w:rPr>
                <w:szCs w:val="20"/>
                <w:lang w:val="en-AU"/>
              </w:rPr>
              <w:t>2028</w:t>
            </w:r>
          </w:p>
        </w:tc>
        <w:tc>
          <w:tcPr>
            <w:tcW w:w="498" w:type="pct"/>
          </w:tcPr>
          <w:p w14:paraId="5E97667E" w14:textId="77777777" w:rsidR="009B6C7C" w:rsidRPr="00E74297" w:rsidRDefault="009B6C7C" w:rsidP="00EB50C9">
            <w:pPr>
              <w:pStyle w:val="In-tableHeading"/>
              <w:keepNext w:val="0"/>
              <w:widowControl w:val="0"/>
              <w:contextualSpacing/>
              <w:jc w:val="center"/>
              <w:rPr>
                <w:szCs w:val="20"/>
                <w:lang w:val="en-AU"/>
              </w:rPr>
            </w:pPr>
            <w:r w:rsidRPr="00E74297">
              <w:rPr>
                <w:szCs w:val="20"/>
                <w:lang w:val="en-AU"/>
              </w:rPr>
              <w:t>2029</w:t>
            </w:r>
          </w:p>
        </w:tc>
      </w:tr>
      <w:tr w:rsidR="00EB50C9" w:rsidRPr="00E74297" w14:paraId="34392646" w14:textId="77777777" w:rsidTr="00EB50C9">
        <w:trPr>
          <w:tblHeader/>
        </w:trPr>
        <w:tc>
          <w:tcPr>
            <w:tcW w:w="2007" w:type="pct"/>
            <w:tcMar>
              <w:left w:w="85" w:type="dxa"/>
              <w:right w:w="85" w:type="dxa"/>
            </w:tcMar>
          </w:tcPr>
          <w:p w14:paraId="500AA42C" w14:textId="77777777" w:rsidR="009B6C7C" w:rsidRPr="00E74297" w:rsidRDefault="009B6C7C" w:rsidP="00EB50C9">
            <w:pPr>
              <w:pStyle w:val="TableText0"/>
              <w:keepNext w:val="0"/>
              <w:widowControl w:val="0"/>
              <w:contextualSpacing/>
              <w:rPr>
                <w:szCs w:val="20"/>
              </w:rPr>
            </w:pPr>
            <w:r w:rsidRPr="00E74297">
              <w:rPr>
                <w:szCs w:val="20"/>
              </w:rPr>
              <w:t>Australian population</w:t>
            </w:r>
          </w:p>
        </w:tc>
        <w:tc>
          <w:tcPr>
            <w:tcW w:w="499" w:type="pct"/>
          </w:tcPr>
          <w:p w14:paraId="4349139C"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60"/>
                <w14:textFill>
                  <w14:solidFill>
                    <w14:srgbClr w14:val="000000">
                      <w14:alpha w14:val="100000"/>
                    </w14:srgbClr>
                  </w14:solidFill>
                </w14:textFill>
              </w:rPr>
              <w:t xml:space="preserve">　</w:t>
            </w:r>
            <w:r w:rsidRPr="009B6C7C">
              <w:rPr>
                <w:color w:val="000000"/>
                <w:w w:val="15"/>
                <w:szCs w:val="20"/>
                <w:shd w:val="solid" w:color="000000" w:fill="000000"/>
                <w:fitText w:val="30" w:id="-1167951360"/>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60"/>
                <w14:textFill>
                  <w14:solidFill>
                    <w14:srgbClr w14:val="000000">
                      <w14:alpha w14:val="100000"/>
                    </w14:srgbClr>
                  </w14:solidFill>
                </w14:textFill>
              </w:rPr>
              <w:t xml:space="preserve">　</w:t>
            </w:r>
            <w:r>
              <w:rPr>
                <w:vertAlign w:val="superscript"/>
              </w:rPr>
              <w:t>1</w:t>
            </w:r>
          </w:p>
        </w:tc>
        <w:tc>
          <w:tcPr>
            <w:tcW w:w="499" w:type="pct"/>
          </w:tcPr>
          <w:p w14:paraId="65822987"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9"/>
                <w14:textFill>
                  <w14:solidFill>
                    <w14:srgbClr w14:val="000000">
                      <w14:alpha w14:val="100000"/>
                    </w14:srgbClr>
                  </w14:solidFill>
                </w14:textFill>
              </w:rPr>
              <w:t xml:space="preserve">　</w:t>
            </w:r>
            <w:r w:rsidRPr="009B6C7C">
              <w:rPr>
                <w:color w:val="000000"/>
                <w:w w:val="15"/>
                <w:szCs w:val="20"/>
                <w:shd w:val="solid" w:color="000000" w:fill="000000"/>
                <w:fitText w:val="30" w:id="-1167951359"/>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9"/>
                <w14:textFill>
                  <w14:solidFill>
                    <w14:srgbClr w14:val="000000">
                      <w14:alpha w14:val="100000"/>
                    </w14:srgbClr>
                  </w14:solidFill>
                </w14:textFill>
              </w:rPr>
              <w:t xml:space="preserve">　</w:t>
            </w:r>
            <w:r>
              <w:rPr>
                <w:vertAlign w:val="superscript"/>
              </w:rPr>
              <w:t>1</w:t>
            </w:r>
          </w:p>
        </w:tc>
        <w:tc>
          <w:tcPr>
            <w:tcW w:w="499" w:type="pct"/>
          </w:tcPr>
          <w:p w14:paraId="4D80026C" w14:textId="77777777" w:rsidR="009B6C7C" w:rsidRPr="00F10823" w:rsidRDefault="009B6C7C" w:rsidP="00EB50C9">
            <w:pPr>
              <w:pStyle w:val="TableText0"/>
              <w:keepNext w:val="0"/>
              <w:widowControl w:val="0"/>
              <w:contextualSpacing/>
              <w:jc w:val="center"/>
              <w:rPr>
                <w:szCs w:val="20"/>
                <w:highlight w:val="darkGray"/>
              </w:rPr>
            </w:pPr>
            <w:r w:rsidRPr="00075DC2">
              <w:rPr>
                <w:rFonts w:hint="eastAsia"/>
                <w:color w:val="000000"/>
                <w:w w:val="15"/>
                <w:szCs w:val="20"/>
                <w:shd w:val="solid" w:color="000000" w:fill="000000"/>
                <w:fitText w:val="15" w:id="-1167951358"/>
                <w14:textFill>
                  <w14:solidFill>
                    <w14:srgbClr w14:val="000000">
                      <w14:alpha w14:val="100000"/>
                    </w14:srgbClr>
                  </w14:solidFill>
                </w14:textFill>
              </w:rPr>
              <w:t xml:space="preserve">　</w:t>
            </w:r>
            <w:r w:rsidRPr="00075DC2">
              <w:rPr>
                <w:color w:val="000000"/>
                <w:w w:val="15"/>
                <w:szCs w:val="20"/>
                <w:shd w:val="solid" w:color="000000" w:fill="000000"/>
                <w:fitText w:val="15" w:id="-1167951358"/>
                <w14:textFill>
                  <w14:solidFill>
                    <w14:srgbClr w14:val="000000">
                      <w14:alpha w14:val="100000"/>
                    </w14:srgbClr>
                  </w14:solidFill>
                </w14:textFill>
              </w:rPr>
              <w:t>|</w:t>
            </w:r>
            <w:r w:rsidRPr="00075DC2">
              <w:rPr>
                <w:rFonts w:hint="eastAsia"/>
                <w:color w:val="000000"/>
                <w:spacing w:val="-50"/>
                <w:w w:val="15"/>
                <w:szCs w:val="20"/>
                <w:shd w:val="solid" w:color="000000" w:fill="000000"/>
                <w:fitText w:val="15" w:id="-1167951358"/>
                <w14:textFill>
                  <w14:solidFill>
                    <w14:srgbClr w14:val="000000">
                      <w14:alpha w14:val="100000"/>
                    </w14:srgbClr>
                  </w14:solidFill>
                </w14:textFill>
              </w:rPr>
              <w:t xml:space="preserve">　</w:t>
            </w:r>
            <w:r>
              <w:rPr>
                <w:vertAlign w:val="superscript"/>
              </w:rPr>
              <w:t>1</w:t>
            </w:r>
          </w:p>
        </w:tc>
        <w:tc>
          <w:tcPr>
            <w:tcW w:w="499" w:type="pct"/>
          </w:tcPr>
          <w:p w14:paraId="42E9D608"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7"/>
                <w14:textFill>
                  <w14:solidFill>
                    <w14:srgbClr w14:val="000000">
                      <w14:alpha w14:val="100000"/>
                    </w14:srgbClr>
                  </w14:solidFill>
                </w14:textFill>
              </w:rPr>
              <w:t xml:space="preserve">　</w:t>
            </w:r>
            <w:r w:rsidRPr="009B6C7C">
              <w:rPr>
                <w:color w:val="000000"/>
                <w:w w:val="15"/>
                <w:szCs w:val="20"/>
                <w:shd w:val="solid" w:color="000000" w:fill="000000"/>
                <w:fitText w:val="60" w:id="-1167951357"/>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7"/>
                <w14:textFill>
                  <w14:solidFill>
                    <w14:srgbClr w14:val="000000">
                      <w14:alpha w14:val="100000"/>
                    </w14:srgbClr>
                  </w14:solidFill>
                </w14:textFill>
              </w:rPr>
              <w:t xml:space="preserve">　</w:t>
            </w:r>
            <w:r>
              <w:rPr>
                <w:vertAlign w:val="superscript"/>
              </w:rPr>
              <w:t>1</w:t>
            </w:r>
          </w:p>
        </w:tc>
        <w:tc>
          <w:tcPr>
            <w:tcW w:w="499" w:type="pct"/>
          </w:tcPr>
          <w:p w14:paraId="1FC4C0DB"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6"/>
                <w14:textFill>
                  <w14:solidFill>
                    <w14:srgbClr w14:val="000000">
                      <w14:alpha w14:val="100000"/>
                    </w14:srgbClr>
                  </w14:solidFill>
                </w14:textFill>
              </w:rPr>
              <w:t xml:space="preserve">　</w:t>
            </w:r>
            <w:r w:rsidRPr="009B6C7C">
              <w:rPr>
                <w:color w:val="000000"/>
                <w:w w:val="15"/>
                <w:szCs w:val="20"/>
                <w:shd w:val="solid" w:color="000000" w:fill="000000"/>
                <w:fitText w:val="60" w:id="-1167951356"/>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6"/>
                <w14:textFill>
                  <w14:solidFill>
                    <w14:srgbClr w14:val="000000">
                      <w14:alpha w14:val="100000"/>
                    </w14:srgbClr>
                  </w14:solidFill>
                </w14:textFill>
              </w:rPr>
              <w:t xml:space="preserve">　</w:t>
            </w:r>
            <w:r>
              <w:rPr>
                <w:vertAlign w:val="superscript"/>
              </w:rPr>
              <w:t>1</w:t>
            </w:r>
          </w:p>
        </w:tc>
        <w:tc>
          <w:tcPr>
            <w:tcW w:w="498" w:type="pct"/>
          </w:tcPr>
          <w:p w14:paraId="5A276421"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6"/>
                <w:szCs w:val="20"/>
                <w:shd w:val="solid" w:color="000000" w:fill="000000"/>
                <w:fitText w:val="75" w:id="-1167951355"/>
                <w14:textFill>
                  <w14:solidFill>
                    <w14:srgbClr w14:val="000000">
                      <w14:alpha w14:val="100000"/>
                    </w14:srgbClr>
                  </w14:solidFill>
                </w14:textFill>
              </w:rPr>
              <w:t xml:space="preserve">　</w:t>
            </w:r>
            <w:r w:rsidRPr="009B6C7C">
              <w:rPr>
                <w:color w:val="000000"/>
                <w:w w:val="16"/>
                <w:szCs w:val="20"/>
                <w:shd w:val="solid" w:color="000000" w:fill="000000"/>
                <w:fitText w:val="75" w:id="-1167951355"/>
                <w14:textFill>
                  <w14:solidFill>
                    <w14:srgbClr w14:val="000000">
                      <w14:alpha w14:val="100000"/>
                    </w14:srgbClr>
                  </w14:solidFill>
                </w14:textFill>
              </w:rPr>
              <w:t>|</w:t>
            </w:r>
            <w:r w:rsidRPr="009B6C7C">
              <w:rPr>
                <w:rFonts w:hint="eastAsia"/>
                <w:color w:val="000000"/>
                <w:spacing w:val="5"/>
                <w:w w:val="16"/>
                <w:szCs w:val="20"/>
                <w:shd w:val="solid" w:color="000000" w:fill="000000"/>
                <w:fitText w:val="75" w:id="-1167951355"/>
                <w14:textFill>
                  <w14:solidFill>
                    <w14:srgbClr w14:val="000000">
                      <w14:alpha w14:val="100000"/>
                    </w14:srgbClr>
                  </w14:solidFill>
                </w14:textFill>
              </w:rPr>
              <w:t xml:space="preserve">　</w:t>
            </w:r>
            <w:r>
              <w:rPr>
                <w:vertAlign w:val="superscript"/>
              </w:rPr>
              <w:t>1</w:t>
            </w:r>
          </w:p>
        </w:tc>
      </w:tr>
      <w:tr w:rsidR="00EB50C9" w:rsidRPr="00E74297" w14:paraId="720069F9" w14:textId="77777777" w:rsidTr="00EB50C9">
        <w:trPr>
          <w:tblHeader/>
        </w:trPr>
        <w:tc>
          <w:tcPr>
            <w:tcW w:w="2007" w:type="pct"/>
            <w:tcMar>
              <w:left w:w="85" w:type="dxa"/>
              <w:right w:w="85" w:type="dxa"/>
            </w:tcMar>
          </w:tcPr>
          <w:p w14:paraId="0F7E0E92" w14:textId="77777777" w:rsidR="009B6C7C" w:rsidRPr="00E74297" w:rsidRDefault="009B6C7C" w:rsidP="00EB50C9">
            <w:pPr>
              <w:pStyle w:val="TableText0"/>
              <w:keepNext w:val="0"/>
              <w:widowControl w:val="0"/>
              <w:contextualSpacing/>
              <w:rPr>
                <w:szCs w:val="20"/>
              </w:rPr>
            </w:pPr>
            <w:r w:rsidRPr="00E74297">
              <w:rPr>
                <w:szCs w:val="20"/>
              </w:rPr>
              <w:t>Incident population (0.099%)</w:t>
            </w:r>
          </w:p>
        </w:tc>
        <w:tc>
          <w:tcPr>
            <w:tcW w:w="499" w:type="pct"/>
          </w:tcPr>
          <w:p w14:paraId="7201A0EC"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4"/>
                <w14:textFill>
                  <w14:solidFill>
                    <w14:srgbClr w14:val="000000">
                      <w14:alpha w14:val="100000"/>
                    </w14:srgbClr>
                  </w14:solidFill>
                </w14:textFill>
              </w:rPr>
              <w:t xml:space="preserve">　</w:t>
            </w:r>
            <w:r w:rsidRPr="009B6C7C">
              <w:rPr>
                <w:color w:val="000000"/>
                <w:w w:val="15"/>
                <w:szCs w:val="20"/>
                <w:shd w:val="solid" w:color="000000" w:fill="000000"/>
                <w:fitText w:val="30" w:id="-1167951354"/>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4"/>
                <w14:textFill>
                  <w14:solidFill>
                    <w14:srgbClr w14:val="000000">
                      <w14:alpha w14:val="100000"/>
                    </w14:srgbClr>
                  </w14:solidFill>
                </w14:textFill>
              </w:rPr>
              <w:t xml:space="preserve">　</w:t>
            </w:r>
            <w:r>
              <w:rPr>
                <w:vertAlign w:val="superscript"/>
              </w:rPr>
              <w:t>2</w:t>
            </w:r>
          </w:p>
        </w:tc>
        <w:tc>
          <w:tcPr>
            <w:tcW w:w="499" w:type="pct"/>
          </w:tcPr>
          <w:p w14:paraId="43876C2E"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3"/>
                <w14:textFill>
                  <w14:solidFill>
                    <w14:srgbClr w14:val="000000">
                      <w14:alpha w14:val="100000"/>
                    </w14:srgbClr>
                  </w14:solidFill>
                </w14:textFill>
              </w:rPr>
              <w:t xml:space="preserve">　</w:t>
            </w:r>
            <w:r w:rsidRPr="009B6C7C">
              <w:rPr>
                <w:color w:val="000000"/>
                <w:w w:val="15"/>
                <w:szCs w:val="20"/>
                <w:shd w:val="solid" w:color="000000" w:fill="000000"/>
                <w:fitText w:val="30" w:id="-1167951353"/>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3"/>
                <w14:textFill>
                  <w14:solidFill>
                    <w14:srgbClr w14:val="000000">
                      <w14:alpha w14:val="100000"/>
                    </w14:srgbClr>
                  </w14:solidFill>
                </w14:textFill>
              </w:rPr>
              <w:t xml:space="preserve">　</w:t>
            </w:r>
            <w:r>
              <w:rPr>
                <w:vertAlign w:val="superscript"/>
              </w:rPr>
              <w:t>2</w:t>
            </w:r>
          </w:p>
        </w:tc>
        <w:tc>
          <w:tcPr>
            <w:tcW w:w="499" w:type="pct"/>
          </w:tcPr>
          <w:p w14:paraId="3D4DF0A9" w14:textId="77777777" w:rsidR="009B6C7C" w:rsidRPr="00F10823" w:rsidRDefault="009B6C7C" w:rsidP="00EB50C9">
            <w:pPr>
              <w:pStyle w:val="TableText0"/>
              <w:keepNext w:val="0"/>
              <w:widowControl w:val="0"/>
              <w:contextualSpacing/>
              <w:jc w:val="center"/>
              <w:rPr>
                <w:szCs w:val="20"/>
                <w:highlight w:val="darkGray"/>
              </w:rPr>
            </w:pPr>
            <w:r w:rsidRPr="00075DC2">
              <w:rPr>
                <w:rFonts w:hint="eastAsia"/>
                <w:color w:val="000000"/>
                <w:w w:val="15"/>
                <w:szCs w:val="20"/>
                <w:shd w:val="solid" w:color="000000" w:fill="000000"/>
                <w:fitText w:val="15" w:id="-1167951352"/>
                <w14:textFill>
                  <w14:solidFill>
                    <w14:srgbClr w14:val="000000">
                      <w14:alpha w14:val="100000"/>
                    </w14:srgbClr>
                  </w14:solidFill>
                </w14:textFill>
              </w:rPr>
              <w:t xml:space="preserve">　</w:t>
            </w:r>
            <w:r w:rsidRPr="00075DC2">
              <w:rPr>
                <w:color w:val="000000"/>
                <w:w w:val="15"/>
                <w:szCs w:val="20"/>
                <w:shd w:val="solid" w:color="000000" w:fill="000000"/>
                <w:fitText w:val="15" w:id="-1167951352"/>
                <w14:textFill>
                  <w14:solidFill>
                    <w14:srgbClr w14:val="000000">
                      <w14:alpha w14:val="100000"/>
                    </w14:srgbClr>
                  </w14:solidFill>
                </w14:textFill>
              </w:rPr>
              <w:t>|</w:t>
            </w:r>
            <w:r w:rsidRPr="00075DC2">
              <w:rPr>
                <w:rFonts w:hint="eastAsia"/>
                <w:color w:val="000000"/>
                <w:spacing w:val="-50"/>
                <w:w w:val="15"/>
                <w:szCs w:val="20"/>
                <w:shd w:val="solid" w:color="000000" w:fill="000000"/>
                <w:fitText w:val="15" w:id="-1167951352"/>
                <w14:textFill>
                  <w14:solidFill>
                    <w14:srgbClr w14:val="000000">
                      <w14:alpha w14:val="100000"/>
                    </w14:srgbClr>
                  </w14:solidFill>
                </w14:textFill>
              </w:rPr>
              <w:t xml:space="preserve">　</w:t>
            </w:r>
            <w:r>
              <w:rPr>
                <w:vertAlign w:val="superscript"/>
              </w:rPr>
              <w:t>2</w:t>
            </w:r>
          </w:p>
        </w:tc>
        <w:tc>
          <w:tcPr>
            <w:tcW w:w="499" w:type="pct"/>
          </w:tcPr>
          <w:p w14:paraId="721655F6"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1"/>
                <w14:textFill>
                  <w14:solidFill>
                    <w14:srgbClr w14:val="000000">
                      <w14:alpha w14:val="100000"/>
                    </w14:srgbClr>
                  </w14:solidFill>
                </w14:textFill>
              </w:rPr>
              <w:t xml:space="preserve">　</w:t>
            </w:r>
            <w:r w:rsidRPr="009B6C7C">
              <w:rPr>
                <w:color w:val="000000"/>
                <w:w w:val="15"/>
                <w:szCs w:val="20"/>
                <w:shd w:val="solid" w:color="000000" w:fill="000000"/>
                <w:fitText w:val="60" w:id="-1167951351"/>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1"/>
                <w14:textFill>
                  <w14:solidFill>
                    <w14:srgbClr w14:val="000000">
                      <w14:alpha w14:val="100000"/>
                    </w14:srgbClr>
                  </w14:solidFill>
                </w14:textFill>
              </w:rPr>
              <w:t xml:space="preserve">　</w:t>
            </w:r>
            <w:r>
              <w:rPr>
                <w:vertAlign w:val="superscript"/>
              </w:rPr>
              <w:t>2</w:t>
            </w:r>
          </w:p>
        </w:tc>
        <w:tc>
          <w:tcPr>
            <w:tcW w:w="499" w:type="pct"/>
          </w:tcPr>
          <w:p w14:paraId="5DECC503"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0"/>
                <w14:textFill>
                  <w14:solidFill>
                    <w14:srgbClr w14:val="000000">
                      <w14:alpha w14:val="100000"/>
                    </w14:srgbClr>
                  </w14:solidFill>
                </w14:textFill>
              </w:rPr>
              <w:t xml:space="preserve">　</w:t>
            </w:r>
            <w:r w:rsidRPr="009B6C7C">
              <w:rPr>
                <w:color w:val="000000"/>
                <w:w w:val="15"/>
                <w:szCs w:val="20"/>
                <w:shd w:val="solid" w:color="000000" w:fill="000000"/>
                <w:fitText w:val="60" w:id="-1167951350"/>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0"/>
                <w14:textFill>
                  <w14:solidFill>
                    <w14:srgbClr w14:val="000000">
                      <w14:alpha w14:val="100000"/>
                    </w14:srgbClr>
                  </w14:solidFill>
                </w14:textFill>
              </w:rPr>
              <w:t xml:space="preserve">　</w:t>
            </w:r>
            <w:r>
              <w:rPr>
                <w:vertAlign w:val="superscript"/>
              </w:rPr>
              <w:t>2</w:t>
            </w:r>
          </w:p>
        </w:tc>
        <w:tc>
          <w:tcPr>
            <w:tcW w:w="498" w:type="pct"/>
          </w:tcPr>
          <w:p w14:paraId="5F4EEDAA"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6"/>
                <w:szCs w:val="20"/>
                <w:shd w:val="solid" w:color="000000" w:fill="000000"/>
                <w:fitText w:val="75" w:id="-1167951349"/>
                <w14:textFill>
                  <w14:solidFill>
                    <w14:srgbClr w14:val="000000">
                      <w14:alpha w14:val="100000"/>
                    </w14:srgbClr>
                  </w14:solidFill>
                </w14:textFill>
              </w:rPr>
              <w:t xml:space="preserve">　</w:t>
            </w:r>
            <w:r w:rsidRPr="009B6C7C">
              <w:rPr>
                <w:color w:val="000000"/>
                <w:w w:val="16"/>
                <w:szCs w:val="20"/>
                <w:shd w:val="solid" w:color="000000" w:fill="000000"/>
                <w:fitText w:val="75" w:id="-1167951349"/>
                <w14:textFill>
                  <w14:solidFill>
                    <w14:srgbClr w14:val="000000">
                      <w14:alpha w14:val="100000"/>
                    </w14:srgbClr>
                  </w14:solidFill>
                </w14:textFill>
              </w:rPr>
              <w:t>|</w:t>
            </w:r>
            <w:r w:rsidRPr="009B6C7C">
              <w:rPr>
                <w:rFonts w:hint="eastAsia"/>
                <w:color w:val="000000"/>
                <w:spacing w:val="5"/>
                <w:w w:val="16"/>
                <w:szCs w:val="20"/>
                <w:shd w:val="solid" w:color="000000" w:fill="000000"/>
                <w:fitText w:val="75" w:id="-1167951349"/>
                <w14:textFill>
                  <w14:solidFill>
                    <w14:srgbClr w14:val="000000">
                      <w14:alpha w14:val="100000"/>
                    </w14:srgbClr>
                  </w14:solidFill>
                </w14:textFill>
              </w:rPr>
              <w:t xml:space="preserve">　</w:t>
            </w:r>
            <w:r>
              <w:rPr>
                <w:vertAlign w:val="superscript"/>
              </w:rPr>
              <w:t>2</w:t>
            </w:r>
          </w:p>
        </w:tc>
      </w:tr>
      <w:tr w:rsidR="00EB50C9" w:rsidRPr="00E74297" w14:paraId="6A855DBF" w14:textId="77777777" w:rsidTr="00EB50C9">
        <w:trPr>
          <w:tblHeader/>
        </w:trPr>
        <w:tc>
          <w:tcPr>
            <w:tcW w:w="2007" w:type="pct"/>
            <w:tcMar>
              <w:left w:w="85" w:type="dxa"/>
              <w:right w:w="85" w:type="dxa"/>
            </w:tcMar>
          </w:tcPr>
          <w:p w14:paraId="14EE5FC9" w14:textId="77777777" w:rsidR="009B6C7C" w:rsidRPr="00E74297" w:rsidRDefault="009B6C7C" w:rsidP="00EB50C9">
            <w:pPr>
              <w:pStyle w:val="TableText0"/>
              <w:keepNext w:val="0"/>
              <w:widowControl w:val="0"/>
              <w:contextualSpacing/>
              <w:rPr>
                <w:szCs w:val="20"/>
              </w:rPr>
            </w:pPr>
            <w:r w:rsidRPr="00E74297">
              <w:rPr>
                <w:szCs w:val="20"/>
              </w:rPr>
              <w:t>No. that are HR+ and HER2− (70.0%)</w:t>
            </w:r>
          </w:p>
        </w:tc>
        <w:tc>
          <w:tcPr>
            <w:tcW w:w="499" w:type="pct"/>
          </w:tcPr>
          <w:p w14:paraId="17DD4BE8"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48"/>
                <w14:textFill>
                  <w14:solidFill>
                    <w14:srgbClr w14:val="000000">
                      <w14:alpha w14:val="100000"/>
                    </w14:srgbClr>
                  </w14:solidFill>
                </w14:textFill>
              </w:rPr>
              <w:t xml:space="preserve">　</w:t>
            </w:r>
            <w:r w:rsidRPr="009B6C7C">
              <w:rPr>
                <w:color w:val="000000"/>
                <w:w w:val="15"/>
                <w:szCs w:val="20"/>
                <w:shd w:val="solid" w:color="000000" w:fill="000000"/>
                <w:fitText w:val="30" w:id="-1167951348"/>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48"/>
                <w14:textFill>
                  <w14:solidFill>
                    <w14:srgbClr w14:val="000000">
                      <w14:alpha w14:val="100000"/>
                    </w14:srgbClr>
                  </w14:solidFill>
                </w14:textFill>
              </w:rPr>
              <w:t xml:space="preserve">　</w:t>
            </w:r>
            <w:r>
              <w:rPr>
                <w:vertAlign w:val="superscript"/>
              </w:rPr>
              <w:t>3</w:t>
            </w:r>
          </w:p>
        </w:tc>
        <w:tc>
          <w:tcPr>
            <w:tcW w:w="499" w:type="pct"/>
          </w:tcPr>
          <w:p w14:paraId="1FB5CB5D"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47"/>
                <w14:textFill>
                  <w14:solidFill>
                    <w14:srgbClr w14:val="000000">
                      <w14:alpha w14:val="100000"/>
                    </w14:srgbClr>
                  </w14:solidFill>
                </w14:textFill>
              </w:rPr>
              <w:t xml:space="preserve">　</w:t>
            </w:r>
            <w:r w:rsidRPr="009B6C7C">
              <w:rPr>
                <w:color w:val="000000"/>
                <w:w w:val="15"/>
                <w:szCs w:val="20"/>
                <w:shd w:val="solid" w:color="000000" w:fill="000000"/>
                <w:fitText w:val="30" w:id="-1167951347"/>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47"/>
                <w14:textFill>
                  <w14:solidFill>
                    <w14:srgbClr w14:val="000000">
                      <w14:alpha w14:val="100000"/>
                    </w14:srgbClr>
                  </w14:solidFill>
                </w14:textFill>
              </w:rPr>
              <w:t xml:space="preserve">　</w:t>
            </w:r>
            <w:r>
              <w:rPr>
                <w:vertAlign w:val="superscript"/>
              </w:rPr>
              <w:t>3</w:t>
            </w:r>
          </w:p>
        </w:tc>
        <w:tc>
          <w:tcPr>
            <w:tcW w:w="499" w:type="pct"/>
          </w:tcPr>
          <w:p w14:paraId="1C477E96" w14:textId="77777777" w:rsidR="009B6C7C" w:rsidRPr="00F10823" w:rsidRDefault="009B6C7C" w:rsidP="00EB50C9">
            <w:pPr>
              <w:pStyle w:val="TableText0"/>
              <w:keepNext w:val="0"/>
              <w:widowControl w:val="0"/>
              <w:contextualSpacing/>
              <w:jc w:val="center"/>
              <w:rPr>
                <w:szCs w:val="20"/>
                <w:highlight w:val="darkGray"/>
              </w:rPr>
            </w:pPr>
            <w:r w:rsidRPr="00075DC2">
              <w:rPr>
                <w:rFonts w:hint="eastAsia"/>
                <w:color w:val="000000"/>
                <w:w w:val="15"/>
                <w:szCs w:val="20"/>
                <w:shd w:val="solid" w:color="000000" w:fill="000000"/>
                <w:fitText w:val="15" w:id="-1167951346"/>
                <w14:textFill>
                  <w14:solidFill>
                    <w14:srgbClr w14:val="000000">
                      <w14:alpha w14:val="100000"/>
                    </w14:srgbClr>
                  </w14:solidFill>
                </w14:textFill>
              </w:rPr>
              <w:t xml:space="preserve">　</w:t>
            </w:r>
            <w:r w:rsidRPr="00075DC2">
              <w:rPr>
                <w:color w:val="000000"/>
                <w:w w:val="15"/>
                <w:szCs w:val="20"/>
                <w:shd w:val="solid" w:color="000000" w:fill="000000"/>
                <w:fitText w:val="15" w:id="-1167951346"/>
                <w14:textFill>
                  <w14:solidFill>
                    <w14:srgbClr w14:val="000000">
                      <w14:alpha w14:val="100000"/>
                    </w14:srgbClr>
                  </w14:solidFill>
                </w14:textFill>
              </w:rPr>
              <w:t>|</w:t>
            </w:r>
            <w:r w:rsidRPr="00075DC2">
              <w:rPr>
                <w:rFonts w:hint="eastAsia"/>
                <w:color w:val="000000"/>
                <w:spacing w:val="-50"/>
                <w:w w:val="15"/>
                <w:szCs w:val="20"/>
                <w:shd w:val="solid" w:color="000000" w:fill="000000"/>
                <w:fitText w:val="15" w:id="-1167951346"/>
                <w14:textFill>
                  <w14:solidFill>
                    <w14:srgbClr w14:val="000000">
                      <w14:alpha w14:val="100000"/>
                    </w14:srgbClr>
                  </w14:solidFill>
                </w14:textFill>
              </w:rPr>
              <w:t xml:space="preserve">　</w:t>
            </w:r>
            <w:r>
              <w:rPr>
                <w:vertAlign w:val="superscript"/>
              </w:rPr>
              <w:t>3</w:t>
            </w:r>
          </w:p>
        </w:tc>
        <w:tc>
          <w:tcPr>
            <w:tcW w:w="499" w:type="pct"/>
          </w:tcPr>
          <w:p w14:paraId="7DD00520"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45"/>
                <w14:textFill>
                  <w14:solidFill>
                    <w14:srgbClr w14:val="000000">
                      <w14:alpha w14:val="100000"/>
                    </w14:srgbClr>
                  </w14:solidFill>
                </w14:textFill>
              </w:rPr>
              <w:t xml:space="preserve">　</w:t>
            </w:r>
            <w:r w:rsidRPr="009B6C7C">
              <w:rPr>
                <w:color w:val="000000"/>
                <w:w w:val="15"/>
                <w:szCs w:val="20"/>
                <w:shd w:val="solid" w:color="000000" w:fill="000000"/>
                <w:fitText w:val="60" w:id="-1167951345"/>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45"/>
                <w14:textFill>
                  <w14:solidFill>
                    <w14:srgbClr w14:val="000000">
                      <w14:alpha w14:val="100000"/>
                    </w14:srgbClr>
                  </w14:solidFill>
                </w14:textFill>
              </w:rPr>
              <w:t xml:space="preserve">　</w:t>
            </w:r>
            <w:r>
              <w:rPr>
                <w:vertAlign w:val="superscript"/>
              </w:rPr>
              <w:t>3</w:t>
            </w:r>
          </w:p>
        </w:tc>
        <w:tc>
          <w:tcPr>
            <w:tcW w:w="499" w:type="pct"/>
          </w:tcPr>
          <w:p w14:paraId="30618527"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44"/>
                <w14:textFill>
                  <w14:solidFill>
                    <w14:srgbClr w14:val="000000">
                      <w14:alpha w14:val="100000"/>
                    </w14:srgbClr>
                  </w14:solidFill>
                </w14:textFill>
              </w:rPr>
              <w:t xml:space="preserve">　</w:t>
            </w:r>
            <w:r w:rsidRPr="009B6C7C">
              <w:rPr>
                <w:color w:val="000000"/>
                <w:w w:val="15"/>
                <w:szCs w:val="20"/>
                <w:shd w:val="solid" w:color="000000" w:fill="000000"/>
                <w:fitText w:val="60" w:id="-1167951344"/>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44"/>
                <w14:textFill>
                  <w14:solidFill>
                    <w14:srgbClr w14:val="000000">
                      <w14:alpha w14:val="100000"/>
                    </w14:srgbClr>
                  </w14:solidFill>
                </w14:textFill>
              </w:rPr>
              <w:t xml:space="preserve">　</w:t>
            </w:r>
            <w:r>
              <w:rPr>
                <w:vertAlign w:val="superscript"/>
              </w:rPr>
              <w:t>3</w:t>
            </w:r>
          </w:p>
        </w:tc>
        <w:tc>
          <w:tcPr>
            <w:tcW w:w="498" w:type="pct"/>
          </w:tcPr>
          <w:p w14:paraId="283DEBA2"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6"/>
                <w:szCs w:val="20"/>
                <w:shd w:val="solid" w:color="000000" w:fill="000000"/>
                <w:fitText w:val="75" w:id="-1167951360"/>
                <w14:textFill>
                  <w14:solidFill>
                    <w14:srgbClr w14:val="000000">
                      <w14:alpha w14:val="100000"/>
                    </w14:srgbClr>
                  </w14:solidFill>
                </w14:textFill>
              </w:rPr>
              <w:t xml:space="preserve">　</w:t>
            </w:r>
            <w:r w:rsidRPr="009B6C7C">
              <w:rPr>
                <w:color w:val="000000"/>
                <w:w w:val="16"/>
                <w:szCs w:val="20"/>
                <w:shd w:val="solid" w:color="000000" w:fill="000000"/>
                <w:fitText w:val="75" w:id="-1167951360"/>
                <w14:textFill>
                  <w14:solidFill>
                    <w14:srgbClr w14:val="000000">
                      <w14:alpha w14:val="100000"/>
                    </w14:srgbClr>
                  </w14:solidFill>
                </w14:textFill>
              </w:rPr>
              <w:t>|</w:t>
            </w:r>
            <w:r w:rsidRPr="009B6C7C">
              <w:rPr>
                <w:rFonts w:hint="eastAsia"/>
                <w:color w:val="000000"/>
                <w:spacing w:val="5"/>
                <w:w w:val="16"/>
                <w:szCs w:val="20"/>
                <w:shd w:val="solid" w:color="000000" w:fill="000000"/>
                <w:fitText w:val="75" w:id="-1167951360"/>
                <w14:textFill>
                  <w14:solidFill>
                    <w14:srgbClr w14:val="000000">
                      <w14:alpha w14:val="100000"/>
                    </w14:srgbClr>
                  </w14:solidFill>
                </w14:textFill>
              </w:rPr>
              <w:t xml:space="preserve">　</w:t>
            </w:r>
            <w:r>
              <w:rPr>
                <w:vertAlign w:val="superscript"/>
              </w:rPr>
              <w:t>3</w:t>
            </w:r>
          </w:p>
        </w:tc>
      </w:tr>
      <w:tr w:rsidR="00EB50C9" w:rsidRPr="00E74297" w14:paraId="3BC2D29F" w14:textId="77777777" w:rsidTr="00EB50C9">
        <w:trPr>
          <w:tblHeader/>
        </w:trPr>
        <w:tc>
          <w:tcPr>
            <w:tcW w:w="2007" w:type="pct"/>
            <w:tcMar>
              <w:left w:w="85" w:type="dxa"/>
              <w:right w:w="85" w:type="dxa"/>
            </w:tcMar>
          </w:tcPr>
          <w:p w14:paraId="196A558F" w14:textId="77777777" w:rsidR="009B6C7C" w:rsidRPr="00E74297" w:rsidRDefault="009B6C7C" w:rsidP="00EB50C9">
            <w:pPr>
              <w:pStyle w:val="TableText0"/>
              <w:keepNext w:val="0"/>
              <w:widowControl w:val="0"/>
              <w:contextualSpacing/>
              <w:rPr>
                <w:szCs w:val="20"/>
              </w:rPr>
            </w:pPr>
            <w:r w:rsidRPr="00E74297">
              <w:rPr>
                <w:szCs w:val="20"/>
              </w:rPr>
              <w:t>Incident (de novo) inoperable Stage III/IV patients (7.0%</w:t>
            </w:r>
            <w:r w:rsidRPr="00E74297">
              <w:rPr>
                <w:szCs w:val="20"/>
                <w:vertAlign w:val="superscript"/>
              </w:rPr>
              <w:t>a</w:t>
            </w:r>
            <w:r w:rsidRPr="00E74297">
              <w:rPr>
                <w:szCs w:val="20"/>
              </w:rPr>
              <w:t xml:space="preserve"> of incident HR+/HER2−cases)</w:t>
            </w:r>
          </w:p>
        </w:tc>
        <w:tc>
          <w:tcPr>
            <w:tcW w:w="499" w:type="pct"/>
          </w:tcPr>
          <w:p w14:paraId="1F611B61"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9"/>
                <w14:textFill>
                  <w14:solidFill>
                    <w14:srgbClr w14:val="000000">
                      <w14:alpha w14:val="100000"/>
                    </w14:srgbClr>
                  </w14:solidFill>
                </w14:textFill>
              </w:rPr>
              <w:t xml:space="preserve">　</w:t>
            </w:r>
            <w:r w:rsidRPr="009B6C7C">
              <w:rPr>
                <w:color w:val="000000"/>
                <w:w w:val="15"/>
                <w:szCs w:val="20"/>
                <w:shd w:val="solid" w:color="000000" w:fill="000000"/>
                <w:fitText w:val="30" w:id="-1167951359"/>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9"/>
                <w14:textFill>
                  <w14:solidFill>
                    <w14:srgbClr w14:val="000000">
                      <w14:alpha w14:val="100000"/>
                    </w14:srgbClr>
                  </w14:solidFill>
                </w14:textFill>
              </w:rPr>
              <w:t xml:space="preserve">　</w:t>
            </w:r>
            <w:r>
              <w:rPr>
                <w:vertAlign w:val="superscript"/>
              </w:rPr>
              <w:t>4</w:t>
            </w:r>
          </w:p>
        </w:tc>
        <w:tc>
          <w:tcPr>
            <w:tcW w:w="499" w:type="pct"/>
          </w:tcPr>
          <w:p w14:paraId="6B641634"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8"/>
                <w14:textFill>
                  <w14:solidFill>
                    <w14:srgbClr w14:val="000000">
                      <w14:alpha w14:val="100000"/>
                    </w14:srgbClr>
                  </w14:solidFill>
                </w14:textFill>
              </w:rPr>
              <w:t xml:space="preserve">　</w:t>
            </w:r>
            <w:r w:rsidRPr="009B6C7C">
              <w:rPr>
                <w:color w:val="000000"/>
                <w:w w:val="15"/>
                <w:szCs w:val="20"/>
                <w:shd w:val="solid" w:color="000000" w:fill="000000"/>
                <w:fitText w:val="30" w:id="-1167951358"/>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8"/>
                <w14:textFill>
                  <w14:solidFill>
                    <w14:srgbClr w14:val="000000">
                      <w14:alpha w14:val="100000"/>
                    </w14:srgbClr>
                  </w14:solidFill>
                </w14:textFill>
              </w:rPr>
              <w:t xml:space="preserve">　</w:t>
            </w:r>
            <w:r>
              <w:rPr>
                <w:vertAlign w:val="superscript"/>
              </w:rPr>
              <w:t>4</w:t>
            </w:r>
          </w:p>
        </w:tc>
        <w:tc>
          <w:tcPr>
            <w:tcW w:w="499" w:type="pct"/>
          </w:tcPr>
          <w:p w14:paraId="79B4AB0B" w14:textId="77777777" w:rsidR="009B6C7C" w:rsidRPr="00F10823" w:rsidRDefault="009B6C7C" w:rsidP="00EB50C9">
            <w:pPr>
              <w:pStyle w:val="TableText0"/>
              <w:keepNext w:val="0"/>
              <w:widowControl w:val="0"/>
              <w:contextualSpacing/>
              <w:jc w:val="center"/>
              <w:rPr>
                <w:szCs w:val="20"/>
                <w:highlight w:val="darkGray"/>
              </w:rPr>
            </w:pPr>
            <w:r w:rsidRPr="00075DC2">
              <w:rPr>
                <w:rFonts w:hint="eastAsia"/>
                <w:color w:val="000000"/>
                <w:w w:val="15"/>
                <w:szCs w:val="20"/>
                <w:shd w:val="solid" w:color="000000" w:fill="000000"/>
                <w:fitText w:val="15" w:id="-1167951357"/>
                <w14:textFill>
                  <w14:solidFill>
                    <w14:srgbClr w14:val="000000">
                      <w14:alpha w14:val="100000"/>
                    </w14:srgbClr>
                  </w14:solidFill>
                </w14:textFill>
              </w:rPr>
              <w:t xml:space="preserve">　</w:t>
            </w:r>
            <w:r w:rsidRPr="00075DC2">
              <w:rPr>
                <w:color w:val="000000"/>
                <w:w w:val="15"/>
                <w:szCs w:val="20"/>
                <w:shd w:val="solid" w:color="000000" w:fill="000000"/>
                <w:fitText w:val="15" w:id="-1167951357"/>
                <w14:textFill>
                  <w14:solidFill>
                    <w14:srgbClr w14:val="000000">
                      <w14:alpha w14:val="100000"/>
                    </w14:srgbClr>
                  </w14:solidFill>
                </w14:textFill>
              </w:rPr>
              <w:t>|</w:t>
            </w:r>
            <w:r w:rsidRPr="00075DC2">
              <w:rPr>
                <w:rFonts w:hint="eastAsia"/>
                <w:color w:val="000000"/>
                <w:spacing w:val="-50"/>
                <w:w w:val="15"/>
                <w:szCs w:val="20"/>
                <w:shd w:val="solid" w:color="000000" w:fill="000000"/>
                <w:fitText w:val="15" w:id="-1167951357"/>
                <w14:textFill>
                  <w14:solidFill>
                    <w14:srgbClr w14:val="000000">
                      <w14:alpha w14:val="100000"/>
                    </w14:srgbClr>
                  </w14:solidFill>
                </w14:textFill>
              </w:rPr>
              <w:t xml:space="preserve">　</w:t>
            </w:r>
            <w:r>
              <w:rPr>
                <w:vertAlign w:val="superscript"/>
              </w:rPr>
              <w:t>4</w:t>
            </w:r>
          </w:p>
        </w:tc>
        <w:tc>
          <w:tcPr>
            <w:tcW w:w="499" w:type="pct"/>
          </w:tcPr>
          <w:p w14:paraId="2312C367"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6"/>
                <w14:textFill>
                  <w14:solidFill>
                    <w14:srgbClr w14:val="000000">
                      <w14:alpha w14:val="100000"/>
                    </w14:srgbClr>
                  </w14:solidFill>
                </w14:textFill>
              </w:rPr>
              <w:t xml:space="preserve">　</w:t>
            </w:r>
            <w:r w:rsidRPr="009B6C7C">
              <w:rPr>
                <w:color w:val="000000"/>
                <w:w w:val="15"/>
                <w:szCs w:val="20"/>
                <w:shd w:val="solid" w:color="000000" w:fill="000000"/>
                <w:fitText w:val="60" w:id="-1167951356"/>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6"/>
                <w14:textFill>
                  <w14:solidFill>
                    <w14:srgbClr w14:val="000000">
                      <w14:alpha w14:val="100000"/>
                    </w14:srgbClr>
                  </w14:solidFill>
                </w14:textFill>
              </w:rPr>
              <w:t xml:space="preserve">　</w:t>
            </w:r>
            <w:r>
              <w:rPr>
                <w:vertAlign w:val="superscript"/>
              </w:rPr>
              <w:t>4</w:t>
            </w:r>
          </w:p>
        </w:tc>
        <w:tc>
          <w:tcPr>
            <w:tcW w:w="499" w:type="pct"/>
          </w:tcPr>
          <w:p w14:paraId="21DF0A61"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5"/>
                <w14:textFill>
                  <w14:solidFill>
                    <w14:srgbClr w14:val="000000">
                      <w14:alpha w14:val="100000"/>
                    </w14:srgbClr>
                  </w14:solidFill>
                </w14:textFill>
              </w:rPr>
              <w:t xml:space="preserve">　</w:t>
            </w:r>
            <w:r w:rsidRPr="009B6C7C">
              <w:rPr>
                <w:color w:val="000000"/>
                <w:w w:val="15"/>
                <w:szCs w:val="20"/>
                <w:shd w:val="solid" w:color="000000" w:fill="000000"/>
                <w:fitText w:val="60" w:id="-1167951355"/>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5"/>
                <w14:textFill>
                  <w14:solidFill>
                    <w14:srgbClr w14:val="000000">
                      <w14:alpha w14:val="100000"/>
                    </w14:srgbClr>
                  </w14:solidFill>
                </w14:textFill>
              </w:rPr>
              <w:t xml:space="preserve">　</w:t>
            </w:r>
            <w:r>
              <w:rPr>
                <w:vertAlign w:val="superscript"/>
              </w:rPr>
              <w:t>4</w:t>
            </w:r>
          </w:p>
        </w:tc>
        <w:tc>
          <w:tcPr>
            <w:tcW w:w="498" w:type="pct"/>
          </w:tcPr>
          <w:p w14:paraId="049DFB6A"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6"/>
                <w:szCs w:val="20"/>
                <w:shd w:val="solid" w:color="000000" w:fill="000000"/>
                <w:fitText w:val="75" w:id="-1167951354"/>
                <w14:textFill>
                  <w14:solidFill>
                    <w14:srgbClr w14:val="000000">
                      <w14:alpha w14:val="100000"/>
                    </w14:srgbClr>
                  </w14:solidFill>
                </w14:textFill>
              </w:rPr>
              <w:t xml:space="preserve">　</w:t>
            </w:r>
            <w:r w:rsidRPr="009B6C7C">
              <w:rPr>
                <w:color w:val="000000"/>
                <w:w w:val="16"/>
                <w:szCs w:val="20"/>
                <w:shd w:val="solid" w:color="000000" w:fill="000000"/>
                <w:fitText w:val="75" w:id="-1167951354"/>
                <w14:textFill>
                  <w14:solidFill>
                    <w14:srgbClr w14:val="000000">
                      <w14:alpha w14:val="100000"/>
                    </w14:srgbClr>
                  </w14:solidFill>
                </w14:textFill>
              </w:rPr>
              <w:t>|</w:t>
            </w:r>
            <w:r w:rsidRPr="009B6C7C">
              <w:rPr>
                <w:rFonts w:hint="eastAsia"/>
                <w:color w:val="000000"/>
                <w:spacing w:val="5"/>
                <w:w w:val="16"/>
                <w:szCs w:val="20"/>
                <w:shd w:val="solid" w:color="000000" w:fill="000000"/>
                <w:fitText w:val="75" w:id="-1167951354"/>
                <w14:textFill>
                  <w14:solidFill>
                    <w14:srgbClr w14:val="000000">
                      <w14:alpha w14:val="100000"/>
                    </w14:srgbClr>
                  </w14:solidFill>
                </w14:textFill>
              </w:rPr>
              <w:t xml:space="preserve">　</w:t>
            </w:r>
            <w:r>
              <w:rPr>
                <w:vertAlign w:val="superscript"/>
              </w:rPr>
              <w:t>4</w:t>
            </w:r>
          </w:p>
        </w:tc>
      </w:tr>
      <w:tr w:rsidR="00EB50C9" w:rsidRPr="00E74297" w14:paraId="2B64A61D" w14:textId="77777777" w:rsidTr="00EB50C9">
        <w:trPr>
          <w:tblHeader/>
        </w:trPr>
        <w:tc>
          <w:tcPr>
            <w:tcW w:w="2007" w:type="pct"/>
            <w:tcMar>
              <w:left w:w="85" w:type="dxa"/>
              <w:right w:w="85" w:type="dxa"/>
            </w:tcMar>
          </w:tcPr>
          <w:p w14:paraId="3C16F1AF" w14:textId="77777777" w:rsidR="009B6C7C" w:rsidRPr="00E74297" w:rsidRDefault="009B6C7C" w:rsidP="00EB50C9">
            <w:pPr>
              <w:pStyle w:val="TableText0"/>
              <w:keepNext w:val="0"/>
              <w:widowControl w:val="0"/>
              <w:contextualSpacing/>
              <w:rPr>
                <w:szCs w:val="20"/>
              </w:rPr>
            </w:pPr>
            <w:r w:rsidRPr="00E74297">
              <w:rPr>
                <w:szCs w:val="20"/>
              </w:rPr>
              <w:t>Incident patients who progress from eBC to metastatic disease (23% × 93.0%</w:t>
            </w:r>
            <w:r w:rsidRPr="00E74297">
              <w:rPr>
                <w:szCs w:val="20"/>
                <w:vertAlign w:val="superscript"/>
              </w:rPr>
              <w:t>b</w:t>
            </w:r>
            <w:r w:rsidRPr="00E74297">
              <w:rPr>
                <w:szCs w:val="20"/>
              </w:rPr>
              <w:t xml:space="preserve"> of incident HR+/HER2− cases)</w:t>
            </w:r>
          </w:p>
        </w:tc>
        <w:tc>
          <w:tcPr>
            <w:tcW w:w="499" w:type="pct"/>
          </w:tcPr>
          <w:p w14:paraId="57428AD5"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3"/>
                <w14:textFill>
                  <w14:solidFill>
                    <w14:srgbClr w14:val="000000">
                      <w14:alpha w14:val="100000"/>
                    </w14:srgbClr>
                  </w14:solidFill>
                </w14:textFill>
              </w:rPr>
              <w:t xml:space="preserve">　</w:t>
            </w:r>
            <w:r w:rsidRPr="009B6C7C">
              <w:rPr>
                <w:color w:val="000000"/>
                <w:w w:val="15"/>
                <w:szCs w:val="20"/>
                <w:shd w:val="solid" w:color="000000" w:fill="000000"/>
                <w:fitText w:val="30" w:id="-1167951353"/>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3"/>
                <w14:textFill>
                  <w14:solidFill>
                    <w14:srgbClr w14:val="000000">
                      <w14:alpha w14:val="100000"/>
                    </w14:srgbClr>
                  </w14:solidFill>
                </w14:textFill>
              </w:rPr>
              <w:t xml:space="preserve">　</w:t>
            </w:r>
            <w:r>
              <w:rPr>
                <w:vertAlign w:val="superscript"/>
              </w:rPr>
              <w:t>4</w:t>
            </w:r>
          </w:p>
        </w:tc>
        <w:tc>
          <w:tcPr>
            <w:tcW w:w="499" w:type="pct"/>
          </w:tcPr>
          <w:p w14:paraId="2ED4F96D"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2"/>
                <w14:textFill>
                  <w14:solidFill>
                    <w14:srgbClr w14:val="000000">
                      <w14:alpha w14:val="100000"/>
                    </w14:srgbClr>
                  </w14:solidFill>
                </w14:textFill>
              </w:rPr>
              <w:t xml:space="preserve">　</w:t>
            </w:r>
            <w:r w:rsidRPr="009B6C7C">
              <w:rPr>
                <w:color w:val="000000"/>
                <w:w w:val="15"/>
                <w:szCs w:val="20"/>
                <w:shd w:val="solid" w:color="000000" w:fill="000000"/>
                <w:fitText w:val="30" w:id="-1167951352"/>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2"/>
                <w14:textFill>
                  <w14:solidFill>
                    <w14:srgbClr w14:val="000000">
                      <w14:alpha w14:val="100000"/>
                    </w14:srgbClr>
                  </w14:solidFill>
                </w14:textFill>
              </w:rPr>
              <w:t xml:space="preserve">　</w:t>
            </w:r>
            <w:r>
              <w:rPr>
                <w:vertAlign w:val="superscript"/>
              </w:rPr>
              <w:t>4</w:t>
            </w:r>
          </w:p>
        </w:tc>
        <w:tc>
          <w:tcPr>
            <w:tcW w:w="499" w:type="pct"/>
          </w:tcPr>
          <w:p w14:paraId="3B71A197" w14:textId="77777777" w:rsidR="009B6C7C" w:rsidRPr="00F10823" w:rsidRDefault="009B6C7C" w:rsidP="00EB50C9">
            <w:pPr>
              <w:pStyle w:val="TableText0"/>
              <w:keepNext w:val="0"/>
              <w:widowControl w:val="0"/>
              <w:contextualSpacing/>
              <w:jc w:val="center"/>
              <w:rPr>
                <w:szCs w:val="20"/>
                <w:highlight w:val="darkGray"/>
              </w:rPr>
            </w:pPr>
            <w:r w:rsidRPr="00075DC2">
              <w:rPr>
                <w:rFonts w:hint="eastAsia"/>
                <w:color w:val="000000"/>
                <w:w w:val="15"/>
                <w:szCs w:val="20"/>
                <w:shd w:val="solid" w:color="000000" w:fill="000000"/>
                <w:fitText w:val="15" w:id="-1167951351"/>
                <w14:textFill>
                  <w14:solidFill>
                    <w14:srgbClr w14:val="000000">
                      <w14:alpha w14:val="100000"/>
                    </w14:srgbClr>
                  </w14:solidFill>
                </w14:textFill>
              </w:rPr>
              <w:t xml:space="preserve">　</w:t>
            </w:r>
            <w:r w:rsidRPr="00075DC2">
              <w:rPr>
                <w:color w:val="000000"/>
                <w:w w:val="15"/>
                <w:szCs w:val="20"/>
                <w:shd w:val="solid" w:color="000000" w:fill="000000"/>
                <w:fitText w:val="15" w:id="-1167951351"/>
                <w14:textFill>
                  <w14:solidFill>
                    <w14:srgbClr w14:val="000000">
                      <w14:alpha w14:val="100000"/>
                    </w14:srgbClr>
                  </w14:solidFill>
                </w14:textFill>
              </w:rPr>
              <w:t>|</w:t>
            </w:r>
            <w:r w:rsidRPr="00075DC2">
              <w:rPr>
                <w:rFonts w:hint="eastAsia"/>
                <w:color w:val="000000"/>
                <w:spacing w:val="-50"/>
                <w:w w:val="15"/>
                <w:szCs w:val="20"/>
                <w:shd w:val="solid" w:color="000000" w:fill="000000"/>
                <w:fitText w:val="15" w:id="-1167951351"/>
                <w14:textFill>
                  <w14:solidFill>
                    <w14:srgbClr w14:val="000000">
                      <w14:alpha w14:val="100000"/>
                    </w14:srgbClr>
                  </w14:solidFill>
                </w14:textFill>
              </w:rPr>
              <w:t xml:space="preserve">　</w:t>
            </w:r>
            <w:r>
              <w:rPr>
                <w:vertAlign w:val="superscript"/>
              </w:rPr>
              <w:t>4</w:t>
            </w:r>
          </w:p>
        </w:tc>
        <w:tc>
          <w:tcPr>
            <w:tcW w:w="499" w:type="pct"/>
          </w:tcPr>
          <w:p w14:paraId="1150F347"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0"/>
                <w14:textFill>
                  <w14:solidFill>
                    <w14:srgbClr w14:val="000000">
                      <w14:alpha w14:val="100000"/>
                    </w14:srgbClr>
                  </w14:solidFill>
                </w14:textFill>
              </w:rPr>
              <w:t xml:space="preserve">　</w:t>
            </w:r>
            <w:r w:rsidRPr="009B6C7C">
              <w:rPr>
                <w:color w:val="000000"/>
                <w:w w:val="15"/>
                <w:szCs w:val="20"/>
                <w:shd w:val="solid" w:color="000000" w:fill="000000"/>
                <w:fitText w:val="60" w:id="-1167951350"/>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0"/>
                <w14:textFill>
                  <w14:solidFill>
                    <w14:srgbClr w14:val="000000">
                      <w14:alpha w14:val="100000"/>
                    </w14:srgbClr>
                  </w14:solidFill>
                </w14:textFill>
              </w:rPr>
              <w:t xml:space="preserve">　</w:t>
            </w:r>
            <w:r>
              <w:rPr>
                <w:vertAlign w:val="superscript"/>
              </w:rPr>
              <w:t>4</w:t>
            </w:r>
          </w:p>
        </w:tc>
        <w:tc>
          <w:tcPr>
            <w:tcW w:w="499" w:type="pct"/>
          </w:tcPr>
          <w:p w14:paraId="6991A0F7"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49"/>
                <w14:textFill>
                  <w14:solidFill>
                    <w14:srgbClr w14:val="000000">
                      <w14:alpha w14:val="100000"/>
                    </w14:srgbClr>
                  </w14:solidFill>
                </w14:textFill>
              </w:rPr>
              <w:t xml:space="preserve">　</w:t>
            </w:r>
            <w:r w:rsidRPr="009B6C7C">
              <w:rPr>
                <w:color w:val="000000"/>
                <w:w w:val="15"/>
                <w:szCs w:val="20"/>
                <w:shd w:val="solid" w:color="000000" w:fill="000000"/>
                <w:fitText w:val="60" w:id="-1167951349"/>
                <w14:textFill>
                  <w14:solidFill>
                    <w14:srgbClr w14:val="000000">
                      <w14:alpha w14:val="100000"/>
                    </w14:srgbClr>
                  </w14:solidFill>
                </w14:textFill>
              </w:rPr>
              <w:t>|</w:t>
            </w:r>
            <w:r w:rsidRPr="009B6C7C">
              <w:rPr>
                <w:rFonts w:hint="eastAsia"/>
                <w:color w:val="000000"/>
                <w:spacing w:val="-5"/>
                <w:w w:val="15"/>
                <w:szCs w:val="20"/>
                <w:shd w:val="solid" w:color="000000" w:fill="000000"/>
                <w:fitText w:val="60" w:id="-1167951349"/>
                <w14:textFill>
                  <w14:solidFill>
                    <w14:srgbClr w14:val="000000">
                      <w14:alpha w14:val="100000"/>
                    </w14:srgbClr>
                  </w14:solidFill>
                </w14:textFill>
              </w:rPr>
              <w:t xml:space="preserve">　</w:t>
            </w:r>
            <w:r>
              <w:rPr>
                <w:vertAlign w:val="superscript"/>
              </w:rPr>
              <w:t>4</w:t>
            </w:r>
          </w:p>
        </w:tc>
        <w:tc>
          <w:tcPr>
            <w:tcW w:w="498" w:type="pct"/>
          </w:tcPr>
          <w:p w14:paraId="12D90A16"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6"/>
                <w:szCs w:val="20"/>
                <w:shd w:val="solid" w:color="000000" w:fill="000000"/>
                <w:fitText w:val="75" w:id="-1167951348"/>
                <w14:textFill>
                  <w14:solidFill>
                    <w14:srgbClr w14:val="000000">
                      <w14:alpha w14:val="100000"/>
                    </w14:srgbClr>
                  </w14:solidFill>
                </w14:textFill>
              </w:rPr>
              <w:t xml:space="preserve">　</w:t>
            </w:r>
            <w:r w:rsidRPr="009B6C7C">
              <w:rPr>
                <w:color w:val="000000"/>
                <w:w w:val="16"/>
                <w:szCs w:val="20"/>
                <w:shd w:val="solid" w:color="000000" w:fill="000000"/>
                <w:fitText w:val="75" w:id="-1167951348"/>
                <w14:textFill>
                  <w14:solidFill>
                    <w14:srgbClr w14:val="000000">
                      <w14:alpha w14:val="100000"/>
                    </w14:srgbClr>
                  </w14:solidFill>
                </w14:textFill>
              </w:rPr>
              <w:t>|</w:t>
            </w:r>
            <w:r w:rsidRPr="009B6C7C">
              <w:rPr>
                <w:rFonts w:hint="eastAsia"/>
                <w:color w:val="000000"/>
                <w:spacing w:val="5"/>
                <w:w w:val="16"/>
                <w:szCs w:val="20"/>
                <w:shd w:val="solid" w:color="000000" w:fill="000000"/>
                <w:fitText w:val="75" w:id="-1167951348"/>
                <w14:textFill>
                  <w14:solidFill>
                    <w14:srgbClr w14:val="000000">
                      <w14:alpha w14:val="100000"/>
                    </w14:srgbClr>
                  </w14:solidFill>
                </w14:textFill>
              </w:rPr>
              <w:t xml:space="preserve">　</w:t>
            </w:r>
            <w:r>
              <w:rPr>
                <w:vertAlign w:val="superscript"/>
              </w:rPr>
              <w:t>4</w:t>
            </w:r>
          </w:p>
        </w:tc>
      </w:tr>
      <w:tr w:rsidR="00EB50C9" w:rsidRPr="00E74297" w14:paraId="31C93882" w14:textId="77777777" w:rsidTr="00EB50C9">
        <w:trPr>
          <w:tblHeader/>
        </w:trPr>
        <w:tc>
          <w:tcPr>
            <w:tcW w:w="2007" w:type="pct"/>
            <w:tcMar>
              <w:left w:w="85" w:type="dxa"/>
              <w:right w:w="85" w:type="dxa"/>
            </w:tcMar>
          </w:tcPr>
          <w:p w14:paraId="4F45823F" w14:textId="77777777" w:rsidR="009B6C7C" w:rsidRPr="00E74297" w:rsidRDefault="009B6C7C" w:rsidP="00EB50C9">
            <w:pPr>
              <w:pStyle w:val="TableText0"/>
              <w:keepNext w:val="0"/>
              <w:widowControl w:val="0"/>
              <w:contextualSpacing/>
              <w:rPr>
                <w:szCs w:val="20"/>
              </w:rPr>
            </w:pPr>
            <w:r w:rsidRPr="00E74297">
              <w:rPr>
                <w:szCs w:val="20"/>
              </w:rPr>
              <w:t>Total de novo and progressed patients</w:t>
            </w:r>
          </w:p>
        </w:tc>
        <w:tc>
          <w:tcPr>
            <w:tcW w:w="499" w:type="pct"/>
          </w:tcPr>
          <w:p w14:paraId="38A29151"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47"/>
                <w14:textFill>
                  <w14:solidFill>
                    <w14:srgbClr w14:val="000000">
                      <w14:alpha w14:val="100000"/>
                    </w14:srgbClr>
                  </w14:solidFill>
                </w14:textFill>
              </w:rPr>
              <w:t xml:space="preserve">　</w:t>
            </w:r>
            <w:r w:rsidRPr="009B6C7C">
              <w:rPr>
                <w:color w:val="000000"/>
                <w:w w:val="15"/>
                <w:szCs w:val="20"/>
                <w:shd w:val="solid" w:color="000000" w:fill="000000"/>
                <w:fitText w:val="30" w:id="-1167951347"/>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47"/>
                <w14:textFill>
                  <w14:solidFill>
                    <w14:srgbClr w14:val="000000">
                      <w14:alpha w14:val="100000"/>
                    </w14:srgbClr>
                  </w14:solidFill>
                </w14:textFill>
              </w:rPr>
              <w:t xml:space="preserve">　</w:t>
            </w:r>
            <w:r>
              <w:rPr>
                <w:vertAlign w:val="superscript"/>
              </w:rPr>
              <w:t>4</w:t>
            </w:r>
          </w:p>
        </w:tc>
        <w:tc>
          <w:tcPr>
            <w:tcW w:w="499" w:type="pct"/>
          </w:tcPr>
          <w:p w14:paraId="4FAD8F84"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46"/>
                <w14:textFill>
                  <w14:solidFill>
                    <w14:srgbClr w14:val="000000">
                      <w14:alpha w14:val="100000"/>
                    </w14:srgbClr>
                  </w14:solidFill>
                </w14:textFill>
              </w:rPr>
              <w:t xml:space="preserve">　</w:t>
            </w:r>
            <w:r w:rsidRPr="009B6C7C">
              <w:rPr>
                <w:color w:val="000000"/>
                <w:w w:val="15"/>
                <w:szCs w:val="20"/>
                <w:shd w:val="solid" w:color="000000" w:fill="000000"/>
                <w:fitText w:val="30" w:id="-1167951346"/>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46"/>
                <w14:textFill>
                  <w14:solidFill>
                    <w14:srgbClr w14:val="000000">
                      <w14:alpha w14:val="100000"/>
                    </w14:srgbClr>
                  </w14:solidFill>
                </w14:textFill>
              </w:rPr>
              <w:t xml:space="preserve">　</w:t>
            </w:r>
            <w:r>
              <w:rPr>
                <w:vertAlign w:val="superscript"/>
              </w:rPr>
              <w:t>4</w:t>
            </w:r>
          </w:p>
        </w:tc>
        <w:tc>
          <w:tcPr>
            <w:tcW w:w="499" w:type="pct"/>
          </w:tcPr>
          <w:p w14:paraId="5067928B" w14:textId="77777777" w:rsidR="009B6C7C" w:rsidRPr="00F10823" w:rsidRDefault="009B6C7C" w:rsidP="00EB50C9">
            <w:pPr>
              <w:pStyle w:val="TableText0"/>
              <w:keepNext w:val="0"/>
              <w:widowControl w:val="0"/>
              <w:contextualSpacing/>
              <w:jc w:val="center"/>
              <w:rPr>
                <w:szCs w:val="20"/>
                <w:highlight w:val="darkGray"/>
              </w:rPr>
            </w:pPr>
            <w:r w:rsidRPr="00075DC2">
              <w:rPr>
                <w:rFonts w:hint="eastAsia"/>
                <w:color w:val="000000"/>
                <w:w w:val="15"/>
                <w:szCs w:val="20"/>
                <w:shd w:val="solid" w:color="000000" w:fill="000000"/>
                <w:fitText w:val="15" w:id="-1167951345"/>
                <w14:textFill>
                  <w14:solidFill>
                    <w14:srgbClr w14:val="000000">
                      <w14:alpha w14:val="100000"/>
                    </w14:srgbClr>
                  </w14:solidFill>
                </w14:textFill>
              </w:rPr>
              <w:t xml:space="preserve">　</w:t>
            </w:r>
            <w:r w:rsidRPr="00075DC2">
              <w:rPr>
                <w:color w:val="000000"/>
                <w:w w:val="15"/>
                <w:szCs w:val="20"/>
                <w:shd w:val="solid" w:color="000000" w:fill="000000"/>
                <w:fitText w:val="15" w:id="-1167951345"/>
                <w14:textFill>
                  <w14:solidFill>
                    <w14:srgbClr w14:val="000000">
                      <w14:alpha w14:val="100000"/>
                    </w14:srgbClr>
                  </w14:solidFill>
                </w14:textFill>
              </w:rPr>
              <w:t>|</w:t>
            </w:r>
            <w:r w:rsidRPr="00075DC2">
              <w:rPr>
                <w:rFonts w:hint="eastAsia"/>
                <w:color w:val="000000"/>
                <w:spacing w:val="-50"/>
                <w:w w:val="15"/>
                <w:szCs w:val="20"/>
                <w:shd w:val="solid" w:color="000000" w:fill="000000"/>
                <w:fitText w:val="15" w:id="-1167951345"/>
                <w14:textFill>
                  <w14:solidFill>
                    <w14:srgbClr w14:val="000000">
                      <w14:alpha w14:val="100000"/>
                    </w14:srgbClr>
                  </w14:solidFill>
                </w14:textFill>
              </w:rPr>
              <w:t xml:space="preserve">　</w:t>
            </w:r>
            <w:r>
              <w:rPr>
                <w:vertAlign w:val="superscript"/>
              </w:rPr>
              <w:t>4</w:t>
            </w:r>
          </w:p>
        </w:tc>
        <w:tc>
          <w:tcPr>
            <w:tcW w:w="499" w:type="pct"/>
          </w:tcPr>
          <w:p w14:paraId="306DC54D"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44"/>
                <w14:textFill>
                  <w14:solidFill>
                    <w14:srgbClr w14:val="000000">
                      <w14:alpha w14:val="100000"/>
                    </w14:srgbClr>
                  </w14:solidFill>
                </w14:textFill>
              </w:rPr>
              <w:t xml:space="preserve">　</w:t>
            </w:r>
            <w:r w:rsidRPr="009B6C7C">
              <w:rPr>
                <w:color w:val="000000"/>
                <w:w w:val="15"/>
                <w:szCs w:val="20"/>
                <w:shd w:val="solid" w:color="000000" w:fill="000000"/>
                <w:fitText w:val="60" w:id="-1167951344"/>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44"/>
                <w14:textFill>
                  <w14:solidFill>
                    <w14:srgbClr w14:val="000000">
                      <w14:alpha w14:val="100000"/>
                    </w14:srgbClr>
                  </w14:solidFill>
                </w14:textFill>
              </w:rPr>
              <w:t xml:space="preserve">　</w:t>
            </w:r>
            <w:r>
              <w:rPr>
                <w:vertAlign w:val="superscript"/>
              </w:rPr>
              <w:t>4</w:t>
            </w:r>
          </w:p>
        </w:tc>
        <w:tc>
          <w:tcPr>
            <w:tcW w:w="499" w:type="pct"/>
          </w:tcPr>
          <w:p w14:paraId="7E36D68A"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60"/>
                <w14:textFill>
                  <w14:solidFill>
                    <w14:srgbClr w14:val="000000">
                      <w14:alpha w14:val="100000"/>
                    </w14:srgbClr>
                  </w14:solidFill>
                </w14:textFill>
              </w:rPr>
              <w:t xml:space="preserve">　</w:t>
            </w:r>
            <w:r w:rsidRPr="009B6C7C">
              <w:rPr>
                <w:color w:val="000000"/>
                <w:w w:val="15"/>
                <w:szCs w:val="20"/>
                <w:shd w:val="solid" w:color="000000" w:fill="000000"/>
                <w:fitText w:val="60" w:id="-1167951360"/>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60"/>
                <w14:textFill>
                  <w14:solidFill>
                    <w14:srgbClr w14:val="000000">
                      <w14:alpha w14:val="100000"/>
                    </w14:srgbClr>
                  </w14:solidFill>
                </w14:textFill>
              </w:rPr>
              <w:t xml:space="preserve">　</w:t>
            </w:r>
            <w:r>
              <w:rPr>
                <w:vertAlign w:val="superscript"/>
              </w:rPr>
              <w:t>4</w:t>
            </w:r>
          </w:p>
        </w:tc>
        <w:tc>
          <w:tcPr>
            <w:tcW w:w="498" w:type="pct"/>
          </w:tcPr>
          <w:p w14:paraId="18D1557C"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6"/>
                <w:szCs w:val="20"/>
                <w:shd w:val="solid" w:color="000000" w:fill="000000"/>
                <w:fitText w:val="75" w:id="-1167951359"/>
                <w14:textFill>
                  <w14:solidFill>
                    <w14:srgbClr w14:val="000000">
                      <w14:alpha w14:val="100000"/>
                    </w14:srgbClr>
                  </w14:solidFill>
                </w14:textFill>
              </w:rPr>
              <w:t xml:space="preserve">　</w:t>
            </w:r>
            <w:r w:rsidRPr="009B6C7C">
              <w:rPr>
                <w:color w:val="000000"/>
                <w:w w:val="16"/>
                <w:szCs w:val="20"/>
                <w:shd w:val="solid" w:color="000000" w:fill="000000"/>
                <w:fitText w:val="75" w:id="-1167951359"/>
                <w14:textFill>
                  <w14:solidFill>
                    <w14:srgbClr w14:val="000000">
                      <w14:alpha w14:val="100000"/>
                    </w14:srgbClr>
                  </w14:solidFill>
                </w14:textFill>
              </w:rPr>
              <w:t>|</w:t>
            </w:r>
            <w:r w:rsidRPr="009B6C7C">
              <w:rPr>
                <w:rFonts w:hint="eastAsia"/>
                <w:color w:val="000000"/>
                <w:spacing w:val="5"/>
                <w:w w:val="16"/>
                <w:szCs w:val="20"/>
                <w:shd w:val="solid" w:color="000000" w:fill="000000"/>
                <w:fitText w:val="75" w:id="-1167951359"/>
                <w14:textFill>
                  <w14:solidFill>
                    <w14:srgbClr w14:val="000000">
                      <w14:alpha w14:val="100000"/>
                    </w14:srgbClr>
                  </w14:solidFill>
                </w14:textFill>
              </w:rPr>
              <w:t xml:space="preserve">　</w:t>
            </w:r>
            <w:r>
              <w:rPr>
                <w:vertAlign w:val="superscript"/>
              </w:rPr>
              <w:t>4</w:t>
            </w:r>
          </w:p>
        </w:tc>
      </w:tr>
      <w:tr w:rsidR="00EB50C9" w:rsidRPr="00E74297" w14:paraId="2AC35936" w14:textId="77777777" w:rsidTr="00EB50C9">
        <w:trPr>
          <w:tblHeader/>
        </w:trPr>
        <w:tc>
          <w:tcPr>
            <w:tcW w:w="2007" w:type="pct"/>
            <w:tcMar>
              <w:left w:w="85" w:type="dxa"/>
              <w:right w:w="85" w:type="dxa"/>
            </w:tcMar>
          </w:tcPr>
          <w:p w14:paraId="0F89B17D" w14:textId="77777777" w:rsidR="009B6C7C" w:rsidRPr="00E74297" w:rsidRDefault="009B6C7C" w:rsidP="00EB50C9">
            <w:pPr>
              <w:pStyle w:val="TableText0"/>
              <w:keepNext w:val="0"/>
              <w:widowControl w:val="0"/>
              <w:contextualSpacing/>
              <w:rPr>
                <w:szCs w:val="20"/>
              </w:rPr>
            </w:pPr>
            <w:r w:rsidRPr="00E74297">
              <w:rPr>
                <w:szCs w:val="20"/>
              </w:rPr>
              <w:t>Patients who are second or third line (85.5%)</w:t>
            </w:r>
          </w:p>
        </w:tc>
        <w:tc>
          <w:tcPr>
            <w:tcW w:w="499" w:type="pct"/>
          </w:tcPr>
          <w:p w14:paraId="306ACF38"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8"/>
                <w14:textFill>
                  <w14:solidFill>
                    <w14:srgbClr w14:val="000000">
                      <w14:alpha w14:val="100000"/>
                    </w14:srgbClr>
                  </w14:solidFill>
                </w14:textFill>
              </w:rPr>
              <w:t xml:space="preserve">　</w:t>
            </w:r>
            <w:r w:rsidRPr="009B6C7C">
              <w:rPr>
                <w:color w:val="000000"/>
                <w:w w:val="15"/>
                <w:szCs w:val="20"/>
                <w:shd w:val="solid" w:color="000000" w:fill="000000"/>
                <w:fitText w:val="30" w:id="-1167951358"/>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8"/>
                <w14:textFill>
                  <w14:solidFill>
                    <w14:srgbClr w14:val="000000">
                      <w14:alpha w14:val="100000"/>
                    </w14:srgbClr>
                  </w14:solidFill>
                </w14:textFill>
              </w:rPr>
              <w:t xml:space="preserve">　</w:t>
            </w:r>
            <w:r>
              <w:rPr>
                <w:vertAlign w:val="superscript"/>
              </w:rPr>
              <w:t>4</w:t>
            </w:r>
          </w:p>
        </w:tc>
        <w:tc>
          <w:tcPr>
            <w:tcW w:w="499" w:type="pct"/>
          </w:tcPr>
          <w:p w14:paraId="0C9C63C6"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7"/>
                <w14:textFill>
                  <w14:solidFill>
                    <w14:srgbClr w14:val="000000">
                      <w14:alpha w14:val="100000"/>
                    </w14:srgbClr>
                  </w14:solidFill>
                </w14:textFill>
              </w:rPr>
              <w:t xml:space="preserve">　</w:t>
            </w:r>
            <w:r w:rsidRPr="009B6C7C">
              <w:rPr>
                <w:color w:val="000000"/>
                <w:w w:val="15"/>
                <w:szCs w:val="20"/>
                <w:shd w:val="solid" w:color="000000" w:fill="000000"/>
                <w:fitText w:val="30" w:id="-1167951357"/>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7"/>
                <w14:textFill>
                  <w14:solidFill>
                    <w14:srgbClr w14:val="000000">
                      <w14:alpha w14:val="100000"/>
                    </w14:srgbClr>
                  </w14:solidFill>
                </w14:textFill>
              </w:rPr>
              <w:t xml:space="preserve">　</w:t>
            </w:r>
            <w:r>
              <w:rPr>
                <w:vertAlign w:val="superscript"/>
              </w:rPr>
              <w:t>4</w:t>
            </w:r>
          </w:p>
        </w:tc>
        <w:tc>
          <w:tcPr>
            <w:tcW w:w="499" w:type="pct"/>
          </w:tcPr>
          <w:p w14:paraId="66AC60E5" w14:textId="77777777" w:rsidR="009B6C7C" w:rsidRPr="00F10823" w:rsidRDefault="009B6C7C" w:rsidP="00EB50C9">
            <w:pPr>
              <w:pStyle w:val="TableText0"/>
              <w:keepNext w:val="0"/>
              <w:widowControl w:val="0"/>
              <w:contextualSpacing/>
              <w:jc w:val="center"/>
              <w:rPr>
                <w:szCs w:val="20"/>
                <w:highlight w:val="darkGray"/>
              </w:rPr>
            </w:pPr>
            <w:r w:rsidRPr="00075DC2">
              <w:rPr>
                <w:rFonts w:hint="eastAsia"/>
                <w:color w:val="000000"/>
                <w:w w:val="15"/>
                <w:szCs w:val="20"/>
                <w:shd w:val="solid" w:color="000000" w:fill="000000"/>
                <w:fitText w:val="15" w:id="-1167951356"/>
                <w14:textFill>
                  <w14:solidFill>
                    <w14:srgbClr w14:val="000000">
                      <w14:alpha w14:val="100000"/>
                    </w14:srgbClr>
                  </w14:solidFill>
                </w14:textFill>
              </w:rPr>
              <w:t xml:space="preserve">　</w:t>
            </w:r>
            <w:r w:rsidRPr="00075DC2">
              <w:rPr>
                <w:color w:val="000000"/>
                <w:w w:val="15"/>
                <w:szCs w:val="20"/>
                <w:shd w:val="solid" w:color="000000" w:fill="000000"/>
                <w:fitText w:val="15" w:id="-1167951356"/>
                <w14:textFill>
                  <w14:solidFill>
                    <w14:srgbClr w14:val="000000">
                      <w14:alpha w14:val="100000"/>
                    </w14:srgbClr>
                  </w14:solidFill>
                </w14:textFill>
              </w:rPr>
              <w:t>|</w:t>
            </w:r>
            <w:r w:rsidRPr="00075DC2">
              <w:rPr>
                <w:rFonts w:hint="eastAsia"/>
                <w:color w:val="000000"/>
                <w:spacing w:val="-50"/>
                <w:w w:val="15"/>
                <w:szCs w:val="20"/>
                <w:shd w:val="solid" w:color="000000" w:fill="000000"/>
                <w:fitText w:val="15" w:id="-1167951356"/>
                <w14:textFill>
                  <w14:solidFill>
                    <w14:srgbClr w14:val="000000">
                      <w14:alpha w14:val="100000"/>
                    </w14:srgbClr>
                  </w14:solidFill>
                </w14:textFill>
              </w:rPr>
              <w:t xml:space="preserve">　</w:t>
            </w:r>
            <w:r>
              <w:rPr>
                <w:vertAlign w:val="superscript"/>
              </w:rPr>
              <w:t>4</w:t>
            </w:r>
          </w:p>
        </w:tc>
        <w:tc>
          <w:tcPr>
            <w:tcW w:w="499" w:type="pct"/>
          </w:tcPr>
          <w:p w14:paraId="7E0E1358"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5"/>
                <w14:textFill>
                  <w14:solidFill>
                    <w14:srgbClr w14:val="000000">
                      <w14:alpha w14:val="100000"/>
                    </w14:srgbClr>
                  </w14:solidFill>
                </w14:textFill>
              </w:rPr>
              <w:t xml:space="preserve">　</w:t>
            </w:r>
            <w:r w:rsidRPr="009B6C7C">
              <w:rPr>
                <w:color w:val="000000"/>
                <w:w w:val="15"/>
                <w:szCs w:val="20"/>
                <w:shd w:val="solid" w:color="000000" w:fill="000000"/>
                <w:fitText w:val="60" w:id="-1167951355"/>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5"/>
                <w14:textFill>
                  <w14:solidFill>
                    <w14:srgbClr w14:val="000000">
                      <w14:alpha w14:val="100000"/>
                    </w14:srgbClr>
                  </w14:solidFill>
                </w14:textFill>
              </w:rPr>
              <w:t xml:space="preserve">　</w:t>
            </w:r>
            <w:r>
              <w:rPr>
                <w:vertAlign w:val="superscript"/>
              </w:rPr>
              <w:t>4</w:t>
            </w:r>
          </w:p>
        </w:tc>
        <w:tc>
          <w:tcPr>
            <w:tcW w:w="499" w:type="pct"/>
          </w:tcPr>
          <w:p w14:paraId="7D091538"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4"/>
                <w14:textFill>
                  <w14:solidFill>
                    <w14:srgbClr w14:val="000000">
                      <w14:alpha w14:val="100000"/>
                    </w14:srgbClr>
                  </w14:solidFill>
                </w14:textFill>
              </w:rPr>
              <w:t xml:space="preserve">　</w:t>
            </w:r>
            <w:r w:rsidRPr="009B6C7C">
              <w:rPr>
                <w:color w:val="000000"/>
                <w:w w:val="15"/>
                <w:szCs w:val="20"/>
                <w:shd w:val="solid" w:color="000000" w:fill="000000"/>
                <w:fitText w:val="60" w:id="-1167951354"/>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4"/>
                <w14:textFill>
                  <w14:solidFill>
                    <w14:srgbClr w14:val="000000">
                      <w14:alpha w14:val="100000"/>
                    </w14:srgbClr>
                  </w14:solidFill>
                </w14:textFill>
              </w:rPr>
              <w:t xml:space="preserve">　</w:t>
            </w:r>
            <w:r>
              <w:rPr>
                <w:vertAlign w:val="superscript"/>
              </w:rPr>
              <w:t>4</w:t>
            </w:r>
          </w:p>
        </w:tc>
        <w:tc>
          <w:tcPr>
            <w:tcW w:w="498" w:type="pct"/>
          </w:tcPr>
          <w:p w14:paraId="60800818"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6"/>
                <w:szCs w:val="20"/>
                <w:shd w:val="solid" w:color="000000" w:fill="000000"/>
                <w:fitText w:val="75" w:id="-1167951353"/>
                <w14:textFill>
                  <w14:solidFill>
                    <w14:srgbClr w14:val="000000">
                      <w14:alpha w14:val="100000"/>
                    </w14:srgbClr>
                  </w14:solidFill>
                </w14:textFill>
              </w:rPr>
              <w:t xml:space="preserve">　</w:t>
            </w:r>
            <w:r w:rsidRPr="009B6C7C">
              <w:rPr>
                <w:color w:val="000000"/>
                <w:w w:val="16"/>
                <w:szCs w:val="20"/>
                <w:shd w:val="solid" w:color="000000" w:fill="000000"/>
                <w:fitText w:val="75" w:id="-1167951353"/>
                <w14:textFill>
                  <w14:solidFill>
                    <w14:srgbClr w14:val="000000">
                      <w14:alpha w14:val="100000"/>
                    </w14:srgbClr>
                  </w14:solidFill>
                </w14:textFill>
              </w:rPr>
              <w:t>|</w:t>
            </w:r>
            <w:r w:rsidRPr="009B6C7C">
              <w:rPr>
                <w:rFonts w:hint="eastAsia"/>
                <w:color w:val="000000"/>
                <w:spacing w:val="5"/>
                <w:w w:val="16"/>
                <w:szCs w:val="20"/>
                <w:shd w:val="solid" w:color="000000" w:fill="000000"/>
                <w:fitText w:val="75" w:id="-1167951353"/>
                <w14:textFill>
                  <w14:solidFill>
                    <w14:srgbClr w14:val="000000">
                      <w14:alpha w14:val="100000"/>
                    </w14:srgbClr>
                  </w14:solidFill>
                </w14:textFill>
              </w:rPr>
              <w:t xml:space="preserve">　</w:t>
            </w:r>
            <w:r>
              <w:rPr>
                <w:vertAlign w:val="superscript"/>
              </w:rPr>
              <w:t>4</w:t>
            </w:r>
          </w:p>
        </w:tc>
      </w:tr>
      <w:tr w:rsidR="00EB50C9" w:rsidRPr="00E74297" w14:paraId="3D7E3826" w14:textId="77777777" w:rsidTr="00EB50C9">
        <w:trPr>
          <w:tblHeader/>
        </w:trPr>
        <w:tc>
          <w:tcPr>
            <w:tcW w:w="2007" w:type="pct"/>
            <w:tcMar>
              <w:left w:w="85" w:type="dxa"/>
              <w:right w:w="85" w:type="dxa"/>
            </w:tcMar>
          </w:tcPr>
          <w:p w14:paraId="234233F3" w14:textId="77777777" w:rsidR="009B6C7C" w:rsidRPr="00E74297" w:rsidRDefault="009B6C7C" w:rsidP="00EB50C9">
            <w:pPr>
              <w:pStyle w:val="TableText0"/>
              <w:keepNext w:val="0"/>
              <w:widowControl w:val="0"/>
              <w:contextualSpacing/>
              <w:rPr>
                <w:szCs w:val="20"/>
              </w:rPr>
            </w:pPr>
            <w:r w:rsidRPr="00E74297">
              <w:rPr>
                <w:szCs w:val="20"/>
              </w:rPr>
              <w:t>Uptake rate</w:t>
            </w:r>
          </w:p>
        </w:tc>
        <w:tc>
          <w:tcPr>
            <w:tcW w:w="499" w:type="pct"/>
          </w:tcPr>
          <w:p w14:paraId="3DCFC81F" w14:textId="77777777" w:rsidR="009B6C7C" w:rsidRPr="00E74297" w:rsidRDefault="009B6C7C" w:rsidP="00EB50C9">
            <w:pPr>
              <w:pStyle w:val="TableText0"/>
              <w:keepNext w:val="0"/>
              <w:widowControl w:val="0"/>
              <w:contextualSpacing/>
              <w:jc w:val="center"/>
              <w:rPr>
                <w:szCs w:val="20"/>
              </w:rPr>
            </w:pPr>
            <w:r w:rsidRPr="00E74297">
              <w:rPr>
                <w:szCs w:val="20"/>
              </w:rPr>
              <w:t>60%</w:t>
            </w:r>
          </w:p>
        </w:tc>
        <w:tc>
          <w:tcPr>
            <w:tcW w:w="499" w:type="pct"/>
          </w:tcPr>
          <w:p w14:paraId="673D14BE" w14:textId="77777777" w:rsidR="009B6C7C" w:rsidRPr="00E74297" w:rsidRDefault="009B6C7C" w:rsidP="00EB50C9">
            <w:pPr>
              <w:pStyle w:val="TableText0"/>
              <w:keepNext w:val="0"/>
              <w:widowControl w:val="0"/>
              <w:contextualSpacing/>
              <w:jc w:val="center"/>
              <w:rPr>
                <w:szCs w:val="20"/>
              </w:rPr>
            </w:pPr>
            <w:r w:rsidRPr="00E74297">
              <w:rPr>
                <w:szCs w:val="20"/>
              </w:rPr>
              <w:t>70%</w:t>
            </w:r>
          </w:p>
        </w:tc>
        <w:tc>
          <w:tcPr>
            <w:tcW w:w="499" w:type="pct"/>
          </w:tcPr>
          <w:p w14:paraId="2D51A1CE" w14:textId="77777777" w:rsidR="009B6C7C" w:rsidRPr="00E74297" w:rsidRDefault="009B6C7C" w:rsidP="00EB50C9">
            <w:pPr>
              <w:pStyle w:val="TableText0"/>
              <w:keepNext w:val="0"/>
              <w:widowControl w:val="0"/>
              <w:contextualSpacing/>
              <w:jc w:val="center"/>
              <w:rPr>
                <w:szCs w:val="20"/>
              </w:rPr>
            </w:pPr>
            <w:r w:rsidRPr="00E74297">
              <w:rPr>
                <w:szCs w:val="20"/>
              </w:rPr>
              <w:t>75%</w:t>
            </w:r>
          </w:p>
        </w:tc>
        <w:tc>
          <w:tcPr>
            <w:tcW w:w="499" w:type="pct"/>
          </w:tcPr>
          <w:p w14:paraId="2FB91B14" w14:textId="77777777" w:rsidR="009B6C7C" w:rsidRPr="00E74297" w:rsidRDefault="009B6C7C" w:rsidP="00EB50C9">
            <w:pPr>
              <w:pStyle w:val="TableText0"/>
              <w:keepNext w:val="0"/>
              <w:widowControl w:val="0"/>
              <w:contextualSpacing/>
              <w:jc w:val="center"/>
              <w:rPr>
                <w:szCs w:val="20"/>
              </w:rPr>
            </w:pPr>
            <w:r w:rsidRPr="00E74297">
              <w:rPr>
                <w:szCs w:val="20"/>
              </w:rPr>
              <w:t>75%</w:t>
            </w:r>
          </w:p>
        </w:tc>
        <w:tc>
          <w:tcPr>
            <w:tcW w:w="499" w:type="pct"/>
          </w:tcPr>
          <w:p w14:paraId="6B508D6E" w14:textId="77777777" w:rsidR="009B6C7C" w:rsidRPr="00E74297" w:rsidRDefault="009B6C7C" w:rsidP="00EB50C9">
            <w:pPr>
              <w:pStyle w:val="TableText0"/>
              <w:keepNext w:val="0"/>
              <w:widowControl w:val="0"/>
              <w:contextualSpacing/>
              <w:jc w:val="center"/>
              <w:rPr>
                <w:szCs w:val="20"/>
              </w:rPr>
            </w:pPr>
            <w:r w:rsidRPr="00E74297">
              <w:rPr>
                <w:szCs w:val="20"/>
              </w:rPr>
              <w:t>75%</w:t>
            </w:r>
          </w:p>
        </w:tc>
        <w:tc>
          <w:tcPr>
            <w:tcW w:w="498" w:type="pct"/>
          </w:tcPr>
          <w:p w14:paraId="0C4E9386" w14:textId="77777777" w:rsidR="009B6C7C" w:rsidRPr="00E74297" w:rsidRDefault="009B6C7C" w:rsidP="00EB50C9">
            <w:pPr>
              <w:pStyle w:val="TableText0"/>
              <w:keepNext w:val="0"/>
              <w:widowControl w:val="0"/>
              <w:contextualSpacing/>
              <w:jc w:val="center"/>
              <w:rPr>
                <w:szCs w:val="20"/>
              </w:rPr>
            </w:pPr>
            <w:r w:rsidRPr="00E74297">
              <w:rPr>
                <w:szCs w:val="20"/>
              </w:rPr>
              <w:t>75%</w:t>
            </w:r>
          </w:p>
        </w:tc>
      </w:tr>
      <w:tr w:rsidR="00EB50C9" w:rsidRPr="00E74297" w14:paraId="1730B81B" w14:textId="77777777" w:rsidTr="00EB50C9">
        <w:trPr>
          <w:tblHeader/>
        </w:trPr>
        <w:tc>
          <w:tcPr>
            <w:tcW w:w="2007" w:type="pct"/>
            <w:tcMar>
              <w:left w:w="85" w:type="dxa"/>
              <w:right w:w="85" w:type="dxa"/>
            </w:tcMar>
          </w:tcPr>
          <w:p w14:paraId="2E3CD3AF" w14:textId="77777777" w:rsidR="009B6C7C" w:rsidRPr="00E74297" w:rsidRDefault="009B6C7C" w:rsidP="00EB50C9">
            <w:pPr>
              <w:pStyle w:val="TableText0"/>
              <w:keepNext w:val="0"/>
              <w:widowControl w:val="0"/>
              <w:contextualSpacing/>
              <w:rPr>
                <w:szCs w:val="20"/>
              </w:rPr>
            </w:pPr>
            <w:r w:rsidRPr="00E74297">
              <w:rPr>
                <w:szCs w:val="20"/>
              </w:rPr>
              <w:t>Patents treated</w:t>
            </w:r>
          </w:p>
        </w:tc>
        <w:tc>
          <w:tcPr>
            <w:tcW w:w="499" w:type="pct"/>
          </w:tcPr>
          <w:p w14:paraId="6E91BE28"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2"/>
                <w14:textFill>
                  <w14:solidFill>
                    <w14:srgbClr w14:val="000000">
                      <w14:alpha w14:val="100000"/>
                    </w14:srgbClr>
                  </w14:solidFill>
                </w14:textFill>
              </w:rPr>
              <w:t xml:space="preserve">　</w:t>
            </w:r>
            <w:r w:rsidRPr="009B6C7C">
              <w:rPr>
                <w:color w:val="000000"/>
                <w:w w:val="15"/>
                <w:szCs w:val="20"/>
                <w:shd w:val="solid" w:color="000000" w:fill="000000"/>
                <w:fitText w:val="30" w:id="-1167951352"/>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2"/>
                <w14:textFill>
                  <w14:solidFill>
                    <w14:srgbClr w14:val="000000">
                      <w14:alpha w14:val="100000"/>
                    </w14:srgbClr>
                  </w14:solidFill>
                </w14:textFill>
              </w:rPr>
              <w:t xml:space="preserve">　</w:t>
            </w:r>
            <w:r>
              <w:rPr>
                <w:vertAlign w:val="superscript"/>
              </w:rPr>
              <w:t>4</w:t>
            </w:r>
          </w:p>
        </w:tc>
        <w:tc>
          <w:tcPr>
            <w:tcW w:w="499" w:type="pct"/>
          </w:tcPr>
          <w:p w14:paraId="6838FFB6"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1"/>
                <w14:textFill>
                  <w14:solidFill>
                    <w14:srgbClr w14:val="000000">
                      <w14:alpha w14:val="100000"/>
                    </w14:srgbClr>
                  </w14:solidFill>
                </w14:textFill>
              </w:rPr>
              <w:t xml:space="preserve">　</w:t>
            </w:r>
            <w:r w:rsidRPr="009B6C7C">
              <w:rPr>
                <w:color w:val="000000"/>
                <w:w w:val="15"/>
                <w:szCs w:val="20"/>
                <w:shd w:val="solid" w:color="000000" w:fill="000000"/>
                <w:fitText w:val="30" w:id="-1167951351"/>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1"/>
                <w14:textFill>
                  <w14:solidFill>
                    <w14:srgbClr w14:val="000000">
                      <w14:alpha w14:val="100000"/>
                    </w14:srgbClr>
                  </w14:solidFill>
                </w14:textFill>
              </w:rPr>
              <w:t xml:space="preserve">　</w:t>
            </w:r>
            <w:r>
              <w:rPr>
                <w:vertAlign w:val="superscript"/>
              </w:rPr>
              <w:t>4</w:t>
            </w:r>
          </w:p>
        </w:tc>
        <w:tc>
          <w:tcPr>
            <w:tcW w:w="499" w:type="pct"/>
          </w:tcPr>
          <w:p w14:paraId="6DB6DAA2" w14:textId="77777777" w:rsidR="009B6C7C" w:rsidRPr="00F10823" w:rsidRDefault="009B6C7C" w:rsidP="00EB50C9">
            <w:pPr>
              <w:pStyle w:val="TableText0"/>
              <w:keepNext w:val="0"/>
              <w:widowControl w:val="0"/>
              <w:contextualSpacing/>
              <w:jc w:val="center"/>
              <w:rPr>
                <w:szCs w:val="20"/>
                <w:highlight w:val="darkGray"/>
              </w:rPr>
            </w:pPr>
            <w:r w:rsidRPr="00075DC2">
              <w:rPr>
                <w:rFonts w:hint="eastAsia"/>
                <w:color w:val="000000"/>
                <w:w w:val="15"/>
                <w:szCs w:val="20"/>
                <w:shd w:val="solid" w:color="000000" w:fill="000000"/>
                <w:fitText w:val="15" w:id="-1167951350"/>
                <w14:textFill>
                  <w14:solidFill>
                    <w14:srgbClr w14:val="000000">
                      <w14:alpha w14:val="100000"/>
                    </w14:srgbClr>
                  </w14:solidFill>
                </w14:textFill>
              </w:rPr>
              <w:t xml:space="preserve">　</w:t>
            </w:r>
            <w:r w:rsidRPr="00075DC2">
              <w:rPr>
                <w:color w:val="000000"/>
                <w:w w:val="15"/>
                <w:szCs w:val="20"/>
                <w:shd w:val="solid" w:color="000000" w:fill="000000"/>
                <w:fitText w:val="15" w:id="-1167951350"/>
                <w14:textFill>
                  <w14:solidFill>
                    <w14:srgbClr w14:val="000000">
                      <w14:alpha w14:val="100000"/>
                    </w14:srgbClr>
                  </w14:solidFill>
                </w14:textFill>
              </w:rPr>
              <w:t>|</w:t>
            </w:r>
            <w:r w:rsidRPr="00075DC2">
              <w:rPr>
                <w:rFonts w:hint="eastAsia"/>
                <w:color w:val="000000"/>
                <w:spacing w:val="-50"/>
                <w:w w:val="15"/>
                <w:szCs w:val="20"/>
                <w:shd w:val="solid" w:color="000000" w:fill="000000"/>
                <w:fitText w:val="15" w:id="-1167951350"/>
                <w14:textFill>
                  <w14:solidFill>
                    <w14:srgbClr w14:val="000000">
                      <w14:alpha w14:val="100000"/>
                    </w14:srgbClr>
                  </w14:solidFill>
                </w14:textFill>
              </w:rPr>
              <w:t xml:space="preserve">　</w:t>
            </w:r>
            <w:r>
              <w:rPr>
                <w:vertAlign w:val="superscript"/>
              </w:rPr>
              <w:t>4</w:t>
            </w:r>
          </w:p>
        </w:tc>
        <w:tc>
          <w:tcPr>
            <w:tcW w:w="499" w:type="pct"/>
          </w:tcPr>
          <w:p w14:paraId="1AEE59D0"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49"/>
                <w14:textFill>
                  <w14:solidFill>
                    <w14:srgbClr w14:val="000000">
                      <w14:alpha w14:val="100000"/>
                    </w14:srgbClr>
                  </w14:solidFill>
                </w14:textFill>
              </w:rPr>
              <w:t xml:space="preserve">　</w:t>
            </w:r>
            <w:r w:rsidRPr="009B6C7C">
              <w:rPr>
                <w:color w:val="000000"/>
                <w:w w:val="15"/>
                <w:szCs w:val="20"/>
                <w:shd w:val="solid" w:color="000000" w:fill="000000"/>
                <w:fitText w:val="60" w:id="-1167951349"/>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49"/>
                <w14:textFill>
                  <w14:solidFill>
                    <w14:srgbClr w14:val="000000">
                      <w14:alpha w14:val="100000"/>
                    </w14:srgbClr>
                  </w14:solidFill>
                </w14:textFill>
              </w:rPr>
              <w:t xml:space="preserve">　</w:t>
            </w:r>
            <w:r>
              <w:rPr>
                <w:vertAlign w:val="superscript"/>
              </w:rPr>
              <w:t>4</w:t>
            </w:r>
          </w:p>
        </w:tc>
        <w:tc>
          <w:tcPr>
            <w:tcW w:w="499" w:type="pct"/>
          </w:tcPr>
          <w:p w14:paraId="44F835D6"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48"/>
                <w14:textFill>
                  <w14:solidFill>
                    <w14:srgbClr w14:val="000000">
                      <w14:alpha w14:val="100000"/>
                    </w14:srgbClr>
                  </w14:solidFill>
                </w14:textFill>
              </w:rPr>
              <w:t xml:space="preserve">　</w:t>
            </w:r>
            <w:r w:rsidRPr="009B6C7C">
              <w:rPr>
                <w:color w:val="000000"/>
                <w:w w:val="15"/>
                <w:szCs w:val="20"/>
                <w:shd w:val="solid" w:color="000000" w:fill="000000"/>
                <w:fitText w:val="60" w:id="-1167951348"/>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48"/>
                <w14:textFill>
                  <w14:solidFill>
                    <w14:srgbClr w14:val="000000">
                      <w14:alpha w14:val="100000"/>
                    </w14:srgbClr>
                  </w14:solidFill>
                </w14:textFill>
              </w:rPr>
              <w:t xml:space="preserve">　</w:t>
            </w:r>
            <w:r>
              <w:rPr>
                <w:vertAlign w:val="superscript"/>
              </w:rPr>
              <w:t>4</w:t>
            </w:r>
          </w:p>
        </w:tc>
        <w:tc>
          <w:tcPr>
            <w:tcW w:w="498" w:type="pct"/>
          </w:tcPr>
          <w:p w14:paraId="01363234"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6"/>
                <w:szCs w:val="20"/>
                <w:shd w:val="solid" w:color="000000" w:fill="000000"/>
                <w:fitText w:val="75" w:id="-1167951347"/>
                <w14:textFill>
                  <w14:solidFill>
                    <w14:srgbClr w14:val="000000">
                      <w14:alpha w14:val="100000"/>
                    </w14:srgbClr>
                  </w14:solidFill>
                </w14:textFill>
              </w:rPr>
              <w:t xml:space="preserve">　</w:t>
            </w:r>
            <w:r w:rsidRPr="009B6C7C">
              <w:rPr>
                <w:color w:val="000000"/>
                <w:w w:val="16"/>
                <w:szCs w:val="20"/>
                <w:shd w:val="solid" w:color="000000" w:fill="000000"/>
                <w:fitText w:val="75" w:id="-1167951347"/>
                <w14:textFill>
                  <w14:solidFill>
                    <w14:srgbClr w14:val="000000">
                      <w14:alpha w14:val="100000"/>
                    </w14:srgbClr>
                  </w14:solidFill>
                </w14:textFill>
              </w:rPr>
              <w:t>|</w:t>
            </w:r>
            <w:r w:rsidRPr="009B6C7C">
              <w:rPr>
                <w:rFonts w:hint="eastAsia"/>
                <w:color w:val="000000"/>
                <w:spacing w:val="5"/>
                <w:w w:val="16"/>
                <w:szCs w:val="20"/>
                <w:shd w:val="solid" w:color="000000" w:fill="000000"/>
                <w:fitText w:val="75" w:id="-1167951347"/>
                <w14:textFill>
                  <w14:solidFill>
                    <w14:srgbClr w14:val="000000">
                      <w14:alpha w14:val="100000"/>
                    </w14:srgbClr>
                  </w14:solidFill>
                </w14:textFill>
              </w:rPr>
              <w:t xml:space="preserve">　</w:t>
            </w:r>
            <w:r>
              <w:rPr>
                <w:vertAlign w:val="superscript"/>
              </w:rPr>
              <w:t>4</w:t>
            </w:r>
          </w:p>
        </w:tc>
      </w:tr>
      <w:tr w:rsidR="00EB50C9" w:rsidRPr="00E74297" w14:paraId="69BAD23F" w14:textId="77777777" w:rsidTr="00EB50C9">
        <w:trPr>
          <w:tblHeader/>
        </w:trPr>
        <w:tc>
          <w:tcPr>
            <w:tcW w:w="2007" w:type="pct"/>
            <w:tcMar>
              <w:left w:w="85" w:type="dxa"/>
              <w:right w:w="85" w:type="dxa"/>
            </w:tcMar>
          </w:tcPr>
          <w:p w14:paraId="431394AA" w14:textId="77777777" w:rsidR="009B6C7C" w:rsidRPr="00E74297" w:rsidRDefault="009B6C7C" w:rsidP="00EB50C9">
            <w:pPr>
              <w:pStyle w:val="TableText0"/>
              <w:keepNext w:val="0"/>
              <w:widowControl w:val="0"/>
              <w:contextualSpacing/>
              <w:rPr>
                <w:szCs w:val="20"/>
              </w:rPr>
            </w:pPr>
            <w:r w:rsidRPr="00E74297">
              <w:rPr>
                <w:szCs w:val="20"/>
              </w:rPr>
              <w:t>No. patient-years on treatment (average 6.08 months, or 50.7% of a year, on treatment)</w:t>
            </w:r>
          </w:p>
        </w:tc>
        <w:tc>
          <w:tcPr>
            <w:tcW w:w="499" w:type="pct"/>
          </w:tcPr>
          <w:p w14:paraId="613B0D38"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46"/>
                <w14:textFill>
                  <w14:solidFill>
                    <w14:srgbClr w14:val="000000">
                      <w14:alpha w14:val="100000"/>
                    </w14:srgbClr>
                  </w14:solidFill>
                </w14:textFill>
              </w:rPr>
              <w:t xml:space="preserve">　</w:t>
            </w:r>
            <w:r w:rsidRPr="009B6C7C">
              <w:rPr>
                <w:color w:val="000000"/>
                <w:w w:val="15"/>
                <w:szCs w:val="20"/>
                <w:shd w:val="solid" w:color="000000" w:fill="000000"/>
                <w:fitText w:val="30" w:id="-1167951346"/>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46"/>
                <w14:textFill>
                  <w14:solidFill>
                    <w14:srgbClr w14:val="000000">
                      <w14:alpha w14:val="100000"/>
                    </w14:srgbClr>
                  </w14:solidFill>
                </w14:textFill>
              </w:rPr>
              <w:t xml:space="preserve">　</w:t>
            </w:r>
            <w:r>
              <w:rPr>
                <w:vertAlign w:val="superscript"/>
              </w:rPr>
              <w:t>4</w:t>
            </w:r>
          </w:p>
        </w:tc>
        <w:tc>
          <w:tcPr>
            <w:tcW w:w="499" w:type="pct"/>
          </w:tcPr>
          <w:p w14:paraId="3176FC34"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45"/>
                <w14:textFill>
                  <w14:solidFill>
                    <w14:srgbClr w14:val="000000">
                      <w14:alpha w14:val="100000"/>
                    </w14:srgbClr>
                  </w14:solidFill>
                </w14:textFill>
              </w:rPr>
              <w:t xml:space="preserve">　</w:t>
            </w:r>
            <w:r w:rsidRPr="009B6C7C">
              <w:rPr>
                <w:color w:val="000000"/>
                <w:w w:val="15"/>
                <w:szCs w:val="20"/>
                <w:shd w:val="solid" w:color="000000" w:fill="000000"/>
                <w:fitText w:val="30" w:id="-1167951345"/>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45"/>
                <w14:textFill>
                  <w14:solidFill>
                    <w14:srgbClr w14:val="000000">
                      <w14:alpha w14:val="100000"/>
                    </w14:srgbClr>
                  </w14:solidFill>
                </w14:textFill>
              </w:rPr>
              <w:t xml:space="preserve">　</w:t>
            </w:r>
            <w:r>
              <w:rPr>
                <w:vertAlign w:val="superscript"/>
              </w:rPr>
              <w:t>4</w:t>
            </w:r>
          </w:p>
        </w:tc>
        <w:tc>
          <w:tcPr>
            <w:tcW w:w="499" w:type="pct"/>
          </w:tcPr>
          <w:p w14:paraId="3CB62F15" w14:textId="77777777" w:rsidR="009B6C7C" w:rsidRPr="00F10823" w:rsidRDefault="009B6C7C" w:rsidP="00EB50C9">
            <w:pPr>
              <w:pStyle w:val="TableText0"/>
              <w:keepNext w:val="0"/>
              <w:widowControl w:val="0"/>
              <w:contextualSpacing/>
              <w:jc w:val="center"/>
              <w:rPr>
                <w:szCs w:val="20"/>
                <w:highlight w:val="darkGray"/>
              </w:rPr>
            </w:pPr>
            <w:r w:rsidRPr="00075DC2">
              <w:rPr>
                <w:rFonts w:hint="eastAsia"/>
                <w:color w:val="000000"/>
                <w:w w:val="15"/>
                <w:szCs w:val="20"/>
                <w:shd w:val="solid" w:color="000000" w:fill="000000"/>
                <w:fitText w:val="15" w:id="-1167951344"/>
                <w14:textFill>
                  <w14:solidFill>
                    <w14:srgbClr w14:val="000000">
                      <w14:alpha w14:val="100000"/>
                    </w14:srgbClr>
                  </w14:solidFill>
                </w14:textFill>
              </w:rPr>
              <w:t xml:space="preserve">　</w:t>
            </w:r>
            <w:r w:rsidRPr="00075DC2">
              <w:rPr>
                <w:color w:val="000000"/>
                <w:w w:val="15"/>
                <w:szCs w:val="20"/>
                <w:shd w:val="solid" w:color="000000" w:fill="000000"/>
                <w:fitText w:val="15" w:id="-1167951344"/>
                <w14:textFill>
                  <w14:solidFill>
                    <w14:srgbClr w14:val="000000">
                      <w14:alpha w14:val="100000"/>
                    </w14:srgbClr>
                  </w14:solidFill>
                </w14:textFill>
              </w:rPr>
              <w:t>|</w:t>
            </w:r>
            <w:r w:rsidRPr="00075DC2">
              <w:rPr>
                <w:rFonts w:hint="eastAsia"/>
                <w:color w:val="000000"/>
                <w:spacing w:val="-50"/>
                <w:w w:val="15"/>
                <w:szCs w:val="20"/>
                <w:shd w:val="solid" w:color="000000" w:fill="000000"/>
                <w:fitText w:val="15" w:id="-1167951344"/>
                <w14:textFill>
                  <w14:solidFill>
                    <w14:srgbClr w14:val="000000">
                      <w14:alpha w14:val="100000"/>
                    </w14:srgbClr>
                  </w14:solidFill>
                </w14:textFill>
              </w:rPr>
              <w:t xml:space="preserve">　</w:t>
            </w:r>
            <w:r>
              <w:rPr>
                <w:vertAlign w:val="superscript"/>
              </w:rPr>
              <w:t>4</w:t>
            </w:r>
          </w:p>
        </w:tc>
        <w:tc>
          <w:tcPr>
            <w:tcW w:w="499" w:type="pct"/>
          </w:tcPr>
          <w:p w14:paraId="34390A74"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60"/>
                <w14:textFill>
                  <w14:solidFill>
                    <w14:srgbClr w14:val="000000">
                      <w14:alpha w14:val="100000"/>
                    </w14:srgbClr>
                  </w14:solidFill>
                </w14:textFill>
              </w:rPr>
              <w:t xml:space="preserve">　</w:t>
            </w:r>
            <w:r w:rsidRPr="009B6C7C">
              <w:rPr>
                <w:color w:val="000000"/>
                <w:w w:val="15"/>
                <w:szCs w:val="20"/>
                <w:shd w:val="solid" w:color="000000" w:fill="000000"/>
                <w:fitText w:val="60" w:id="-1167951360"/>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60"/>
                <w14:textFill>
                  <w14:solidFill>
                    <w14:srgbClr w14:val="000000">
                      <w14:alpha w14:val="100000"/>
                    </w14:srgbClr>
                  </w14:solidFill>
                </w14:textFill>
              </w:rPr>
              <w:t xml:space="preserve">　</w:t>
            </w:r>
            <w:r>
              <w:rPr>
                <w:vertAlign w:val="superscript"/>
              </w:rPr>
              <w:t>4</w:t>
            </w:r>
          </w:p>
        </w:tc>
        <w:tc>
          <w:tcPr>
            <w:tcW w:w="499" w:type="pct"/>
          </w:tcPr>
          <w:p w14:paraId="0B52C51B"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9"/>
                <w14:textFill>
                  <w14:solidFill>
                    <w14:srgbClr w14:val="000000">
                      <w14:alpha w14:val="100000"/>
                    </w14:srgbClr>
                  </w14:solidFill>
                </w14:textFill>
              </w:rPr>
              <w:t xml:space="preserve">　</w:t>
            </w:r>
            <w:r w:rsidRPr="009B6C7C">
              <w:rPr>
                <w:color w:val="000000"/>
                <w:w w:val="15"/>
                <w:szCs w:val="20"/>
                <w:shd w:val="solid" w:color="000000" w:fill="000000"/>
                <w:fitText w:val="60" w:id="-1167951359"/>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9"/>
                <w14:textFill>
                  <w14:solidFill>
                    <w14:srgbClr w14:val="000000">
                      <w14:alpha w14:val="100000"/>
                    </w14:srgbClr>
                  </w14:solidFill>
                </w14:textFill>
              </w:rPr>
              <w:t xml:space="preserve">　</w:t>
            </w:r>
            <w:r>
              <w:rPr>
                <w:vertAlign w:val="superscript"/>
              </w:rPr>
              <w:t>4</w:t>
            </w:r>
          </w:p>
        </w:tc>
        <w:tc>
          <w:tcPr>
            <w:tcW w:w="498" w:type="pct"/>
          </w:tcPr>
          <w:p w14:paraId="016062CC"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6"/>
                <w:szCs w:val="20"/>
                <w:shd w:val="solid" w:color="000000" w:fill="000000"/>
                <w:fitText w:val="75" w:id="-1167951358"/>
                <w14:textFill>
                  <w14:solidFill>
                    <w14:srgbClr w14:val="000000">
                      <w14:alpha w14:val="100000"/>
                    </w14:srgbClr>
                  </w14:solidFill>
                </w14:textFill>
              </w:rPr>
              <w:t xml:space="preserve">　</w:t>
            </w:r>
            <w:r w:rsidRPr="009B6C7C">
              <w:rPr>
                <w:color w:val="000000"/>
                <w:w w:val="16"/>
                <w:szCs w:val="20"/>
                <w:shd w:val="solid" w:color="000000" w:fill="000000"/>
                <w:fitText w:val="75" w:id="-1167951358"/>
                <w14:textFill>
                  <w14:solidFill>
                    <w14:srgbClr w14:val="000000">
                      <w14:alpha w14:val="100000"/>
                    </w14:srgbClr>
                  </w14:solidFill>
                </w14:textFill>
              </w:rPr>
              <w:t>|</w:t>
            </w:r>
            <w:r w:rsidRPr="009B6C7C">
              <w:rPr>
                <w:rFonts w:hint="eastAsia"/>
                <w:color w:val="000000"/>
                <w:spacing w:val="5"/>
                <w:w w:val="16"/>
                <w:szCs w:val="20"/>
                <w:shd w:val="solid" w:color="000000" w:fill="000000"/>
                <w:fitText w:val="75" w:id="-1167951358"/>
                <w14:textFill>
                  <w14:solidFill>
                    <w14:srgbClr w14:val="000000">
                      <w14:alpha w14:val="100000"/>
                    </w14:srgbClr>
                  </w14:solidFill>
                </w14:textFill>
              </w:rPr>
              <w:t xml:space="preserve">　</w:t>
            </w:r>
            <w:r>
              <w:rPr>
                <w:vertAlign w:val="superscript"/>
              </w:rPr>
              <w:t>4</w:t>
            </w:r>
          </w:p>
        </w:tc>
      </w:tr>
      <w:tr w:rsidR="00EB50C9" w:rsidRPr="00E74297" w14:paraId="23C5A1C9" w14:textId="77777777" w:rsidTr="00EB50C9">
        <w:trPr>
          <w:tblHeader/>
        </w:trPr>
        <w:tc>
          <w:tcPr>
            <w:tcW w:w="2007" w:type="pct"/>
            <w:tcMar>
              <w:left w:w="85" w:type="dxa"/>
              <w:right w:w="85" w:type="dxa"/>
            </w:tcMar>
          </w:tcPr>
          <w:p w14:paraId="3F20A630" w14:textId="77777777" w:rsidR="009B6C7C" w:rsidRPr="00E74297" w:rsidRDefault="009B6C7C" w:rsidP="00EB50C9">
            <w:pPr>
              <w:pStyle w:val="TableText0"/>
              <w:keepNext w:val="0"/>
              <w:widowControl w:val="0"/>
              <w:contextualSpacing/>
              <w:rPr>
                <w:szCs w:val="20"/>
              </w:rPr>
            </w:pPr>
            <w:r w:rsidRPr="00E74297">
              <w:rPr>
                <w:szCs w:val="20"/>
              </w:rPr>
              <w:t>No. scripts (12.3</w:t>
            </w:r>
            <w:r w:rsidRPr="00E74297">
              <w:rPr>
                <w:szCs w:val="20"/>
                <w:vertAlign w:val="superscript"/>
              </w:rPr>
              <w:t>c</w:t>
            </w:r>
            <w:r w:rsidRPr="00E74297">
              <w:rPr>
                <w:szCs w:val="20"/>
              </w:rPr>
              <w:t xml:space="preserve"> per patient-year on treatment, equivalent to 6.3</w:t>
            </w:r>
            <w:r w:rsidRPr="00E74297">
              <w:rPr>
                <w:szCs w:val="20"/>
                <w:vertAlign w:val="superscript"/>
              </w:rPr>
              <w:t>d</w:t>
            </w:r>
            <w:r w:rsidRPr="00E74297">
              <w:rPr>
                <w:szCs w:val="20"/>
              </w:rPr>
              <w:t xml:space="preserve"> scripts per patient treated)</w:t>
            </w:r>
          </w:p>
        </w:tc>
        <w:tc>
          <w:tcPr>
            <w:tcW w:w="499" w:type="pct"/>
          </w:tcPr>
          <w:p w14:paraId="62944292"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7"/>
                <w14:textFill>
                  <w14:solidFill>
                    <w14:srgbClr w14:val="000000">
                      <w14:alpha w14:val="100000"/>
                    </w14:srgbClr>
                  </w14:solidFill>
                </w14:textFill>
              </w:rPr>
              <w:t xml:space="preserve">　</w:t>
            </w:r>
            <w:r w:rsidRPr="009B6C7C">
              <w:rPr>
                <w:color w:val="000000"/>
                <w:w w:val="15"/>
                <w:szCs w:val="20"/>
                <w:shd w:val="solid" w:color="000000" w:fill="000000"/>
                <w:fitText w:val="30" w:id="-1167951357"/>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7"/>
                <w14:textFill>
                  <w14:solidFill>
                    <w14:srgbClr w14:val="000000">
                      <w14:alpha w14:val="100000"/>
                    </w14:srgbClr>
                  </w14:solidFill>
                </w14:textFill>
              </w:rPr>
              <w:t xml:space="preserve">　</w:t>
            </w:r>
            <w:r>
              <w:rPr>
                <w:vertAlign w:val="superscript"/>
              </w:rPr>
              <w:t>3</w:t>
            </w:r>
          </w:p>
        </w:tc>
        <w:tc>
          <w:tcPr>
            <w:tcW w:w="499" w:type="pct"/>
          </w:tcPr>
          <w:p w14:paraId="6CCAD1A6"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6"/>
                <w14:textFill>
                  <w14:solidFill>
                    <w14:srgbClr w14:val="000000">
                      <w14:alpha w14:val="100000"/>
                    </w14:srgbClr>
                  </w14:solidFill>
                </w14:textFill>
              </w:rPr>
              <w:t xml:space="preserve">　</w:t>
            </w:r>
            <w:r w:rsidRPr="009B6C7C">
              <w:rPr>
                <w:color w:val="000000"/>
                <w:w w:val="15"/>
                <w:szCs w:val="20"/>
                <w:shd w:val="solid" w:color="000000" w:fill="000000"/>
                <w:fitText w:val="30" w:id="-1167951356"/>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6"/>
                <w14:textFill>
                  <w14:solidFill>
                    <w14:srgbClr w14:val="000000">
                      <w14:alpha w14:val="100000"/>
                    </w14:srgbClr>
                  </w14:solidFill>
                </w14:textFill>
              </w:rPr>
              <w:t xml:space="preserve">　</w:t>
            </w:r>
            <w:r>
              <w:rPr>
                <w:vertAlign w:val="superscript"/>
              </w:rPr>
              <w:t>3</w:t>
            </w:r>
          </w:p>
        </w:tc>
        <w:tc>
          <w:tcPr>
            <w:tcW w:w="499" w:type="pct"/>
          </w:tcPr>
          <w:p w14:paraId="3BD9BBC0" w14:textId="77777777" w:rsidR="009B6C7C" w:rsidRPr="00F10823" w:rsidRDefault="009B6C7C" w:rsidP="00EB50C9">
            <w:pPr>
              <w:pStyle w:val="TableText0"/>
              <w:keepNext w:val="0"/>
              <w:widowControl w:val="0"/>
              <w:contextualSpacing/>
              <w:jc w:val="center"/>
              <w:rPr>
                <w:szCs w:val="20"/>
                <w:highlight w:val="darkGray"/>
              </w:rPr>
            </w:pPr>
            <w:r w:rsidRPr="00075DC2">
              <w:rPr>
                <w:rFonts w:hint="eastAsia"/>
                <w:color w:val="000000"/>
                <w:w w:val="15"/>
                <w:szCs w:val="20"/>
                <w:shd w:val="solid" w:color="000000" w:fill="000000"/>
                <w:fitText w:val="15" w:id="-1167951355"/>
                <w14:textFill>
                  <w14:solidFill>
                    <w14:srgbClr w14:val="000000">
                      <w14:alpha w14:val="100000"/>
                    </w14:srgbClr>
                  </w14:solidFill>
                </w14:textFill>
              </w:rPr>
              <w:t xml:space="preserve">　</w:t>
            </w:r>
            <w:r w:rsidRPr="00075DC2">
              <w:rPr>
                <w:color w:val="000000"/>
                <w:w w:val="15"/>
                <w:szCs w:val="20"/>
                <w:shd w:val="solid" w:color="000000" w:fill="000000"/>
                <w:fitText w:val="15" w:id="-1167951355"/>
                <w14:textFill>
                  <w14:solidFill>
                    <w14:srgbClr w14:val="000000">
                      <w14:alpha w14:val="100000"/>
                    </w14:srgbClr>
                  </w14:solidFill>
                </w14:textFill>
              </w:rPr>
              <w:t>|</w:t>
            </w:r>
            <w:r w:rsidRPr="00075DC2">
              <w:rPr>
                <w:rFonts w:hint="eastAsia"/>
                <w:color w:val="000000"/>
                <w:spacing w:val="-50"/>
                <w:w w:val="15"/>
                <w:szCs w:val="20"/>
                <w:shd w:val="solid" w:color="000000" w:fill="000000"/>
                <w:fitText w:val="15" w:id="-1167951355"/>
                <w14:textFill>
                  <w14:solidFill>
                    <w14:srgbClr w14:val="000000">
                      <w14:alpha w14:val="100000"/>
                    </w14:srgbClr>
                  </w14:solidFill>
                </w14:textFill>
              </w:rPr>
              <w:t xml:space="preserve">　</w:t>
            </w:r>
            <w:r>
              <w:rPr>
                <w:vertAlign w:val="superscript"/>
              </w:rPr>
              <w:t>3</w:t>
            </w:r>
          </w:p>
        </w:tc>
        <w:tc>
          <w:tcPr>
            <w:tcW w:w="499" w:type="pct"/>
          </w:tcPr>
          <w:p w14:paraId="2B0484B3"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4"/>
                <w14:textFill>
                  <w14:solidFill>
                    <w14:srgbClr w14:val="000000">
                      <w14:alpha w14:val="100000"/>
                    </w14:srgbClr>
                  </w14:solidFill>
                </w14:textFill>
              </w:rPr>
              <w:t xml:space="preserve">　</w:t>
            </w:r>
            <w:r w:rsidRPr="009B6C7C">
              <w:rPr>
                <w:color w:val="000000"/>
                <w:w w:val="15"/>
                <w:szCs w:val="20"/>
                <w:shd w:val="solid" w:color="000000" w:fill="000000"/>
                <w:fitText w:val="60" w:id="-1167951354"/>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4"/>
                <w14:textFill>
                  <w14:solidFill>
                    <w14:srgbClr w14:val="000000">
                      <w14:alpha w14:val="100000"/>
                    </w14:srgbClr>
                  </w14:solidFill>
                </w14:textFill>
              </w:rPr>
              <w:t xml:space="preserve">　</w:t>
            </w:r>
            <w:r>
              <w:rPr>
                <w:vertAlign w:val="superscript"/>
              </w:rPr>
              <w:t>3</w:t>
            </w:r>
          </w:p>
        </w:tc>
        <w:tc>
          <w:tcPr>
            <w:tcW w:w="499" w:type="pct"/>
          </w:tcPr>
          <w:p w14:paraId="67639999"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3"/>
                <w14:textFill>
                  <w14:solidFill>
                    <w14:srgbClr w14:val="000000">
                      <w14:alpha w14:val="100000"/>
                    </w14:srgbClr>
                  </w14:solidFill>
                </w14:textFill>
              </w:rPr>
              <w:t xml:space="preserve">　</w:t>
            </w:r>
            <w:r w:rsidRPr="009B6C7C">
              <w:rPr>
                <w:color w:val="000000"/>
                <w:w w:val="15"/>
                <w:szCs w:val="20"/>
                <w:shd w:val="solid" w:color="000000" w:fill="000000"/>
                <w:fitText w:val="60" w:id="-1167951353"/>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3"/>
                <w14:textFill>
                  <w14:solidFill>
                    <w14:srgbClr w14:val="000000">
                      <w14:alpha w14:val="100000"/>
                    </w14:srgbClr>
                  </w14:solidFill>
                </w14:textFill>
              </w:rPr>
              <w:t xml:space="preserve">　</w:t>
            </w:r>
            <w:r>
              <w:rPr>
                <w:vertAlign w:val="superscript"/>
              </w:rPr>
              <w:t>3</w:t>
            </w:r>
          </w:p>
        </w:tc>
        <w:tc>
          <w:tcPr>
            <w:tcW w:w="498" w:type="pct"/>
          </w:tcPr>
          <w:p w14:paraId="730862DD"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6"/>
                <w:szCs w:val="20"/>
                <w:shd w:val="solid" w:color="000000" w:fill="000000"/>
                <w:fitText w:val="75" w:id="-1167951352"/>
                <w14:textFill>
                  <w14:solidFill>
                    <w14:srgbClr w14:val="000000">
                      <w14:alpha w14:val="100000"/>
                    </w14:srgbClr>
                  </w14:solidFill>
                </w14:textFill>
              </w:rPr>
              <w:t xml:space="preserve">　</w:t>
            </w:r>
            <w:r w:rsidRPr="009B6C7C">
              <w:rPr>
                <w:color w:val="000000"/>
                <w:w w:val="16"/>
                <w:szCs w:val="20"/>
                <w:shd w:val="solid" w:color="000000" w:fill="000000"/>
                <w:fitText w:val="75" w:id="-1167951352"/>
                <w14:textFill>
                  <w14:solidFill>
                    <w14:srgbClr w14:val="000000">
                      <w14:alpha w14:val="100000"/>
                    </w14:srgbClr>
                  </w14:solidFill>
                </w14:textFill>
              </w:rPr>
              <w:t>|</w:t>
            </w:r>
            <w:r w:rsidRPr="009B6C7C">
              <w:rPr>
                <w:rFonts w:hint="eastAsia"/>
                <w:color w:val="000000"/>
                <w:spacing w:val="5"/>
                <w:w w:val="16"/>
                <w:szCs w:val="20"/>
                <w:shd w:val="solid" w:color="000000" w:fill="000000"/>
                <w:fitText w:val="75" w:id="-1167951352"/>
                <w14:textFill>
                  <w14:solidFill>
                    <w14:srgbClr w14:val="000000">
                      <w14:alpha w14:val="100000"/>
                    </w14:srgbClr>
                  </w14:solidFill>
                </w14:textFill>
              </w:rPr>
              <w:t xml:space="preserve">　</w:t>
            </w:r>
            <w:r>
              <w:rPr>
                <w:vertAlign w:val="superscript"/>
              </w:rPr>
              <w:t>3</w:t>
            </w:r>
          </w:p>
        </w:tc>
      </w:tr>
      <w:tr w:rsidR="00EB50C9" w:rsidRPr="00E74297" w14:paraId="48FE8359" w14:textId="77777777" w:rsidTr="00EB50C9">
        <w:trPr>
          <w:tblHeader/>
        </w:trPr>
        <w:tc>
          <w:tcPr>
            <w:tcW w:w="2007" w:type="pct"/>
            <w:tcBorders>
              <w:bottom w:val="single" w:sz="4" w:space="0" w:color="auto"/>
            </w:tcBorders>
            <w:tcMar>
              <w:left w:w="85" w:type="dxa"/>
              <w:right w:w="85" w:type="dxa"/>
            </w:tcMar>
          </w:tcPr>
          <w:p w14:paraId="6FDC6C44" w14:textId="77777777" w:rsidR="009B6C7C" w:rsidRPr="00E74297" w:rsidRDefault="009B6C7C" w:rsidP="00EB50C9">
            <w:pPr>
              <w:pStyle w:val="TableText0"/>
              <w:keepNext w:val="0"/>
              <w:widowControl w:val="0"/>
              <w:contextualSpacing/>
              <w:rPr>
                <w:szCs w:val="20"/>
              </w:rPr>
            </w:pPr>
            <w:r w:rsidRPr="00E74297">
              <w:rPr>
                <w:szCs w:val="20"/>
              </w:rPr>
              <w:t>Revised (17.6 scripts per patient treated)</w:t>
            </w:r>
          </w:p>
        </w:tc>
        <w:tc>
          <w:tcPr>
            <w:tcW w:w="499" w:type="pct"/>
            <w:tcBorders>
              <w:bottom w:val="single" w:sz="4" w:space="0" w:color="auto"/>
            </w:tcBorders>
          </w:tcPr>
          <w:p w14:paraId="76325B25"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1"/>
                <w14:textFill>
                  <w14:solidFill>
                    <w14:srgbClr w14:val="000000">
                      <w14:alpha w14:val="100000"/>
                    </w14:srgbClr>
                  </w14:solidFill>
                </w14:textFill>
              </w:rPr>
              <w:t xml:space="preserve">　</w:t>
            </w:r>
            <w:r w:rsidRPr="009B6C7C">
              <w:rPr>
                <w:color w:val="000000"/>
                <w:w w:val="15"/>
                <w:szCs w:val="20"/>
                <w:shd w:val="solid" w:color="000000" w:fill="000000"/>
                <w:fitText w:val="30" w:id="-1167951351"/>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1"/>
                <w14:textFill>
                  <w14:solidFill>
                    <w14:srgbClr w14:val="000000">
                      <w14:alpha w14:val="100000"/>
                    </w14:srgbClr>
                  </w14:solidFill>
                </w14:textFill>
              </w:rPr>
              <w:t xml:space="preserve">　</w:t>
            </w:r>
            <w:r>
              <w:rPr>
                <w:vertAlign w:val="superscript"/>
              </w:rPr>
              <w:t>5</w:t>
            </w:r>
          </w:p>
        </w:tc>
        <w:tc>
          <w:tcPr>
            <w:tcW w:w="499" w:type="pct"/>
            <w:tcBorders>
              <w:bottom w:val="single" w:sz="4" w:space="0" w:color="auto"/>
            </w:tcBorders>
          </w:tcPr>
          <w:p w14:paraId="04DF90C2"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0"/>
                <w14:textFill>
                  <w14:solidFill>
                    <w14:srgbClr w14:val="000000">
                      <w14:alpha w14:val="100000"/>
                    </w14:srgbClr>
                  </w14:solidFill>
                </w14:textFill>
              </w:rPr>
              <w:t xml:space="preserve">　</w:t>
            </w:r>
            <w:r w:rsidRPr="009B6C7C">
              <w:rPr>
                <w:color w:val="000000"/>
                <w:w w:val="15"/>
                <w:szCs w:val="20"/>
                <w:shd w:val="solid" w:color="000000" w:fill="000000"/>
                <w:fitText w:val="30" w:id="-1167951350"/>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0"/>
                <w14:textFill>
                  <w14:solidFill>
                    <w14:srgbClr w14:val="000000">
                      <w14:alpha w14:val="100000"/>
                    </w14:srgbClr>
                  </w14:solidFill>
                </w14:textFill>
              </w:rPr>
              <w:t xml:space="preserve">　</w:t>
            </w:r>
            <w:r>
              <w:rPr>
                <w:vertAlign w:val="superscript"/>
              </w:rPr>
              <w:t>5</w:t>
            </w:r>
          </w:p>
        </w:tc>
        <w:tc>
          <w:tcPr>
            <w:tcW w:w="499" w:type="pct"/>
            <w:tcBorders>
              <w:bottom w:val="single" w:sz="4" w:space="0" w:color="auto"/>
            </w:tcBorders>
          </w:tcPr>
          <w:p w14:paraId="0FC10EC3" w14:textId="77777777" w:rsidR="009B6C7C" w:rsidRPr="00F10823" w:rsidRDefault="009B6C7C" w:rsidP="00EB50C9">
            <w:pPr>
              <w:pStyle w:val="TableText0"/>
              <w:keepNext w:val="0"/>
              <w:widowControl w:val="0"/>
              <w:contextualSpacing/>
              <w:jc w:val="center"/>
              <w:rPr>
                <w:szCs w:val="20"/>
                <w:highlight w:val="darkGray"/>
              </w:rPr>
            </w:pPr>
            <w:r w:rsidRPr="00075DC2">
              <w:rPr>
                <w:rFonts w:hint="eastAsia"/>
                <w:color w:val="000000"/>
                <w:w w:val="15"/>
                <w:szCs w:val="20"/>
                <w:shd w:val="solid" w:color="000000" w:fill="000000"/>
                <w:fitText w:val="15" w:id="-1167951349"/>
                <w14:textFill>
                  <w14:solidFill>
                    <w14:srgbClr w14:val="000000">
                      <w14:alpha w14:val="100000"/>
                    </w14:srgbClr>
                  </w14:solidFill>
                </w14:textFill>
              </w:rPr>
              <w:t xml:space="preserve">　</w:t>
            </w:r>
            <w:r w:rsidRPr="00075DC2">
              <w:rPr>
                <w:color w:val="000000"/>
                <w:w w:val="15"/>
                <w:szCs w:val="20"/>
                <w:shd w:val="solid" w:color="000000" w:fill="000000"/>
                <w:fitText w:val="15" w:id="-1167951349"/>
                <w14:textFill>
                  <w14:solidFill>
                    <w14:srgbClr w14:val="000000">
                      <w14:alpha w14:val="100000"/>
                    </w14:srgbClr>
                  </w14:solidFill>
                </w14:textFill>
              </w:rPr>
              <w:t>|</w:t>
            </w:r>
            <w:r w:rsidRPr="00075DC2">
              <w:rPr>
                <w:rFonts w:hint="eastAsia"/>
                <w:color w:val="000000"/>
                <w:spacing w:val="-50"/>
                <w:w w:val="15"/>
                <w:szCs w:val="20"/>
                <w:shd w:val="solid" w:color="000000" w:fill="000000"/>
                <w:fitText w:val="15" w:id="-1167951349"/>
                <w14:textFill>
                  <w14:solidFill>
                    <w14:srgbClr w14:val="000000">
                      <w14:alpha w14:val="100000"/>
                    </w14:srgbClr>
                  </w14:solidFill>
                </w14:textFill>
              </w:rPr>
              <w:t xml:space="preserve">　</w:t>
            </w:r>
            <w:r>
              <w:rPr>
                <w:vertAlign w:val="superscript"/>
              </w:rPr>
              <w:t>5</w:t>
            </w:r>
          </w:p>
        </w:tc>
        <w:tc>
          <w:tcPr>
            <w:tcW w:w="499" w:type="pct"/>
            <w:tcBorders>
              <w:bottom w:val="single" w:sz="4" w:space="0" w:color="auto"/>
            </w:tcBorders>
          </w:tcPr>
          <w:p w14:paraId="7C600FB9"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48"/>
                <w14:textFill>
                  <w14:solidFill>
                    <w14:srgbClr w14:val="000000">
                      <w14:alpha w14:val="100000"/>
                    </w14:srgbClr>
                  </w14:solidFill>
                </w14:textFill>
              </w:rPr>
              <w:t xml:space="preserve">　</w:t>
            </w:r>
            <w:r w:rsidRPr="009B6C7C">
              <w:rPr>
                <w:color w:val="000000"/>
                <w:w w:val="15"/>
                <w:szCs w:val="20"/>
                <w:shd w:val="solid" w:color="000000" w:fill="000000"/>
                <w:fitText w:val="60" w:id="-1167951348"/>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48"/>
                <w14:textFill>
                  <w14:solidFill>
                    <w14:srgbClr w14:val="000000">
                      <w14:alpha w14:val="100000"/>
                    </w14:srgbClr>
                  </w14:solidFill>
                </w14:textFill>
              </w:rPr>
              <w:t xml:space="preserve">　</w:t>
            </w:r>
            <w:r>
              <w:rPr>
                <w:vertAlign w:val="superscript"/>
              </w:rPr>
              <w:t>6</w:t>
            </w:r>
          </w:p>
        </w:tc>
        <w:tc>
          <w:tcPr>
            <w:tcW w:w="499" w:type="pct"/>
            <w:tcBorders>
              <w:bottom w:val="single" w:sz="4" w:space="0" w:color="auto"/>
            </w:tcBorders>
          </w:tcPr>
          <w:p w14:paraId="0C4837F4"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47"/>
                <w14:textFill>
                  <w14:solidFill>
                    <w14:srgbClr w14:val="000000">
                      <w14:alpha w14:val="100000"/>
                    </w14:srgbClr>
                  </w14:solidFill>
                </w14:textFill>
              </w:rPr>
              <w:t xml:space="preserve">　</w:t>
            </w:r>
            <w:r w:rsidRPr="009B6C7C">
              <w:rPr>
                <w:color w:val="000000"/>
                <w:w w:val="15"/>
                <w:szCs w:val="20"/>
                <w:shd w:val="solid" w:color="000000" w:fill="000000"/>
                <w:fitText w:val="60" w:id="-1167951347"/>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47"/>
                <w14:textFill>
                  <w14:solidFill>
                    <w14:srgbClr w14:val="000000">
                      <w14:alpha w14:val="100000"/>
                    </w14:srgbClr>
                  </w14:solidFill>
                </w14:textFill>
              </w:rPr>
              <w:t xml:space="preserve">　</w:t>
            </w:r>
            <w:r>
              <w:rPr>
                <w:vertAlign w:val="superscript"/>
              </w:rPr>
              <w:t>6</w:t>
            </w:r>
          </w:p>
        </w:tc>
        <w:tc>
          <w:tcPr>
            <w:tcW w:w="498" w:type="pct"/>
            <w:tcBorders>
              <w:bottom w:val="single" w:sz="4" w:space="0" w:color="auto"/>
            </w:tcBorders>
          </w:tcPr>
          <w:p w14:paraId="499735FA"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6"/>
                <w:szCs w:val="20"/>
                <w:shd w:val="solid" w:color="000000" w:fill="000000"/>
                <w:fitText w:val="75" w:id="-1167951346"/>
                <w14:textFill>
                  <w14:solidFill>
                    <w14:srgbClr w14:val="000000">
                      <w14:alpha w14:val="100000"/>
                    </w14:srgbClr>
                  </w14:solidFill>
                </w14:textFill>
              </w:rPr>
              <w:t xml:space="preserve">　</w:t>
            </w:r>
            <w:r w:rsidRPr="009B6C7C">
              <w:rPr>
                <w:color w:val="000000"/>
                <w:w w:val="16"/>
                <w:szCs w:val="20"/>
                <w:shd w:val="solid" w:color="000000" w:fill="000000"/>
                <w:fitText w:val="75" w:id="-1167951346"/>
                <w14:textFill>
                  <w14:solidFill>
                    <w14:srgbClr w14:val="000000">
                      <w14:alpha w14:val="100000"/>
                    </w14:srgbClr>
                  </w14:solidFill>
                </w14:textFill>
              </w:rPr>
              <w:t>|</w:t>
            </w:r>
            <w:r w:rsidRPr="009B6C7C">
              <w:rPr>
                <w:rFonts w:hint="eastAsia"/>
                <w:color w:val="000000"/>
                <w:spacing w:val="5"/>
                <w:w w:val="16"/>
                <w:szCs w:val="20"/>
                <w:shd w:val="solid" w:color="000000" w:fill="000000"/>
                <w:fitText w:val="75" w:id="-1167951346"/>
                <w14:textFill>
                  <w14:solidFill>
                    <w14:srgbClr w14:val="000000">
                      <w14:alpha w14:val="100000"/>
                    </w14:srgbClr>
                  </w14:solidFill>
                </w14:textFill>
              </w:rPr>
              <w:t xml:space="preserve">　</w:t>
            </w:r>
            <w:r>
              <w:rPr>
                <w:vertAlign w:val="superscript"/>
              </w:rPr>
              <w:t>6</w:t>
            </w:r>
          </w:p>
        </w:tc>
      </w:tr>
      <w:tr w:rsidR="00EB50C9" w:rsidRPr="00E74297" w14:paraId="0E7C8454" w14:textId="77777777" w:rsidTr="00EB50C9">
        <w:trPr>
          <w:tblHeader/>
        </w:trPr>
        <w:tc>
          <w:tcPr>
            <w:tcW w:w="2007" w:type="pct"/>
            <w:tcBorders>
              <w:bottom w:val="dashSmallGap" w:sz="4" w:space="0" w:color="auto"/>
            </w:tcBorders>
            <w:tcMar>
              <w:left w:w="85" w:type="dxa"/>
              <w:right w:w="85" w:type="dxa"/>
            </w:tcMar>
          </w:tcPr>
          <w:p w14:paraId="6701CAC4" w14:textId="077D6993" w:rsidR="009B6C7C" w:rsidRPr="00E74297" w:rsidRDefault="009B6C7C" w:rsidP="00EB50C9">
            <w:pPr>
              <w:pStyle w:val="TableText0"/>
              <w:keepNext w:val="0"/>
              <w:widowControl w:val="0"/>
              <w:contextualSpacing/>
              <w:rPr>
                <w:szCs w:val="20"/>
              </w:rPr>
            </w:pPr>
            <w:r w:rsidRPr="00E74297">
              <w:rPr>
                <w:szCs w:val="20"/>
              </w:rPr>
              <w:t>Cost of SG to PBS/RPBS, less patient co</w:t>
            </w:r>
            <w:r>
              <w:rPr>
                <w:szCs w:val="20"/>
              </w:rPr>
              <w:t>-</w:t>
            </w:r>
            <w:r w:rsidRPr="00E74297">
              <w:rPr>
                <w:szCs w:val="20"/>
              </w:rPr>
              <w:t>pays ($</w:t>
            </w:r>
            <w:r w:rsidRPr="009B6C7C">
              <w:rPr>
                <w:color w:val="000000"/>
                <w:spacing w:val="45"/>
                <w:szCs w:val="20"/>
                <w:shd w:val="solid" w:color="000000" w:fill="000000"/>
                <w:fitText w:val="330" w:id="-1167951345"/>
                <w14:textFill>
                  <w14:solidFill>
                    <w14:srgbClr w14:val="000000">
                      <w14:alpha w14:val="100000"/>
                    </w14:srgbClr>
                  </w14:solidFill>
                </w14:textFill>
              </w:rPr>
              <w:t>|||</w:t>
            </w:r>
            <w:r w:rsidRPr="009B6C7C">
              <w:rPr>
                <w:color w:val="000000"/>
                <w:spacing w:val="15"/>
                <w:szCs w:val="20"/>
                <w:shd w:val="solid" w:color="000000" w:fill="000000"/>
                <w:fitText w:val="330" w:id="-1167951345"/>
                <w14:textFill>
                  <w14:solidFill>
                    <w14:srgbClr w14:val="000000">
                      <w14:alpha w14:val="100000"/>
                    </w14:srgbClr>
                  </w14:solidFill>
                </w14:textFill>
              </w:rPr>
              <w:t>|</w:t>
            </w:r>
            <w:r w:rsidRPr="00E74297">
              <w:rPr>
                <w:szCs w:val="20"/>
              </w:rPr>
              <w:t xml:space="preserve"> per script)</w:t>
            </w:r>
            <w:r w:rsidRPr="00E74297">
              <w:rPr>
                <w:szCs w:val="20"/>
                <w:vertAlign w:val="superscript"/>
              </w:rPr>
              <w:t>e</w:t>
            </w:r>
          </w:p>
        </w:tc>
        <w:tc>
          <w:tcPr>
            <w:tcW w:w="499" w:type="pct"/>
            <w:tcBorders>
              <w:bottom w:val="dashSmallGap" w:sz="4" w:space="0" w:color="auto"/>
            </w:tcBorders>
          </w:tcPr>
          <w:p w14:paraId="4ACCAE73"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44"/>
                <w14:textFill>
                  <w14:solidFill>
                    <w14:srgbClr w14:val="000000">
                      <w14:alpha w14:val="100000"/>
                    </w14:srgbClr>
                  </w14:solidFill>
                </w14:textFill>
              </w:rPr>
              <w:t xml:space="preserve">　</w:t>
            </w:r>
            <w:r w:rsidRPr="009B6C7C">
              <w:rPr>
                <w:color w:val="000000"/>
                <w:w w:val="15"/>
                <w:szCs w:val="20"/>
                <w:shd w:val="solid" w:color="000000" w:fill="000000"/>
                <w:fitText w:val="30" w:id="-1167951344"/>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44"/>
                <w14:textFill>
                  <w14:solidFill>
                    <w14:srgbClr w14:val="000000">
                      <w14:alpha w14:val="100000"/>
                    </w14:srgbClr>
                  </w14:solidFill>
                </w14:textFill>
              </w:rPr>
              <w:t xml:space="preserve">　</w:t>
            </w:r>
            <w:r>
              <w:rPr>
                <w:vertAlign w:val="superscript"/>
              </w:rPr>
              <w:t>7</w:t>
            </w:r>
          </w:p>
        </w:tc>
        <w:tc>
          <w:tcPr>
            <w:tcW w:w="499" w:type="pct"/>
            <w:tcBorders>
              <w:bottom w:val="dashSmallGap" w:sz="4" w:space="0" w:color="auto"/>
            </w:tcBorders>
          </w:tcPr>
          <w:p w14:paraId="294D452D"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60"/>
                <w14:textFill>
                  <w14:solidFill>
                    <w14:srgbClr w14:val="000000">
                      <w14:alpha w14:val="100000"/>
                    </w14:srgbClr>
                  </w14:solidFill>
                </w14:textFill>
              </w:rPr>
              <w:t xml:space="preserve">　</w:t>
            </w:r>
            <w:r w:rsidRPr="009B6C7C">
              <w:rPr>
                <w:color w:val="000000"/>
                <w:w w:val="15"/>
                <w:szCs w:val="20"/>
                <w:shd w:val="solid" w:color="000000" w:fill="000000"/>
                <w:fitText w:val="30" w:id="-1167951360"/>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60"/>
                <w14:textFill>
                  <w14:solidFill>
                    <w14:srgbClr w14:val="000000">
                      <w14:alpha w14:val="100000"/>
                    </w14:srgbClr>
                  </w14:solidFill>
                </w14:textFill>
              </w:rPr>
              <w:t xml:space="preserve">　</w:t>
            </w:r>
            <w:r>
              <w:rPr>
                <w:vertAlign w:val="superscript"/>
              </w:rPr>
              <w:t>8</w:t>
            </w:r>
          </w:p>
        </w:tc>
        <w:tc>
          <w:tcPr>
            <w:tcW w:w="499" w:type="pct"/>
            <w:tcBorders>
              <w:bottom w:val="dashSmallGap" w:sz="4" w:space="0" w:color="auto"/>
            </w:tcBorders>
          </w:tcPr>
          <w:p w14:paraId="14638932" w14:textId="77777777" w:rsidR="009B6C7C" w:rsidRPr="00F10823" w:rsidRDefault="009B6C7C" w:rsidP="00EB50C9">
            <w:pPr>
              <w:pStyle w:val="TableText0"/>
              <w:keepNext w:val="0"/>
              <w:widowControl w:val="0"/>
              <w:contextualSpacing/>
              <w:jc w:val="center"/>
              <w:rPr>
                <w:szCs w:val="20"/>
                <w:highlight w:val="darkGray"/>
              </w:rPr>
            </w:pPr>
            <w:r w:rsidRPr="00075DC2">
              <w:rPr>
                <w:rFonts w:hint="eastAsia"/>
                <w:color w:val="000000"/>
                <w:w w:val="15"/>
                <w:szCs w:val="20"/>
                <w:shd w:val="solid" w:color="000000" w:fill="000000"/>
                <w:fitText w:val="15" w:id="-1167951359"/>
                <w14:textFill>
                  <w14:solidFill>
                    <w14:srgbClr w14:val="000000">
                      <w14:alpha w14:val="100000"/>
                    </w14:srgbClr>
                  </w14:solidFill>
                </w14:textFill>
              </w:rPr>
              <w:t xml:space="preserve">　</w:t>
            </w:r>
            <w:r w:rsidRPr="00075DC2">
              <w:rPr>
                <w:color w:val="000000"/>
                <w:w w:val="15"/>
                <w:szCs w:val="20"/>
                <w:shd w:val="solid" w:color="000000" w:fill="000000"/>
                <w:fitText w:val="15" w:id="-1167951359"/>
                <w14:textFill>
                  <w14:solidFill>
                    <w14:srgbClr w14:val="000000">
                      <w14:alpha w14:val="100000"/>
                    </w14:srgbClr>
                  </w14:solidFill>
                </w14:textFill>
              </w:rPr>
              <w:t>|</w:t>
            </w:r>
            <w:r w:rsidRPr="00075DC2">
              <w:rPr>
                <w:rFonts w:hint="eastAsia"/>
                <w:color w:val="000000"/>
                <w:spacing w:val="-50"/>
                <w:w w:val="15"/>
                <w:szCs w:val="20"/>
                <w:shd w:val="solid" w:color="000000" w:fill="000000"/>
                <w:fitText w:val="15" w:id="-1167951359"/>
                <w14:textFill>
                  <w14:solidFill>
                    <w14:srgbClr w14:val="000000">
                      <w14:alpha w14:val="100000"/>
                    </w14:srgbClr>
                  </w14:solidFill>
                </w14:textFill>
              </w:rPr>
              <w:t xml:space="preserve">　</w:t>
            </w:r>
            <w:r>
              <w:rPr>
                <w:vertAlign w:val="superscript"/>
              </w:rPr>
              <w:t>9</w:t>
            </w:r>
          </w:p>
        </w:tc>
        <w:tc>
          <w:tcPr>
            <w:tcW w:w="499" w:type="pct"/>
            <w:tcBorders>
              <w:bottom w:val="dashSmallGap" w:sz="4" w:space="0" w:color="auto"/>
            </w:tcBorders>
          </w:tcPr>
          <w:p w14:paraId="4992FF55"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8"/>
                <w14:textFill>
                  <w14:solidFill>
                    <w14:srgbClr w14:val="000000">
                      <w14:alpha w14:val="100000"/>
                    </w14:srgbClr>
                  </w14:solidFill>
                </w14:textFill>
              </w:rPr>
              <w:t xml:space="preserve">　</w:t>
            </w:r>
            <w:r w:rsidRPr="009B6C7C">
              <w:rPr>
                <w:color w:val="000000"/>
                <w:w w:val="15"/>
                <w:szCs w:val="20"/>
                <w:shd w:val="solid" w:color="000000" w:fill="000000"/>
                <w:fitText w:val="60" w:id="-1167951358"/>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8"/>
                <w14:textFill>
                  <w14:solidFill>
                    <w14:srgbClr w14:val="000000">
                      <w14:alpha w14:val="100000"/>
                    </w14:srgbClr>
                  </w14:solidFill>
                </w14:textFill>
              </w:rPr>
              <w:t xml:space="preserve">　</w:t>
            </w:r>
            <w:r>
              <w:rPr>
                <w:vertAlign w:val="superscript"/>
              </w:rPr>
              <w:t>9</w:t>
            </w:r>
          </w:p>
        </w:tc>
        <w:tc>
          <w:tcPr>
            <w:tcW w:w="499" w:type="pct"/>
            <w:tcBorders>
              <w:bottom w:val="dashSmallGap" w:sz="4" w:space="0" w:color="auto"/>
            </w:tcBorders>
          </w:tcPr>
          <w:p w14:paraId="275A3440"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7"/>
                <w14:textFill>
                  <w14:solidFill>
                    <w14:srgbClr w14:val="000000">
                      <w14:alpha w14:val="100000"/>
                    </w14:srgbClr>
                  </w14:solidFill>
                </w14:textFill>
              </w:rPr>
              <w:t xml:space="preserve">　</w:t>
            </w:r>
            <w:r w:rsidRPr="009B6C7C">
              <w:rPr>
                <w:color w:val="000000"/>
                <w:w w:val="15"/>
                <w:szCs w:val="20"/>
                <w:shd w:val="solid" w:color="000000" w:fill="000000"/>
                <w:fitText w:val="60" w:id="-1167951357"/>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7"/>
                <w14:textFill>
                  <w14:solidFill>
                    <w14:srgbClr w14:val="000000">
                      <w14:alpha w14:val="100000"/>
                    </w14:srgbClr>
                  </w14:solidFill>
                </w14:textFill>
              </w:rPr>
              <w:t xml:space="preserve">　</w:t>
            </w:r>
            <w:r>
              <w:rPr>
                <w:vertAlign w:val="superscript"/>
              </w:rPr>
              <w:t>9</w:t>
            </w:r>
          </w:p>
        </w:tc>
        <w:tc>
          <w:tcPr>
            <w:tcW w:w="498" w:type="pct"/>
            <w:tcBorders>
              <w:bottom w:val="dashSmallGap" w:sz="4" w:space="0" w:color="auto"/>
            </w:tcBorders>
          </w:tcPr>
          <w:p w14:paraId="4A9342F5"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6"/>
                <w:szCs w:val="20"/>
                <w:shd w:val="solid" w:color="000000" w:fill="000000"/>
                <w:fitText w:val="75" w:id="-1167951356"/>
                <w14:textFill>
                  <w14:solidFill>
                    <w14:srgbClr w14:val="000000">
                      <w14:alpha w14:val="100000"/>
                    </w14:srgbClr>
                  </w14:solidFill>
                </w14:textFill>
              </w:rPr>
              <w:t xml:space="preserve">　</w:t>
            </w:r>
            <w:r w:rsidRPr="009B6C7C">
              <w:rPr>
                <w:color w:val="000000"/>
                <w:w w:val="16"/>
                <w:szCs w:val="20"/>
                <w:shd w:val="solid" w:color="000000" w:fill="000000"/>
                <w:fitText w:val="75" w:id="-1167951356"/>
                <w14:textFill>
                  <w14:solidFill>
                    <w14:srgbClr w14:val="000000">
                      <w14:alpha w14:val="100000"/>
                    </w14:srgbClr>
                  </w14:solidFill>
                </w14:textFill>
              </w:rPr>
              <w:t>|</w:t>
            </w:r>
            <w:r w:rsidRPr="009B6C7C">
              <w:rPr>
                <w:rFonts w:hint="eastAsia"/>
                <w:color w:val="000000"/>
                <w:spacing w:val="5"/>
                <w:w w:val="16"/>
                <w:szCs w:val="20"/>
                <w:shd w:val="solid" w:color="000000" w:fill="000000"/>
                <w:fitText w:val="75" w:id="-1167951356"/>
                <w14:textFill>
                  <w14:solidFill>
                    <w14:srgbClr w14:val="000000">
                      <w14:alpha w14:val="100000"/>
                    </w14:srgbClr>
                  </w14:solidFill>
                </w14:textFill>
              </w:rPr>
              <w:t xml:space="preserve">　</w:t>
            </w:r>
            <w:r>
              <w:rPr>
                <w:vertAlign w:val="superscript"/>
              </w:rPr>
              <w:t>9</w:t>
            </w:r>
          </w:p>
        </w:tc>
      </w:tr>
      <w:tr w:rsidR="00EB50C9" w:rsidRPr="00E74297" w14:paraId="4BAB153A" w14:textId="77777777" w:rsidTr="00EB50C9">
        <w:trPr>
          <w:tblHeader/>
        </w:trPr>
        <w:tc>
          <w:tcPr>
            <w:tcW w:w="2007" w:type="pct"/>
            <w:tcBorders>
              <w:top w:val="dashSmallGap" w:sz="4" w:space="0" w:color="auto"/>
              <w:bottom w:val="single" w:sz="4" w:space="0" w:color="auto"/>
            </w:tcBorders>
            <w:tcMar>
              <w:left w:w="85" w:type="dxa"/>
              <w:right w:w="85" w:type="dxa"/>
            </w:tcMar>
          </w:tcPr>
          <w:p w14:paraId="59ED3D64" w14:textId="77777777" w:rsidR="009B6C7C" w:rsidRPr="00B9785D" w:rsidRDefault="009B6C7C" w:rsidP="00EB50C9">
            <w:pPr>
              <w:pStyle w:val="TableText0"/>
              <w:keepNext w:val="0"/>
              <w:widowControl w:val="0"/>
              <w:contextualSpacing/>
              <w:rPr>
                <w:szCs w:val="20"/>
                <w:highlight w:val="lightGray"/>
              </w:rPr>
            </w:pPr>
            <w:r w:rsidRPr="00B9785D">
              <w:rPr>
                <w:szCs w:val="20"/>
              </w:rPr>
              <w:t xml:space="preserve">Revised </w:t>
            </w:r>
            <w:r w:rsidRPr="00B9785D">
              <w:rPr>
                <w:szCs w:val="20"/>
              </w:rPr>
              <w:br/>
            </w:r>
            <w:r w:rsidRPr="00926F87">
              <w:rPr>
                <w:szCs w:val="20"/>
              </w:rPr>
              <w:t>($</w:t>
            </w:r>
            <w:r w:rsidRPr="009B6C7C">
              <w:rPr>
                <w:color w:val="000000"/>
                <w:spacing w:val="45"/>
                <w:szCs w:val="20"/>
                <w:shd w:val="solid" w:color="000000" w:fill="000000"/>
                <w:fitText w:val="330" w:id="-1167951355"/>
                <w14:textFill>
                  <w14:solidFill>
                    <w14:srgbClr w14:val="000000">
                      <w14:alpha w14:val="100000"/>
                    </w14:srgbClr>
                  </w14:solidFill>
                </w14:textFill>
              </w:rPr>
              <w:t>|||</w:t>
            </w:r>
            <w:r w:rsidRPr="009B6C7C">
              <w:rPr>
                <w:color w:val="000000"/>
                <w:spacing w:val="15"/>
                <w:szCs w:val="20"/>
                <w:shd w:val="solid" w:color="000000" w:fill="000000"/>
                <w:fitText w:val="330" w:id="-1167951355"/>
                <w14:textFill>
                  <w14:solidFill>
                    <w14:srgbClr w14:val="000000">
                      <w14:alpha w14:val="100000"/>
                    </w14:srgbClr>
                  </w14:solidFill>
                </w14:textFill>
              </w:rPr>
              <w:t>|</w:t>
            </w:r>
            <w:r w:rsidRPr="006F55C1">
              <w:rPr>
                <w:szCs w:val="20"/>
              </w:rPr>
              <w:t xml:space="preserve"> </w:t>
            </w:r>
            <w:r w:rsidRPr="00926F87">
              <w:rPr>
                <w:szCs w:val="20"/>
              </w:rPr>
              <w:t>per</w:t>
            </w:r>
            <w:r w:rsidRPr="00B9785D">
              <w:rPr>
                <w:szCs w:val="20"/>
              </w:rPr>
              <w:t xml:space="preserve"> script) </w:t>
            </w:r>
            <w:r w:rsidRPr="00B9785D">
              <w:rPr>
                <w:szCs w:val="20"/>
                <w:vertAlign w:val="superscript"/>
              </w:rPr>
              <w:t>f</w:t>
            </w:r>
          </w:p>
        </w:tc>
        <w:tc>
          <w:tcPr>
            <w:tcW w:w="499" w:type="pct"/>
            <w:tcBorders>
              <w:top w:val="dashSmallGap" w:sz="4" w:space="0" w:color="auto"/>
              <w:bottom w:val="single" w:sz="4" w:space="0" w:color="auto"/>
            </w:tcBorders>
          </w:tcPr>
          <w:p w14:paraId="7D590BFA"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4"/>
                <w14:textFill>
                  <w14:solidFill>
                    <w14:srgbClr w14:val="000000">
                      <w14:alpha w14:val="100000"/>
                    </w14:srgbClr>
                  </w14:solidFill>
                </w14:textFill>
              </w:rPr>
              <w:t xml:space="preserve">　</w:t>
            </w:r>
            <w:r w:rsidRPr="009B6C7C">
              <w:rPr>
                <w:color w:val="000000"/>
                <w:w w:val="15"/>
                <w:szCs w:val="20"/>
                <w:shd w:val="solid" w:color="000000" w:fill="000000"/>
                <w:fitText w:val="30" w:id="-1167951354"/>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4"/>
                <w14:textFill>
                  <w14:solidFill>
                    <w14:srgbClr w14:val="000000">
                      <w14:alpha w14:val="100000"/>
                    </w14:srgbClr>
                  </w14:solidFill>
                </w14:textFill>
              </w:rPr>
              <w:t xml:space="preserve">　</w:t>
            </w:r>
            <w:r>
              <w:rPr>
                <w:vertAlign w:val="superscript"/>
              </w:rPr>
              <w:t>7</w:t>
            </w:r>
          </w:p>
        </w:tc>
        <w:tc>
          <w:tcPr>
            <w:tcW w:w="499" w:type="pct"/>
            <w:tcBorders>
              <w:top w:val="dashSmallGap" w:sz="4" w:space="0" w:color="auto"/>
              <w:bottom w:val="single" w:sz="4" w:space="0" w:color="auto"/>
            </w:tcBorders>
          </w:tcPr>
          <w:p w14:paraId="5C2D702D"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30" w:id="-1167951353"/>
                <w14:textFill>
                  <w14:solidFill>
                    <w14:srgbClr w14:val="000000">
                      <w14:alpha w14:val="100000"/>
                    </w14:srgbClr>
                  </w14:solidFill>
                </w14:textFill>
              </w:rPr>
              <w:t xml:space="preserve">　</w:t>
            </w:r>
            <w:r w:rsidRPr="009B6C7C">
              <w:rPr>
                <w:color w:val="000000"/>
                <w:w w:val="15"/>
                <w:szCs w:val="20"/>
                <w:shd w:val="solid" w:color="000000" w:fill="000000"/>
                <w:fitText w:val="30" w:id="-1167951353"/>
                <w14:textFill>
                  <w14:solidFill>
                    <w14:srgbClr w14:val="000000">
                      <w14:alpha w14:val="100000"/>
                    </w14:srgbClr>
                  </w14:solidFill>
                </w14:textFill>
              </w:rPr>
              <w:t>|</w:t>
            </w:r>
            <w:r w:rsidRPr="009B6C7C">
              <w:rPr>
                <w:rFonts w:hint="eastAsia"/>
                <w:color w:val="000000"/>
                <w:spacing w:val="-45"/>
                <w:w w:val="15"/>
                <w:szCs w:val="20"/>
                <w:shd w:val="solid" w:color="000000" w:fill="000000"/>
                <w:fitText w:val="30" w:id="-1167951353"/>
                <w14:textFill>
                  <w14:solidFill>
                    <w14:srgbClr w14:val="000000">
                      <w14:alpha w14:val="100000"/>
                    </w14:srgbClr>
                  </w14:solidFill>
                </w14:textFill>
              </w:rPr>
              <w:t xml:space="preserve">　</w:t>
            </w:r>
            <w:r>
              <w:rPr>
                <w:vertAlign w:val="superscript"/>
              </w:rPr>
              <w:t>8</w:t>
            </w:r>
          </w:p>
        </w:tc>
        <w:tc>
          <w:tcPr>
            <w:tcW w:w="499" w:type="pct"/>
            <w:tcBorders>
              <w:top w:val="dashSmallGap" w:sz="4" w:space="0" w:color="auto"/>
              <w:bottom w:val="single" w:sz="4" w:space="0" w:color="auto"/>
            </w:tcBorders>
          </w:tcPr>
          <w:p w14:paraId="56356003" w14:textId="77777777" w:rsidR="009B6C7C" w:rsidRPr="00F10823" w:rsidRDefault="009B6C7C" w:rsidP="00EB50C9">
            <w:pPr>
              <w:pStyle w:val="TableText0"/>
              <w:keepNext w:val="0"/>
              <w:widowControl w:val="0"/>
              <w:contextualSpacing/>
              <w:jc w:val="center"/>
              <w:rPr>
                <w:szCs w:val="20"/>
                <w:highlight w:val="darkGray"/>
              </w:rPr>
            </w:pPr>
            <w:r w:rsidRPr="00075DC2">
              <w:rPr>
                <w:rFonts w:hint="eastAsia"/>
                <w:color w:val="000000"/>
                <w:w w:val="15"/>
                <w:szCs w:val="20"/>
                <w:shd w:val="solid" w:color="000000" w:fill="000000"/>
                <w:fitText w:val="15" w:id="-1167951352"/>
                <w14:textFill>
                  <w14:solidFill>
                    <w14:srgbClr w14:val="000000">
                      <w14:alpha w14:val="100000"/>
                    </w14:srgbClr>
                  </w14:solidFill>
                </w14:textFill>
              </w:rPr>
              <w:t xml:space="preserve">　</w:t>
            </w:r>
            <w:r w:rsidRPr="00075DC2">
              <w:rPr>
                <w:color w:val="000000"/>
                <w:w w:val="15"/>
                <w:szCs w:val="20"/>
                <w:shd w:val="solid" w:color="000000" w:fill="000000"/>
                <w:fitText w:val="15" w:id="-1167951352"/>
                <w14:textFill>
                  <w14:solidFill>
                    <w14:srgbClr w14:val="000000">
                      <w14:alpha w14:val="100000"/>
                    </w14:srgbClr>
                  </w14:solidFill>
                </w14:textFill>
              </w:rPr>
              <w:t>|</w:t>
            </w:r>
            <w:r w:rsidRPr="00075DC2">
              <w:rPr>
                <w:rFonts w:hint="eastAsia"/>
                <w:color w:val="000000"/>
                <w:spacing w:val="-50"/>
                <w:w w:val="15"/>
                <w:szCs w:val="20"/>
                <w:shd w:val="solid" w:color="000000" w:fill="000000"/>
                <w:fitText w:val="15" w:id="-1167951352"/>
                <w14:textFill>
                  <w14:solidFill>
                    <w14:srgbClr w14:val="000000">
                      <w14:alpha w14:val="100000"/>
                    </w14:srgbClr>
                  </w14:solidFill>
                </w14:textFill>
              </w:rPr>
              <w:t xml:space="preserve">　</w:t>
            </w:r>
            <w:r>
              <w:rPr>
                <w:vertAlign w:val="superscript"/>
              </w:rPr>
              <w:t>9</w:t>
            </w:r>
          </w:p>
        </w:tc>
        <w:tc>
          <w:tcPr>
            <w:tcW w:w="499" w:type="pct"/>
            <w:tcBorders>
              <w:top w:val="dashSmallGap" w:sz="4" w:space="0" w:color="auto"/>
              <w:bottom w:val="single" w:sz="4" w:space="0" w:color="auto"/>
            </w:tcBorders>
          </w:tcPr>
          <w:p w14:paraId="58B141FC"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1"/>
                <w14:textFill>
                  <w14:solidFill>
                    <w14:srgbClr w14:val="000000">
                      <w14:alpha w14:val="100000"/>
                    </w14:srgbClr>
                  </w14:solidFill>
                </w14:textFill>
              </w:rPr>
              <w:t xml:space="preserve">　</w:t>
            </w:r>
            <w:r w:rsidRPr="009B6C7C">
              <w:rPr>
                <w:color w:val="000000"/>
                <w:w w:val="15"/>
                <w:szCs w:val="20"/>
                <w:shd w:val="solid" w:color="000000" w:fill="000000"/>
                <w:fitText w:val="60" w:id="-1167951351"/>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1"/>
                <w14:textFill>
                  <w14:solidFill>
                    <w14:srgbClr w14:val="000000">
                      <w14:alpha w14:val="100000"/>
                    </w14:srgbClr>
                  </w14:solidFill>
                </w14:textFill>
              </w:rPr>
              <w:t xml:space="preserve">　</w:t>
            </w:r>
            <w:r>
              <w:rPr>
                <w:vertAlign w:val="superscript"/>
              </w:rPr>
              <w:t>9</w:t>
            </w:r>
          </w:p>
        </w:tc>
        <w:tc>
          <w:tcPr>
            <w:tcW w:w="499" w:type="pct"/>
            <w:tcBorders>
              <w:top w:val="dashSmallGap" w:sz="4" w:space="0" w:color="auto"/>
              <w:bottom w:val="single" w:sz="4" w:space="0" w:color="auto"/>
            </w:tcBorders>
          </w:tcPr>
          <w:p w14:paraId="233D33CB"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60" w:id="-1167951350"/>
                <w14:textFill>
                  <w14:solidFill>
                    <w14:srgbClr w14:val="000000">
                      <w14:alpha w14:val="100000"/>
                    </w14:srgbClr>
                  </w14:solidFill>
                </w14:textFill>
              </w:rPr>
              <w:t xml:space="preserve">　</w:t>
            </w:r>
            <w:r w:rsidRPr="009B6C7C">
              <w:rPr>
                <w:color w:val="000000"/>
                <w:w w:val="15"/>
                <w:szCs w:val="20"/>
                <w:shd w:val="solid" w:color="000000" w:fill="000000"/>
                <w:fitText w:val="60" w:id="-1167951350"/>
                <w14:textFill>
                  <w14:solidFill>
                    <w14:srgbClr w14:val="000000">
                      <w14:alpha w14:val="100000"/>
                    </w14:srgbClr>
                  </w14:solidFill>
                </w14:textFill>
              </w:rPr>
              <w:t>|</w:t>
            </w:r>
            <w:r w:rsidRPr="009B6C7C">
              <w:rPr>
                <w:rFonts w:hint="eastAsia"/>
                <w:color w:val="000000"/>
                <w:spacing w:val="-15"/>
                <w:w w:val="15"/>
                <w:szCs w:val="20"/>
                <w:shd w:val="solid" w:color="000000" w:fill="000000"/>
                <w:fitText w:val="60" w:id="-1167951350"/>
                <w14:textFill>
                  <w14:solidFill>
                    <w14:srgbClr w14:val="000000">
                      <w14:alpha w14:val="100000"/>
                    </w14:srgbClr>
                  </w14:solidFill>
                </w14:textFill>
              </w:rPr>
              <w:t xml:space="preserve">　</w:t>
            </w:r>
            <w:r>
              <w:rPr>
                <w:vertAlign w:val="superscript"/>
              </w:rPr>
              <w:t>9</w:t>
            </w:r>
          </w:p>
        </w:tc>
        <w:tc>
          <w:tcPr>
            <w:tcW w:w="498" w:type="pct"/>
            <w:tcBorders>
              <w:top w:val="dashSmallGap" w:sz="4" w:space="0" w:color="auto"/>
              <w:bottom w:val="single" w:sz="4" w:space="0" w:color="auto"/>
            </w:tcBorders>
          </w:tcPr>
          <w:p w14:paraId="7DF8C504"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6"/>
                <w:szCs w:val="20"/>
                <w:shd w:val="solid" w:color="000000" w:fill="000000"/>
                <w:fitText w:val="75" w:id="-1167951349"/>
                <w14:textFill>
                  <w14:solidFill>
                    <w14:srgbClr w14:val="000000">
                      <w14:alpha w14:val="100000"/>
                    </w14:srgbClr>
                  </w14:solidFill>
                </w14:textFill>
              </w:rPr>
              <w:t xml:space="preserve">　</w:t>
            </w:r>
            <w:r w:rsidRPr="009B6C7C">
              <w:rPr>
                <w:color w:val="000000"/>
                <w:w w:val="16"/>
                <w:szCs w:val="20"/>
                <w:shd w:val="solid" w:color="000000" w:fill="000000"/>
                <w:fitText w:val="75" w:id="-1167951349"/>
                <w14:textFill>
                  <w14:solidFill>
                    <w14:srgbClr w14:val="000000">
                      <w14:alpha w14:val="100000"/>
                    </w14:srgbClr>
                  </w14:solidFill>
                </w14:textFill>
              </w:rPr>
              <w:t>|</w:t>
            </w:r>
            <w:r w:rsidRPr="009B6C7C">
              <w:rPr>
                <w:rFonts w:hint="eastAsia"/>
                <w:color w:val="000000"/>
                <w:spacing w:val="5"/>
                <w:w w:val="16"/>
                <w:szCs w:val="20"/>
                <w:shd w:val="solid" w:color="000000" w:fill="000000"/>
                <w:fitText w:val="75" w:id="-1167951349"/>
                <w14:textFill>
                  <w14:solidFill>
                    <w14:srgbClr w14:val="000000">
                      <w14:alpha w14:val="100000"/>
                    </w14:srgbClr>
                  </w14:solidFill>
                </w14:textFill>
              </w:rPr>
              <w:t xml:space="preserve">　</w:t>
            </w:r>
            <w:r>
              <w:rPr>
                <w:vertAlign w:val="superscript"/>
              </w:rPr>
              <w:t>9</w:t>
            </w:r>
          </w:p>
        </w:tc>
      </w:tr>
      <w:tr w:rsidR="00EB50C9" w:rsidRPr="00E74297" w14:paraId="305D4AE7" w14:textId="77777777" w:rsidTr="00EB50C9">
        <w:trPr>
          <w:tblHeader/>
        </w:trPr>
        <w:tc>
          <w:tcPr>
            <w:tcW w:w="2007" w:type="pct"/>
            <w:tcBorders>
              <w:bottom w:val="dashSmallGap" w:sz="4" w:space="0" w:color="auto"/>
            </w:tcBorders>
            <w:tcMar>
              <w:left w:w="85" w:type="dxa"/>
              <w:right w:w="85" w:type="dxa"/>
            </w:tcMar>
          </w:tcPr>
          <w:p w14:paraId="7D5A25C3" w14:textId="77777777" w:rsidR="009B6C7C" w:rsidRPr="00E74297" w:rsidRDefault="009B6C7C" w:rsidP="00EB50C9">
            <w:pPr>
              <w:pStyle w:val="TableText0"/>
              <w:keepNext w:val="0"/>
              <w:widowControl w:val="0"/>
              <w:contextualSpacing/>
              <w:rPr>
                <w:szCs w:val="20"/>
              </w:rPr>
            </w:pPr>
            <w:r w:rsidRPr="00E74297">
              <w:rPr>
                <w:szCs w:val="20"/>
              </w:rPr>
              <w:t>Reduction to PBS/RPBS for substituted TPC, less co</w:t>
            </w:r>
            <w:r>
              <w:rPr>
                <w:szCs w:val="20"/>
              </w:rPr>
              <w:t>-</w:t>
            </w:r>
            <w:r w:rsidRPr="00E74297">
              <w:rPr>
                <w:szCs w:val="20"/>
              </w:rPr>
              <w:t>pays</w:t>
            </w:r>
          </w:p>
        </w:tc>
        <w:tc>
          <w:tcPr>
            <w:tcW w:w="499" w:type="pct"/>
            <w:tcBorders>
              <w:bottom w:val="dashSmallGap" w:sz="4" w:space="0" w:color="auto"/>
            </w:tcBorders>
          </w:tcPr>
          <w:p w14:paraId="0667A5ED"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45" w:id="-1167951348"/>
                <w14:textFill>
                  <w14:solidFill>
                    <w14:srgbClr w14:val="000000">
                      <w14:alpha w14:val="100000"/>
                    </w14:srgbClr>
                  </w14:solidFill>
                </w14:textFill>
              </w:rPr>
              <w:t xml:space="preserve">　</w:t>
            </w:r>
            <w:r w:rsidRPr="009B6C7C">
              <w:rPr>
                <w:color w:val="000000"/>
                <w:w w:val="15"/>
                <w:szCs w:val="20"/>
                <w:shd w:val="solid" w:color="000000" w:fill="000000"/>
                <w:fitText w:val="45" w:id="-1167951348"/>
                <w14:textFill>
                  <w14:solidFill>
                    <w14:srgbClr w14:val="000000">
                      <w14:alpha w14:val="100000"/>
                    </w14:srgbClr>
                  </w14:solidFill>
                </w14:textFill>
              </w:rPr>
              <w:t>|</w:t>
            </w:r>
            <w:r w:rsidRPr="009B6C7C">
              <w:rPr>
                <w:rFonts w:hint="eastAsia"/>
                <w:color w:val="000000"/>
                <w:spacing w:val="-30"/>
                <w:w w:val="15"/>
                <w:szCs w:val="20"/>
                <w:shd w:val="solid" w:color="000000" w:fill="000000"/>
                <w:fitText w:val="45" w:id="-1167951348"/>
                <w14:textFill>
                  <w14:solidFill>
                    <w14:srgbClr w14:val="000000">
                      <w14:alpha w14:val="100000"/>
                    </w14:srgbClr>
                  </w14:solidFill>
                </w14:textFill>
              </w:rPr>
              <w:t xml:space="preserve">　</w:t>
            </w:r>
            <w:r>
              <w:rPr>
                <w:vertAlign w:val="superscript"/>
              </w:rPr>
              <w:t>10</w:t>
            </w:r>
          </w:p>
        </w:tc>
        <w:tc>
          <w:tcPr>
            <w:tcW w:w="499" w:type="pct"/>
            <w:tcBorders>
              <w:bottom w:val="dashSmallGap" w:sz="4" w:space="0" w:color="auto"/>
            </w:tcBorders>
          </w:tcPr>
          <w:p w14:paraId="515520C8"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45" w:id="-1167951347"/>
                <w14:textFill>
                  <w14:solidFill>
                    <w14:srgbClr w14:val="000000">
                      <w14:alpha w14:val="100000"/>
                    </w14:srgbClr>
                  </w14:solidFill>
                </w14:textFill>
              </w:rPr>
              <w:t xml:space="preserve">　</w:t>
            </w:r>
            <w:r w:rsidRPr="009B6C7C">
              <w:rPr>
                <w:color w:val="000000"/>
                <w:w w:val="15"/>
                <w:szCs w:val="20"/>
                <w:shd w:val="solid" w:color="000000" w:fill="000000"/>
                <w:fitText w:val="45" w:id="-1167951347"/>
                <w14:textFill>
                  <w14:solidFill>
                    <w14:srgbClr w14:val="000000">
                      <w14:alpha w14:val="100000"/>
                    </w14:srgbClr>
                  </w14:solidFill>
                </w14:textFill>
              </w:rPr>
              <w:t>|</w:t>
            </w:r>
            <w:r w:rsidRPr="009B6C7C">
              <w:rPr>
                <w:rFonts w:hint="eastAsia"/>
                <w:color w:val="000000"/>
                <w:spacing w:val="-30"/>
                <w:w w:val="15"/>
                <w:szCs w:val="20"/>
                <w:shd w:val="solid" w:color="000000" w:fill="000000"/>
                <w:fitText w:val="45" w:id="-1167951347"/>
                <w14:textFill>
                  <w14:solidFill>
                    <w14:srgbClr w14:val="000000">
                      <w14:alpha w14:val="100000"/>
                    </w14:srgbClr>
                  </w14:solidFill>
                </w14:textFill>
              </w:rPr>
              <w:t xml:space="preserve">　</w:t>
            </w:r>
            <w:r>
              <w:rPr>
                <w:vertAlign w:val="superscript"/>
              </w:rPr>
              <w:t>10</w:t>
            </w:r>
          </w:p>
        </w:tc>
        <w:tc>
          <w:tcPr>
            <w:tcW w:w="499" w:type="pct"/>
            <w:tcBorders>
              <w:bottom w:val="dashSmallGap" w:sz="4" w:space="0" w:color="auto"/>
            </w:tcBorders>
          </w:tcPr>
          <w:p w14:paraId="49D76E86"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45" w:id="-1167951346"/>
                <w14:textFill>
                  <w14:solidFill>
                    <w14:srgbClr w14:val="000000">
                      <w14:alpha w14:val="100000"/>
                    </w14:srgbClr>
                  </w14:solidFill>
                </w14:textFill>
              </w:rPr>
              <w:t xml:space="preserve">　</w:t>
            </w:r>
            <w:r w:rsidRPr="009B6C7C">
              <w:rPr>
                <w:color w:val="000000"/>
                <w:w w:val="15"/>
                <w:szCs w:val="20"/>
                <w:shd w:val="solid" w:color="000000" w:fill="000000"/>
                <w:fitText w:val="45" w:id="-1167951346"/>
                <w14:textFill>
                  <w14:solidFill>
                    <w14:srgbClr w14:val="000000">
                      <w14:alpha w14:val="100000"/>
                    </w14:srgbClr>
                  </w14:solidFill>
                </w14:textFill>
              </w:rPr>
              <w:t>|</w:t>
            </w:r>
            <w:r w:rsidRPr="009B6C7C">
              <w:rPr>
                <w:rFonts w:hint="eastAsia"/>
                <w:color w:val="000000"/>
                <w:spacing w:val="-30"/>
                <w:w w:val="15"/>
                <w:szCs w:val="20"/>
                <w:shd w:val="solid" w:color="000000" w:fill="000000"/>
                <w:fitText w:val="45" w:id="-1167951346"/>
                <w14:textFill>
                  <w14:solidFill>
                    <w14:srgbClr w14:val="000000">
                      <w14:alpha w14:val="100000"/>
                    </w14:srgbClr>
                  </w14:solidFill>
                </w14:textFill>
              </w:rPr>
              <w:t xml:space="preserve">　</w:t>
            </w:r>
            <w:r>
              <w:rPr>
                <w:vertAlign w:val="superscript"/>
              </w:rPr>
              <w:t>10</w:t>
            </w:r>
          </w:p>
        </w:tc>
        <w:tc>
          <w:tcPr>
            <w:tcW w:w="499" w:type="pct"/>
            <w:tcBorders>
              <w:bottom w:val="dashSmallGap" w:sz="4" w:space="0" w:color="auto"/>
            </w:tcBorders>
          </w:tcPr>
          <w:p w14:paraId="68B7EAA9"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20"/>
                <w:szCs w:val="20"/>
                <w:shd w:val="solid" w:color="000000" w:fill="000000"/>
                <w:fitText w:val="90" w:id="-1167951345"/>
                <w14:textFill>
                  <w14:solidFill>
                    <w14:srgbClr w14:val="000000">
                      <w14:alpha w14:val="100000"/>
                    </w14:srgbClr>
                  </w14:solidFill>
                </w14:textFill>
              </w:rPr>
              <w:t xml:space="preserve">　</w:t>
            </w:r>
            <w:r w:rsidRPr="009B6C7C">
              <w:rPr>
                <w:color w:val="000000"/>
                <w:w w:val="20"/>
                <w:szCs w:val="20"/>
                <w:shd w:val="solid" w:color="000000" w:fill="000000"/>
                <w:fitText w:val="90" w:id="-1167951345"/>
                <w14:textFill>
                  <w14:solidFill>
                    <w14:srgbClr w14:val="000000">
                      <w14:alpha w14:val="100000"/>
                    </w14:srgbClr>
                  </w14:solidFill>
                </w14:textFill>
              </w:rPr>
              <w:t>|</w:t>
            </w:r>
            <w:r w:rsidRPr="009B6C7C">
              <w:rPr>
                <w:rFonts w:hint="eastAsia"/>
                <w:color w:val="000000"/>
                <w:spacing w:val="3"/>
                <w:w w:val="20"/>
                <w:szCs w:val="20"/>
                <w:shd w:val="solid" w:color="000000" w:fill="000000"/>
                <w:fitText w:val="90" w:id="-1167951345"/>
                <w14:textFill>
                  <w14:solidFill>
                    <w14:srgbClr w14:val="000000">
                      <w14:alpha w14:val="100000"/>
                    </w14:srgbClr>
                  </w14:solidFill>
                </w14:textFill>
              </w:rPr>
              <w:t xml:space="preserve">　</w:t>
            </w:r>
            <w:r>
              <w:rPr>
                <w:vertAlign w:val="superscript"/>
              </w:rPr>
              <w:t>10</w:t>
            </w:r>
          </w:p>
        </w:tc>
        <w:tc>
          <w:tcPr>
            <w:tcW w:w="499" w:type="pct"/>
            <w:tcBorders>
              <w:bottom w:val="dashSmallGap" w:sz="4" w:space="0" w:color="auto"/>
            </w:tcBorders>
          </w:tcPr>
          <w:p w14:paraId="72B24961"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20"/>
                <w:szCs w:val="20"/>
                <w:shd w:val="solid" w:color="000000" w:fill="000000"/>
                <w:fitText w:val="90" w:id="-1167951344"/>
                <w14:textFill>
                  <w14:solidFill>
                    <w14:srgbClr w14:val="000000">
                      <w14:alpha w14:val="100000"/>
                    </w14:srgbClr>
                  </w14:solidFill>
                </w14:textFill>
              </w:rPr>
              <w:t xml:space="preserve">　</w:t>
            </w:r>
            <w:r w:rsidRPr="009B6C7C">
              <w:rPr>
                <w:color w:val="000000"/>
                <w:w w:val="20"/>
                <w:szCs w:val="20"/>
                <w:shd w:val="solid" w:color="000000" w:fill="000000"/>
                <w:fitText w:val="90" w:id="-1167951344"/>
                <w14:textFill>
                  <w14:solidFill>
                    <w14:srgbClr w14:val="000000">
                      <w14:alpha w14:val="100000"/>
                    </w14:srgbClr>
                  </w14:solidFill>
                </w14:textFill>
              </w:rPr>
              <w:t>|</w:t>
            </w:r>
            <w:r w:rsidRPr="009B6C7C">
              <w:rPr>
                <w:rFonts w:hint="eastAsia"/>
                <w:color w:val="000000"/>
                <w:spacing w:val="3"/>
                <w:w w:val="20"/>
                <w:szCs w:val="20"/>
                <w:shd w:val="solid" w:color="000000" w:fill="000000"/>
                <w:fitText w:val="90" w:id="-1167951344"/>
                <w14:textFill>
                  <w14:solidFill>
                    <w14:srgbClr w14:val="000000">
                      <w14:alpha w14:val="100000"/>
                    </w14:srgbClr>
                  </w14:solidFill>
                </w14:textFill>
              </w:rPr>
              <w:t xml:space="preserve">　</w:t>
            </w:r>
            <w:r>
              <w:rPr>
                <w:vertAlign w:val="superscript"/>
              </w:rPr>
              <w:t>10</w:t>
            </w:r>
          </w:p>
        </w:tc>
        <w:tc>
          <w:tcPr>
            <w:tcW w:w="498" w:type="pct"/>
            <w:tcBorders>
              <w:bottom w:val="dashSmallGap" w:sz="4" w:space="0" w:color="auto"/>
            </w:tcBorders>
          </w:tcPr>
          <w:p w14:paraId="3CB61556"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23"/>
                <w:szCs w:val="20"/>
                <w:shd w:val="solid" w:color="000000" w:fill="000000"/>
                <w:fitText w:val="105" w:id="-1167951360"/>
                <w14:textFill>
                  <w14:solidFill>
                    <w14:srgbClr w14:val="000000">
                      <w14:alpha w14:val="100000"/>
                    </w14:srgbClr>
                  </w14:solidFill>
                </w14:textFill>
              </w:rPr>
              <w:t xml:space="preserve">　</w:t>
            </w:r>
            <w:r w:rsidRPr="009B6C7C">
              <w:rPr>
                <w:color w:val="000000"/>
                <w:w w:val="23"/>
                <w:szCs w:val="20"/>
                <w:shd w:val="solid" w:color="000000" w:fill="000000"/>
                <w:fitText w:val="105" w:id="-1167951360"/>
                <w14:textFill>
                  <w14:solidFill>
                    <w14:srgbClr w14:val="000000">
                      <w14:alpha w14:val="100000"/>
                    </w14:srgbClr>
                  </w14:solidFill>
                </w14:textFill>
              </w:rPr>
              <w:t>|</w:t>
            </w:r>
            <w:r w:rsidRPr="009B6C7C">
              <w:rPr>
                <w:rFonts w:hint="eastAsia"/>
                <w:color w:val="000000"/>
                <w:spacing w:val="4"/>
                <w:w w:val="23"/>
                <w:szCs w:val="20"/>
                <w:shd w:val="solid" w:color="000000" w:fill="000000"/>
                <w:fitText w:val="105" w:id="-1167951360"/>
                <w14:textFill>
                  <w14:solidFill>
                    <w14:srgbClr w14:val="000000">
                      <w14:alpha w14:val="100000"/>
                    </w14:srgbClr>
                  </w14:solidFill>
                </w14:textFill>
              </w:rPr>
              <w:t xml:space="preserve">　</w:t>
            </w:r>
            <w:r>
              <w:rPr>
                <w:vertAlign w:val="superscript"/>
              </w:rPr>
              <w:t>10</w:t>
            </w:r>
          </w:p>
        </w:tc>
      </w:tr>
      <w:tr w:rsidR="00EB50C9" w:rsidRPr="00E74297" w14:paraId="06D82B98" w14:textId="77777777" w:rsidTr="00EB50C9">
        <w:trPr>
          <w:tblHeader/>
        </w:trPr>
        <w:tc>
          <w:tcPr>
            <w:tcW w:w="2007" w:type="pct"/>
            <w:tcBorders>
              <w:top w:val="dashSmallGap" w:sz="4" w:space="0" w:color="auto"/>
              <w:bottom w:val="single" w:sz="4" w:space="0" w:color="auto"/>
            </w:tcBorders>
            <w:tcMar>
              <w:left w:w="85" w:type="dxa"/>
              <w:right w:w="85" w:type="dxa"/>
            </w:tcMar>
          </w:tcPr>
          <w:p w14:paraId="060F3E69" w14:textId="77777777" w:rsidR="009B6C7C" w:rsidRPr="00E74297" w:rsidRDefault="009B6C7C" w:rsidP="00EB50C9">
            <w:pPr>
              <w:pStyle w:val="TableText0"/>
              <w:keepNext w:val="0"/>
              <w:widowControl w:val="0"/>
              <w:contextualSpacing/>
              <w:rPr>
                <w:szCs w:val="20"/>
              </w:rPr>
            </w:pPr>
            <w:r w:rsidRPr="00E74297">
              <w:rPr>
                <w:szCs w:val="20"/>
              </w:rPr>
              <w:t xml:space="preserve">Revised </w:t>
            </w:r>
            <w:r w:rsidRPr="00E74297">
              <w:rPr>
                <w:szCs w:val="20"/>
                <w:vertAlign w:val="superscript"/>
              </w:rPr>
              <w:t>g</w:t>
            </w:r>
          </w:p>
        </w:tc>
        <w:tc>
          <w:tcPr>
            <w:tcW w:w="499" w:type="pct"/>
            <w:tcBorders>
              <w:top w:val="dashSmallGap" w:sz="4" w:space="0" w:color="auto"/>
              <w:bottom w:val="single" w:sz="4" w:space="0" w:color="auto"/>
            </w:tcBorders>
          </w:tcPr>
          <w:p w14:paraId="11DA085B"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45" w:id="-1167951359"/>
                <w14:textFill>
                  <w14:solidFill>
                    <w14:srgbClr w14:val="000000">
                      <w14:alpha w14:val="100000"/>
                    </w14:srgbClr>
                  </w14:solidFill>
                </w14:textFill>
              </w:rPr>
              <w:t xml:space="preserve">　</w:t>
            </w:r>
            <w:r w:rsidRPr="009B6C7C">
              <w:rPr>
                <w:color w:val="000000"/>
                <w:w w:val="15"/>
                <w:szCs w:val="20"/>
                <w:shd w:val="solid" w:color="000000" w:fill="000000"/>
                <w:fitText w:val="45" w:id="-1167951359"/>
                <w14:textFill>
                  <w14:solidFill>
                    <w14:srgbClr w14:val="000000">
                      <w14:alpha w14:val="100000"/>
                    </w14:srgbClr>
                  </w14:solidFill>
                </w14:textFill>
              </w:rPr>
              <w:t>|</w:t>
            </w:r>
            <w:r w:rsidRPr="009B6C7C">
              <w:rPr>
                <w:rFonts w:hint="eastAsia"/>
                <w:color w:val="000000"/>
                <w:spacing w:val="-30"/>
                <w:w w:val="15"/>
                <w:szCs w:val="20"/>
                <w:shd w:val="solid" w:color="000000" w:fill="000000"/>
                <w:fitText w:val="45" w:id="-1167951359"/>
                <w14:textFill>
                  <w14:solidFill>
                    <w14:srgbClr w14:val="000000">
                      <w14:alpha w14:val="100000"/>
                    </w14:srgbClr>
                  </w14:solidFill>
                </w14:textFill>
              </w:rPr>
              <w:t xml:space="preserve">　</w:t>
            </w:r>
            <w:r>
              <w:rPr>
                <w:vertAlign w:val="superscript"/>
              </w:rPr>
              <w:t>11</w:t>
            </w:r>
          </w:p>
        </w:tc>
        <w:tc>
          <w:tcPr>
            <w:tcW w:w="499" w:type="pct"/>
            <w:tcBorders>
              <w:top w:val="dashSmallGap" w:sz="4" w:space="0" w:color="auto"/>
              <w:bottom w:val="single" w:sz="4" w:space="0" w:color="auto"/>
            </w:tcBorders>
          </w:tcPr>
          <w:p w14:paraId="747F4619"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45" w:id="-1167951358"/>
                <w14:textFill>
                  <w14:solidFill>
                    <w14:srgbClr w14:val="000000">
                      <w14:alpha w14:val="100000"/>
                    </w14:srgbClr>
                  </w14:solidFill>
                </w14:textFill>
              </w:rPr>
              <w:t xml:space="preserve">　</w:t>
            </w:r>
            <w:r w:rsidRPr="009B6C7C">
              <w:rPr>
                <w:color w:val="000000"/>
                <w:w w:val="15"/>
                <w:szCs w:val="20"/>
                <w:shd w:val="solid" w:color="000000" w:fill="000000"/>
                <w:fitText w:val="45" w:id="-1167951358"/>
                <w14:textFill>
                  <w14:solidFill>
                    <w14:srgbClr w14:val="000000">
                      <w14:alpha w14:val="100000"/>
                    </w14:srgbClr>
                  </w14:solidFill>
                </w14:textFill>
              </w:rPr>
              <w:t>|</w:t>
            </w:r>
            <w:r w:rsidRPr="009B6C7C">
              <w:rPr>
                <w:rFonts w:hint="eastAsia"/>
                <w:color w:val="000000"/>
                <w:spacing w:val="-30"/>
                <w:w w:val="15"/>
                <w:szCs w:val="20"/>
                <w:shd w:val="solid" w:color="000000" w:fill="000000"/>
                <w:fitText w:val="45" w:id="-1167951358"/>
                <w14:textFill>
                  <w14:solidFill>
                    <w14:srgbClr w14:val="000000">
                      <w14:alpha w14:val="100000"/>
                    </w14:srgbClr>
                  </w14:solidFill>
                </w14:textFill>
              </w:rPr>
              <w:t xml:space="preserve">　</w:t>
            </w:r>
            <w:r>
              <w:rPr>
                <w:vertAlign w:val="superscript"/>
              </w:rPr>
              <w:t>11</w:t>
            </w:r>
          </w:p>
        </w:tc>
        <w:tc>
          <w:tcPr>
            <w:tcW w:w="499" w:type="pct"/>
            <w:tcBorders>
              <w:top w:val="dashSmallGap" w:sz="4" w:space="0" w:color="auto"/>
              <w:bottom w:val="single" w:sz="4" w:space="0" w:color="auto"/>
            </w:tcBorders>
          </w:tcPr>
          <w:p w14:paraId="51B13261"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45" w:id="-1167951357"/>
                <w14:textFill>
                  <w14:solidFill>
                    <w14:srgbClr w14:val="000000">
                      <w14:alpha w14:val="100000"/>
                    </w14:srgbClr>
                  </w14:solidFill>
                </w14:textFill>
              </w:rPr>
              <w:t xml:space="preserve">　</w:t>
            </w:r>
            <w:r w:rsidRPr="009B6C7C">
              <w:rPr>
                <w:color w:val="000000"/>
                <w:w w:val="15"/>
                <w:szCs w:val="20"/>
                <w:shd w:val="solid" w:color="000000" w:fill="000000"/>
                <w:fitText w:val="45" w:id="-1167951357"/>
                <w14:textFill>
                  <w14:solidFill>
                    <w14:srgbClr w14:val="000000">
                      <w14:alpha w14:val="100000"/>
                    </w14:srgbClr>
                  </w14:solidFill>
                </w14:textFill>
              </w:rPr>
              <w:t>|</w:t>
            </w:r>
            <w:r w:rsidRPr="009B6C7C">
              <w:rPr>
                <w:rFonts w:hint="eastAsia"/>
                <w:color w:val="000000"/>
                <w:spacing w:val="-30"/>
                <w:w w:val="15"/>
                <w:szCs w:val="20"/>
                <w:shd w:val="solid" w:color="000000" w:fill="000000"/>
                <w:fitText w:val="45" w:id="-1167951357"/>
                <w14:textFill>
                  <w14:solidFill>
                    <w14:srgbClr w14:val="000000">
                      <w14:alpha w14:val="100000"/>
                    </w14:srgbClr>
                  </w14:solidFill>
                </w14:textFill>
              </w:rPr>
              <w:t xml:space="preserve">　</w:t>
            </w:r>
            <w:r>
              <w:rPr>
                <w:vertAlign w:val="superscript"/>
              </w:rPr>
              <w:t>11</w:t>
            </w:r>
          </w:p>
        </w:tc>
        <w:tc>
          <w:tcPr>
            <w:tcW w:w="499" w:type="pct"/>
            <w:tcBorders>
              <w:top w:val="dashSmallGap" w:sz="4" w:space="0" w:color="auto"/>
              <w:bottom w:val="single" w:sz="4" w:space="0" w:color="auto"/>
            </w:tcBorders>
          </w:tcPr>
          <w:p w14:paraId="15E6927A"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20"/>
                <w:szCs w:val="20"/>
                <w:shd w:val="solid" w:color="000000" w:fill="000000"/>
                <w:fitText w:val="90" w:id="-1167951356"/>
                <w14:textFill>
                  <w14:solidFill>
                    <w14:srgbClr w14:val="000000">
                      <w14:alpha w14:val="100000"/>
                    </w14:srgbClr>
                  </w14:solidFill>
                </w14:textFill>
              </w:rPr>
              <w:t xml:space="preserve">　</w:t>
            </w:r>
            <w:r w:rsidRPr="009B6C7C">
              <w:rPr>
                <w:color w:val="000000"/>
                <w:w w:val="20"/>
                <w:szCs w:val="20"/>
                <w:shd w:val="solid" w:color="000000" w:fill="000000"/>
                <w:fitText w:val="90" w:id="-1167951356"/>
                <w14:textFill>
                  <w14:solidFill>
                    <w14:srgbClr w14:val="000000">
                      <w14:alpha w14:val="100000"/>
                    </w14:srgbClr>
                  </w14:solidFill>
                </w14:textFill>
              </w:rPr>
              <w:t>|</w:t>
            </w:r>
            <w:r w:rsidRPr="009B6C7C">
              <w:rPr>
                <w:rFonts w:hint="eastAsia"/>
                <w:color w:val="000000"/>
                <w:spacing w:val="3"/>
                <w:w w:val="20"/>
                <w:szCs w:val="20"/>
                <w:shd w:val="solid" w:color="000000" w:fill="000000"/>
                <w:fitText w:val="90" w:id="-1167951356"/>
                <w14:textFill>
                  <w14:solidFill>
                    <w14:srgbClr w14:val="000000">
                      <w14:alpha w14:val="100000"/>
                    </w14:srgbClr>
                  </w14:solidFill>
                </w14:textFill>
              </w:rPr>
              <w:t xml:space="preserve">　</w:t>
            </w:r>
            <w:r>
              <w:rPr>
                <w:vertAlign w:val="superscript"/>
              </w:rPr>
              <w:t>11</w:t>
            </w:r>
          </w:p>
        </w:tc>
        <w:tc>
          <w:tcPr>
            <w:tcW w:w="499" w:type="pct"/>
            <w:tcBorders>
              <w:top w:val="dashSmallGap" w:sz="4" w:space="0" w:color="auto"/>
              <w:bottom w:val="single" w:sz="4" w:space="0" w:color="auto"/>
            </w:tcBorders>
          </w:tcPr>
          <w:p w14:paraId="498E00A0"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20"/>
                <w:szCs w:val="20"/>
                <w:shd w:val="solid" w:color="000000" w:fill="000000"/>
                <w:fitText w:val="90" w:id="-1167951355"/>
                <w14:textFill>
                  <w14:solidFill>
                    <w14:srgbClr w14:val="000000">
                      <w14:alpha w14:val="100000"/>
                    </w14:srgbClr>
                  </w14:solidFill>
                </w14:textFill>
              </w:rPr>
              <w:t xml:space="preserve">　</w:t>
            </w:r>
            <w:r w:rsidRPr="009B6C7C">
              <w:rPr>
                <w:color w:val="000000"/>
                <w:w w:val="20"/>
                <w:szCs w:val="20"/>
                <w:shd w:val="solid" w:color="000000" w:fill="000000"/>
                <w:fitText w:val="90" w:id="-1167951355"/>
                <w14:textFill>
                  <w14:solidFill>
                    <w14:srgbClr w14:val="000000">
                      <w14:alpha w14:val="100000"/>
                    </w14:srgbClr>
                  </w14:solidFill>
                </w14:textFill>
              </w:rPr>
              <w:t>|</w:t>
            </w:r>
            <w:r w:rsidRPr="009B6C7C">
              <w:rPr>
                <w:rFonts w:hint="eastAsia"/>
                <w:color w:val="000000"/>
                <w:spacing w:val="3"/>
                <w:w w:val="20"/>
                <w:szCs w:val="20"/>
                <w:shd w:val="solid" w:color="000000" w:fill="000000"/>
                <w:fitText w:val="90" w:id="-1167951355"/>
                <w14:textFill>
                  <w14:solidFill>
                    <w14:srgbClr w14:val="000000">
                      <w14:alpha w14:val="100000"/>
                    </w14:srgbClr>
                  </w14:solidFill>
                </w14:textFill>
              </w:rPr>
              <w:t xml:space="preserve">　</w:t>
            </w:r>
            <w:r>
              <w:rPr>
                <w:vertAlign w:val="superscript"/>
              </w:rPr>
              <w:t>11</w:t>
            </w:r>
          </w:p>
        </w:tc>
        <w:tc>
          <w:tcPr>
            <w:tcW w:w="498" w:type="pct"/>
            <w:tcBorders>
              <w:top w:val="dashSmallGap" w:sz="4" w:space="0" w:color="auto"/>
              <w:bottom w:val="single" w:sz="4" w:space="0" w:color="auto"/>
            </w:tcBorders>
          </w:tcPr>
          <w:p w14:paraId="67BADDB4" w14:textId="77777777" w:rsidR="009B6C7C" w:rsidRPr="00F10823" w:rsidRDefault="009B6C7C" w:rsidP="00EB50C9">
            <w:pPr>
              <w:pStyle w:val="TableText0"/>
              <w:keepNext w:val="0"/>
              <w:widowControl w:val="0"/>
              <w:contextualSpacing/>
              <w:jc w:val="center"/>
              <w:rPr>
                <w:szCs w:val="20"/>
                <w:highlight w:val="darkGray"/>
              </w:rPr>
            </w:pPr>
            <w:r w:rsidRPr="009B6C7C">
              <w:rPr>
                <w:rFonts w:hint="eastAsia"/>
                <w:color w:val="000000"/>
                <w:w w:val="15"/>
                <w:szCs w:val="20"/>
                <w:shd w:val="solid" w:color="000000" w:fill="000000"/>
                <w:fitText w:val="45" w:id="-1167951354"/>
                <w14:textFill>
                  <w14:solidFill>
                    <w14:srgbClr w14:val="000000">
                      <w14:alpha w14:val="100000"/>
                    </w14:srgbClr>
                  </w14:solidFill>
                </w14:textFill>
              </w:rPr>
              <w:t xml:space="preserve">　</w:t>
            </w:r>
            <w:r w:rsidRPr="009B6C7C">
              <w:rPr>
                <w:color w:val="000000"/>
                <w:w w:val="15"/>
                <w:szCs w:val="20"/>
                <w:shd w:val="solid" w:color="000000" w:fill="000000"/>
                <w:fitText w:val="45" w:id="-1167951354"/>
                <w14:textFill>
                  <w14:solidFill>
                    <w14:srgbClr w14:val="000000">
                      <w14:alpha w14:val="100000"/>
                    </w14:srgbClr>
                  </w14:solidFill>
                </w14:textFill>
              </w:rPr>
              <w:t>|</w:t>
            </w:r>
            <w:r w:rsidRPr="009B6C7C">
              <w:rPr>
                <w:rFonts w:hint="eastAsia"/>
                <w:color w:val="000000"/>
                <w:spacing w:val="-30"/>
                <w:w w:val="15"/>
                <w:szCs w:val="20"/>
                <w:shd w:val="solid" w:color="000000" w:fill="000000"/>
                <w:fitText w:val="45" w:id="-1167951354"/>
                <w14:textFill>
                  <w14:solidFill>
                    <w14:srgbClr w14:val="000000">
                      <w14:alpha w14:val="100000"/>
                    </w14:srgbClr>
                  </w14:solidFill>
                </w14:textFill>
              </w:rPr>
              <w:t xml:space="preserve">　</w:t>
            </w:r>
            <w:r>
              <w:rPr>
                <w:vertAlign w:val="superscript"/>
              </w:rPr>
              <w:t>11</w:t>
            </w:r>
          </w:p>
        </w:tc>
      </w:tr>
      <w:tr w:rsidR="00EB50C9" w:rsidRPr="00E74297" w14:paraId="0BAD5217" w14:textId="77777777" w:rsidTr="00EB50C9">
        <w:trPr>
          <w:tblHeader/>
        </w:trPr>
        <w:tc>
          <w:tcPr>
            <w:tcW w:w="2007" w:type="pct"/>
            <w:tcBorders>
              <w:bottom w:val="dashSmallGap" w:sz="4" w:space="0" w:color="auto"/>
            </w:tcBorders>
            <w:tcMar>
              <w:left w:w="85" w:type="dxa"/>
              <w:right w:w="85" w:type="dxa"/>
            </w:tcMar>
          </w:tcPr>
          <w:p w14:paraId="2E0D1A98" w14:textId="77777777" w:rsidR="009B6C7C" w:rsidRPr="00E74297" w:rsidRDefault="009B6C7C" w:rsidP="00EB50C9">
            <w:pPr>
              <w:pStyle w:val="TableText0"/>
              <w:keepNext w:val="0"/>
              <w:widowControl w:val="0"/>
              <w:rPr>
                <w:b/>
                <w:szCs w:val="20"/>
              </w:rPr>
            </w:pPr>
            <w:r w:rsidRPr="00E74297">
              <w:rPr>
                <w:b/>
                <w:szCs w:val="20"/>
              </w:rPr>
              <w:t>Net cost to the PBS/RPBS</w:t>
            </w:r>
          </w:p>
        </w:tc>
        <w:tc>
          <w:tcPr>
            <w:tcW w:w="499" w:type="pct"/>
            <w:tcBorders>
              <w:bottom w:val="dashSmallGap" w:sz="4" w:space="0" w:color="auto"/>
            </w:tcBorders>
          </w:tcPr>
          <w:p w14:paraId="47C211C9" w14:textId="77777777" w:rsidR="009B6C7C" w:rsidRPr="00F10823" w:rsidRDefault="009B6C7C" w:rsidP="00EB50C9">
            <w:pPr>
              <w:pStyle w:val="TableText0"/>
              <w:keepNext w:val="0"/>
              <w:widowControl w:val="0"/>
              <w:jc w:val="center"/>
              <w:rPr>
                <w:b/>
                <w:szCs w:val="20"/>
                <w:highlight w:val="darkGray"/>
              </w:rPr>
            </w:pPr>
            <w:r w:rsidRPr="009B6C7C">
              <w:rPr>
                <w:rFonts w:hint="eastAsia"/>
                <w:b/>
                <w:color w:val="000000"/>
                <w:w w:val="16"/>
                <w:szCs w:val="20"/>
                <w:shd w:val="solid" w:color="000000" w:fill="000000"/>
                <w:fitText w:val="75" w:id="-1167951353"/>
                <w14:textFill>
                  <w14:solidFill>
                    <w14:srgbClr w14:val="000000">
                      <w14:alpha w14:val="100000"/>
                    </w14:srgbClr>
                  </w14:solidFill>
                </w14:textFill>
              </w:rPr>
              <w:t xml:space="preserve">　</w:t>
            </w:r>
            <w:r w:rsidRPr="009B6C7C">
              <w:rPr>
                <w:b/>
                <w:color w:val="000000"/>
                <w:w w:val="16"/>
                <w:szCs w:val="20"/>
                <w:shd w:val="solid" w:color="000000" w:fill="000000"/>
                <w:fitText w:val="75" w:id="-1167951353"/>
                <w14:textFill>
                  <w14:solidFill>
                    <w14:srgbClr w14:val="000000">
                      <w14:alpha w14:val="100000"/>
                    </w14:srgbClr>
                  </w14:solidFill>
                </w14:textFill>
              </w:rPr>
              <w:t>|</w:t>
            </w:r>
            <w:r w:rsidRPr="009B6C7C">
              <w:rPr>
                <w:rFonts w:hint="eastAsia"/>
                <w:b/>
                <w:color w:val="000000"/>
                <w:spacing w:val="5"/>
                <w:w w:val="16"/>
                <w:szCs w:val="20"/>
                <w:shd w:val="solid" w:color="000000" w:fill="000000"/>
                <w:fitText w:val="75" w:id="-1167951353"/>
                <w14:textFill>
                  <w14:solidFill>
                    <w14:srgbClr w14:val="000000">
                      <w14:alpha w14:val="100000"/>
                    </w14:srgbClr>
                  </w14:solidFill>
                </w14:textFill>
              </w:rPr>
              <w:t xml:space="preserve">　</w:t>
            </w:r>
            <w:r>
              <w:rPr>
                <w:vertAlign w:val="superscript"/>
              </w:rPr>
              <w:t>7</w:t>
            </w:r>
          </w:p>
        </w:tc>
        <w:tc>
          <w:tcPr>
            <w:tcW w:w="499" w:type="pct"/>
            <w:tcBorders>
              <w:bottom w:val="dashSmallGap" w:sz="4" w:space="0" w:color="auto"/>
            </w:tcBorders>
          </w:tcPr>
          <w:p w14:paraId="7B311A51" w14:textId="77777777" w:rsidR="009B6C7C" w:rsidRPr="00F10823" w:rsidRDefault="009B6C7C" w:rsidP="00EB50C9">
            <w:pPr>
              <w:pStyle w:val="TableText0"/>
              <w:keepNext w:val="0"/>
              <w:widowControl w:val="0"/>
              <w:jc w:val="center"/>
              <w:rPr>
                <w:b/>
                <w:szCs w:val="20"/>
                <w:highlight w:val="darkGray"/>
              </w:rPr>
            </w:pPr>
            <w:r w:rsidRPr="009B6C7C">
              <w:rPr>
                <w:rFonts w:hint="eastAsia"/>
                <w:b/>
                <w:color w:val="000000"/>
                <w:w w:val="16"/>
                <w:szCs w:val="20"/>
                <w:shd w:val="solid" w:color="000000" w:fill="000000"/>
                <w:fitText w:val="75" w:id="-1167951352"/>
                <w14:textFill>
                  <w14:solidFill>
                    <w14:srgbClr w14:val="000000">
                      <w14:alpha w14:val="100000"/>
                    </w14:srgbClr>
                  </w14:solidFill>
                </w14:textFill>
              </w:rPr>
              <w:t xml:space="preserve">　</w:t>
            </w:r>
            <w:r w:rsidRPr="009B6C7C">
              <w:rPr>
                <w:b/>
                <w:color w:val="000000"/>
                <w:w w:val="16"/>
                <w:szCs w:val="20"/>
                <w:shd w:val="solid" w:color="000000" w:fill="000000"/>
                <w:fitText w:val="75" w:id="-1167951352"/>
                <w14:textFill>
                  <w14:solidFill>
                    <w14:srgbClr w14:val="000000">
                      <w14:alpha w14:val="100000"/>
                    </w14:srgbClr>
                  </w14:solidFill>
                </w14:textFill>
              </w:rPr>
              <w:t>|</w:t>
            </w:r>
            <w:r w:rsidRPr="009B6C7C">
              <w:rPr>
                <w:rFonts w:hint="eastAsia"/>
                <w:b/>
                <w:color w:val="000000"/>
                <w:spacing w:val="5"/>
                <w:w w:val="16"/>
                <w:szCs w:val="20"/>
                <w:shd w:val="solid" w:color="000000" w:fill="000000"/>
                <w:fitText w:val="75" w:id="-1167951352"/>
                <w14:textFill>
                  <w14:solidFill>
                    <w14:srgbClr w14:val="000000">
                      <w14:alpha w14:val="100000"/>
                    </w14:srgbClr>
                  </w14:solidFill>
                </w14:textFill>
              </w:rPr>
              <w:t xml:space="preserve">　</w:t>
            </w:r>
            <w:r>
              <w:rPr>
                <w:vertAlign w:val="superscript"/>
              </w:rPr>
              <w:t>7</w:t>
            </w:r>
          </w:p>
        </w:tc>
        <w:tc>
          <w:tcPr>
            <w:tcW w:w="499" w:type="pct"/>
            <w:tcBorders>
              <w:bottom w:val="dashSmallGap" w:sz="4" w:space="0" w:color="auto"/>
            </w:tcBorders>
          </w:tcPr>
          <w:p w14:paraId="25CB8E83" w14:textId="77777777" w:rsidR="009B6C7C" w:rsidRPr="00F10823" w:rsidRDefault="009B6C7C" w:rsidP="00EB50C9">
            <w:pPr>
              <w:pStyle w:val="TableText0"/>
              <w:keepNext w:val="0"/>
              <w:widowControl w:val="0"/>
              <w:jc w:val="center"/>
              <w:rPr>
                <w:b/>
                <w:szCs w:val="20"/>
                <w:highlight w:val="darkGray"/>
              </w:rPr>
            </w:pPr>
            <w:r w:rsidRPr="009B6C7C">
              <w:rPr>
                <w:rFonts w:hint="eastAsia"/>
                <w:b/>
                <w:color w:val="000000"/>
                <w:w w:val="16"/>
                <w:szCs w:val="20"/>
                <w:shd w:val="solid" w:color="000000" w:fill="000000"/>
                <w:fitText w:val="75" w:id="-1167951351"/>
                <w14:textFill>
                  <w14:solidFill>
                    <w14:srgbClr w14:val="000000">
                      <w14:alpha w14:val="100000"/>
                    </w14:srgbClr>
                  </w14:solidFill>
                </w14:textFill>
              </w:rPr>
              <w:t xml:space="preserve">　</w:t>
            </w:r>
            <w:r w:rsidRPr="009B6C7C">
              <w:rPr>
                <w:b/>
                <w:color w:val="000000"/>
                <w:w w:val="16"/>
                <w:szCs w:val="20"/>
                <w:shd w:val="solid" w:color="000000" w:fill="000000"/>
                <w:fitText w:val="75" w:id="-1167951351"/>
                <w14:textFill>
                  <w14:solidFill>
                    <w14:srgbClr w14:val="000000">
                      <w14:alpha w14:val="100000"/>
                    </w14:srgbClr>
                  </w14:solidFill>
                </w14:textFill>
              </w:rPr>
              <w:t>|</w:t>
            </w:r>
            <w:r w:rsidRPr="009B6C7C">
              <w:rPr>
                <w:rFonts w:hint="eastAsia"/>
                <w:b/>
                <w:color w:val="000000"/>
                <w:spacing w:val="5"/>
                <w:w w:val="16"/>
                <w:szCs w:val="20"/>
                <w:shd w:val="solid" w:color="000000" w:fill="000000"/>
                <w:fitText w:val="75" w:id="-1167951351"/>
                <w14:textFill>
                  <w14:solidFill>
                    <w14:srgbClr w14:val="000000">
                      <w14:alpha w14:val="100000"/>
                    </w14:srgbClr>
                  </w14:solidFill>
                </w14:textFill>
              </w:rPr>
              <w:t xml:space="preserve">　</w:t>
            </w:r>
            <w:r>
              <w:rPr>
                <w:vertAlign w:val="superscript"/>
              </w:rPr>
              <w:t>8</w:t>
            </w:r>
          </w:p>
        </w:tc>
        <w:tc>
          <w:tcPr>
            <w:tcW w:w="499" w:type="pct"/>
            <w:tcBorders>
              <w:bottom w:val="dashSmallGap" w:sz="4" w:space="0" w:color="auto"/>
            </w:tcBorders>
          </w:tcPr>
          <w:p w14:paraId="0D26FF73" w14:textId="77777777" w:rsidR="009B6C7C" w:rsidRPr="00F10823" w:rsidRDefault="009B6C7C" w:rsidP="00EB50C9">
            <w:pPr>
              <w:pStyle w:val="TableText0"/>
              <w:keepNext w:val="0"/>
              <w:widowControl w:val="0"/>
              <w:jc w:val="center"/>
              <w:rPr>
                <w:b/>
                <w:szCs w:val="20"/>
                <w:highlight w:val="darkGray"/>
              </w:rPr>
            </w:pPr>
            <w:r w:rsidRPr="009B6C7C">
              <w:rPr>
                <w:rFonts w:hint="eastAsia"/>
                <w:b/>
                <w:color w:val="000000"/>
                <w:w w:val="20"/>
                <w:szCs w:val="20"/>
                <w:shd w:val="solid" w:color="000000" w:fill="000000"/>
                <w:fitText w:val="90" w:id="-1167951350"/>
                <w14:textFill>
                  <w14:solidFill>
                    <w14:srgbClr w14:val="000000">
                      <w14:alpha w14:val="100000"/>
                    </w14:srgbClr>
                  </w14:solidFill>
                </w14:textFill>
              </w:rPr>
              <w:t xml:space="preserve">　</w:t>
            </w:r>
            <w:r w:rsidRPr="009B6C7C">
              <w:rPr>
                <w:b/>
                <w:color w:val="000000"/>
                <w:w w:val="20"/>
                <w:szCs w:val="20"/>
                <w:shd w:val="solid" w:color="000000" w:fill="000000"/>
                <w:fitText w:val="90" w:id="-1167951350"/>
                <w14:textFill>
                  <w14:solidFill>
                    <w14:srgbClr w14:val="000000">
                      <w14:alpha w14:val="100000"/>
                    </w14:srgbClr>
                  </w14:solidFill>
                </w14:textFill>
              </w:rPr>
              <w:t>|</w:t>
            </w:r>
            <w:r w:rsidRPr="009B6C7C">
              <w:rPr>
                <w:rFonts w:hint="eastAsia"/>
                <w:b/>
                <w:color w:val="000000"/>
                <w:spacing w:val="2"/>
                <w:w w:val="20"/>
                <w:szCs w:val="20"/>
                <w:shd w:val="solid" w:color="000000" w:fill="000000"/>
                <w:fitText w:val="90" w:id="-1167951350"/>
                <w14:textFill>
                  <w14:solidFill>
                    <w14:srgbClr w14:val="000000">
                      <w14:alpha w14:val="100000"/>
                    </w14:srgbClr>
                  </w14:solidFill>
                </w14:textFill>
              </w:rPr>
              <w:t xml:space="preserve">　</w:t>
            </w:r>
            <w:r>
              <w:rPr>
                <w:vertAlign w:val="superscript"/>
              </w:rPr>
              <w:t>8</w:t>
            </w:r>
          </w:p>
        </w:tc>
        <w:tc>
          <w:tcPr>
            <w:tcW w:w="499" w:type="pct"/>
            <w:tcBorders>
              <w:bottom w:val="dashSmallGap" w:sz="4" w:space="0" w:color="auto"/>
            </w:tcBorders>
          </w:tcPr>
          <w:p w14:paraId="2C2299AC" w14:textId="77777777" w:rsidR="009B6C7C" w:rsidRPr="00F10823" w:rsidRDefault="009B6C7C" w:rsidP="00EB50C9">
            <w:pPr>
              <w:pStyle w:val="TableText0"/>
              <w:keepNext w:val="0"/>
              <w:widowControl w:val="0"/>
              <w:jc w:val="center"/>
              <w:rPr>
                <w:b/>
                <w:szCs w:val="20"/>
                <w:highlight w:val="darkGray"/>
              </w:rPr>
            </w:pPr>
            <w:r w:rsidRPr="009B6C7C">
              <w:rPr>
                <w:rFonts w:hint="eastAsia"/>
                <w:b/>
                <w:color w:val="000000"/>
                <w:w w:val="23"/>
                <w:szCs w:val="20"/>
                <w:shd w:val="solid" w:color="000000" w:fill="000000"/>
                <w:fitText w:val="105" w:id="-1167951349"/>
                <w14:textFill>
                  <w14:solidFill>
                    <w14:srgbClr w14:val="000000">
                      <w14:alpha w14:val="100000"/>
                    </w14:srgbClr>
                  </w14:solidFill>
                </w14:textFill>
              </w:rPr>
              <w:t xml:space="preserve">　</w:t>
            </w:r>
            <w:r w:rsidRPr="009B6C7C">
              <w:rPr>
                <w:b/>
                <w:color w:val="000000"/>
                <w:w w:val="23"/>
                <w:szCs w:val="20"/>
                <w:shd w:val="solid" w:color="000000" w:fill="000000"/>
                <w:fitText w:val="105" w:id="-1167951349"/>
                <w14:textFill>
                  <w14:solidFill>
                    <w14:srgbClr w14:val="000000">
                      <w14:alpha w14:val="100000"/>
                    </w14:srgbClr>
                  </w14:solidFill>
                </w14:textFill>
              </w:rPr>
              <w:t>|</w:t>
            </w:r>
            <w:r w:rsidRPr="009B6C7C">
              <w:rPr>
                <w:rFonts w:hint="eastAsia"/>
                <w:b/>
                <w:color w:val="000000"/>
                <w:spacing w:val="3"/>
                <w:w w:val="23"/>
                <w:szCs w:val="20"/>
                <w:shd w:val="solid" w:color="000000" w:fill="000000"/>
                <w:fitText w:val="105" w:id="-1167951349"/>
                <w14:textFill>
                  <w14:solidFill>
                    <w14:srgbClr w14:val="000000">
                      <w14:alpha w14:val="100000"/>
                    </w14:srgbClr>
                  </w14:solidFill>
                </w14:textFill>
              </w:rPr>
              <w:t xml:space="preserve">　</w:t>
            </w:r>
            <w:r>
              <w:rPr>
                <w:vertAlign w:val="superscript"/>
              </w:rPr>
              <w:t>8</w:t>
            </w:r>
          </w:p>
        </w:tc>
        <w:tc>
          <w:tcPr>
            <w:tcW w:w="498" w:type="pct"/>
            <w:tcBorders>
              <w:bottom w:val="dashSmallGap" w:sz="4" w:space="0" w:color="auto"/>
            </w:tcBorders>
          </w:tcPr>
          <w:p w14:paraId="466E2C7B" w14:textId="77777777" w:rsidR="009B6C7C" w:rsidRPr="00F10823" w:rsidRDefault="009B6C7C" w:rsidP="00EB50C9">
            <w:pPr>
              <w:pStyle w:val="TableText0"/>
              <w:keepNext w:val="0"/>
              <w:widowControl w:val="0"/>
              <w:jc w:val="center"/>
              <w:rPr>
                <w:b/>
                <w:szCs w:val="20"/>
                <w:highlight w:val="darkGray"/>
              </w:rPr>
            </w:pPr>
            <w:r w:rsidRPr="009B6C7C">
              <w:rPr>
                <w:rFonts w:hint="eastAsia"/>
                <w:b/>
                <w:color w:val="000000"/>
                <w:w w:val="23"/>
                <w:szCs w:val="20"/>
                <w:shd w:val="solid" w:color="000000" w:fill="000000"/>
                <w:fitText w:val="105" w:id="-1167951348"/>
                <w14:textFill>
                  <w14:solidFill>
                    <w14:srgbClr w14:val="000000">
                      <w14:alpha w14:val="100000"/>
                    </w14:srgbClr>
                  </w14:solidFill>
                </w14:textFill>
              </w:rPr>
              <w:t xml:space="preserve">　</w:t>
            </w:r>
            <w:r w:rsidRPr="009B6C7C">
              <w:rPr>
                <w:b/>
                <w:color w:val="000000"/>
                <w:w w:val="23"/>
                <w:szCs w:val="20"/>
                <w:shd w:val="solid" w:color="000000" w:fill="000000"/>
                <w:fitText w:val="105" w:id="-1167951348"/>
                <w14:textFill>
                  <w14:solidFill>
                    <w14:srgbClr w14:val="000000">
                      <w14:alpha w14:val="100000"/>
                    </w14:srgbClr>
                  </w14:solidFill>
                </w14:textFill>
              </w:rPr>
              <w:t>|</w:t>
            </w:r>
            <w:r w:rsidRPr="009B6C7C">
              <w:rPr>
                <w:rFonts w:hint="eastAsia"/>
                <w:b/>
                <w:color w:val="000000"/>
                <w:spacing w:val="3"/>
                <w:w w:val="23"/>
                <w:szCs w:val="20"/>
                <w:shd w:val="solid" w:color="000000" w:fill="000000"/>
                <w:fitText w:val="105" w:id="-1167951348"/>
                <w14:textFill>
                  <w14:solidFill>
                    <w14:srgbClr w14:val="000000">
                      <w14:alpha w14:val="100000"/>
                    </w14:srgbClr>
                  </w14:solidFill>
                </w14:textFill>
              </w:rPr>
              <w:t xml:space="preserve">　</w:t>
            </w:r>
            <w:r>
              <w:rPr>
                <w:vertAlign w:val="superscript"/>
              </w:rPr>
              <w:t>9</w:t>
            </w:r>
          </w:p>
        </w:tc>
      </w:tr>
      <w:tr w:rsidR="00EB50C9" w:rsidRPr="00E74297" w14:paraId="2C5ED026" w14:textId="77777777" w:rsidTr="00EB50C9">
        <w:trPr>
          <w:tblHeader/>
        </w:trPr>
        <w:tc>
          <w:tcPr>
            <w:tcW w:w="2007" w:type="pct"/>
            <w:tcBorders>
              <w:top w:val="dashSmallGap" w:sz="4" w:space="0" w:color="auto"/>
            </w:tcBorders>
            <w:tcMar>
              <w:left w:w="85" w:type="dxa"/>
              <w:right w:w="85" w:type="dxa"/>
            </w:tcMar>
          </w:tcPr>
          <w:p w14:paraId="1332E2F2" w14:textId="77777777" w:rsidR="009B6C7C" w:rsidRPr="00E74297" w:rsidRDefault="009B6C7C" w:rsidP="00EB50C9">
            <w:pPr>
              <w:pStyle w:val="TableText0"/>
              <w:keepNext w:val="0"/>
              <w:widowControl w:val="0"/>
              <w:rPr>
                <w:b/>
                <w:szCs w:val="20"/>
              </w:rPr>
            </w:pPr>
            <w:r w:rsidRPr="00E74297">
              <w:rPr>
                <w:b/>
                <w:szCs w:val="20"/>
              </w:rPr>
              <w:t>Revised</w:t>
            </w:r>
          </w:p>
        </w:tc>
        <w:tc>
          <w:tcPr>
            <w:tcW w:w="499" w:type="pct"/>
            <w:tcBorders>
              <w:top w:val="dashSmallGap" w:sz="4" w:space="0" w:color="auto"/>
            </w:tcBorders>
          </w:tcPr>
          <w:p w14:paraId="2239264C" w14:textId="77777777" w:rsidR="009B6C7C" w:rsidRPr="00F10823" w:rsidRDefault="009B6C7C" w:rsidP="00EB50C9">
            <w:pPr>
              <w:pStyle w:val="TableText0"/>
              <w:keepNext w:val="0"/>
              <w:widowControl w:val="0"/>
              <w:jc w:val="center"/>
              <w:rPr>
                <w:b/>
                <w:szCs w:val="20"/>
                <w:highlight w:val="darkGray"/>
              </w:rPr>
            </w:pPr>
            <w:r w:rsidRPr="009B6C7C">
              <w:rPr>
                <w:rFonts w:hint="eastAsia"/>
                <w:b/>
                <w:color w:val="000000"/>
                <w:w w:val="23"/>
                <w:szCs w:val="20"/>
                <w:shd w:val="solid" w:color="000000" w:fill="000000"/>
                <w:fitText w:val="105" w:id="-1167951347"/>
                <w14:textFill>
                  <w14:solidFill>
                    <w14:srgbClr w14:val="000000">
                      <w14:alpha w14:val="100000"/>
                    </w14:srgbClr>
                  </w14:solidFill>
                </w14:textFill>
              </w:rPr>
              <w:t xml:space="preserve">　</w:t>
            </w:r>
            <w:r w:rsidRPr="009B6C7C">
              <w:rPr>
                <w:b/>
                <w:color w:val="000000"/>
                <w:w w:val="23"/>
                <w:szCs w:val="20"/>
                <w:shd w:val="solid" w:color="000000" w:fill="000000"/>
                <w:fitText w:val="105" w:id="-1167951347"/>
                <w14:textFill>
                  <w14:solidFill>
                    <w14:srgbClr w14:val="000000">
                      <w14:alpha w14:val="100000"/>
                    </w14:srgbClr>
                  </w14:solidFill>
                </w14:textFill>
              </w:rPr>
              <w:t>|</w:t>
            </w:r>
            <w:r w:rsidRPr="009B6C7C">
              <w:rPr>
                <w:rFonts w:hint="eastAsia"/>
                <w:b/>
                <w:color w:val="000000"/>
                <w:spacing w:val="3"/>
                <w:w w:val="23"/>
                <w:szCs w:val="20"/>
                <w:shd w:val="solid" w:color="000000" w:fill="000000"/>
                <w:fitText w:val="105" w:id="-1167951347"/>
                <w14:textFill>
                  <w14:solidFill>
                    <w14:srgbClr w14:val="000000">
                      <w14:alpha w14:val="100000"/>
                    </w14:srgbClr>
                  </w14:solidFill>
                </w14:textFill>
              </w:rPr>
              <w:t xml:space="preserve">　</w:t>
            </w:r>
            <w:r>
              <w:rPr>
                <w:vertAlign w:val="superscript"/>
              </w:rPr>
              <w:t>12</w:t>
            </w:r>
          </w:p>
        </w:tc>
        <w:tc>
          <w:tcPr>
            <w:tcW w:w="499" w:type="pct"/>
            <w:tcBorders>
              <w:top w:val="dashSmallGap" w:sz="4" w:space="0" w:color="auto"/>
            </w:tcBorders>
          </w:tcPr>
          <w:p w14:paraId="057EF6EC" w14:textId="77777777" w:rsidR="009B6C7C" w:rsidRPr="00F10823" w:rsidRDefault="009B6C7C" w:rsidP="00EB50C9">
            <w:pPr>
              <w:pStyle w:val="TableText0"/>
              <w:keepNext w:val="0"/>
              <w:widowControl w:val="0"/>
              <w:jc w:val="center"/>
              <w:rPr>
                <w:b/>
                <w:szCs w:val="20"/>
                <w:highlight w:val="darkGray"/>
              </w:rPr>
            </w:pPr>
            <w:r w:rsidRPr="009B6C7C">
              <w:rPr>
                <w:rFonts w:hint="eastAsia"/>
                <w:b/>
                <w:color w:val="000000"/>
                <w:w w:val="16"/>
                <w:szCs w:val="20"/>
                <w:shd w:val="solid" w:color="000000" w:fill="000000"/>
                <w:fitText w:val="75" w:id="-1167951346"/>
                <w14:textFill>
                  <w14:solidFill>
                    <w14:srgbClr w14:val="000000">
                      <w14:alpha w14:val="100000"/>
                    </w14:srgbClr>
                  </w14:solidFill>
                </w14:textFill>
              </w:rPr>
              <w:t xml:space="preserve">　</w:t>
            </w:r>
            <w:r w:rsidRPr="009B6C7C">
              <w:rPr>
                <w:b/>
                <w:color w:val="000000"/>
                <w:w w:val="16"/>
                <w:szCs w:val="20"/>
                <w:shd w:val="solid" w:color="000000" w:fill="000000"/>
                <w:fitText w:val="75" w:id="-1167951346"/>
                <w14:textFill>
                  <w14:solidFill>
                    <w14:srgbClr w14:val="000000">
                      <w14:alpha w14:val="100000"/>
                    </w14:srgbClr>
                  </w14:solidFill>
                </w14:textFill>
              </w:rPr>
              <w:t>|</w:t>
            </w:r>
            <w:r w:rsidRPr="009B6C7C">
              <w:rPr>
                <w:rFonts w:hint="eastAsia"/>
                <w:b/>
                <w:color w:val="000000"/>
                <w:spacing w:val="5"/>
                <w:w w:val="16"/>
                <w:szCs w:val="20"/>
                <w:shd w:val="solid" w:color="000000" w:fill="000000"/>
                <w:fitText w:val="75" w:id="-1167951346"/>
                <w14:textFill>
                  <w14:solidFill>
                    <w14:srgbClr w14:val="000000">
                      <w14:alpha w14:val="100000"/>
                    </w14:srgbClr>
                  </w14:solidFill>
                </w14:textFill>
              </w:rPr>
              <w:t xml:space="preserve">　</w:t>
            </w:r>
            <w:r>
              <w:rPr>
                <w:vertAlign w:val="superscript"/>
              </w:rPr>
              <w:t>7</w:t>
            </w:r>
          </w:p>
        </w:tc>
        <w:tc>
          <w:tcPr>
            <w:tcW w:w="499" w:type="pct"/>
            <w:tcBorders>
              <w:top w:val="dashSmallGap" w:sz="4" w:space="0" w:color="auto"/>
            </w:tcBorders>
          </w:tcPr>
          <w:p w14:paraId="72D36FE2" w14:textId="77777777" w:rsidR="009B6C7C" w:rsidRPr="00F10823" w:rsidRDefault="009B6C7C" w:rsidP="00EB50C9">
            <w:pPr>
              <w:pStyle w:val="TableText0"/>
              <w:keepNext w:val="0"/>
              <w:widowControl w:val="0"/>
              <w:jc w:val="center"/>
              <w:rPr>
                <w:b/>
                <w:szCs w:val="20"/>
                <w:highlight w:val="darkGray"/>
              </w:rPr>
            </w:pPr>
            <w:r w:rsidRPr="009B6C7C">
              <w:rPr>
                <w:rFonts w:hint="eastAsia"/>
                <w:b/>
                <w:color w:val="000000"/>
                <w:w w:val="16"/>
                <w:szCs w:val="20"/>
                <w:shd w:val="solid" w:color="000000" w:fill="000000"/>
                <w:fitText w:val="75" w:id="-1167951345"/>
                <w14:textFill>
                  <w14:solidFill>
                    <w14:srgbClr w14:val="000000">
                      <w14:alpha w14:val="100000"/>
                    </w14:srgbClr>
                  </w14:solidFill>
                </w14:textFill>
              </w:rPr>
              <w:t xml:space="preserve">　</w:t>
            </w:r>
            <w:r w:rsidRPr="009B6C7C">
              <w:rPr>
                <w:b/>
                <w:color w:val="000000"/>
                <w:w w:val="16"/>
                <w:szCs w:val="20"/>
                <w:shd w:val="solid" w:color="000000" w:fill="000000"/>
                <w:fitText w:val="75" w:id="-1167951345"/>
                <w14:textFill>
                  <w14:solidFill>
                    <w14:srgbClr w14:val="000000">
                      <w14:alpha w14:val="100000"/>
                    </w14:srgbClr>
                  </w14:solidFill>
                </w14:textFill>
              </w:rPr>
              <w:t>|</w:t>
            </w:r>
            <w:r w:rsidRPr="009B6C7C">
              <w:rPr>
                <w:rFonts w:hint="eastAsia"/>
                <w:b/>
                <w:color w:val="000000"/>
                <w:spacing w:val="5"/>
                <w:w w:val="16"/>
                <w:szCs w:val="20"/>
                <w:shd w:val="solid" w:color="000000" w:fill="000000"/>
                <w:fitText w:val="75" w:id="-1167951345"/>
                <w14:textFill>
                  <w14:solidFill>
                    <w14:srgbClr w14:val="000000">
                      <w14:alpha w14:val="100000"/>
                    </w14:srgbClr>
                  </w14:solidFill>
                </w14:textFill>
              </w:rPr>
              <w:t xml:space="preserve">　</w:t>
            </w:r>
            <w:r>
              <w:rPr>
                <w:vertAlign w:val="superscript"/>
              </w:rPr>
              <w:t>7</w:t>
            </w:r>
          </w:p>
        </w:tc>
        <w:tc>
          <w:tcPr>
            <w:tcW w:w="499" w:type="pct"/>
            <w:tcBorders>
              <w:top w:val="dashSmallGap" w:sz="4" w:space="0" w:color="auto"/>
            </w:tcBorders>
          </w:tcPr>
          <w:p w14:paraId="34781B20" w14:textId="77777777" w:rsidR="009B6C7C" w:rsidRPr="00F10823" w:rsidRDefault="009B6C7C" w:rsidP="00EB50C9">
            <w:pPr>
              <w:pStyle w:val="TableText0"/>
              <w:keepNext w:val="0"/>
              <w:widowControl w:val="0"/>
              <w:jc w:val="center"/>
              <w:rPr>
                <w:b/>
                <w:szCs w:val="20"/>
                <w:highlight w:val="darkGray"/>
              </w:rPr>
            </w:pPr>
            <w:r w:rsidRPr="009B6C7C">
              <w:rPr>
                <w:rFonts w:hint="eastAsia"/>
                <w:b/>
                <w:color w:val="000000"/>
                <w:w w:val="20"/>
                <w:szCs w:val="20"/>
                <w:shd w:val="solid" w:color="000000" w:fill="000000"/>
                <w:fitText w:val="90" w:id="-1167951344"/>
                <w14:textFill>
                  <w14:solidFill>
                    <w14:srgbClr w14:val="000000">
                      <w14:alpha w14:val="100000"/>
                    </w14:srgbClr>
                  </w14:solidFill>
                </w14:textFill>
              </w:rPr>
              <w:t xml:space="preserve">　</w:t>
            </w:r>
            <w:r w:rsidRPr="009B6C7C">
              <w:rPr>
                <w:b/>
                <w:color w:val="000000"/>
                <w:w w:val="20"/>
                <w:szCs w:val="20"/>
                <w:shd w:val="solid" w:color="000000" w:fill="000000"/>
                <w:fitText w:val="90" w:id="-1167951344"/>
                <w14:textFill>
                  <w14:solidFill>
                    <w14:srgbClr w14:val="000000">
                      <w14:alpha w14:val="100000"/>
                    </w14:srgbClr>
                  </w14:solidFill>
                </w14:textFill>
              </w:rPr>
              <w:t>|</w:t>
            </w:r>
            <w:r w:rsidRPr="009B6C7C">
              <w:rPr>
                <w:rFonts w:hint="eastAsia"/>
                <w:b/>
                <w:color w:val="000000"/>
                <w:spacing w:val="2"/>
                <w:w w:val="20"/>
                <w:szCs w:val="20"/>
                <w:shd w:val="solid" w:color="000000" w:fill="000000"/>
                <w:fitText w:val="90" w:id="-1167951344"/>
                <w14:textFill>
                  <w14:solidFill>
                    <w14:srgbClr w14:val="000000">
                      <w14:alpha w14:val="100000"/>
                    </w14:srgbClr>
                  </w14:solidFill>
                </w14:textFill>
              </w:rPr>
              <w:t xml:space="preserve">　</w:t>
            </w:r>
            <w:r>
              <w:rPr>
                <w:vertAlign w:val="superscript"/>
              </w:rPr>
              <w:t>8</w:t>
            </w:r>
          </w:p>
        </w:tc>
        <w:tc>
          <w:tcPr>
            <w:tcW w:w="499" w:type="pct"/>
            <w:tcBorders>
              <w:top w:val="dashSmallGap" w:sz="4" w:space="0" w:color="auto"/>
            </w:tcBorders>
          </w:tcPr>
          <w:p w14:paraId="7EB5755C" w14:textId="77777777" w:rsidR="009B6C7C" w:rsidRPr="00F10823" w:rsidRDefault="009B6C7C" w:rsidP="00EB50C9">
            <w:pPr>
              <w:pStyle w:val="TableText0"/>
              <w:keepNext w:val="0"/>
              <w:widowControl w:val="0"/>
              <w:jc w:val="center"/>
              <w:rPr>
                <w:b/>
                <w:szCs w:val="20"/>
                <w:highlight w:val="darkGray"/>
              </w:rPr>
            </w:pPr>
            <w:r w:rsidRPr="009B6C7C">
              <w:rPr>
                <w:rFonts w:hint="eastAsia"/>
                <w:b/>
                <w:color w:val="000000"/>
                <w:w w:val="23"/>
                <w:szCs w:val="20"/>
                <w:shd w:val="solid" w:color="000000" w:fill="000000"/>
                <w:fitText w:val="105" w:id="-1167951360"/>
                <w14:textFill>
                  <w14:solidFill>
                    <w14:srgbClr w14:val="000000">
                      <w14:alpha w14:val="100000"/>
                    </w14:srgbClr>
                  </w14:solidFill>
                </w14:textFill>
              </w:rPr>
              <w:t xml:space="preserve">　</w:t>
            </w:r>
            <w:r w:rsidRPr="009B6C7C">
              <w:rPr>
                <w:b/>
                <w:color w:val="000000"/>
                <w:w w:val="23"/>
                <w:szCs w:val="20"/>
                <w:shd w:val="solid" w:color="000000" w:fill="000000"/>
                <w:fitText w:val="105" w:id="-1167951360"/>
                <w14:textFill>
                  <w14:solidFill>
                    <w14:srgbClr w14:val="000000">
                      <w14:alpha w14:val="100000"/>
                    </w14:srgbClr>
                  </w14:solidFill>
                </w14:textFill>
              </w:rPr>
              <w:t>|</w:t>
            </w:r>
            <w:r w:rsidRPr="009B6C7C">
              <w:rPr>
                <w:rFonts w:hint="eastAsia"/>
                <w:b/>
                <w:color w:val="000000"/>
                <w:spacing w:val="3"/>
                <w:w w:val="23"/>
                <w:szCs w:val="20"/>
                <w:shd w:val="solid" w:color="000000" w:fill="000000"/>
                <w:fitText w:val="105" w:id="-1167951360"/>
                <w14:textFill>
                  <w14:solidFill>
                    <w14:srgbClr w14:val="000000">
                      <w14:alpha w14:val="100000"/>
                    </w14:srgbClr>
                  </w14:solidFill>
                </w14:textFill>
              </w:rPr>
              <w:t xml:space="preserve">　</w:t>
            </w:r>
            <w:r>
              <w:rPr>
                <w:vertAlign w:val="superscript"/>
              </w:rPr>
              <w:t>8</w:t>
            </w:r>
          </w:p>
        </w:tc>
        <w:tc>
          <w:tcPr>
            <w:tcW w:w="498" w:type="pct"/>
            <w:tcBorders>
              <w:top w:val="dashSmallGap" w:sz="4" w:space="0" w:color="auto"/>
            </w:tcBorders>
          </w:tcPr>
          <w:p w14:paraId="1264495B" w14:textId="77777777" w:rsidR="009B6C7C" w:rsidRPr="00F10823" w:rsidRDefault="009B6C7C" w:rsidP="00EB50C9">
            <w:pPr>
              <w:pStyle w:val="TableText0"/>
              <w:keepNext w:val="0"/>
              <w:widowControl w:val="0"/>
              <w:jc w:val="center"/>
              <w:rPr>
                <w:b/>
                <w:szCs w:val="20"/>
                <w:highlight w:val="darkGray"/>
              </w:rPr>
            </w:pPr>
            <w:r w:rsidRPr="009B6C7C">
              <w:rPr>
                <w:rFonts w:hint="eastAsia"/>
                <w:b/>
                <w:color w:val="000000"/>
                <w:w w:val="23"/>
                <w:szCs w:val="20"/>
                <w:shd w:val="solid" w:color="000000" w:fill="000000"/>
                <w:fitText w:val="105" w:id="-1167951359"/>
                <w14:textFill>
                  <w14:solidFill>
                    <w14:srgbClr w14:val="000000">
                      <w14:alpha w14:val="100000"/>
                    </w14:srgbClr>
                  </w14:solidFill>
                </w14:textFill>
              </w:rPr>
              <w:t xml:space="preserve">　</w:t>
            </w:r>
            <w:r w:rsidRPr="009B6C7C">
              <w:rPr>
                <w:b/>
                <w:color w:val="000000"/>
                <w:w w:val="23"/>
                <w:szCs w:val="20"/>
                <w:shd w:val="solid" w:color="000000" w:fill="000000"/>
                <w:fitText w:val="105" w:id="-1167951359"/>
                <w14:textFill>
                  <w14:solidFill>
                    <w14:srgbClr w14:val="000000">
                      <w14:alpha w14:val="100000"/>
                    </w14:srgbClr>
                  </w14:solidFill>
                </w14:textFill>
              </w:rPr>
              <w:t>|</w:t>
            </w:r>
            <w:r w:rsidRPr="009B6C7C">
              <w:rPr>
                <w:rFonts w:hint="eastAsia"/>
                <w:b/>
                <w:color w:val="000000"/>
                <w:spacing w:val="3"/>
                <w:w w:val="23"/>
                <w:szCs w:val="20"/>
                <w:shd w:val="solid" w:color="000000" w:fill="000000"/>
                <w:fitText w:val="105" w:id="-1167951359"/>
                <w14:textFill>
                  <w14:solidFill>
                    <w14:srgbClr w14:val="000000">
                      <w14:alpha w14:val="100000"/>
                    </w14:srgbClr>
                  </w14:solidFill>
                </w14:textFill>
              </w:rPr>
              <w:t xml:space="preserve">　</w:t>
            </w:r>
            <w:r>
              <w:rPr>
                <w:vertAlign w:val="superscript"/>
              </w:rPr>
              <w:t>8</w:t>
            </w:r>
          </w:p>
        </w:tc>
      </w:tr>
    </w:tbl>
    <w:p w14:paraId="2A8B7DA4" w14:textId="4C63FC19" w:rsidR="000624AF" w:rsidRDefault="000624AF" w:rsidP="00EB50C9">
      <w:pPr>
        <w:pStyle w:val="FooterTableFigure"/>
        <w:widowControl w:val="0"/>
      </w:pPr>
      <w:r w:rsidRPr="00E74297">
        <w:t>Source: Constructed during the evaluation from Section 4 of the submission; and from the ‘Attachment 12 Trodelvy HRHER2 mBC Financial Model.xlsx’ workbook.</w:t>
      </w:r>
    </w:p>
    <w:p w14:paraId="34BFFA0B" w14:textId="2B2DE392" w:rsidR="00E64F0F" w:rsidRPr="00E74297" w:rsidRDefault="00D0558C" w:rsidP="00EB50C9">
      <w:pPr>
        <w:pStyle w:val="FooterTableFigure"/>
        <w:widowControl w:val="0"/>
        <w:rPr>
          <w:rStyle w:val="CommentReference"/>
        </w:rPr>
      </w:pPr>
      <w:r>
        <w:t>eBC = early breast cancer</w:t>
      </w:r>
    </w:p>
    <w:p w14:paraId="445FD91E" w14:textId="77777777" w:rsidR="000624AF" w:rsidRPr="00E74297" w:rsidRDefault="000624AF" w:rsidP="00EB50C9">
      <w:pPr>
        <w:pStyle w:val="FooterTableFigure"/>
        <w:widowControl w:val="0"/>
      </w:pPr>
      <w:r w:rsidRPr="00E74297">
        <w:rPr>
          <w:vertAlign w:val="superscript"/>
        </w:rPr>
        <w:t xml:space="preserve">a </w:t>
      </w:r>
      <w:r w:rsidRPr="00E74297">
        <w:t>4.6% Stage IV + 12.1% [Stage III] × 20.0% [inoperable]</w:t>
      </w:r>
    </w:p>
    <w:p w14:paraId="2C191F64" w14:textId="77777777" w:rsidR="000624AF" w:rsidRPr="00E74297" w:rsidRDefault="000624AF" w:rsidP="00EB50C9">
      <w:pPr>
        <w:pStyle w:val="FooterTableFigure"/>
        <w:widowControl w:val="0"/>
      </w:pPr>
      <w:r w:rsidRPr="00E74297">
        <w:rPr>
          <w:vertAlign w:val="superscript"/>
        </w:rPr>
        <w:t>b</w:t>
      </w:r>
      <w:r w:rsidRPr="00E74297">
        <w:t xml:space="preserve"> 83.3% Stage I−II + 12.1% [Stage III] × 80.0% [operable]</w:t>
      </w:r>
    </w:p>
    <w:p w14:paraId="5AD6060F" w14:textId="77777777" w:rsidR="000624AF" w:rsidRPr="00E74297" w:rsidRDefault="000624AF" w:rsidP="00EB50C9">
      <w:pPr>
        <w:pStyle w:val="FooterTableFigure"/>
        <w:widowControl w:val="0"/>
      </w:pPr>
      <w:r w:rsidRPr="00E74297">
        <w:rPr>
          <w:vertAlign w:val="superscript"/>
        </w:rPr>
        <w:t>c</w:t>
      </w:r>
      <w:r w:rsidRPr="00E74297">
        <w:t xml:space="preserve"> Average duration of treatment is estimated to be 6.08 months, which is equivalent to 8.81 21-day treatment cycles (i.e. 6.08 × 365.25/12/21). As SG is administered on days 1 and 8 of each treatment cycle, two scripts per treatment cycle are required (17.62 scripts, i.e. 8.81 × 2). After assuming 70% compliance, the average number of scripts per patient treated is 12.3 (i.e. 17.62 × 70%).</w:t>
      </w:r>
    </w:p>
    <w:p w14:paraId="5FB35945" w14:textId="77777777" w:rsidR="000624AF" w:rsidRPr="00E74297" w:rsidRDefault="000624AF" w:rsidP="00EB50C9">
      <w:pPr>
        <w:pStyle w:val="FooterTableFigure"/>
        <w:widowControl w:val="0"/>
      </w:pPr>
      <w:r w:rsidRPr="00E74297">
        <w:rPr>
          <w:vertAlign w:val="superscript"/>
        </w:rPr>
        <w:t>d</w:t>
      </w:r>
      <w:r w:rsidRPr="00E74297">
        <w:t xml:space="preserve"> 50.7% (i.e. 6.08/12) × 12.3</w:t>
      </w:r>
    </w:p>
    <w:p w14:paraId="7E749483" w14:textId="74DFAADC" w:rsidR="000624AF" w:rsidRPr="00E74297" w:rsidRDefault="000624AF" w:rsidP="00EB50C9">
      <w:pPr>
        <w:pStyle w:val="FooterTableFigure"/>
        <w:widowControl w:val="0"/>
      </w:pPr>
      <w:r w:rsidRPr="00E74297">
        <w:rPr>
          <w:vertAlign w:val="superscript"/>
        </w:rPr>
        <w:t>e</w:t>
      </w:r>
      <w:r w:rsidRPr="00E74297">
        <w:t xml:space="preserve"> 71.8% × $</w:t>
      </w:r>
      <w:r w:rsidR="006F55C1" w:rsidRPr="00057A97">
        <w:rPr>
          <w:color w:val="000000"/>
          <w:spacing w:val="35"/>
          <w:shd w:val="solid" w:color="000000" w:fill="000000"/>
          <w:fitText w:val="265" w:id="-1168281855"/>
          <w14:textFill>
            <w14:solidFill>
              <w14:srgbClr w14:val="000000">
                <w14:alpha w14:val="100000"/>
              </w14:srgbClr>
            </w14:solidFill>
          </w14:textFill>
        </w:rPr>
        <w:t xml:space="preserve">|  </w:t>
      </w:r>
      <w:r w:rsidR="006F55C1" w:rsidRPr="00057A97">
        <w:rPr>
          <w:color w:val="000000"/>
          <w:spacing w:val="2"/>
          <w:shd w:val="solid" w:color="000000" w:fill="000000"/>
          <w:fitText w:val="265" w:id="-1168281855"/>
          <w14:textFill>
            <w14:solidFill>
              <w14:srgbClr w14:val="000000">
                <w14:alpha w14:val="100000"/>
              </w14:srgbClr>
            </w14:solidFill>
          </w14:textFill>
        </w:rPr>
        <w:t>|</w:t>
      </w:r>
      <w:r w:rsidRPr="00E74297">
        <w:t xml:space="preserve"> (private DPMA) + 28.2% × $</w:t>
      </w:r>
      <w:r w:rsidR="006F55C1" w:rsidRPr="00057A97">
        <w:rPr>
          <w:color w:val="000000"/>
          <w:spacing w:val="40"/>
          <w:shd w:val="solid" w:color="000000" w:fill="000000"/>
          <w:fitText w:val="280" w:id="-1168281854"/>
          <w14:textFill>
            <w14:solidFill>
              <w14:srgbClr w14:val="000000">
                <w14:alpha w14:val="100000"/>
              </w14:srgbClr>
            </w14:solidFill>
          </w14:textFill>
        </w:rPr>
        <w:t xml:space="preserve">|  </w:t>
      </w:r>
      <w:r w:rsidR="006F55C1" w:rsidRPr="00057A97">
        <w:rPr>
          <w:color w:val="000000"/>
          <w:spacing w:val="2"/>
          <w:shd w:val="solid" w:color="000000" w:fill="000000"/>
          <w:fitText w:val="280" w:id="-1168281854"/>
          <w14:textFill>
            <w14:solidFill>
              <w14:srgbClr w14:val="000000">
                <w14:alpha w14:val="100000"/>
              </w14:srgbClr>
            </w14:solidFill>
          </w14:textFill>
        </w:rPr>
        <w:t>|</w:t>
      </w:r>
      <w:r w:rsidRPr="00E74297">
        <w:t xml:space="preserve"> (public DPMA)</w:t>
      </w:r>
    </w:p>
    <w:p w14:paraId="59726DBC" w14:textId="10721ECA" w:rsidR="000624AF" w:rsidRPr="00E74297" w:rsidRDefault="000624AF" w:rsidP="00EB50C9">
      <w:pPr>
        <w:pStyle w:val="FooterTableFigure"/>
        <w:widowControl w:val="0"/>
      </w:pPr>
      <w:r w:rsidRPr="00E74297">
        <w:rPr>
          <w:vertAlign w:val="superscript"/>
        </w:rPr>
        <w:t>f</w:t>
      </w:r>
      <w:r w:rsidRPr="00E74297">
        <w:t xml:space="preserve"> The estimates were revised to apply 17.6 scripts per patient (adjusted for 70% RDI), apply the dispensed price for the average dose of </w:t>
      </w:r>
      <w:r w:rsidR="002F19B7" w:rsidRPr="00926F87">
        <w:t>$</w:t>
      </w:r>
      <w:r w:rsidR="006F55C1" w:rsidRPr="00057A97">
        <w:rPr>
          <w:color w:val="000000"/>
          <w:spacing w:val="40"/>
          <w:shd w:val="solid" w:color="000000" w:fill="000000"/>
          <w:fitText w:val="280" w:id="-1168281853"/>
          <w14:textFill>
            <w14:solidFill>
              <w14:srgbClr w14:val="000000">
                <w14:alpha w14:val="100000"/>
              </w14:srgbClr>
            </w14:solidFill>
          </w14:textFill>
        </w:rPr>
        <w:t xml:space="preserve">|  </w:t>
      </w:r>
      <w:r w:rsidR="006F55C1" w:rsidRPr="00057A97">
        <w:rPr>
          <w:color w:val="000000"/>
          <w:spacing w:val="2"/>
          <w:shd w:val="solid" w:color="000000" w:fill="000000"/>
          <w:fitText w:val="280" w:id="-1168281853"/>
          <w14:textFill>
            <w14:solidFill>
              <w14:srgbClr w14:val="000000">
                <w14:alpha w14:val="100000"/>
              </w14:srgbClr>
            </w14:solidFill>
          </w14:textFill>
        </w:rPr>
        <w:t>|</w:t>
      </w:r>
      <w:r w:rsidR="002F19B7" w:rsidRPr="00926F87">
        <w:t xml:space="preserve"> </w:t>
      </w:r>
      <w:r w:rsidR="00520147" w:rsidRPr="00926F87">
        <w:t>(inclu</w:t>
      </w:r>
      <w:r w:rsidR="001649A5" w:rsidRPr="00926F87">
        <w:t>des</w:t>
      </w:r>
      <w:r w:rsidR="00520147" w:rsidRPr="00E74297">
        <w:t xml:space="preserve"> of wastage) </w:t>
      </w:r>
      <w:r w:rsidRPr="00E74297">
        <w:t xml:space="preserve">and to apply two patient </w:t>
      </w:r>
      <w:r w:rsidR="00D0558C" w:rsidRPr="00E74297">
        <w:t>co-payments</w:t>
      </w:r>
      <w:r w:rsidRPr="00E74297">
        <w:t xml:space="preserve"> per patient.</w:t>
      </w:r>
    </w:p>
    <w:p w14:paraId="7917E9A4" w14:textId="77777777" w:rsidR="00EB50C9" w:rsidRDefault="000624AF" w:rsidP="00EB50C9">
      <w:pPr>
        <w:pStyle w:val="FooterTableFigure"/>
        <w:widowControl w:val="0"/>
      </w:pPr>
      <w:r w:rsidRPr="00E74297">
        <w:rPr>
          <w:vertAlign w:val="superscript"/>
        </w:rPr>
        <w:t>g</w:t>
      </w:r>
      <w:r w:rsidRPr="00E74297">
        <w:t xml:space="preserve"> The estimates were revised to estimate the correct number of scripts, the cost per script and the number of patient co-payments</w:t>
      </w:r>
    </w:p>
    <w:p w14:paraId="1255BF6A" w14:textId="75B4A3C9" w:rsidR="00F10823" w:rsidRPr="00227288" w:rsidRDefault="00F10823" w:rsidP="00EB50C9">
      <w:pPr>
        <w:pStyle w:val="FooterTableFigure"/>
        <w:widowControl w:val="0"/>
        <w:rPr>
          <w:i/>
          <w:iCs/>
        </w:rPr>
      </w:pPr>
      <w:r w:rsidRPr="00227288">
        <w:rPr>
          <w:i/>
          <w:iCs/>
        </w:rPr>
        <w:t>The redacted values correspond to the following ranges:</w:t>
      </w:r>
    </w:p>
    <w:p w14:paraId="2DFC55EC" w14:textId="04495E9F" w:rsidR="00F10823" w:rsidRPr="00227288" w:rsidRDefault="00F10823" w:rsidP="00EB50C9">
      <w:pPr>
        <w:pStyle w:val="FooterTableFigure"/>
        <w:widowControl w:val="0"/>
        <w:rPr>
          <w:i/>
          <w:iCs/>
        </w:rPr>
      </w:pPr>
      <w:r w:rsidRPr="00227288">
        <w:rPr>
          <w:i/>
          <w:iCs/>
          <w:vertAlign w:val="superscript"/>
        </w:rPr>
        <w:t>1</w:t>
      </w:r>
      <w:r w:rsidRPr="00227288">
        <w:rPr>
          <w:i/>
          <w:iCs/>
        </w:rPr>
        <w:t xml:space="preserve"> &gt; 10,000,000</w:t>
      </w:r>
    </w:p>
    <w:p w14:paraId="0DBFAC91" w14:textId="220C65FF" w:rsidR="00F10823" w:rsidRPr="00227288" w:rsidRDefault="00F10823" w:rsidP="00EB50C9">
      <w:pPr>
        <w:pStyle w:val="FooterTableFigure"/>
        <w:widowControl w:val="0"/>
        <w:rPr>
          <w:i/>
          <w:iCs/>
        </w:rPr>
      </w:pPr>
      <w:r w:rsidRPr="00227288">
        <w:rPr>
          <w:i/>
          <w:iCs/>
          <w:vertAlign w:val="superscript"/>
        </w:rPr>
        <w:t>2</w:t>
      </w:r>
      <w:r w:rsidRPr="00227288">
        <w:rPr>
          <w:i/>
          <w:iCs/>
        </w:rPr>
        <w:t xml:space="preserve"> 20,000 to &lt; 30,000</w:t>
      </w:r>
    </w:p>
    <w:p w14:paraId="57701668" w14:textId="0376BC77" w:rsidR="00F10823" w:rsidRPr="00227288" w:rsidRDefault="00F10823" w:rsidP="00EB50C9">
      <w:pPr>
        <w:pStyle w:val="FooterTableFigure"/>
        <w:widowControl w:val="0"/>
        <w:tabs>
          <w:tab w:val="left" w:pos="1891"/>
        </w:tabs>
        <w:rPr>
          <w:i/>
          <w:iCs/>
        </w:rPr>
      </w:pPr>
      <w:r w:rsidRPr="00227288">
        <w:rPr>
          <w:i/>
          <w:iCs/>
          <w:vertAlign w:val="superscript"/>
        </w:rPr>
        <w:t>3</w:t>
      </w:r>
      <w:r w:rsidRPr="00227288">
        <w:rPr>
          <w:i/>
          <w:iCs/>
        </w:rPr>
        <w:t xml:space="preserve"> 10,000 to &lt; 20,000</w:t>
      </w:r>
    </w:p>
    <w:p w14:paraId="7D28DBAC" w14:textId="0008DD4F" w:rsidR="00F10823" w:rsidRPr="00227288" w:rsidRDefault="00F10823" w:rsidP="00EB50C9">
      <w:pPr>
        <w:pStyle w:val="FooterTableFigure"/>
        <w:widowControl w:val="0"/>
        <w:tabs>
          <w:tab w:val="left" w:pos="1891"/>
        </w:tabs>
        <w:rPr>
          <w:i/>
          <w:iCs/>
        </w:rPr>
      </w:pPr>
      <w:r w:rsidRPr="00227288">
        <w:rPr>
          <w:i/>
          <w:iCs/>
          <w:vertAlign w:val="superscript"/>
        </w:rPr>
        <w:t>4</w:t>
      </w:r>
      <w:r w:rsidRPr="00227288">
        <w:rPr>
          <w:i/>
          <w:iCs/>
        </w:rPr>
        <w:t xml:space="preserve"> 500 to &lt; 5,000</w:t>
      </w:r>
    </w:p>
    <w:p w14:paraId="6F1EC53C" w14:textId="78464E59" w:rsidR="00F10823" w:rsidRPr="00227288" w:rsidRDefault="00F10823" w:rsidP="00EB50C9">
      <w:pPr>
        <w:pStyle w:val="FooterTableFigure"/>
        <w:widowControl w:val="0"/>
        <w:tabs>
          <w:tab w:val="left" w:pos="1891"/>
        </w:tabs>
        <w:rPr>
          <w:i/>
          <w:iCs/>
        </w:rPr>
      </w:pPr>
      <w:r w:rsidRPr="00227288">
        <w:rPr>
          <w:i/>
          <w:iCs/>
          <w:vertAlign w:val="superscript"/>
        </w:rPr>
        <w:t>5</w:t>
      </w:r>
      <w:r w:rsidRPr="00227288">
        <w:rPr>
          <w:i/>
          <w:iCs/>
        </w:rPr>
        <w:t xml:space="preserve"> 40,000 to &lt; 50,000</w:t>
      </w:r>
    </w:p>
    <w:p w14:paraId="3C38AC03" w14:textId="7C9207BF" w:rsidR="00F524DD" w:rsidRPr="00227288" w:rsidRDefault="00F524DD" w:rsidP="00EB50C9">
      <w:pPr>
        <w:pStyle w:val="FooterTableFigure"/>
        <w:widowControl w:val="0"/>
        <w:tabs>
          <w:tab w:val="left" w:pos="1891"/>
        </w:tabs>
        <w:rPr>
          <w:i/>
          <w:iCs/>
        </w:rPr>
      </w:pPr>
      <w:r w:rsidRPr="00227288">
        <w:rPr>
          <w:i/>
          <w:iCs/>
          <w:vertAlign w:val="superscript"/>
        </w:rPr>
        <w:t>6</w:t>
      </w:r>
      <w:r w:rsidRPr="00227288">
        <w:rPr>
          <w:i/>
          <w:iCs/>
        </w:rPr>
        <w:t xml:space="preserve"> 50,000 to &lt; 60,000</w:t>
      </w:r>
    </w:p>
    <w:p w14:paraId="0940214D" w14:textId="4648F8B0" w:rsidR="00F524DD" w:rsidRPr="00227288" w:rsidRDefault="00F524DD" w:rsidP="00EB50C9">
      <w:pPr>
        <w:pStyle w:val="FooterTableFigure"/>
        <w:widowControl w:val="0"/>
        <w:tabs>
          <w:tab w:val="left" w:pos="1891"/>
        </w:tabs>
        <w:rPr>
          <w:i/>
          <w:iCs/>
        </w:rPr>
      </w:pPr>
      <w:r w:rsidRPr="00227288">
        <w:rPr>
          <w:i/>
          <w:iCs/>
          <w:vertAlign w:val="superscript"/>
        </w:rPr>
        <w:t>7</w:t>
      </w:r>
      <w:r w:rsidRPr="00227288">
        <w:rPr>
          <w:i/>
          <w:iCs/>
        </w:rPr>
        <w:t xml:space="preserve"> $70 million to &lt; $80 million </w:t>
      </w:r>
    </w:p>
    <w:p w14:paraId="7879457C" w14:textId="31A8CA85" w:rsidR="00F524DD" w:rsidRPr="00227288" w:rsidRDefault="00F524DD" w:rsidP="00EB50C9">
      <w:pPr>
        <w:pStyle w:val="FooterTableFigure"/>
        <w:widowControl w:val="0"/>
        <w:tabs>
          <w:tab w:val="left" w:pos="1891"/>
        </w:tabs>
        <w:rPr>
          <w:i/>
          <w:iCs/>
        </w:rPr>
      </w:pPr>
      <w:r w:rsidRPr="00227288">
        <w:rPr>
          <w:i/>
          <w:iCs/>
          <w:vertAlign w:val="superscript"/>
        </w:rPr>
        <w:t>8</w:t>
      </w:r>
      <w:r w:rsidRPr="00227288">
        <w:rPr>
          <w:i/>
          <w:iCs/>
        </w:rPr>
        <w:t xml:space="preserve"> $80 million to &lt; $90 million</w:t>
      </w:r>
    </w:p>
    <w:p w14:paraId="336E127B" w14:textId="3765026F" w:rsidR="00F524DD" w:rsidRPr="00227288" w:rsidRDefault="00F524DD" w:rsidP="00EB50C9">
      <w:pPr>
        <w:pStyle w:val="FooterTableFigure"/>
        <w:widowControl w:val="0"/>
        <w:tabs>
          <w:tab w:val="left" w:pos="1891"/>
        </w:tabs>
        <w:rPr>
          <w:i/>
          <w:iCs/>
        </w:rPr>
      </w:pPr>
      <w:r w:rsidRPr="00227288">
        <w:rPr>
          <w:i/>
          <w:iCs/>
          <w:vertAlign w:val="superscript"/>
        </w:rPr>
        <w:t>9</w:t>
      </w:r>
      <w:r w:rsidRPr="00227288">
        <w:rPr>
          <w:i/>
          <w:iCs/>
        </w:rPr>
        <w:t xml:space="preserve"> $90 million to &lt; $100 million</w:t>
      </w:r>
    </w:p>
    <w:p w14:paraId="391B39C3" w14:textId="08876BCC" w:rsidR="00F524DD" w:rsidRPr="00227288" w:rsidRDefault="00F524DD" w:rsidP="00EB50C9">
      <w:pPr>
        <w:pStyle w:val="FooterTableFigure"/>
        <w:widowControl w:val="0"/>
        <w:tabs>
          <w:tab w:val="left" w:pos="1891"/>
        </w:tabs>
        <w:rPr>
          <w:i/>
          <w:iCs/>
        </w:rPr>
      </w:pPr>
      <w:r w:rsidRPr="00227288">
        <w:rPr>
          <w:i/>
          <w:iCs/>
          <w:vertAlign w:val="superscript"/>
        </w:rPr>
        <w:t>10</w:t>
      </w:r>
      <w:r w:rsidRPr="00227288">
        <w:rPr>
          <w:i/>
          <w:iCs/>
        </w:rPr>
        <w:t xml:space="preserve"> $0 to &lt; $10 million</w:t>
      </w:r>
    </w:p>
    <w:p w14:paraId="4E3F2329" w14:textId="05511C4E" w:rsidR="00F524DD" w:rsidRPr="00227288" w:rsidRDefault="00F524DD" w:rsidP="00EB50C9">
      <w:pPr>
        <w:pStyle w:val="FooterTableFigure"/>
        <w:widowControl w:val="0"/>
        <w:tabs>
          <w:tab w:val="left" w:pos="1891"/>
        </w:tabs>
        <w:rPr>
          <w:i/>
          <w:iCs/>
        </w:rPr>
      </w:pPr>
      <w:r w:rsidRPr="00227288">
        <w:rPr>
          <w:i/>
          <w:iCs/>
          <w:vertAlign w:val="superscript"/>
        </w:rPr>
        <w:t>11</w:t>
      </w:r>
      <w:r w:rsidRPr="00227288">
        <w:rPr>
          <w:i/>
          <w:iCs/>
        </w:rPr>
        <w:t xml:space="preserve"> $10 million to &lt; $20 million</w:t>
      </w:r>
    </w:p>
    <w:p w14:paraId="58CDDDE7" w14:textId="562E5425" w:rsidR="006F55C1" w:rsidRDefault="00F524DD" w:rsidP="00EB50C9">
      <w:pPr>
        <w:pStyle w:val="FooterTableFigure"/>
        <w:tabs>
          <w:tab w:val="left" w:pos="1891"/>
        </w:tabs>
        <w:rPr>
          <w:rStyle w:val="CommentReference"/>
          <w:b w:val="0"/>
          <w:szCs w:val="24"/>
        </w:rPr>
      </w:pPr>
      <w:r w:rsidRPr="00227288">
        <w:rPr>
          <w:i/>
          <w:iCs/>
          <w:vertAlign w:val="superscript"/>
        </w:rPr>
        <w:t>12</w:t>
      </w:r>
      <w:r w:rsidRPr="00227288">
        <w:rPr>
          <w:i/>
          <w:iCs/>
        </w:rPr>
        <w:t xml:space="preserve"> $60 million to &lt; $70 million</w:t>
      </w:r>
      <w:bookmarkStart w:id="89" w:name="_Ref137291301"/>
    </w:p>
    <w:p w14:paraId="2B41B979" w14:textId="5328A1A3" w:rsidR="00E2343C" w:rsidRPr="00E74297" w:rsidRDefault="00E2343C" w:rsidP="00E2343C">
      <w:pPr>
        <w:pStyle w:val="Caption"/>
        <w:rPr>
          <w:szCs w:val="24"/>
        </w:rPr>
      </w:pPr>
      <w:r w:rsidRPr="00E74297">
        <w:rPr>
          <w:rStyle w:val="CommentReference"/>
          <w:b/>
          <w:szCs w:val="24"/>
        </w:rPr>
        <w:lastRenderedPageBreak/>
        <w:t xml:space="preserve">Table </w:t>
      </w:r>
      <w:r w:rsidRPr="00E74297">
        <w:rPr>
          <w:rStyle w:val="CommentReference"/>
          <w:b/>
          <w:szCs w:val="24"/>
        </w:rPr>
        <w:fldChar w:fldCharType="begin" w:fldLock="1"/>
      </w:r>
      <w:r w:rsidRPr="00E74297">
        <w:rPr>
          <w:rStyle w:val="CommentReference"/>
          <w:b/>
          <w:szCs w:val="24"/>
        </w:rPr>
        <w:instrText xml:space="preserve"> SEQ Table \* ARABIC </w:instrText>
      </w:r>
      <w:r w:rsidRPr="00E74297">
        <w:rPr>
          <w:rStyle w:val="CommentReference"/>
          <w:b/>
          <w:szCs w:val="24"/>
        </w:rPr>
        <w:fldChar w:fldCharType="separate"/>
      </w:r>
      <w:r w:rsidR="00AE1DC7" w:rsidRPr="00E74297">
        <w:rPr>
          <w:rStyle w:val="CommentReference"/>
          <w:b/>
          <w:szCs w:val="24"/>
        </w:rPr>
        <w:t>17</w:t>
      </w:r>
      <w:r w:rsidRPr="00E74297">
        <w:rPr>
          <w:rStyle w:val="CommentReference"/>
          <w:b/>
          <w:szCs w:val="24"/>
        </w:rPr>
        <w:fldChar w:fldCharType="end"/>
      </w:r>
      <w:bookmarkEnd w:id="89"/>
      <w:r w:rsidRPr="00E74297">
        <w:rPr>
          <w:rStyle w:val="CommentReference"/>
          <w:b/>
          <w:szCs w:val="24"/>
        </w:rPr>
        <w:t>: Revised estimated use and financial implications</w:t>
      </w:r>
    </w:p>
    <w:tbl>
      <w:tblPr>
        <w:tblStyle w:val="TableGrid"/>
        <w:tblW w:w="5037" w:type="pct"/>
        <w:tblCellMar>
          <w:left w:w="57" w:type="dxa"/>
          <w:right w:w="57" w:type="dxa"/>
        </w:tblCellMar>
        <w:tblLook w:val="04A0" w:firstRow="1" w:lastRow="0" w:firstColumn="1" w:lastColumn="0" w:noHBand="0" w:noVBand="1"/>
      </w:tblPr>
      <w:tblGrid>
        <w:gridCol w:w="3346"/>
        <w:gridCol w:w="969"/>
        <w:gridCol w:w="962"/>
        <w:gridCol w:w="959"/>
        <w:gridCol w:w="957"/>
        <w:gridCol w:w="957"/>
        <w:gridCol w:w="934"/>
      </w:tblGrid>
      <w:tr w:rsidR="00FA1535" w:rsidRPr="00E74297" w14:paraId="4D6055AF" w14:textId="77777777" w:rsidTr="00FA1535">
        <w:tc>
          <w:tcPr>
            <w:tcW w:w="1841" w:type="pct"/>
            <w:shd w:val="clear" w:color="auto" w:fill="auto"/>
          </w:tcPr>
          <w:p w14:paraId="13751753" w14:textId="77777777" w:rsidR="00E2343C" w:rsidRPr="00E74297" w:rsidRDefault="00E2343C" w:rsidP="00EA2DE8">
            <w:pPr>
              <w:pStyle w:val="In-tableHeading"/>
              <w:snapToGrid w:val="0"/>
              <w:rPr>
                <w:rFonts w:cstheme="minorHAnsi"/>
                <w:szCs w:val="20"/>
                <w:lang w:val="en-AU"/>
              </w:rPr>
            </w:pPr>
          </w:p>
        </w:tc>
        <w:tc>
          <w:tcPr>
            <w:tcW w:w="533" w:type="pct"/>
            <w:shd w:val="clear" w:color="auto" w:fill="auto"/>
            <w:vAlign w:val="center"/>
          </w:tcPr>
          <w:p w14:paraId="0E0C8E24" w14:textId="77777777" w:rsidR="00E2343C" w:rsidRPr="00E74297" w:rsidRDefault="00E2343C" w:rsidP="00E2343C">
            <w:pPr>
              <w:pStyle w:val="In-tableHeading"/>
              <w:snapToGrid w:val="0"/>
              <w:jc w:val="center"/>
              <w:rPr>
                <w:rFonts w:cstheme="minorHAnsi"/>
                <w:szCs w:val="20"/>
                <w:lang w:val="en-AU"/>
              </w:rPr>
            </w:pPr>
            <w:r w:rsidRPr="00E74297">
              <w:rPr>
                <w:rFonts w:cstheme="minorHAnsi"/>
                <w:szCs w:val="20"/>
                <w:lang w:val="en-AU"/>
              </w:rPr>
              <w:t>2024</w:t>
            </w:r>
          </w:p>
        </w:tc>
        <w:tc>
          <w:tcPr>
            <w:tcW w:w="529" w:type="pct"/>
            <w:shd w:val="clear" w:color="auto" w:fill="auto"/>
            <w:vAlign w:val="center"/>
          </w:tcPr>
          <w:p w14:paraId="12B5BD65" w14:textId="77777777" w:rsidR="00E2343C" w:rsidRPr="00E74297" w:rsidRDefault="00E2343C" w:rsidP="00E2343C">
            <w:pPr>
              <w:pStyle w:val="In-tableHeading"/>
              <w:snapToGrid w:val="0"/>
              <w:jc w:val="center"/>
              <w:rPr>
                <w:rFonts w:cstheme="minorHAnsi"/>
                <w:szCs w:val="20"/>
                <w:lang w:val="en-AU"/>
              </w:rPr>
            </w:pPr>
            <w:r w:rsidRPr="00E74297">
              <w:rPr>
                <w:rFonts w:cstheme="minorHAnsi"/>
                <w:szCs w:val="20"/>
                <w:lang w:val="en-AU"/>
              </w:rPr>
              <w:t>2025</w:t>
            </w:r>
          </w:p>
        </w:tc>
        <w:tc>
          <w:tcPr>
            <w:tcW w:w="528" w:type="pct"/>
            <w:shd w:val="clear" w:color="auto" w:fill="auto"/>
            <w:vAlign w:val="center"/>
          </w:tcPr>
          <w:p w14:paraId="612F75A6" w14:textId="77777777" w:rsidR="00E2343C" w:rsidRPr="00E74297" w:rsidRDefault="00E2343C" w:rsidP="00E2343C">
            <w:pPr>
              <w:pStyle w:val="In-tableHeading"/>
              <w:snapToGrid w:val="0"/>
              <w:jc w:val="center"/>
              <w:rPr>
                <w:rFonts w:cstheme="minorHAnsi"/>
                <w:szCs w:val="20"/>
                <w:lang w:val="en-AU"/>
              </w:rPr>
            </w:pPr>
            <w:r w:rsidRPr="00E74297">
              <w:rPr>
                <w:rFonts w:cstheme="minorHAnsi"/>
                <w:szCs w:val="20"/>
                <w:lang w:val="en-AU"/>
              </w:rPr>
              <w:t>2026</w:t>
            </w:r>
          </w:p>
        </w:tc>
        <w:tc>
          <w:tcPr>
            <w:tcW w:w="527" w:type="pct"/>
            <w:shd w:val="clear" w:color="auto" w:fill="auto"/>
            <w:vAlign w:val="center"/>
          </w:tcPr>
          <w:p w14:paraId="74C156B7" w14:textId="77777777" w:rsidR="00E2343C" w:rsidRPr="00E74297" w:rsidRDefault="00E2343C" w:rsidP="00E2343C">
            <w:pPr>
              <w:pStyle w:val="In-tableHeading"/>
              <w:snapToGrid w:val="0"/>
              <w:jc w:val="center"/>
              <w:rPr>
                <w:rFonts w:cstheme="minorHAnsi"/>
                <w:szCs w:val="20"/>
                <w:lang w:val="en-AU"/>
              </w:rPr>
            </w:pPr>
            <w:r w:rsidRPr="00E74297">
              <w:rPr>
                <w:rFonts w:cstheme="minorHAnsi"/>
                <w:szCs w:val="20"/>
                <w:lang w:val="en-AU"/>
              </w:rPr>
              <w:t>2027</w:t>
            </w:r>
          </w:p>
        </w:tc>
        <w:tc>
          <w:tcPr>
            <w:tcW w:w="527" w:type="pct"/>
            <w:shd w:val="clear" w:color="auto" w:fill="auto"/>
            <w:vAlign w:val="center"/>
          </w:tcPr>
          <w:p w14:paraId="38289C86" w14:textId="77777777" w:rsidR="00E2343C" w:rsidRPr="00E74297" w:rsidRDefault="00E2343C" w:rsidP="00E2343C">
            <w:pPr>
              <w:pStyle w:val="In-tableHeading"/>
              <w:snapToGrid w:val="0"/>
              <w:jc w:val="center"/>
              <w:rPr>
                <w:rFonts w:cstheme="minorHAnsi"/>
                <w:szCs w:val="20"/>
                <w:lang w:val="en-AU"/>
              </w:rPr>
            </w:pPr>
            <w:r w:rsidRPr="00E74297">
              <w:rPr>
                <w:rFonts w:cstheme="minorHAnsi"/>
                <w:szCs w:val="20"/>
                <w:lang w:val="en-AU"/>
              </w:rPr>
              <w:t>2028</w:t>
            </w:r>
          </w:p>
        </w:tc>
        <w:tc>
          <w:tcPr>
            <w:tcW w:w="514" w:type="pct"/>
            <w:shd w:val="clear" w:color="auto" w:fill="auto"/>
            <w:vAlign w:val="center"/>
          </w:tcPr>
          <w:p w14:paraId="090985D8" w14:textId="77777777" w:rsidR="00E2343C" w:rsidRPr="00E74297" w:rsidRDefault="00E2343C" w:rsidP="00E2343C">
            <w:pPr>
              <w:pStyle w:val="In-tableHeading"/>
              <w:snapToGrid w:val="0"/>
              <w:jc w:val="center"/>
              <w:rPr>
                <w:rFonts w:cstheme="minorHAnsi"/>
                <w:szCs w:val="20"/>
                <w:lang w:val="en-AU"/>
              </w:rPr>
            </w:pPr>
            <w:r w:rsidRPr="00E74297">
              <w:rPr>
                <w:rFonts w:cstheme="minorHAnsi"/>
                <w:szCs w:val="20"/>
                <w:lang w:val="en-AU"/>
              </w:rPr>
              <w:t>2029</w:t>
            </w:r>
          </w:p>
        </w:tc>
      </w:tr>
      <w:tr w:rsidR="00FA1535" w:rsidRPr="00E74297" w14:paraId="470C4C67" w14:textId="77777777" w:rsidTr="00FA1535">
        <w:tc>
          <w:tcPr>
            <w:tcW w:w="1841" w:type="pct"/>
          </w:tcPr>
          <w:p w14:paraId="03C3E67B" w14:textId="47D25BB1" w:rsidR="00E2343C" w:rsidRPr="00E74297" w:rsidRDefault="00B676A7" w:rsidP="00EA2DE8">
            <w:pPr>
              <w:pStyle w:val="TableText0"/>
              <w:snapToGrid w:val="0"/>
              <w:rPr>
                <w:szCs w:val="20"/>
              </w:rPr>
            </w:pPr>
            <w:r w:rsidRPr="00E74297">
              <w:rPr>
                <w:szCs w:val="20"/>
              </w:rPr>
              <w:t>Total patients</w:t>
            </w:r>
          </w:p>
        </w:tc>
        <w:tc>
          <w:tcPr>
            <w:tcW w:w="533" w:type="pct"/>
            <w:vAlign w:val="center"/>
          </w:tcPr>
          <w:p w14:paraId="0D6DB03D" w14:textId="1C31E3DF"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60" w:id="-1168281852"/>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60" w:id="-1168281852"/>
                <w14:textFill>
                  <w14:solidFill>
                    <w14:srgbClr w14:val="000000">
                      <w14:alpha w14:val="100000"/>
                    </w14:srgbClr>
                  </w14:solidFill>
                </w14:textFill>
              </w:rPr>
              <w:t>|</w:t>
            </w:r>
            <w:r w:rsidRPr="001777F5">
              <w:rPr>
                <w:rFonts w:cstheme="minorHAnsi" w:hint="eastAsia"/>
                <w:color w:val="000000"/>
                <w:spacing w:val="-15"/>
                <w:w w:val="15"/>
                <w:szCs w:val="20"/>
                <w:shd w:val="solid" w:color="000000" w:fill="000000"/>
                <w:fitText w:val="60" w:id="-1168281852"/>
                <w14:textFill>
                  <w14:solidFill>
                    <w14:srgbClr w14:val="000000">
                      <w14:alpha w14:val="100000"/>
                    </w14:srgbClr>
                  </w14:solidFill>
                </w14:textFill>
              </w:rPr>
              <w:t xml:space="preserve">　</w:t>
            </w:r>
            <w:r w:rsidR="00227288">
              <w:rPr>
                <w:vertAlign w:val="superscript"/>
              </w:rPr>
              <w:t>1</w:t>
            </w:r>
          </w:p>
        </w:tc>
        <w:tc>
          <w:tcPr>
            <w:tcW w:w="529" w:type="pct"/>
            <w:vAlign w:val="center"/>
          </w:tcPr>
          <w:p w14:paraId="440EC670" w14:textId="7C3A89CF"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45" w:id="-1168281851"/>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45" w:id="-1168281851"/>
                <w14:textFill>
                  <w14:solidFill>
                    <w14:srgbClr w14:val="000000">
                      <w14:alpha w14:val="100000"/>
                    </w14:srgbClr>
                  </w14:solidFill>
                </w14:textFill>
              </w:rPr>
              <w:t>|</w:t>
            </w:r>
            <w:r w:rsidRPr="001777F5">
              <w:rPr>
                <w:rFonts w:cstheme="minorHAnsi" w:hint="eastAsia"/>
                <w:color w:val="000000"/>
                <w:spacing w:val="-30"/>
                <w:w w:val="15"/>
                <w:szCs w:val="20"/>
                <w:shd w:val="solid" w:color="000000" w:fill="000000"/>
                <w:fitText w:val="45" w:id="-1168281851"/>
                <w14:textFill>
                  <w14:solidFill>
                    <w14:srgbClr w14:val="000000">
                      <w14:alpha w14:val="100000"/>
                    </w14:srgbClr>
                  </w14:solidFill>
                </w14:textFill>
              </w:rPr>
              <w:t xml:space="preserve">　</w:t>
            </w:r>
            <w:r w:rsidR="00227288">
              <w:rPr>
                <w:vertAlign w:val="superscript"/>
              </w:rPr>
              <w:t>1</w:t>
            </w:r>
          </w:p>
        </w:tc>
        <w:tc>
          <w:tcPr>
            <w:tcW w:w="528" w:type="pct"/>
            <w:vAlign w:val="center"/>
          </w:tcPr>
          <w:p w14:paraId="05DF8BF6" w14:textId="67B479B5"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45" w:id="-1168281850"/>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45" w:id="-1168281850"/>
                <w14:textFill>
                  <w14:solidFill>
                    <w14:srgbClr w14:val="000000">
                      <w14:alpha w14:val="100000"/>
                    </w14:srgbClr>
                  </w14:solidFill>
                </w14:textFill>
              </w:rPr>
              <w:t>|</w:t>
            </w:r>
            <w:r w:rsidRPr="001777F5">
              <w:rPr>
                <w:rFonts w:cstheme="minorHAnsi" w:hint="eastAsia"/>
                <w:color w:val="000000"/>
                <w:spacing w:val="-30"/>
                <w:w w:val="15"/>
                <w:szCs w:val="20"/>
                <w:shd w:val="solid" w:color="000000" w:fill="000000"/>
                <w:fitText w:val="45" w:id="-1168281850"/>
                <w14:textFill>
                  <w14:solidFill>
                    <w14:srgbClr w14:val="000000">
                      <w14:alpha w14:val="100000"/>
                    </w14:srgbClr>
                  </w14:solidFill>
                </w14:textFill>
              </w:rPr>
              <w:t xml:space="preserve">　</w:t>
            </w:r>
            <w:r w:rsidR="00227288">
              <w:rPr>
                <w:vertAlign w:val="superscript"/>
              </w:rPr>
              <w:t>1</w:t>
            </w:r>
          </w:p>
        </w:tc>
        <w:tc>
          <w:tcPr>
            <w:tcW w:w="527" w:type="pct"/>
            <w:vAlign w:val="center"/>
          </w:tcPr>
          <w:p w14:paraId="6C09049A" w14:textId="6997591C" w:rsidR="00E2343C" w:rsidRPr="00227288" w:rsidRDefault="006F55C1" w:rsidP="00E2343C">
            <w:pPr>
              <w:pStyle w:val="TableText0"/>
              <w:snapToGrid w:val="0"/>
              <w:jc w:val="center"/>
              <w:rPr>
                <w:rFonts w:cstheme="minorHAnsi"/>
                <w:szCs w:val="20"/>
                <w:highlight w:val="darkGray"/>
              </w:rPr>
            </w:pPr>
            <w:r w:rsidRPr="00075DC2">
              <w:rPr>
                <w:rFonts w:cstheme="minorHAnsi" w:hint="eastAsia"/>
                <w:color w:val="000000"/>
                <w:w w:val="15"/>
                <w:szCs w:val="20"/>
                <w:shd w:val="solid" w:color="000000" w:fill="000000"/>
                <w:fitText w:val="15" w:id="-1168281849"/>
                <w14:textFill>
                  <w14:solidFill>
                    <w14:srgbClr w14:val="000000">
                      <w14:alpha w14:val="100000"/>
                    </w14:srgbClr>
                  </w14:solidFill>
                </w14:textFill>
              </w:rPr>
              <w:t xml:space="preserve">　</w:t>
            </w:r>
            <w:r w:rsidRPr="00075DC2">
              <w:rPr>
                <w:rFonts w:cstheme="minorHAnsi"/>
                <w:color w:val="000000"/>
                <w:w w:val="15"/>
                <w:szCs w:val="20"/>
                <w:shd w:val="solid" w:color="000000" w:fill="000000"/>
                <w:fitText w:val="15" w:id="-1168281849"/>
                <w14:textFill>
                  <w14:solidFill>
                    <w14:srgbClr w14:val="000000">
                      <w14:alpha w14:val="100000"/>
                    </w14:srgbClr>
                  </w14:solidFill>
                </w14:textFill>
              </w:rPr>
              <w:t>|</w:t>
            </w:r>
            <w:r w:rsidRPr="00075DC2">
              <w:rPr>
                <w:rFonts w:cstheme="minorHAnsi" w:hint="eastAsia"/>
                <w:color w:val="000000"/>
                <w:spacing w:val="-50"/>
                <w:w w:val="15"/>
                <w:szCs w:val="20"/>
                <w:shd w:val="solid" w:color="000000" w:fill="000000"/>
                <w:fitText w:val="15" w:id="-1168281849"/>
                <w14:textFill>
                  <w14:solidFill>
                    <w14:srgbClr w14:val="000000">
                      <w14:alpha w14:val="100000"/>
                    </w14:srgbClr>
                  </w14:solidFill>
                </w14:textFill>
              </w:rPr>
              <w:t xml:space="preserve">　</w:t>
            </w:r>
            <w:r w:rsidR="00227288">
              <w:rPr>
                <w:vertAlign w:val="superscript"/>
              </w:rPr>
              <w:t>1</w:t>
            </w:r>
          </w:p>
        </w:tc>
        <w:tc>
          <w:tcPr>
            <w:tcW w:w="527" w:type="pct"/>
            <w:vAlign w:val="center"/>
          </w:tcPr>
          <w:p w14:paraId="3102768A" w14:textId="6009E434" w:rsidR="00E2343C" w:rsidRPr="00227288" w:rsidRDefault="006F55C1" w:rsidP="00E2343C">
            <w:pPr>
              <w:pStyle w:val="TableText0"/>
              <w:snapToGrid w:val="0"/>
              <w:jc w:val="center"/>
              <w:rPr>
                <w:rFonts w:cstheme="minorHAnsi"/>
                <w:szCs w:val="20"/>
                <w:highlight w:val="darkGray"/>
              </w:rPr>
            </w:pPr>
            <w:r w:rsidRPr="006F55C1">
              <w:rPr>
                <w:rFonts w:cstheme="minorHAnsi"/>
                <w:color w:val="000000"/>
                <w:szCs w:val="20"/>
                <w:shd w:val="solid" w:color="000000" w:fill="000000"/>
                <w14:textFill>
                  <w14:solidFill>
                    <w14:srgbClr w14:val="000000">
                      <w14:alpha w14:val="100000"/>
                    </w14:srgbClr>
                  </w14:solidFill>
                </w14:textFill>
              </w:rPr>
              <w:t>|</w:t>
            </w:r>
            <w:r w:rsidR="00227288">
              <w:rPr>
                <w:vertAlign w:val="superscript"/>
              </w:rPr>
              <w:t>1</w:t>
            </w:r>
          </w:p>
        </w:tc>
        <w:tc>
          <w:tcPr>
            <w:tcW w:w="514" w:type="pct"/>
            <w:vAlign w:val="center"/>
          </w:tcPr>
          <w:p w14:paraId="468A69DE" w14:textId="2FE90AFC"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30" w:id="-1168281848"/>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30" w:id="-1168281848"/>
                <w14:textFill>
                  <w14:solidFill>
                    <w14:srgbClr w14:val="000000">
                      <w14:alpha w14:val="100000"/>
                    </w14:srgbClr>
                  </w14:solidFill>
                </w14:textFill>
              </w:rPr>
              <w:t>|</w:t>
            </w:r>
            <w:r w:rsidRPr="001777F5">
              <w:rPr>
                <w:rFonts w:cstheme="minorHAnsi" w:hint="eastAsia"/>
                <w:color w:val="000000"/>
                <w:spacing w:val="-45"/>
                <w:w w:val="15"/>
                <w:szCs w:val="20"/>
                <w:shd w:val="solid" w:color="000000" w:fill="000000"/>
                <w:fitText w:val="30" w:id="-1168281848"/>
                <w14:textFill>
                  <w14:solidFill>
                    <w14:srgbClr w14:val="000000">
                      <w14:alpha w14:val="100000"/>
                    </w14:srgbClr>
                  </w14:solidFill>
                </w14:textFill>
              </w:rPr>
              <w:t xml:space="preserve">　</w:t>
            </w:r>
            <w:r w:rsidR="00227288">
              <w:rPr>
                <w:vertAlign w:val="superscript"/>
              </w:rPr>
              <w:t>1</w:t>
            </w:r>
          </w:p>
        </w:tc>
      </w:tr>
      <w:tr w:rsidR="00FA1535" w:rsidRPr="00E74297" w14:paraId="25DC50A4" w14:textId="77777777" w:rsidTr="00FA1535">
        <w:tc>
          <w:tcPr>
            <w:tcW w:w="1841" w:type="pct"/>
            <w:tcBorders>
              <w:bottom w:val="single" w:sz="4" w:space="0" w:color="auto"/>
            </w:tcBorders>
          </w:tcPr>
          <w:p w14:paraId="49B28573" w14:textId="6C3D8CC1" w:rsidR="00E2343C" w:rsidRPr="00E74297" w:rsidRDefault="00E2343C" w:rsidP="00EA2DE8">
            <w:pPr>
              <w:pStyle w:val="TableText0"/>
              <w:snapToGrid w:val="0"/>
              <w:rPr>
                <w:rFonts w:cstheme="minorHAnsi"/>
                <w:szCs w:val="20"/>
              </w:rPr>
            </w:pPr>
            <w:r w:rsidRPr="00E74297">
              <w:rPr>
                <w:szCs w:val="20"/>
              </w:rPr>
              <w:t xml:space="preserve">No. scripts </w:t>
            </w:r>
            <w:r w:rsidRPr="00E74297">
              <w:rPr>
                <w:rFonts w:cstheme="minorHAnsi"/>
                <w:szCs w:val="20"/>
              </w:rPr>
              <w:t>(17.64 per pt)</w:t>
            </w:r>
          </w:p>
        </w:tc>
        <w:tc>
          <w:tcPr>
            <w:tcW w:w="533" w:type="pct"/>
            <w:tcBorders>
              <w:bottom w:val="single" w:sz="4" w:space="0" w:color="auto"/>
            </w:tcBorders>
            <w:vAlign w:val="center"/>
          </w:tcPr>
          <w:p w14:paraId="60B65887" w14:textId="36C4175E"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60" w:id="-1168281847"/>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60" w:id="-1168281847"/>
                <w14:textFill>
                  <w14:solidFill>
                    <w14:srgbClr w14:val="000000">
                      <w14:alpha w14:val="100000"/>
                    </w14:srgbClr>
                  </w14:solidFill>
                </w14:textFill>
              </w:rPr>
              <w:t>|</w:t>
            </w:r>
            <w:r w:rsidRPr="001777F5">
              <w:rPr>
                <w:rFonts w:cstheme="minorHAnsi" w:hint="eastAsia"/>
                <w:color w:val="000000"/>
                <w:spacing w:val="-15"/>
                <w:w w:val="15"/>
                <w:szCs w:val="20"/>
                <w:shd w:val="solid" w:color="000000" w:fill="000000"/>
                <w:fitText w:val="60" w:id="-1168281847"/>
                <w14:textFill>
                  <w14:solidFill>
                    <w14:srgbClr w14:val="000000">
                      <w14:alpha w14:val="100000"/>
                    </w14:srgbClr>
                  </w14:solidFill>
                </w14:textFill>
              </w:rPr>
              <w:t xml:space="preserve">　</w:t>
            </w:r>
            <w:r w:rsidR="00227288">
              <w:rPr>
                <w:vertAlign w:val="superscript"/>
              </w:rPr>
              <w:t>2</w:t>
            </w:r>
          </w:p>
        </w:tc>
        <w:tc>
          <w:tcPr>
            <w:tcW w:w="529" w:type="pct"/>
            <w:tcBorders>
              <w:bottom w:val="single" w:sz="4" w:space="0" w:color="auto"/>
            </w:tcBorders>
            <w:vAlign w:val="center"/>
          </w:tcPr>
          <w:p w14:paraId="4E6F2562" w14:textId="21743377"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45" w:id="-1168281846"/>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45" w:id="-1168281846"/>
                <w14:textFill>
                  <w14:solidFill>
                    <w14:srgbClr w14:val="000000">
                      <w14:alpha w14:val="100000"/>
                    </w14:srgbClr>
                  </w14:solidFill>
                </w14:textFill>
              </w:rPr>
              <w:t>|</w:t>
            </w:r>
            <w:r w:rsidRPr="001777F5">
              <w:rPr>
                <w:rFonts w:cstheme="minorHAnsi" w:hint="eastAsia"/>
                <w:color w:val="000000"/>
                <w:spacing w:val="-30"/>
                <w:w w:val="15"/>
                <w:szCs w:val="20"/>
                <w:shd w:val="solid" w:color="000000" w:fill="000000"/>
                <w:fitText w:val="45" w:id="-1168281846"/>
                <w14:textFill>
                  <w14:solidFill>
                    <w14:srgbClr w14:val="000000">
                      <w14:alpha w14:val="100000"/>
                    </w14:srgbClr>
                  </w14:solidFill>
                </w14:textFill>
              </w:rPr>
              <w:t xml:space="preserve">　</w:t>
            </w:r>
            <w:r w:rsidR="00227288">
              <w:rPr>
                <w:vertAlign w:val="superscript"/>
              </w:rPr>
              <w:t>3</w:t>
            </w:r>
          </w:p>
        </w:tc>
        <w:tc>
          <w:tcPr>
            <w:tcW w:w="528" w:type="pct"/>
            <w:tcBorders>
              <w:bottom w:val="single" w:sz="4" w:space="0" w:color="auto"/>
            </w:tcBorders>
            <w:vAlign w:val="center"/>
          </w:tcPr>
          <w:p w14:paraId="18FA017D" w14:textId="1D3CD390"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45" w:id="-1168281845"/>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45" w:id="-1168281845"/>
                <w14:textFill>
                  <w14:solidFill>
                    <w14:srgbClr w14:val="000000">
                      <w14:alpha w14:val="100000"/>
                    </w14:srgbClr>
                  </w14:solidFill>
                </w14:textFill>
              </w:rPr>
              <w:t>|</w:t>
            </w:r>
            <w:r w:rsidRPr="001777F5">
              <w:rPr>
                <w:rFonts w:cstheme="minorHAnsi" w:hint="eastAsia"/>
                <w:color w:val="000000"/>
                <w:spacing w:val="-30"/>
                <w:w w:val="15"/>
                <w:szCs w:val="20"/>
                <w:shd w:val="solid" w:color="000000" w:fill="000000"/>
                <w:fitText w:val="45" w:id="-1168281845"/>
                <w14:textFill>
                  <w14:solidFill>
                    <w14:srgbClr w14:val="000000">
                      <w14:alpha w14:val="100000"/>
                    </w14:srgbClr>
                  </w14:solidFill>
                </w14:textFill>
              </w:rPr>
              <w:t xml:space="preserve">　</w:t>
            </w:r>
            <w:r w:rsidR="00227288">
              <w:rPr>
                <w:vertAlign w:val="superscript"/>
              </w:rPr>
              <w:t>3</w:t>
            </w:r>
          </w:p>
        </w:tc>
        <w:tc>
          <w:tcPr>
            <w:tcW w:w="527" w:type="pct"/>
            <w:tcBorders>
              <w:bottom w:val="single" w:sz="4" w:space="0" w:color="auto"/>
            </w:tcBorders>
            <w:vAlign w:val="center"/>
          </w:tcPr>
          <w:p w14:paraId="4A17C691" w14:textId="5EB13992" w:rsidR="00E2343C" w:rsidRPr="00227288" w:rsidRDefault="006F55C1" w:rsidP="00E2343C">
            <w:pPr>
              <w:pStyle w:val="TableText0"/>
              <w:snapToGrid w:val="0"/>
              <w:jc w:val="center"/>
              <w:rPr>
                <w:rFonts w:cstheme="minorHAnsi"/>
                <w:szCs w:val="20"/>
                <w:highlight w:val="darkGray"/>
              </w:rPr>
            </w:pPr>
            <w:r w:rsidRPr="00075DC2">
              <w:rPr>
                <w:rFonts w:cstheme="minorHAnsi" w:hint="eastAsia"/>
                <w:color w:val="000000"/>
                <w:w w:val="15"/>
                <w:szCs w:val="20"/>
                <w:shd w:val="solid" w:color="000000" w:fill="000000"/>
                <w:fitText w:val="15" w:id="-1168281844"/>
                <w14:textFill>
                  <w14:solidFill>
                    <w14:srgbClr w14:val="000000">
                      <w14:alpha w14:val="100000"/>
                    </w14:srgbClr>
                  </w14:solidFill>
                </w14:textFill>
              </w:rPr>
              <w:t xml:space="preserve">　</w:t>
            </w:r>
            <w:r w:rsidRPr="00075DC2">
              <w:rPr>
                <w:rFonts w:cstheme="minorHAnsi"/>
                <w:color w:val="000000"/>
                <w:w w:val="15"/>
                <w:szCs w:val="20"/>
                <w:shd w:val="solid" w:color="000000" w:fill="000000"/>
                <w:fitText w:val="15" w:id="-1168281844"/>
                <w14:textFill>
                  <w14:solidFill>
                    <w14:srgbClr w14:val="000000">
                      <w14:alpha w14:val="100000"/>
                    </w14:srgbClr>
                  </w14:solidFill>
                </w14:textFill>
              </w:rPr>
              <w:t>|</w:t>
            </w:r>
            <w:r w:rsidRPr="00075DC2">
              <w:rPr>
                <w:rFonts w:cstheme="minorHAnsi" w:hint="eastAsia"/>
                <w:color w:val="000000"/>
                <w:spacing w:val="-50"/>
                <w:w w:val="15"/>
                <w:szCs w:val="20"/>
                <w:shd w:val="solid" w:color="000000" w:fill="000000"/>
                <w:fitText w:val="15" w:id="-1168281844"/>
                <w14:textFill>
                  <w14:solidFill>
                    <w14:srgbClr w14:val="000000">
                      <w14:alpha w14:val="100000"/>
                    </w14:srgbClr>
                  </w14:solidFill>
                </w14:textFill>
              </w:rPr>
              <w:t xml:space="preserve">　</w:t>
            </w:r>
            <w:r w:rsidR="00227288">
              <w:rPr>
                <w:vertAlign w:val="superscript"/>
              </w:rPr>
              <w:t>3</w:t>
            </w:r>
          </w:p>
        </w:tc>
        <w:tc>
          <w:tcPr>
            <w:tcW w:w="527" w:type="pct"/>
            <w:tcBorders>
              <w:bottom w:val="single" w:sz="4" w:space="0" w:color="auto"/>
            </w:tcBorders>
            <w:vAlign w:val="center"/>
          </w:tcPr>
          <w:p w14:paraId="0D297E52" w14:textId="2F0E32A3" w:rsidR="00E2343C" w:rsidRPr="00227288" w:rsidRDefault="006F55C1" w:rsidP="00E2343C">
            <w:pPr>
              <w:pStyle w:val="TableText0"/>
              <w:snapToGrid w:val="0"/>
              <w:jc w:val="center"/>
              <w:rPr>
                <w:rFonts w:cstheme="minorHAnsi"/>
                <w:szCs w:val="20"/>
                <w:highlight w:val="darkGray"/>
              </w:rPr>
            </w:pPr>
            <w:r w:rsidRPr="006F55C1">
              <w:rPr>
                <w:rFonts w:cstheme="minorHAnsi"/>
                <w:color w:val="000000"/>
                <w:szCs w:val="20"/>
                <w:shd w:val="solid" w:color="000000" w:fill="000000"/>
                <w14:textFill>
                  <w14:solidFill>
                    <w14:srgbClr w14:val="000000">
                      <w14:alpha w14:val="100000"/>
                    </w14:srgbClr>
                  </w14:solidFill>
                </w14:textFill>
              </w:rPr>
              <w:t>|</w:t>
            </w:r>
            <w:r w:rsidR="00227288">
              <w:rPr>
                <w:vertAlign w:val="superscript"/>
              </w:rPr>
              <w:t>4</w:t>
            </w:r>
          </w:p>
        </w:tc>
        <w:tc>
          <w:tcPr>
            <w:tcW w:w="514" w:type="pct"/>
            <w:tcBorders>
              <w:bottom w:val="single" w:sz="4" w:space="0" w:color="auto"/>
            </w:tcBorders>
            <w:vAlign w:val="center"/>
          </w:tcPr>
          <w:p w14:paraId="0BDFDADF" w14:textId="5490C58B"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30" w:id="-1168281843"/>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30" w:id="-1168281843"/>
                <w14:textFill>
                  <w14:solidFill>
                    <w14:srgbClr w14:val="000000">
                      <w14:alpha w14:val="100000"/>
                    </w14:srgbClr>
                  </w14:solidFill>
                </w14:textFill>
              </w:rPr>
              <w:t>|</w:t>
            </w:r>
            <w:r w:rsidRPr="001777F5">
              <w:rPr>
                <w:rFonts w:cstheme="minorHAnsi" w:hint="eastAsia"/>
                <w:color w:val="000000"/>
                <w:spacing w:val="-45"/>
                <w:w w:val="15"/>
                <w:szCs w:val="20"/>
                <w:shd w:val="solid" w:color="000000" w:fill="000000"/>
                <w:fitText w:val="30" w:id="-1168281843"/>
                <w14:textFill>
                  <w14:solidFill>
                    <w14:srgbClr w14:val="000000">
                      <w14:alpha w14:val="100000"/>
                    </w14:srgbClr>
                  </w14:solidFill>
                </w14:textFill>
              </w:rPr>
              <w:t xml:space="preserve">　</w:t>
            </w:r>
            <w:r w:rsidR="00227288">
              <w:rPr>
                <w:vertAlign w:val="superscript"/>
              </w:rPr>
              <w:t>4</w:t>
            </w:r>
          </w:p>
        </w:tc>
      </w:tr>
      <w:tr w:rsidR="00FA1535" w:rsidRPr="00E74297" w14:paraId="0F9F2588" w14:textId="77777777" w:rsidTr="00FA1535">
        <w:tc>
          <w:tcPr>
            <w:tcW w:w="1841" w:type="pct"/>
            <w:tcBorders>
              <w:right w:val="nil"/>
            </w:tcBorders>
          </w:tcPr>
          <w:p w14:paraId="43B5BAEF" w14:textId="1F97EFBA" w:rsidR="00825DA6" w:rsidRPr="00E74297" w:rsidRDefault="00825DA6" w:rsidP="00EA2DE8">
            <w:pPr>
              <w:pStyle w:val="TableText0"/>
              <w:snapToGrid w:val="0"/>
              <w:rPr>
                <w:b/>
                <w:bCs w:val="0"/>
                <w:szCs w:val="20"/>
              </w:rPr>
            </w:pPr>
            <w:r w:rsidRPr="00E74297">
              <w:rPr>
                <w:b/>
                <w:bCs w:val="0"/>
                <w:szCs w:val="20"/>
              </w:rPr>
              <w:t>Net costs – PSCR (no wastage)</w:t>
            </w:r>
          </w:p>
        </w:tc>
        <w:tc>
          <w:tcPr>
            <w:tcW w:w="533" w:type="pct"/>
            <w:tcBorders>
              <w:left w:val="nil"/>
              <w:right w:val="nil"/>
            </w:tcBorders>
            <w:vAlign w:val="center"/>
          </w:tcPr>
          <w:p w14:paraId="2DD144C2" w14:textId="77777777" w:rsidR="00825DA6" w:rsidRPr="00E74297" w:rsidRDefault="00825DA6" w:rsidP="00E2343C">
            <w:pPr>
              <w:pStyle w:val="TableText0"/>
              <w:snapToGrid w:val="0"/>
              <w:jc w:val="center"/>
              <w:rPr>
                <w:rFonts w:cstheme="minorHAnsi"/>
                <w:b/>
                <w:bCs w:val="0"/>
                <w:szCs w:val="20"/>
              </w:rPr>
            </w:pPr>
          </w:p>
        </w:tc>
        <w:tc>
          <w:tcPr>
            <w:tcW w:w="529" w:type="pct"/>
            <w:tcBorders>
              <w:left w:val="nil"/>
              <w:right w:val="nil"/>
            </w:tcBorders>
            <w:vAlign w:val="center"/>
          </w:tcPr>
          <w:p w14:paraId="50478976" w14:textId="77777777" w:rsidR="00825DA6" w:rsidRPr="00E74297" w:rsidRDefault="00825DA6" w:rsidP="00E2343C">
            <w:pPr>
              <w:pStyle w:val="TableText0"/>
              <w:snapToGrid w:val="0"/>
              <w:jc w:val="center"/>
              <w:rPr>
                <w:rFonts w:cstheme="minorHAnsi"/>
                <w:b/>
                <w:bCs w:val="0"/>
                <w:szCs w:val="20"/>
              </w:rPr>
            </w:pPr>
          </w:p>
        </w:tc>
        <w:tc>
          <w:tcPr>
            <w:tcW w:w="528" w:type="pct"/>
            <w:tcBorders>
              <w:left w:val="nil"/>
              <w:right w:val="nil"/>
            </w:tcBorders>
            <w:vAlign w:val="center"/>
          </w:tcPr>
          <w:p w14:paraId="63715C8A" w14:textId="77777777" w:rsidR="00825DA6" w:rsidRPr="00E74297" w:rsidRDefault="00825DA6" w:rsidP="00E2343C">
            <w:pPr>
              <w:pStyle w:val="TableText0"/>
              <w:snapToGrid w:val="0"/>
              <w:jc w:val="center"/>
              <w:rPr>
                <w:rFonts w:cstheme="minorHAnsi"/>
                <w:b/>
                <w:bCs w:val="0"/>
                <w:szCs w:val="20"/>
              </w:rPr>
            </w:pPr>
          </w:p>
        </w:tc>
        <w:tc>
          <w:tcPr>
            <w:tcW w:w="527" w:type="pct"/>
            <w:tcBorders>
              <w:left w:val="nil"/>
              <w:right w:val="nil"/>
            </w:tcBorders>
            <w:vAlign w:val="center"/>
          </w:tcPr>
          <w:p w14:paraId="0EF810D3" w14:textId="77777777" w:rsidR="00825DA6" w:rsidRPr="00E74297" w:rsidRDefault="00825DA6" w:rsidP="00E2343C">
            <w:pPr>
              <w:pStyle w:val="TableText0"/>
              <w:snapToGrid w:val="0"/>
              <w:jc w:val="center"/>
              <w:rPr>
                <w:rFonts w:cstheme="minorHAnsi"/>
                <w:b/>
                <w:bCs w:val="0"/>
                <w:szCs w:val="20"/>
              </w:rPr>
            </w:pPr>
          </w:p>
        </w:tc>
        <w:tc>
          <w:tcPr>
            <w:tcW w:w="527" w:type="pct"/>
            <w:tcBorders>
              <w:left w:val="nil"/>
              <w:right w:val="nil"/>
            </w:tcBorders>
            <w:vAlign w:val="center"/>
          </w:tcPr>
          <w:p w14:paraId="5DAA1756" w14:textId="77777777" w:rsidR="00825DA6" w:rsidRPr="00E74297" w:rsidRDefault="00825DA6" w:rsidP="00E2343C">
            <w:pPr>
              <w:pStyle w:val="TableText0"/>
              <w:snapToGrid w:val="0"/>
              <w:jc w:val="center"/>
              <w:rPr>
                <w:rFonts w:cstheme="minorHAnsi"/>
                <w:b/>
                <w:bCs w:val="0"/>
                <w:szCs w:val="20"/>
              </w:rPr>
            </w:pPr>
          </w:p>
        </w:tc>
        <w:tc>
          <w:tcPr>
            <w:tcW w:w="514" w:type="pct"/>
            <w:tcBorders>
              <w:left w:val="nil"/>
            </w:tcBorders>
            <w:vAlign w:val="center"/>
          </w:tcPr>
          <w:p w14:paraId="614E3048" w14:textId="77777777" w:rsidR="00825DA6" w:rsidRPr="00E74297" w:rsidRDefault="00825DA6" w:rsidP="00E2343C">
            <w:pPr>
              <w:pStyle w:val="TableText0"/>
              <w:snapToGrid w:val="0"/>
              <w:jc w:val="center"/>
              <w:rPr>
                <w:rFonts w:cstheme="minorHAnsi"/>
                <w:b/>
                <w:bCs w:val="0"/>
                <w:szCs w:val="20"/>
              </w:rPr>
            </w:pPr>
          </w:p>
        </w:tc>
      </w:tr>
      <w:tr w:rsidR="00FA1535" w:rsidRPr="00E74297" w14:paraId="30293BE0" w14:textId="77777777" w:rsidTr="00FA1535">
        <w:tc>
          <w:tcPr>
            <w:tcW w:w="1841" w:type="pct"/>
          </w:tcPr>
          <w:p w14:paraId="2BFCB4F4" w14:textId="173333E2" w:rsidR="00E2343C" w:rsidRPr="00E74297" w:rsidRDefault="002F19B7" w:rsidP="00EA2DE8">
            <w:pPr>
              <w:pStyle w:val="TableText0"/>
              <w:snapToGrid w:val="0"/>
              <w:rPr>
                <w:rFonts w:cstheme="minorHAnsi"/>
                <w:szCs w:val="20"/>
              </w:rPr>
            </w:pPr>
            <w:r w:rsidRPr="00E74297">
              <w:rPr>
                <w:rFonts w:cstheme="minorHAnsi"/>
                <w:szCs w:val="20"/>
              </w:rPr>
              <w:t xml:space="preserve">Cost of SG to PBS/RPBS, less patient co-pays </w:t>
            </w:r>
            <w:r w:rsidRPr="00926F87">
              <w:rPr>
                <w:rFonts w:cstheme="minorHAnsi"/>
                <w:szCs w:val="20"/>
              </w:rPr>
              <w:t>($</w:t>
            </w:r>
            <w:r w:rsidR="006F55C1" w:rsidRPr="001777F5">
              <w:rPr>
                <w:rFonts w:cstheme="minorHAnsi"/>
                <w:color w:val="000000"/>
                <w:spacing w:val="45"/>
                <w:szCs w:val="20"/>
                <w:shd w:val="solid" w:color="000000" w:fill="000000"/>
                <w:fitText w:val="330" w:id="-1168281842"/>
                <w14:textFill>
                  <w14:solidFill>
                    <w14:srgbClr w14:val="000000">
                      <w14:alpha w14:val="100000"/>
                    </w14:srgbClr>
                  </w14:solidFill>
                </w14:textFill>
              </w:rPr>
              <w:t>|||</w:t>
            </w:r>
            <w:r w:rsidR="006F55C1" w:rsidRPr="001777F5">
              <w:rPr>
                <w:rFonts w:cstheme="minorHAnsi"/>
                <w:color w:val="000000"/>
                <w:spacing w:val="15"/>
                <w:szCs w:val="20"/>
                <w:shd w:val="solid" w:color="000000" w:fill="000000"/>
                <w:fitText w:val="330" w:id="-1168281842"/>
                <w14:textFill>
                  <w14:solidFill>
                    <w14:srgbClr w14:val="000000">
                      <w14:alpha w14:val="100000"/>
                    </w14:srgbClr>
                  </w14:solidFill>
                </w14:textFill>
              </w:rPr>
              <w:t>|</w:t>
            </w:r>
            <w:r w:rsidRPr="00E74297">
              <w:rPr>
                <w:rFonts w:cstheme="minorHAnsi"/>
                <w:szCs w:val="20"/>
              </w:rPr>
              <w:t xml:space="preserve"> per script) </w:t>
            </w:r>
            <w:r w:rsidRPr="00E74297">
              <w:rPr>
                <w:rFonts w:cstheme="minorHAnsi"/>
                <w:szCs w:val="20"/>
                <w:vertAlign w:val="superscript"/>
              </w:rPr>
              <w:t>a</w:t>
            </w:r>
          </w:p>
        </w:tc>
        <w:tc>
          <w:tcPr>
            <w:tcW w:w="533" w:type="pct"/>
            <w:vAlign w:val="center"/>
          </w:tcPr>
          <w:p w14:paraId="18B6BBD3" w14:textId="6063B12F"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60" w:id="-1168281841"/>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60" w:id="-1168281841"/>
                <w14:textFill>
                  <w14:solidFill>
                    <w14:srgbClr w14:val="000000">
                      <w14:alpha w14:val="100000"/>
                    </w14:srgbClr>
                  </w14:solidFill>
                </w14:textFill>
              </w:rPr>
              <w:t>|</w:t>
            </w:r>
            <w:r w:rsidRPr="001777F5">
              <w:rPr>
                <w:rFonts w:cstheme="minorHAnsi" w:hint="eastAsia"/>
                <w:color w:val="000000"/>
                <w:spacing w:val="-15"/>
                <w:w w:val="15"/>
                <w:szCs w:val="20"/>
                <w:shd w:val="solid" w:color="000000" w:fill="000000"/>
                <w:fitText w:val="60" w:id="-1168281841"/>
                <w14:textFill>
                  <w14:solidFill>
                    <w14:srgbClr w14:val="000000">
                      <w14:alpha w14:val="100000"/>
                    </w14:srgbClr>
                  </w14:solidFill>
                </w14:textFill>
              </w:rPr>
              <w:t xml:space="preserve">　</w:t>
            </w:r>
            <w:r w:rsidR="00227288">
              <w:rPr>
                <w:vertAlign w:val="superscript"/>
              </w:rPr>
              <w:t>5</w:t>
            </w:r>
          </w:p>
        </w:tc>
        <w:tc>
          <w:tcPr>
            <w:tcW w:w="529" w:type="pct"/>
            <w:vAlign w:val="center"/>
          </w:tcPr>
          <w:p w14:paraId="3550568F" w14:textId="138B0717"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45" w:id="-1168281840"/>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45" w:id="-1168281840"/>
                <w14:textFill>
                  <w14:solidFill>
                    <w14:srgbClr w14:val="000000">
                      <w14:alpha w14:val="100000"/>
                    </w14:srgbClr>
                  </w14:solidFill>
                </w14:textFill>
              </w:rPr>
              <w:t>|</w:t>
            </w:r>
            <w:r w:rsidRPr="001777F5">
              <w:rPr>
                <w:rFonts w:cstheme="minorHAnsi" w:hint="eastAsia"/>
                <w:color w:val="000000"/>
                <w:spacing w:val="-30"/>
                <w:w w:val="15"/>
                <w:szCs w:val="20"/>
                <w:shd w:val="solid" w:color="000000" w:fill="000000"/>
                <w:fitText w:val="45" w:id="-1168281840"/>
                <w14:textFill>
                  <w14:solidFill>
                    <w14:srgbClr w14:val="000000">
                      <w14:alpha w14:val="100000"/>
                    </w14:srgbClr>
                  </w14:solidFill>
                </w14:textFill>
              </w:rPr>
              <w:t xml:space="preserve">　</w:t>
            </w:r>
            <w:r w:rsidR="00227288">
              <w:rPr>
                <w:vertAlign w:val="superscript"/>
              </w:rPr>
              <w:t>6</w:t>
            </w:r>
          </w:p>
        </w:tc>
        <w:tc>
          <w:tcPr>
            <w:tcW w:w="528" w:type="pct"/>
            <w:vAlign w:val="center"/>
          </w:tcPr>
          <w:p w14:paraId="66157BAC" w14:textId="100BB3BC"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45" w:id="-1168281856"/>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45" w:id="-1168281856"/>
                <w14:textFill>
                  <w14:solidFill>
                    <w14:srgbClr w14:val="000000">
                      <w14:alpha w14:val="100000"/>
                    </w14:srgbClr>
                  </w14:solidFill>
                </w14:textFill>
              </w:rPr>
              <w:t>|</w:t>
            </w:r>
            <w:r w:rsidRPr="001777F5">
              <w:rPr>
                <w:rFonts w:cstheme="minorHAnsi" w:hint="eastAsia"/>
                <w:color w:val="000000"/>
                <w:spacing w:val="-30"/>
                <w:w w:val="15"/>
                <w:szCs w:val="20"/>
                <w:shd w:val="solid" w:color="000000" w:fill="000000"/>
                <w:fitText w:val="45" w:id="-1168281856"/>
                <w14:textFill>
                  <w14:solidFill>
                    <w14:srgbClr w14:val="000000">
                      <w14:alpha w14:val="100000"/>
                    </w14:srgbClr>
                  </w14:solidFill>
                </w14:textFill>
              </w:rPr>
              <w:t xml:space="preserve">　</w:t>
            </w:r>
            <w:r w:rsidR="00227288">
              <w:rPr>
                <w:vertAlign w:val="superscript"/>
              </w:rPr>
              <w:t>6</w:t>
            </w:r>
          </w:p>
        </w:tc>
        <w:tc>
          <w:tcPr>
            <w:tcW w:w="527" w:type="pct"/>
            <w:vAlign w:val="center"/>
          </w:tcPr>
          <w:p w14:paraId="61365983" w14:textId="32599BCC" w:rsidR="00E2343C" w:rsidRPr="00227288" w:rsidRDefault="006F55C1" w:rsidP="00E2343C">
            <w:pPr>
              <w:pStyle w:val="TableText0"/>
              <w:snapToGrid w:val="0"/>
              <w:jc w:val="center"/>
              <w:rPr>
                <w:rFonts w:cstheme="minorHAnsi"/>
                <w:szCs w:val="20"/>
                <w:highlight w:val="darkGray"/>
              </w:rPr>
            </w:pPr>
            <w:r w:rsidRPr="00075DC2">
              <w:rPr>
                <w:rFonts w:cstheme="minorHAnsi" w:hint="eastAsia"/>
                <w:color w:val="000000"/>
                <w:w w:val="15"/>
                <w:szCs w:val="20"/>
                <w:shd w:val="solid" w:color="000000" w:fill="000000"/>
                <w:fitText w:val="15" w:id="-1168281855"/>
                <w14:textFill>
                  <w14:solidFill>
                    <w14:srgbClr w14:val="000000">
                      <w14:alpha w14:val="100000"/>
                    </w14:srgbClr>
                  </w14:solidFill>
                </w14:textFill>
              </w:rPr>
              <w:t xml:space="preserve">　</w:t>
            </w:r>
            <w:r w:rsidRPr="00075DC2">
              <w:rPr>
                <w:rFonts w:cstheme="minorHAnsi"/>
                <w:color w:val="000000"/>
                <w:w w:val="15"/>
                <w:szCs w:val="20"/>
                <w:shd w:val="solid" w:color="000000" w:fill="000000"/>
                <w:fitText w:val="15" w:id="-1168281855"/>
                <w14:textFill>
                  <w14:solidFill>
                    <w14:srgbClr w14:val="000000">
                      <w14:alpha w14:val="100000"/>
                    </w14:srgbClr>
                  </w14:solidFill>
                </w14:textFill>
              </w:rPr>
              <w:t>|</w:t>
            </w:r>
            <w:r w:rsidRPr="00075DC2">
              <w:rPr>
                <w:rFonts w:cstheme="minorHAnsi" w:hint="eastAsia"/>
                <w:color w:val="000000"/>
                <w:spacing w:val="-50"/>
                <w:w w:val="15"/>
                <w:szCs w:val="20"/>
                <w:shd w:val="solid" w:color="000000" w:fill="000000"/>
                <w:fitText w:val="15" w:id="-1168281855"/>
                <w14:textFill>
                  <w14:solidFill>
                    <w14:srgbClr w14:val="000000">
                      <w14:alpha w14:val="100000"/>
                    </w14:srgbClr>
                  </w14:solidFill>
                </w14:textFill>
              </w:rPr>
              <w:t xml:space="preserve">　</w:t>
            </w:r>
            <w:r w:rsidR="00227288">
              <w:rPr>
                <w:vertAlign w:val="superscript"/>
              </w:rPr>
              <w:t>7</w:t>
            </w:r>
          </w:p>
        </w:tc>
        <w:tc>
          <w:tcPr>
            <w:tcW w:w="527" w:type="pct"/>
            <w:vAlign w:val="center"/>
          </w:tcPr>
          <w:p w14:paraId="7D14E33C" w14:textId="59D0C26C" w:rsidR="00E2343C" w:rsidRPr="00227288" w:rsidRDefault="006F55C1" w:rsidP="00E2343C">
            <w:pPr>
              <w:pStyle w:val="TableText0"/>
              <w:snapToGrid w:val="0"/>
              <w:jc w:val="center"/>
              <w:rPr>
                <w:rFonts w:cstheme="minorHAnsi"/>
                <w:szCs w:val="20"/>
                <w:highlight w:val="darkGray"/>
              </w:rPr>
            </w:pPr>
            <w:r w:rsidRPr="006F55C1">
              <w:rPr>
                <w:rFonts w:cstheme="minorHAnsi"/>
                <w:color w:val="000000"/>
                <w:szCs w:val="20"/>
                <w:shd w:val="solid" w:color="000000" w:fill="000000"/>
                <w14:textFill>
                  <w14:solidFill>
                    <w14:srgbClr w14:val="000000">
                      <w14:alpha w14:val="100000"/>
                    </w14:srgbClr>
                  </w14:solidFill>
                </w14:textFill>
              </w:rPr>
              <w:t>|</w:t>
            </w:r>
            <w:r w:rsidR="00227288">
              <w:rPr>
                <w:vertAlign w:val="superscript"/>
              </w:rPr>
              <w:t>7</w:t>
            </w:r>
          </w:p>
        </w:tc>
        <w:tc>
          <w:tcPr>
            <w:tcW w:w="514" w:type="pct"/>
            <w:vAlign w:val="center"/>
          </w:tcPr>
          <w:p w14:paraId="255E5D2D" w14:textId="7EC42F11"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30" w:id="-1168281854"/>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30" w:id="-1168281854"/>
                <w14:textFill>
                  <w14:solidFill>
                    <w14:srgbClr w14:val="000000">
                      <w14:alpha w14:val="100000"/>
                    </w14:srgbClr>
                  </w14:solidFill>
                </w14:textFill>
              </w:rPr>
              <w:t>|</w:t>
            </w:r>
            <w:r w:rsidRPr="001777F5">
              <w:rPr>
                <w:rFonts w:cstheme="minorHAnsi" w:hint="eastAsia"/>
                <w:color w:val="000000"/>
                <w:spacing w:val="-45"/>
                <w:w w:val="15"/>
                <w:szCs w:val="20"/>
                <w:shd w:val="solid" w:color="000000" w:fill="000000"/>
                <w:fitText w:val="30" w:id="-1168281854"/>
                <w14:textFill>
                  <w14:solidFill>
                    <w14:srgbClr w14:val="000000">
                      <w14:alpha w14:val="100000"/>
                    </w14:srgbClr>
                  </w14:solidFill>
                </w14:textFill>
              </w:rPr>
              <w:t xml:space="preserve">　</w:t>
            </w:r>
            <w:r w:rsidR="00227288">
              <w:rPr>
                <w:vertAlign w:val="superscript"/>
              </w:rPr>
              <w:t>7</w:t>
            </w:r>
          </w:p>
        </w:tc>
      </w:tr>
      <w:tr w:rsidR="00FA1535" w:rsidRPr="00E74297" w14:paraId="570A5C4B" w14:textId="77777777" w:rsidTr="00FA1535">
        <w:tc>
          <w:tcPr>
            <w:tcW w:w="1841" w:type="pct"/>
          </w:tcPr>
          <w:p w14:paraId="38EAC084" w14:textId="312081B6" w:rsidR="00E2343C" w:rsidRPr="00E74297" w:rsidRDefault="00E2343C" w:rsidP="00EA2DE8">
            <w:pPr>
              <w:pStyle w:val="TableText0"/>
              <w:snapToGrid w:val="0"/>
              <w:rPr>
                <w:rFonts w:cstheme="minorHAnsi"/>
                <w:szCs w:val="20"/>
              </w:rPr>
            </w:pPr>
            <w:r w:rsidRPr="00E74297">
              <w:rPr>
                <w:rFonts w:cstheme="minorHAnsi"/>
                <w:szCs w:val="20"/>
              </w:rPr>
              <w:t xml:space="preserve">Net Reduction to RPBS/PBS </w:t>
            </w:r>
            <w:r w:rsidR="00B3777C" w:rsidRPr="00E74297">
              <w:rPr>
                <w:rFonts w:cstheme="minorHAnsi"/>
                <w:szCs w:val="20"/>
              </w:rPr>
              <w:t xml:space="preserve">less </w:t>
            </w:r>
            <w:r w:rsidR="00D0558C" w:rsidRPr="00E74297">
              <w:rPr>
                <w:rFonts w:cstheme="minorHAnsi"/>
                <w:szCs w:val="20"/>
              </w:rPr>
              <w:t>co-pays</w:t>
            </w:r>
            <w:r w:rsidRPr="00E74297">
              <w:rPr>
                <w:rFonts w:cstheme="minorHAnsi"/>
                <w:szCs w:val="20"/>
              </w:rPr>
              <w:t xml:space="preserve"> for the affected medicines</w:t>
            </w:r>
          </w:p>
        </w:tc>
        <w:tc>
          <w:tcPr>
            <w:tcW w:w="533" w:type="pct"/>
            <w:vAlign w:val="center"/>
          </w:tcPr>
          <w:p w14:paraId="20E84E03" w14:textId="26AB758C"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60" w:id="-1168281853"/>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60" w:id="-1168281853"/>
                <w14:textFill>
                  <w14:solidFill>
                    <w14:srgbClr w14:val="000000">
                      <w14:alpha w14:val="100000"/>
                    </w14:srgbClr>
                  </w14:solidFill>
                </w14:textFill>
              </w:rPr>
              <w:t>|</w:t>
            </w:r>
            <w:r w:rsidRPr="001777F5">
              <w:rPr>
                <w:rFonts w:cstheme="minorHAnsi" w:hint="eastAsia"/>
                <w:color w:val="000000"/>
                <w:spacing w:val="-15"/>
                <w:w w:val="15"/>
                <w:szCs w:val="20"/>
                <w:shd w:val="solid" w:color="000000" w:fill="000000"/>
                <w:fitText w:val="60" w:id="-1168281853"/>
                <w14:textFill>
                  <w14:solidFill>
                    <w14:srgbClr w14:val="000000">
                      <w14:alpha w14:val="100000"/>
                    </w14:srgbClr>
                  </w14:solidFill>
                </w14:textFill>
              </w:rPr>
              <w:t xml:space="preserve">　</w:t>
            </w:r>
            <w:r w:rsidR="00227288">
              <w:rPr>
                <w:vertAlign w:val="superscript"/>
              </w:rPr>
              <w:t>8</w:t>
            </w:r>
          </w:p>
        </w:tc>
        <w:tc>
          <w:tcPr>
            <w:tcW w:w="529" w:type="pct"/>
            <w:vAlign w:val="center"/>
          </w:tcPr>
          <w:p w14:paraId="0B059C90" w14:textId="188F4B50"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45" w:id="-1168281852"/>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45" w:id="-1168281852"/>
                <w14:textFill>
                  <w14:solidFill>
                    <w14:srgbClr w14:val="000000">
                      <w14:alpha w14:val="100000"/>
                    </w14:srgbClr>
                  </w14:solidFill>
                </w14:textFill>
              </w:rPr>
              <w:t>|</w:t>
            </w:r>
            <w:r w:rsidRPr="001777F5">
              <w:rPr>
                <w:rFonts w:cstheme="minorHAnsi" w:hint="eastAsia"/>
                <w:color w:val="000000"/>
                <w:spacing w:val="-30"/>
                <w:w w:val="15"/>
                <w:szCs w:val="20"/>
                <w:shd w:val="solid" w:color="000000" w:fill="000000"/>
                <w:fitText w:val="45" w:id="-1168281852"/>
                <w14:textFill>
                  <w14:solidFill>
                    <w14:srgbClr w14:val="000000">
                      <w14:alpha w14:val="100000"/>
                    </w14:srgbClr>
                  </w14:solidFill>
                </w14:textFill>
              </w:rPr>
              <w:t xml:space="preserve">　</w:t>
            </w:r>
            <w:r w:rsidR="00227288">
              <w:rPr>
                <w:vertAlign w:val="superscript"/>
              </w:rPr>
              <w:t>8</w:t>
            </w:r>
          </w:p>
        </w:tc>
        <w:tc>
          <w:tcPr>
            <w:tcW w:w="528" w:type="pct"/>
            <w:vAlign w:val="center"/>
          </w:tcPr>
          <w:p w14:paraId="7154011F" w14:textId="74DD8E65"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45" w:id="-1168281851"/>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45" w:id="-1168281851"/>
                <w14:textFill>
                  <w14:solidFill>
                    <w14:srgbClr w14:val="000000">
                      <w14:alpha w14:val="100000"/>
                    </w14:srgbClr>
                  </w14:solidFill>
                </w14:textFill>
              </w:rPr>
              <w:t>|</w:t>
            </w:r>
            <w:r w:rsidRPr="001777F5">
              <w:rPr>
                <w:rFonts w:cstheme="minorHAnsi" w:hint="eastAsia"/>
                <w:color w:val="000000"/>
                <w:spacing w:val="-30"/>
                <w:w w:val="15"/>
                <w:szCs w:val="20"/>
                <w:shd w:val="solid" w:color="000000" w:fill="000000"/>
                <w:fitText w:val="45" w:id="-1168281851"/>
                <w14:textFill>
                  <w14:solidFill>
                    <w14:srgbClr w14:val="000000">
                      <w14:alpha w14:val="100000"/>
                    </w14:srgbClr>
                  </w14:solidFill>
                </w14:textFill>
              </w:rPr>
              <w:t xml:space="preserve">　</w:t>
            </w:r>
            <w:r w:rsidR="00227288">
              <w:rPr>
                <w:vertAlign w:val="superscript"/>
              </w:rPr>
              <w:t>8</w:t>
            </w:r>
          </w:p>
        </w:tc>
        <w:tc>
          <w:tcPr>
            <w:tcW w:w="527" w:type="pct"/>
            <w:vAlign w:val="center"/>
          </w:tcPr>
          <w:p w14:paraId="3EBC0709" w14:textId="2677E77A" w:rsidR="00E2343C" w:rsidRPr="00227288" w:rsidRDefault="006F55C1" w:rsidP="00E2343C">
            <w:pPr>
              <w:pStyle w:val="TableText0"/>
              <w:snapToGrid w:val="0"/>
              <w:jc w:val="center"/>
              <w:rPr>
                <w:rFonts w:cstheme="minorHAnsi"/>
                <w:szCs w:val="20"/>
                <w:highlight w:val="darkGray"/>
              </w:rPr>
            </w:pPr>
            <w:r w:rsidRPr="00075DC2">
              <w:rPr>
                <w:rFonts w:cstheme="minorHAnsi" w:hint="eastAsia"/>
                <w:color w:val="000000"/>
                <w:w w:val="15"/>
                <w:szCs w:val="20"/>
                <w:shd w:val="solid" w:color="000000" w:fill="000000"/>
                <w:fitText w:val="15" w:id="-1168281850"/>
                <w14:textFill>
                  <w14:solidFill>
                    <w14:srgbClr w14:val="000000">
                      <w14:alpha w14:val="100000"/>
                    </w14:srgbClr>
                  </w14:solidFill>
                </w14:textFill>
              </w:rPr>
              <w:t xml:space="preserve">　</w:t>
            </w:r>
            <w:r w:rsidRPr="00075DC2">
              <w:rPr>
                <w:rFonts w:cstheme="minorHAnsi"/>
                <w:color w:val="000000"/>
                <w:w w:val="15"/>
                <w:szCs w:val="20"/>
                <w:shd w:val="solid" w:color="000000" w:fill="000000"/>
                <w:fitText w:val="15" w:id="-1168281850"/>
                <w14:textFill>
                  <w14:solidFill>
                    <w14:srgbClr w14:val="000000">
                      <w14:alpha w14:val="100000"/>
                    </w14:srgbClr>
                  </w14:solidFill>
                </w14:textFill>
              </w:rPr>
              <w:t>|</w:t>
            </w:r>
            <w:r w:rsidRPr="00075DC2">
              <w:rPr>
                <w:rFonts w:cstheme="minorHAnsi" w:hint="eastAsia"/>
                <w:color w:val="000000"/>
                <w:spacing w:val="-50"/>
                <w:w w:val="15"/>
                <w:szCs w:val="20"/>
                <w:shd w:val="solid" w:color="000000" w:fill="000000"/>
                <w:fitText w:val="15" w:id="-1168281850"/>
                <w14:textFill>
                  <w14:solidFill>
                    <w14:srgbClr w14:val="000000">
                      <w14:alpha w14:val="100000"/>
                    </w14:srgbClr>
                  </w14:solidFill>
                </w14:textFill>
              </w:rPr>
              <w:t xml:space="preserve">　</w:t>
            </w:r>
            <w:r w:rsidR="00227288">
              <w:rPr>
                <w:vertAlign w:val="superscript"/>
              </w:rPr>
              <w:t>8</w:t>
            </w:r>
          </w:p>
        </w:tc>
        <w:tc>
          <w:tcPr>
            <w:tcW w:w="527" w:type="pct"/>
            <w:vAlign w:val="center"/>
          </w:tcPr>
          <w:p w14:paraId="4E66B903" w14:textId="1C906402" w:rsidR="00E2343C" w:rsidRPr="00227288" w:rsidRDefault="006F55C1" w:rsidP="00E2343C">
            <w:pPr>
              <w:pStyle w:val="TableText0"/>
              <w:snapToGrid w:val="0"/>
              <w:jc w:val="center"/>
              <w:rPr>
                <w:rFonts w:cstheme="minorHAnsi"/>
                <w:szCs w:val="20"/>
                <w:highlight w:val="darkGray"/>
              </w:rPr>
            </w:pPr>
            <w:r w:rsidRPr="006F55C1">
              <w:rPr>
                <w:rFonts w:cstheme="minorHAnsi"/>
                <w:color w:val="000000"/>
                <w:szCs w:val="20"/>
                <w:shd w:val="solid" w:color="000000" w:fill="000000"/>
                <w14:textFill>
                  <w14:solidFill>
                    <w14:srgbClr w14:val="000000">
                      <w14:alpha w14:val="100000"/>
                    </w14:srgbClr>
                  </w14:solidFill>
                </w14:textFill>
              </w:rPr>
              <w:t>|</w:t>
            </w:r>
            <w:r w:rsidR="00227288">
              <w:rPr>
                <w:vertAlign w:val="superscript"/>
              </w:rPr>
              <w:t>8</w:t>
            </w:r>
          </w:p>
        </w:tc>
        <w:tc>
          <w:tcPr>
            <w:tcW w:w="514" w:type="pct"/>
            <w:vAlign w:val="center"/>
          </w:tcPr>
          <w:p w14:paraId="55D492A3" w14:textId="43FA7D8A" w:rsidR="00E2343C" w:rsidRPr="00227288" w:rsidRDefault="006F55C1" w:rsidP="00E2343C">
            <w:pPr>
              <w:pStyle w:val="TableText0"/>
              <w:snapToGrid w:val="0"/>
              <w:jc w:val="center"/>
              <w:rPr>
                <w:rFonts w:cstheme="minorHAnsi"/>
                <w:szCs w:val="20"/>
                <w:highlight w:val="darkGray"/>
              </w:rPr>
            </w:pPr>
            <w:r w:rsidRPr="001777F5">
              <w:rPr>
                <w:rFonts w:cstheme="minorHAnsi" w:hint="eastAsia"/>
                <w:color w:val="000000"/>
                <w:w w:val="15"/>
                <w:szCs w:val="20"/>
                <w:shd w:val="solid" w:color="000000" w:fill="000000"/>
                <w:fitText w:val="30" w:id="-1168281849"/>
                <w14:textFill>
                  <w14:solidFill>
                    <w14:srgbClr w14:val="000000">
                      <w14:alpha w14:val="100000"/>
                    </w14:srgbClr>
                  </w14:solidFill>
                </w14:textFill>
              </w:rPr>
              <w:t xml:space="preserve">　</w:t>
            </w:r>
            <w:r w:rsidRPr="001777F5">
              <w:rPr>
                <w:rFonts w:cstheme="minorHAnsi"/>
                <w:color w:val="000000"/>
                <w:w w:val="15"/>
                <w:szCs w:val="20"/>
                <w:shd w:val="solid" w:color="000000" w:fill="000000"/>
                <w:fitText w:val="30" w:id="-1168281849"/>
                <w14:textFill>
                  <w14:solidFill>
                    <w14:srgbClr w14:val="000000">
                      <w14:alpha w14:val="100000"/>
                    </w14:srgbClr>
                  </w14:solidFill>
                </w14:textFill>
              </w:rPr>
              <w:t>|</w:t>
            </w:r>
            <w:r w:rsidRPr="001777F5">
              <w:rPr>
                <w:rFonts w:cstheme="minorHAnsi" w:hint="eastAsia"/>
                <w:color w:val="000000"/>
                <w:spacing w:val="-45"/>
                <w:w w:val="15"/>
                <w:szCs w:val="20"/>
                <w:shd w:val="solid" w:color="000000" w:fill="000000"/>
                <w:fitText w:val="30" w:id="-1168281849"/>
                <w14:textFill>
                  <w14:solidFill>
                    <w14:srgbClr w14:val="000000">
                      <w14:alpha w14:val="100000"/>
                    </w14:srgbClr>
                  </w14:solidFill>
                </w14:textFill>
              </w:rPr>
              <w:t xml:space="preserve">　</w:t>
            </w:r>
            <w:r w:rsidR="00227288">
              <w:rPr>
                <w:vertAlign w:val="superscript"/>
              </w:rPr>
              <w:t>8</w:t>
            </w:r>
          </w:p>
        </w:tc>
      </w:tr>
      <w:tr w:rsidR="00FA1535" w:rsidRPr="00E74297" w14:paraId="0984842F" w14:textId="77777777" w:rsidTr="00FA1535">
        <w:tc>
          <w:tcPr>
            <w:tcW w:w="1841" w:type="pct"/>
            <w:tcBorders>
              <w:bottom w:val="single" w:sz="4" w:space="0" w:color="auto"/>
            </w:tcBorders>
          </w:tcPr>
          <w:p w14:paraId="4383845C" w14:textId="77777777" w:rsidR="00E2343C" w:rsidRPr="00E74297" w:rsidRDefault="00E2343C" w:rsidP="00EA2DE8">
            <w:pPr>
              <w:pStyle w:val="TableText0"/>
              <w:snapToGrid w:val="0"/>
              <w:rPr>
                <w:rFonts w:cstheme="minorHAnsi"/>
                <w:b/>
                <w:bCs w:val="0"/>
                <w:szCs w:val="20"/>
              </w:rPr>
            </w:pPr>
            <w:r w:rsidRPr="00E74297">
              <w:rPr>
                <w:rFonts w:cstheme="minorHAnsi"/>
                <w:b/>
                <w:bCs w:val="0"/>
                <w:szCs w:val="20"/>
              </w:rPr>
              <w:t>Net cost to the PBS/RPBS</w:t>
            </w:r>
          </w:p>
        </w:tc>
        <w:tc>
          <w:tcPr>
            <w:tcW w:w="533" w:type="pct"/>
            <w:tcBorders>
              <w:bottom w:val="single" w:sz="4" w:space="0" w:color="auto"/>
            </w:tcBorders>
            <w:vAlign w:val="center"/>
          </w:tcPr>
          <w:p w14:paraId="27799278" w14:textId="4337D2BA" w:rsidR="00E2343C" w:rsidRPr="00227288" w:rsidRDefault="006F55C1" w:rsidP="00E2343C">
            <w:pPr>
              <w:pStyle w:val="TableText0"/>
              <w:snapToGrid w:val="0"/>
              <w:jc w:val="center"/>
              <w:rPr>
                <w:rFonts w:cstheme="minorHAnsi"/>
                <w:b/>
                <w:bCs w:val="0"/>
                <w:color w:val="FF0000"/>
                <w:szCs w:val="20"/>
                <w:highlight w:val="darkGray"/>
              </w:rPr>
            </w:pPr>
            <w:r w:rsidRPr="001777F5">
              <w:rPr>
                <w:rFonts w:cstheme="minorHAnsi" w:hint="eastAsia"/>
                <w:b/>
                <w:bCs w:val="0"/>
                <w:color w:val="000000"/>
                <w:w w:val="23"/>
                <w:szCs w:val="20"/>
                <w:shd w:val="solid" w:color="000000" w:fill="000000"/>
                <w:fitText w:val="105" w:id="-1168281848"/>
                <w14:textFill>
                  <w14:solidFill>
                    <w14:srgbClr w14:val="000000">
                      <w14:alpha w14:val="100000"/>
                    </w14:srgbClr>
                  </w14:solidFill>
                </w14:textFill>
              </w:rPr>
              <w:t xml:space="preserve">　</w:t>
            </w:r>
            <w:r w:rsidRPr="001777F5">
              <w:rPr>
                <w:rFonts w:cstheme="minorHAnsi"/>
                <w:b/>
                <w:bCs w:val="0"/>
                <w:color w:val="000000"/>
                <w:w w:val="23"/>
                <w:szCs w:val="20"/>
                <w:shd w:val="solid" w:color="000000" w:fill="000000"/>
                <w:fitText w:val="105" w:id="-1168281848"/>
                <w14:textFill>
                  <w14:solidFill>
                    <w14:srgbClr w14:val="000000">
                      <w14:alpha w14:val="100000"/>
                    </w14:srgbClr>
                  </w14:solidFill>
                </w14:textFill>
              </w:rPr>
              <w:t>|</w:t>
            </w:r>
            <w:r w:rsidRPr="001777F5">
              <w:rPr>
                <w:rFonts w:cstheme="minorHAnsi" w:hint="eastAsia"/>
                <w:b/>
                <w:bCs w:val="0"/>
                <w:color w:val="000000"/>
                <w:spacing w:val="3"/>
                <w:w w:val="23"/>
                <w:szCs w:val="20"/>
                <w:shd w:val="solid" w:color="000000" w:fill="000000"/>
                <w:fitText w:val="105" w:id="-1168281848"/>
                <w14:textFill>
                  <w14:solidFill>
                    <w14:srgbClr w14:val="000000">
                      <w14:alpha w14:val="100000"/>
                    </w14:srgbClr>
                  </w14:solidFill>
                </w14:textFill>
              </w:rPr>
              <w:t xml:space="preserve">　</w:t>
            </w:r>
            <w:r w:rsidR="00227288">
              <w:rPr>
                <w:vertAlign w:val="superscript"/>
              </w:rPr>
              <w:t>9</w:t>
            </w:r>
          </w:p>
        </w:tc>
        <w:tc>
          <w:tcPr>
            <w:tcW w:w="529" w:type="pct"/>
            <w:tcBorders>
              <w:bottom w:val="single" w:sz="4" w:space="0" w:color="auto"/>
            </w:tcBorders>
            <w:vAlign w:val="center"/>
          </w:tcPr>
          <w:p w14:paraId="7DF4BF49" w14:textId="026BFC86" w:rsidR="00E2343C" w:rsidRPr="00227288" w:rsidRDefault="006F55C1" w:rsidP="00E2343C">
            <w:pPr>
              <w:pStyle w:val="TableText0"/>
              <w:snapToGrid w:val="0"/>
              <w:jc w:val="center"/>
              <w:rPr>
                <w:rFonts w:cstheme="minorHAnsi"/>
                <w:b/>
                <w:bCs w:val="0"/>
                <w:color w:val="FF0000"/>
                <w:szCs w:val="20"/>
                <w:highlight w:val="darkGray"/>
              </w:rPr>
            </w:pPr>
            <w:r w:rsidRPr="006F55C1">
              <w:rPr>
                <w:rFonts w:cstheme="minorHAnsi" w:hint="eastAsia"/>
                <w:b/>
                <w:bCs w:val="0"/>
                <w:color w:val="000000"/>
                <w:w w:val="16"/>
                <w:szCs w:val="20"/>
                <w:shd w:val="solid" w:color="000000" w:fill="000000"/>
                <w:fitText w:val="75" w:id="-1168281847"/>
                <w14:textFill>
                  <w14:solidFill>
                    <w14:srgbClr w14:val="000000">
                      <w14:alpha w14:val="100000"/>
                    </w14:srgbClr>
                  </w14:solidFill>
                </w14:textFill>
              </w:rPr>
              <w:t xml:space="preserve">　</w:t>
            </w:r>
            <w:r w:rsidRPr="006F55C1">
              <w:rPr>
                <w:rFonts w:cstheme="minorHAnsi"/>
                <w:b/>
                <w:bCs w:val="0"/>
                <w:color w:val="000000"/>
                <w:w w:val="16"/>
                <w:szCs w:val="20"/>
                <w:shd w:val="solid" w:color="000000" w:fill="000000"/>
                <w:fitText w:val="75" w:id="-1168281847"/>
                <w14:textFill>
                  <w14:solidFill>
                    <w14:srgbClr w14:val="000000">
                      <w14:alpha w14:val="100000"/>
                    </w14:srgbClr>
                  </w14:solidFill>
                </w14:textFill>
              </w:rPr>
              <w:t>|</w:t>
            </w:r>
            <w:r w:rsidRPr="006F55C1">
              <w:rPr>
                <w:rFonts w:cstheme="minorHAnsi" w:hint="eastAsia"/>
                <w:b/>
                <w:bCs w:val="0"/>
                <w:color w:val="000000"/>
                <w:spacing w:val="5"/>
                <w:w w:val="16"/>
                <w:szCs w:val="20"/>
                <w:shd w:val="solid" w:color="000000" w:fill="000000"/>
                <w:fitText w:val="75" w:id="-1168281847"/>
                <w14:textFill>
                  <w14:solidFill>
                    <w14:srgbClr w14:val="000000">
                      <w14:alpha w14:val="100000"/>
                    </w14:srgbClr>
                  </w14:solidFill>
                </w14:textFill>
              </w:rPr>
              <w:t xml:space="preserve">　</w:t>
            </w:r>
            <w:r w:rsidR="00227288">
              <w:rPr>
                <w:vertAlign w:val="superscript"/>
              </w:rPr>
              <w:t>9</w:t>
            </w:r>
          </w:p>
        </w:tc>
        <w:tc>
          <w:tcPr>
            <w:tcW w:w="528" w:type="pct"/>
            <w:tcBorders>
              <w:bottom w:val="single" w:sz="4" w:space="0" w:color="auto"/>
            </w:tcBorders>
            <w:vAlign w:val="center"/>
          </w:tcPr>
          <w:p w14:paraId="315B4E7A" w14:textId="154D52C6" w:rsidR="00E2343C" w:rsidRPr="00227288" w:rsidRDefault="006F55C1" w:rsidP="00E2343C">
            <w:pPr>
              <w:pStyle w:val="TableText0"/>
              <w:snapToGrid w:val="0"/>
              <w:jc w:val="center"/>
              <w:rPr>
                <w:rFonts w:cstheme="minorHAnsi"/>
                <w:b/>
                <w:bCs w:val="0"/>
                <w:color w:val="FF0000"/>
                <w:szCs w:val="20"/>
                <w:highlight w:val="darkGray"/>
              </w:rPr>
            </w:pPr>
            <w:r w:rsidRPr="006F55C1">
              <w:rPr>
                <w:rFonts w:cstheme="minorHAnsi" w:hint="eastAsia"/>
                <w:b/>
                <w:bCs w:val="0"/>
                <w:color w:val="000000"/>
                <w:w w:val="16"/>
                <w:szCs w:val="20"/>
                <w:shd w:val="solid" w:color="000000" w:fill="000000"/>
                <w:fitText w:val="75" w:id="-1168281846"/>
                <w14:textFill>
                  <w14:solidFill>
                    <w14:srgbClr w14:val="000000">
                      <w14:alpha w14:val="100000"/>
                    </w14:srgbClr>
                  </w14:solidFill>
                </w14:textFill>
              </w:rPr>
              <w:t xml:space="preserve">　</w:t>
            </w:r>
            <w:r w:rsidRPr="006F55C1">
              <w:rPr>
                <w:rFonts w:cstheme="minorHAnsi"/>
                <w:b/>
                <w:bCs w:val="0"/>
                <w:color w:val="000000"/>
                <w:w w:val="16"/>
                <w:szCs w:val="20"/>
                <w:shd w:val="solid" w:color="000000" w:fill="000000"/>
                <w:fitText w:val="75" w:id="-1168281846"/>
                <w14:textFill>
                  <w14:solidFill>
                    <w14:srgbClr w14:val="000000">
                      <w14:alpha w14:val="100000"/>
                    </w14:srgbClr>
                  </w14:solidFill>
                </w14:textFill>
              </w:rPr>
              <w:t>|</w:t>
            </w:r>
            <w:r w:rsidRPr="006F55C1">
              <w:rPr>
                <w:rFonts w:cstheme="minorHAnsi" w:hint="eastAsia"/>
                <w:b/>
                <w:bCs w:val="0"/>
                <w:color w:val="000000"/>
                <w:spacing w:val="5"/>
                <w:w w:val="16"/>
                <w:szCs w:val="20"/>
                <w:shd w:val="solid" w:color="000000" w:fill="000000"/>
                <w:fitText w:val="75" w:id="-1168281846"/>
                <w14:textFill>
                  <w14:solidFill>
                    <w14:srgbClr w14:val="000000">
                      <w14:alpha w14:val="100000"/>
                    </w14:srgbClr>
                  </w14:solidFill>
                </w14:textFill>
              </w:rPr>
              <w:t xml:space="preserve">　</w:t>
            </w:r>
            <w:r w:rsidR="00227288">
              <w:rPr>
                <w:vertAlign w:val="superscript"/>
              </w:rPr>
              <w:t>5</w:t>
            </w:r>
          </w:p>
        </w:tc>
        <w:tc>
          <w:tcPr>
            <w:tcW w:w="527" w:type="pct"/>
            <w:tcBorders>
              <w:bottom w:val="single" w:sz="4" w:space="0" w:color="auto"/>
            </w:tcBorders>
            <w:vAlign w:val="center"/>
          </w:tcPr>
          <w:p w14:paraId="16DE7B02" w14:textId="6AF52604" w:rsidR="00E2343C" w:rsidRPr="00227288" w:rsidRDefault="006F55C1" w:rsidP="00E2343C">
            <w:pPr>
              <w:pStyle w:val="TableText0"/>
              <w:snapToGrid w:val="0"/>
              <w:jc w:val="center"/>
              <w:rPr>
                <w:rFonts w:cstheme="minorHAnsi"/>
                <w:b/>
                <w:bCs w:val="0"/>
                <w:color w:val="FF0000"/>
                <w:szCs w:val="20"/>
                <w:highlight w:val="darkGray"/>
              </w:rPr>
            </w:pPr>
            <w:r w:rsidRPr="006F55C1">
              <w:rPr>
                <w:rFonts w:cstheme="minorHAnsi" w:hint="eastAsia"/>
                <w:b/>
                <w:bCs w:val="0"/>
                <w:color w:val="000000"/>
                <w:w w:val="16"/>
                <w:szCs w:val="20"/>
                <w:shd w:val="solid" w:color="000000" w:fill="000000"/>
                <w:fitText w:val="75" w:id="-1168281845"/>
                <w14:textFill>
                  <w14:solidFill>
                    <w14:srgbClr w14:val="000000">
                      <w14:alpha w14:val="100000"/>
                    </w14:srgbClr>
                  </w14:solidFill>
                </w14:textFill>
              </w:rPr>
              <w:t xml:space="preserve">　</w:t>
            </w:r>
            <w:r w:rsidRPr="006F55C1">
              <w:rPr>
                <w:rFonts w:cstheme="minorHAnsi"/>
                <w:b/>
                <w:bCs w:val="0"/>
                <w:color w:val="000000"/>
                <w:w w:val="16"/>
                <w:szCs w:val="20"/>
                <w:shd w:val="solid" w:color="000000" w:fill="000000"/>
                <w:fitText w:val="75" w:id="-1168281845"/>
                <w14:textFill>
                  <w14:solidFill>
                    <w14:srgbClr w14:val="000000">
                      <w14:alpha w14:val="100000"/>
                    </w14:srgbClr>
                  </w14:solidFill>
                </w14:textFill>
              </w:rPr>
              <w:t>|</w:t>
            </w:r>
            <w:r w:rsidRPr="006F55C1">
              <w:rPr>
                <w:rFonts w:cstheme="minorHAnsi" w:hint="eastAsia"/>
                <w:b/>
                <w:bCs w:val="0"/>
                <w:color w:val="000000"/>
                <w:spacing w:val="5"/>
                <w:w w:val="16"/>
                <w:szCs w:val="20"/>
                <w:shd w:val="solid" w:color="000000" w:fill="000000"/>
                <w:fitText w:val="75" w:id="-1168281845"/>
                <w14:textFill>
                  <w14:solidFill>
                    <w14:srgbClr w14:val="000000">
                      <w14:alpha w14:val="100000"/>
                    </w14:srgbClr>
                  </w14:solidFill>
                </w14:textFill>
              </w:rPr>
              <w:t xml:space="preserve">　</w:t>
            </w:r>
            <w:r w:rsidR="00227288">
              <w:rPr>
                <w:vertAlign w:val="superscript"/>
              </w:rPr>
              <w:t>5</w:t>
            </w:r>
          </w:p>
        </w:tc>
        <w:tc>
          <w:tcPr>
            <w:tcW w:w="527" w:type="pct"/>
            <w:tcBorders>
              <w:bottom w:val="single" w:sz="4" w:space="0" w:color="auto"/>
            </w:tcBorders>
            <w:vAlign w:val="center"/>
          </w:tcPr>
          <w:p w14:paraId="7021C9A6" w14:textId="1845519F" w:rsidR="00E2343C" w:rsidRPr="00227288" w:rsidRDefault="006F55C1" w:rsidP="00E2343C">
            <w:pPr>
              <w:pStyle w:val="TableText0"/>
              <w:snapToGrid w:val="0"/>
              <w:jc w:val="center"/>
              <w:rPr>
                <w:rFonts w:cstheme="minorHAnsi"/>
                <w:b/>
                <w:bCs w:val="0"/>
                <w:color w:val="FF0000"/>
                <w:szCs w:val="20"/>
                <w:highlight w:val="darkGray"/>
              </w:rPr>
            </w:pPr>
            <w:r w:rsidRPr="001777F5">
              <w:rPr>
                <w:rFonts w:cstheme="minorHAnsi" w:hint="eastAsia"/>
                <w:b/>
                <w:bCs w:val="0"/>
                <w:color w:val="000000"/>
                <w:w w:val="15"/>
                <w:szCs w:val="20"/>
                <w:shd w:val="solid" w:color="000000" w:fill="000000"/>
                <w:fitText w:val="60" w:id="-1168281844"/>
                <w14:textFill>
                  <w14:solidFill>
                    <w14:srgbClr w14:val="000000">
                      <w14:alpha w14:val="100000"/>
                    </w14:srgbClr>
                  </w14:solidFill>
                </w14:textFill>
              </w:rPr>
              <w:t xml:space="preserve">　</w:t>
            </w:r>
            <w:r w:rsidRPr="001777F5">
              <w:rPr>
                <w:rFonts w:cstheme="minorHAnsi"/>
                <w:b/>
                <w:bCs w:val="0"/>
                <w:color w:val="000000"/>
                <w:w w:val="15"/>
                <w:szCs w:val="20"/>
                <w:shd w:val="solid" w:color="000000" w:fill="000000"/>
                <w:fitText w:val="60" w:id="-1168281844"/>
                <w14:textFill>
                  <w14:solidFill>
                    <w14:srgbClr w14:val="000000">
                      <w14:alpha w14:val="100000"/>
                    </w14:srgbClr>
                  </w14:solidFill>
                </w14:textFill>
              </w:rPr>
              <w:t>|</w:t>
            </w:r>
            <w:r w:rsidRPr="001777F5">
              <w:rPr>
                <w:rFonts w:cstheme="minorHAnsi" w:hint="eastAsia"/>
                <w:b/>
                <w:bCs w:val="0"/>
                <w:color w:val="000000"/>
                <w:spacing w:val="-15"/>
                <w:w w:val="15"/>
                <w:szCs w:val="20"/>
                <w:shd w:val="solid" w:color="000000" w:fill="000000"/>
                <w:fitText w:val="60" w:id="-1168281844"/>
                <w14:textFill>
                  <w14:solidFill>
                    <w14:srgbClr w14:val="000000">
                      <w14:alpha w14:val="100000"/>
                    </w14:srgbClr>
                  </w14:solidFill>
                </w14:textFill>
              </w:rPr>
              <w:t xml:space="preserve">　</w:t>
            </w:r>
            <w:r w:rsidR="00227288">
              <w:rPr>
                <w:vertAlign w:val="superscript"/>
              </w:rPr>
              <w:t>5</w:t>
            </w:r>
          </w:p>
        </w:tc>
        <w:tc>
          <w:tcPr>
            <w:tcW w:w="514" w:type="pct"/>
            <w:tcBorders>
              <w:bottom w:val="single" w:sz="4" w:space="0" w:color="auto"/>
            </w:tcBorders>
            <w:vAlign w:val="center"/>
          </w:tcPr>
          <w:p w14:paraId="5B41E1E9" w14:textId="7659F0B5" w:rsidR="00E2343C" w:rsidRPr="00227288" w:rsidRDefault="006F55C1" w:rsidP="00E2343C">
            <w:pPr>
              <w:pStyle w:val="TableText0"/>
              <w:snapToGrid w:val="0"/>
              <w:jc w:val="center"/>
              <w:rPr>
                <w:rFonts w:cstheme="minorHAnsi"/>
                <w:b/>
                <w:bCs w:val="0"/>
                <w:color w:val="FF0000"/>
                <w:szCs w:val="20"/>
                <w:highlight w:val="darkGray"/>
              </w:rPr>
            </w:pPr>
            <w:r w:rsidRPr="006F55C1">
              <w:rPr>
                <w:rFonts w:cstheme="minorHAnsi" w:hint="eastAsia"/>
                <w:b/>
                <w:bCs w:val="0"/>
                <w:color w:val="000000"/>
                <w:w w:val="16"/>
                <w:szCs w:val="20"/>
                <w:shd w:val="solid" w:color="000000" w:fill="000000"/>
                <w:fitText w:val="75" w:id="-1168281843"/>
                <w14:textFill>
                  <w14:solidFill>
                    <w14:srgbClr w14:val="000000">
                      <w14:alpha w14:val="100000"/>
                    </w14:srgbClr>
                  </w14:solidFill>
                </w14:textFill>
              </w:rPr>
              <w:t xml:space="preserve">　</w:t>
            </w:r>
            <w:r w:rsidRPr="006F55C1">
              <w:rPr>
                <w:rFonts w:cstheme="minorHAnsi"/>
                <w:b/>
                <w:bCs w:val="0"/>
                <w:color w:val="000000"/>
                <w:w w:val="16"/>
                <w:szCs w:val="20"/>
                <w:shd w:val="solid" w:color="000000" w:fill="000000"/>
                <w:fitText w:val="75" w:id="-1168281843"/>
                <w14:textFill>
                  <w14:solidFill>
                    <w14:srgbClr w14:val="000000">
                      <w14:alpha w14:val="100000"/>
                    </w14:srgbClr>
                  </w14:solidFill>
                </w14:textFill>
              </w:rPr>
              <w:t>|</w:t>
            </w:r>
            <w:r w:rsidRPr="006F55C1">
              <w:rPr>
                <w:rFonts w:cstheme="minorHAnsi" w:hint="eastAsia"/>
                <w:b/>
                <w:bCs w:val="0"/>
                <w:color w:val="000000"/>
                <w:spacing w:val="5"/>
                <w:w w:val="16"/>
                <w:szCs w:val="20"/>
                <w:shd w:val="solid" w:color="000000" w:fill="000000"/>
                <w:fitText w:val="75" w:id="-1168281843"/>
                <w14:textFill>
                  <w14:solidFill>
                    <w14:srgbClr w14:val="000000">
                      <w14:alpha w14:val="100000"/>
                    </w14:srgbClr>
                  </w14:solidFill>
                </w14:textFill>
              </w:rPr>
              <w:t xml:space="preserve">　</w:t>
            </w:r>
            <w:r w:rsidR="00227288">
              <w:rPr>
                <w:vertAlign w:val="superscript"/>
              </w:rPr>
              <w:t>5</w:t>
            </w:r>
          </w:p>
        </w:tc>
      </w:tr>
      <w:tr w:rsidR="00FA1535" w:rsidRPr="00E74297" w14:paraId="57D3D369" w14:textId="77777777" w:rsidTr="00FA1535">
        <w:tc>
          <w:tcPr>
            <w:tcW w:w="1841" w:type="pct"/>
            <w:tcBorders>
              <w:right w:val="nil"/>
            </w:tcBorders>
          </w:tcPr>
          <w:p w14:paraId="19066B78" w14:textId="0BF4A3C6" w:rsidR="00825DA6" w:rsidRPr="00E74297" w:rsidRDefault="00825DA6" w:rsidP="00EA2DE8">
            <w:pPr>
              <w:pStyle w:val="TableText0"/>
              <w:snapToGrid w:val="0"/>
              <w:rPr>
                <w:rFonts w:cstheme="minorHAnsi"/>
                <w:b/>
                <w:bCs w:val="0"/>
                <w:szCs w:val="20"/>
              </w:rPr>
            </w:pPr>
            <w:r w:rsidRPr="00E74297">
              <w:rPr>
                <w:b/>
                <w:bCs w:val="0"/>
                <w:szCs w:val="20"/>
              </w:rPr>
              <w:t>Net costs – including wastage</w:t>
            </w:r>
          </w:p>
        </w:tc>
        <w:tc>
          <w:tcPr>
            <w:tcW w:w="533" w:type="pct"/>
            <w:tcBorders>
              <w:left w:val="nil"/>
              <w:right w:val="nil"/>
            </w:tcBorders>
            <w:vAlign w:val="center"/>
          </w:tcPr>
          <w:p w14:paraId="26559E55" w14:textId="77777777" w:rsidR="00825DA6" w:rsidRPr="00E74297" w:rsidRDefault="00825DA6" w:rsidP="00E2343C">
            <w:pPr>
              <w:pStyle w:val="TableText0"/>
              <w:snapToGrid w:val="0"/>
              <w:jc w:val="center"/>
              <w:rPr>
                <w:rFonts w:cstheme="minorHAnsi"/>
                <w:b/>
                <w:bCs w:val="0"/>
                <w:szCs w:val="20"/>
              </w:rPr>
            </w:pPr>
          </w:p>
        </w:tc>
        <w:tc>
          <w:tcPr>
            <w:tcW w:w="529" w:type="pct"/>
            <w:tcBorders>
              <w:left w:val="nil"/>
              <w:right w:val="nil"/>
            </w:tcBorders>
            <w:vAlign w:val="center"/>
          </w:tcPr>
          <w:p w14:paraId="3DA7DE26" w14:textId="77777777" w:rsidR="00825DA6" w:rsidRPr="00E74297" w:rsidRDefault="00825DA6" w:rsidP="00E2343C">
            <w:pPr>
              <w:pStyle w:val="TableText0"/>
              <w:snapToGrid w:val="0"/>
              <w:jc w:val="center"/>
              <w:rPr>
                <w:rFonts w:cstheme="minorHAnsi"/>
                <w:b/>
                <w:bCs w:val="0"/>
                <w:szCs w:val="20"/>
              </w:rPr>
            </w:pPr>
          </w:p>
        </w:tc>
        <w:tc>
          <w:tcPr>
            <w:tcW w:w="528" w:type="pct"/>
            <w:tcBorders>
              <w:left w:val="nil"/>
              <w:right w:val="nil"/>
            </w:tcBorders>
            <w:vAlign w:val="center"/>
          </w:tcPr>
          <w:p w14:paraId="6C022547" w14:textId="77777777" w:rsidR="00825DA6" w:rsidRPr="00E74297" w:rsidRDefault="00825DA6" w:rsidP="00E2343C">
            <w:pPr>
              <w:pStyle w:val="TableText0"/>
              <w:snapToGrid w:val="0"/>
              <w:jc w:val="center"/>
              <w:rPr>
                <w:rFonts w:cstheme="minorHAnsi"/>
                <w:b/>
                <w:bCs w:val="0"/>
                <w:szCs w:val="20"/>
              </w:rPr>
            </w:pPr>
          </w:p>
        </w:tc>
        <w:tc>
          <w:tcPr>
            <w:tcW w:w="527" w:type="pct"/>
            <w:tcBorders>
              <w:left w:val="nil"/>
              <w:right w:val="nil"/>
            </w:tcBorders>
            <w:vAlign w:val="center"/>
          </w:tcPr>
          <w:p w14:paraId="295D0DF4" w14:textId="77777777" w:rsidR="00825DA6" w:rsidRPr="00E74297" w:rsidRDefault="00825DA6" w:rsidP="00E2343C">
            <w:pPr>
              <w:pStyle w:val="TableText0"/>
              <w:snapToGrid w:val="0"/>
              <w:jc w:val="center"/>
              <w:rPr>
                <w:rFonts w:cstheme="minorHAnsi"/>
                <w:b/>
                <w:bCs w:val="0"/>
                <w:szCs w:val="20"/>
              </w:rPr>
            </w:pPr>
          </w:p>
        </w:tc>
        <w:tc>
          <w:tcPr>
            <w:tcW w:w="527" w:type="pct"/>
            <w:tcBorders>
              <w:left w:val="nil"/>
              <w:right w:val="nil"/>
            </w:tcBorders>
            <w:vAlign w:val="center"/>
          </w:tcPr>
          <w:p w14:paraId="71ED188A" w14:textId="77777777" w:rsidR="00825DA6" w:rsidRPr="00E74297" w:rsidRDefault="00825DA6" w:rsidP="00E2343C">
            <w:pPr>
              <w:pStyle w:val="TableText0"/>
              <w:snapToGrid w:val="0"/>
              <w:jc w:val="center"/>
              <w:rPr>
                <w:rFonts w:cstheme="minorHAnsi"/>
                <w:b/>
                <w:bCs w:val="0"/>
                <w:szCs w:val="20"/>
              </w:rPr>
            </w:pPr>
          </w:p>
        </w:tc>
        <w:tc>
          <w:tcPr>
            <w:tcW w:w="514" w:type="pct"/>
            <w:tcBorders>
              <w:left w:val="nil"/>
            </w:tcBorders>
            <w:vAlign w:val="center"/>
          </w:tcPr>
          <w:p w14:paraId="2FD34A3D" w14:textId="77777777" w:rsidR="00825DA6" w:rsidRPr="00E74297" w:rsidRDefault="00825DA6" w:rsidP="00E2343C">
            <w:pPr>
              <w:pStyle w:val="TableText0"/>
              <w:snapToGrid w:val="0"/>
              <w:jc w:val="center"/>
              <w:rPr>
                <w:rFonts w:cstheme="minorHAnsi"/>
                <w:b/>
                <w:bCs w:val="0"/>
                <w:szCs w:val="20"/>
              </w:rPr>
            </w:pPr>
          </w:p>
        </w:tc>
      </w:tr>
      <w:tr w:rsidR="00FA1535" w:rsidRPr="00E74297" w14:paraId="4230095A" w14:textId="77777777" w:rsidTr="00FA1535">
        <w:tc>
          <w:tcPr>
            <w:tcW w:w="1841" w:type="pct"/>
          </w:tcPr>
          <w:p w14:paraId="7D6FB849" w14:textId="0C8CA731" w:rsidR="00727224" w:rsidRPr="00E74297" w:rsidRDefault="00727224" w:rsidP="00727224">
            <w:pPr>
              <w:pStyle w:val="TableText0"/>
              <w:snapToGrid w:val="0"/>
              <w:rPr>
                <w:rFonts w:cstheme="minorHAnsi"/>
                <w:b/>
                <w:bCs w:val="0"/>
                <w:szCs w:val="20"/>
              </w:rPr>
            </w:pPr>
            <w:r w:rsidRPr="00E74297">
              <w:t>Cost to the PBS/RPBS of SG</w:t>
            </w:r>
            <w:r w:rsidRPr="00E74297">
              <w:rPr>
                <w:vertAlign w:val="superscript"/>
              </w:rPr>
              <w:t>b</w:t>
            </w:r>
            <w:r w:rsidR="00B321E1" w:rsidRPr="00E74297">
              <w:rPr>
                <w:vertAlign w:val="superscript"/>
              </w:rPr>
              <w:t xml:space="preserve"> </w:t>
            </w:r>
            <w:r w:rsidR="00B321E1" w:rsidRPr="00E74297">
              <w:t>(incl. wastage)</w:t>
            </w:r>
          </w:p>
        </w:tc>
        <w:tc>
          <w:tcPr>
            <w:tcW w:w="533" w:type="pct"/>
          </w:tcPr>
          <w:p w14:paraId="41FDB371" w14:textId="7F9A5E40" w:rsidR="00727224" w:rsidRPr="00227288" w:rsidRDefault="006F55C1" w:rsidP="00727224">
            <w:pPr>
              <w:pStyle w:val="TableText0"/>
              <w:snapToGrid w:val="0"/>
              <w:jc w:val="center"/>
              <w:rPr>
                <w:rFonts w:cstheme="minorHAnsi"/>
                <w:b/>
                <w:bCs w:val="0"/>
                <w:szCs w:val="20"/>
                <w:highlight w:val="darkGray"/>
              </w:rPr>
            </w:pPr>
            <w:r w:rsidRPr="001777F5">
              <w:rPr>
                <w:rFonts w:hint="eastAsia"/>
                <w:color w:val="000000"/>
                <w:w w:val="15"/>
                <w:shd w:val="solid" w:color="000000" w:fill="000000"/>
                <w:fitText w:val="60" w:id="-1168281842"/>
                <w14:textFill>
                  <w14:solidFill>
                    <w14:srgbClr w14:val="000000">
                      <w14:alpha w14:val="100000"/>
                    </w14:srgbClr>
                  </w14:solidFill>
                </w14:textFill>
              </w:rPr>
              <w:t xml:space="preserve">　</w:t>
            </w:r>
            <w:r w:rsidRPr="001777F5">
              <w:rPr>
                <w:color w:val="000000"/>
                <w:w w:val="15"/>
                <w:shd w:val="solid" w:color="000000" w:fill="000000"/>
                <w:fitText w:val="60" w:id="-1168281842"/>
                <w14:textFill>
                  <w14:solidFill>
                    <w14:srgbClr w14:val="000000">
                      <w14:alpha w14:val="100000"/>
                    </w14:srgbClr>
                  </w14:solidFill>
                </w14:textFill>
              </w:rPr>
              <w:t>|</w:t>
            </w:r>
            <w:r w:rsidRPr="001777F5">
              <w:rPr>
                <w:rFonts w:hint="eastAsia"/>
                <w:color w:val="000000"/>
                <w:spacing w:val="-15"/>
                <w:w w:val="15"/>
                <w:shd w:val="solid" w:color="000000" w:fill="000000"/>
                <w:fitText w:val="60" w:id="-1168281842"/>
                <w14:textFill>
                  <w14:solidFill>
                    <w14:srgbClr w14:val="000000">
                      <w14:alpha w14:val="100000"/>
                    </w14:srgbClr>
                  </w14:solidFill>
                </w14:textFill>
              </w:rPr>
              <w:t xml:space="preserve">　</w:t>
            </w:r>
            <w:r w:rsidR="00227288">
              <w:rPr>
                <w:vertAlign w:val="superscript"/>
              </w:rPr>
              <w:t>7</w:t>
            </w:r>
          </w:p>
        </w:tc>
        <w:tc>
          <w:tcPr>
            <w:tcW w:w="529" w:type="pct"/>
          </w:tcPr>
          <w:p w14:paraId="3CD9D7AF" w14:textId="2C9E37C6" w:rsidR="00727224" w:rsidRPr="00227288" w:rsidRDefault="006F55C1" w:rsidP="00727224">
            <w:pPr>
              <w:pStyle w:val="TableText0"/>
              <w:snapToGrid w:val="0"/>
              <w:jc w:val="center"/>
              <w:rPr>
                <w:rFonts w:cstheme="minorHAnsi"/>
                <w:b/>
                <w:bCs w:val="0"/>
                <w:szCs w:val="20"/>
                <w:highlight w:val="darkGray"/>
              </w:rPr>
            </w:pPr>
            <w:r w:rsidRPr="001777F5">
              <w:rPr>
                <w:rFonts w:hint="eastAsia"/>
                <w:color w:val="000000"/>
                <w:w w:val="15"/>
                <w:shd w:val="solid" w:color="000000" w:fill="000000"/>
                <w:fitText w:val="45" w:id="-1168281841"/>
                <w14:textFill>
                  <w14:solidFill>
                    <w14:srgbClr w14:val="000000">
                      <w14:alpha w14:val="100000"/>
                    </w14:srgbClr>
                  </w14:solidFill>
                </w14:textFill>
              </w:rPr>
              <w:t xml:space="preserve">　</w:t>
            </w:r>
            <w:r w:rsidRPr="001777F5">
              <w:rPr>
                <w:color w:val="000000"/>
                <w:w w:val="15"/>
                <w:shd w:val="solid" w:color="000000" w:fill="000000"/>
                <w:fitText w:val="45" w:id="-1168281841"/>
                <w14:textFill>
                  <w14:solidFill>
                    <w14:srgbClr w14:val="000000">
                      <w14:alpha w14:val="100000"/>
                    </w14:srgbClr>
                  </w14:solidFill>
                </w14:textFill>
              </w:rPr>
              <w:t>|</w:t>
            </w:r>
            <w:r w:rsidRPr="001777F5">
              <w:rPr>
                <w:rFonts w:hint="eastAsia"/>
                <w:color w:val="000000"/>
                <w:spacing w:val="-30"/>
                <w:w w:val="15"/>
                <w:shd w:val="solid" w:color="000000" w:fill="000000"/>
                <w:fitText w:val="45" w:id="-1168281841"/>
                <w14:textFill>
                  <w14:solidFill>
                    <w14:srgbClr w14:val="000000">
                      <w14:alpha w14:val="100000"/>
                    </w14:srgbClr>
                  </w14:solidFill>
                </w14:textFill>
              </w:rPr>
              <w:t xml:space="preserve">　</w:t>
            </w:r>
            <w:r w:rsidR="00227288">
              <w:rPr>
                <w:vertAlign w:val="superscript"/>
              </w:rPr>
              <w:t>7</w:t>
            </w:r>
          </w:p>
        </w:tc>
        <w:tc>
          <w:tcPr>
            <w:tcW w:w="528" w:type="pct"/>
          </w:tcPr>
          <w:p w14:paraId="0C34220E" w14:textId="2012757C" w:rsidR="00727224" w:rsidRPr="00227288" w:rsidRDefault="006F55C1" w:rsidP="00727224">
            <w:pPr>
              <w:pStyle w:val="TableText0"/>
              <w:snapToGrid w:val="0"/>
              <w:jc w:val="center"/>
              <w:rPr>
                <w:rFonts w:cstheme="minorHAnsi"/>
                <w:b/>
                <w:bCs w:val="0"/>
                <w:szCs w:val="20"/>
                <w:highlight w:val="darkGray"/>
              </w:rPr>
            </w:pPr>
            <w:r w:rsidRPr="006F55C1">
              <w:rPr>
                <w:rFonts w:hint="eastAsia"/>
                <w:color w:val="000000"/>
                <w:w w:val="16"/>
                <w:shd w:val="solid" w:color="000000" w:fill="000000"/>
                <w:fitText w:val="75" w:id="-1168281840"/>
                <w14:textFill>
                  <w14:solidFill>
                    <w14:srgbClr w14:val="000000">
                      <w14:alpha w14:val="100000"/>
                    </w14:srgbClr>
                  </w14:solidFill>
                </w14:textFill>
              </w:rPr>
              <w:t xml:space="preserve">　</w:t>
            </w:r>
            <w:r w:rsidRPr="006F55C1">
              <w:rPr>
                <w:color w:val="000000"/>
                <w:w w:val="16"/>
                <w:shd w:val="solid" w:color="000000" w:fill="000000"/>
                <w:fitText w:val="75" w:id="-1168281840"/>
                <w14:textFill>
                  <w14:solidFill>
                    <w14:srgbClr w14:val="000000">
                      <w14:alpha w14:val="100000"/>
                    </w14:srgbClr>
                  </w14:solidFill>
                </w14:textFill>
              </w:rPr>
              <w:t>|</w:t>
            </w:r>
            <w:r w:rsidRPr="006F55C1">
              <w:rPr>
                <w:rFonts w:hint="eastAsia"/>
                <w:color w:val="000000"/>
                <w:spacing w:val="5"/>
                <w:w w:val="16"/>
                <w:shd w:val="solid" w:color="000000" w:fill="000000"/>
                <w:fitText w:val="75" w:id="-1168281840"/>
                <w14:textFill>
                  <w14:solidFill>
                    <w14:srgbClr w14:val="000000">
                      <w14:alpha w14:val="100000"/>
                    </w14:srgbClr>
                  </w14:solidFill>
                </w14:textFill>
              </w:rPr>
              <w:t xml:space="preserve">　</w:t>
            </w:r>
            <w:r w:rsidR="00227288">
              <w:rPr>
                <w:vertAlign w:val="superscript"/>
              </w:rPr>
              <w:t>10</w:t>
            </w:r>
          </w:p>
        </w:tc>
        <w:tc>
          <w:tcPr>
            <w:tcW w:w="527" w:type="pct"/>
          </w:tcPr>
          <w:p w14:paraId="470B1F85" w14:textId="059C6B8A" w:rsidR="00727224" w:rsidRPr="00227288" w:rsidRDefault="006F55C1" w:rsidP="00727224">
            <w:pPr>
              <w:pStyle w:val="TableText0"/>
              <w:snapToGrid w:val="0"/>
              <w:jc w:val="center"/>
              <w:rPr>
                <w:rFonts w:cstheme="minorHAnsi"/>
                <w:b/>
                <w:bCs w:val="0"/>
                <w:szCs w:val="20"/>
                <w:highlight w:val="darkGray"/>
              </w:rPr>
            </w:pPr>
            <w:r w:rsidRPr="001777F5">
              <w:rPr>
                <w:rFonts w:hint="eastAsia"/>
                <w:color w:val="000000"/>
                <w:w w:val="15"/>
                <w:shd w:val="solid" w:color="000000" w:fill="000000"/>
                <w:fitText w:val="45" w:id="-1168281856"/>
                <w14:textFill>
                  <w14:solidFill>
                    <w14:srgbClr w14:val="000000">
                      <w14:alpha w14:val="100000"/>
                    </w14:srgbClr>
                  </w14:solidFill>
                </w14:textFill>
              </w:rPr>
              <w:t xml:space="preserve">　</w:t>
            </w:r>
            <w:r w:rsidRPr="001777F5">
              <w:rPr>
                <w:color w:val="000000"/>
                <w:w w:val="15"/>
                <w:shd w:val="solid" w:color="000000" w:fill="000000"/>
                <w:fitText w:val="45" w:id="-1168281856"/>
                <w14:textFill>
                  <w14:solidFill>
                    <w14:srgbClr w14:val="000000">
                      <w14:alpha w14:val="100000"/>
                    </w14:srgbClr>
                  </w14:solidFill>
                </w14:textFill>
              </w:rPr>
              <w:t>|</w:t>
            </w:r>
            <w:r w:rsidRPr="001777F5">
              <w:rPr>
                <w:rFonts w:hint="eastAsia"/>
                <w:color w:val="000000"/>
                <w:spacing w:val="-30"/>
                <w:w w:val="15"/>
                <w:shd w:val="solid" w:color="000000" w:fill="000000"/>
                <w:fitText w:val="45" w:id="-1168281856"/>
                <w14:textFill>
                  <w14:solidFill>
                    <w14:srgbClr w14:val="000000">
                      <w14:alpha w14:val="100000"/>
                    </w14:srgbClr>
                  </w14:solidFill>
                </w14:textFill>
              </w:rPr>
              <w:t xml:space="preserve">　</w:t>
            </w:r>
            <w:r w:rsidR="00227288">
              <w:rPr>
                <w:vertAlign w:val="superscript"/>
              </w:rPr>
              <w:t>10</w:t>
            </w:r>
          </w:p>
        </w:tc>
        <w:tc>
          <w:tcPr>
            <w:tcW w:w="527" w:type="pct"/>
          </w:tcPr>
          <w:p w14:paraId="10C50025" w14:textId="1059DA85" w:rsidR="00727224" w:rsidRPr="00227288" w:rsidRDefault="006F55C1" w:rsidP="00727224">
            <w:pPr>
              <w:pStyle w:val="TableText0"/>
              <w:snapToGrid w:val="0"/>
              <w:jc w:val="center"/>
              <w:rPr>
                <w:rFonts w:cstheme="minorHAnsi"/>
                <w:b/>
                <w:bCs w:val="0"/>
                <w:szCs w:val="20"/>
                <w:highlight w:val="darkGray"/>
              </w:rPr>
            </w:pPr>
            <w:r w:rsidRPr="001777F5">
              <w:rPr>
                <w:rFonts w:hint="eastAsia"/>
                <w:color w:val="000000"/>
                <w:w w:val="15"/>
                <w:shd w:val="solid" w:color="000000" w:fill="000000"/>
                <w:fitText w:val="30" w:id="-1168281855"/>
                <w14:textFill>
                  <w14:solidFill>
                    <w14:srgbClr w14:val="000000">
                      <w14:alpha w14:val="100000"/>
                    </w14:srgbClr>
                  </w14:solidFill>
                </w14:textFill>
              </w:rPr>
              <w:t xml:space="preserve">　</w:t>
            </w:r>
            <w:r w:rsidRPr="001777F5">
              <w:rPr>
                <w:color w:val="000000"/>
                <w:w w:val="15"/>
                <w:shd w:val="solid" w:color="000000" w:fill="000000"/>
                <w:fitText w:val="30" w:id="-1168281855"/>
                <w14:textFill>
                  <w14:solidFill>
                    <w14:srgbClr w14:val="000000">
                      <w14:alpha w14:val="100000"/>
                    </w14:srgbClr>
                  </w14:solidFill>
                </w14:textFill>
              </w:rPr>
              <w:t>|</w:t>
            </w:r>
            <w:r w:rsidRPr="001777F5">
              <w:rPr>
                <w:rFonts w:hint="eastAsia"/>
                <w:color w:val="000000"/>
                <w:spacing w:val="-45"/>
                <w:w w:val="15"/>
                <w:shd w:val="solid" w:color="000000" w:fill="000000"/>
                <w:fitText w:val="30" w:id="-1168281855"/>
                <w14:textFill>
                  <w14:solidFill>
                    <w14:srgbClr w14:val="000000">
                      <w14:alpha w14:val="100000"/>
                    </w14:srgbClr>
                  </w14:solidFill>
                </w14:textFill>
              </w:rPr>
              <w:t xml:space="preserve">　</w:t>
            </w:r>
            <w:r w:rsidR="00227288">
              <w:rPr>
                <w:vertAlign w:val="superscript"/>
              </w:rPr>
              <w:t>10</w:t>
            </w:r>
          </w:p>
        </w:tc>
        <w:tc>
          <w:tcPr>
            <w:tcW w:w="514" w:type="pct"/>
          </w:tcPr>
          <w:p w14:paraId="70A34236" w14:textId="70CC89D8" w:rsidR="00727224" w:rsidRPr="00227288" w:rsidRDefault="006F55C1" w:rsidP="00727224">
            <w:pPr>
              <w:pStyle w:val="TableText0"/>
              <w:snapToGrid w:val="0"/>
              <w:jc w:val="center"/>
              <w:rPr>
                <w:rFonts w:cstheme="minorHAnsi"/>
                <w:b/>
                <w:bCs w:val="0"/>
                <w:szCs w:val="20"/>
                <w:highlight w:val="darkGray"/>
              </w:rPr>
            </w:pPr>
            <w:r w:rsidRPr="001777F5">
              <w:rPr>
                <w:rFonts w:hint="eastAsia"/>
                <w:color w:val="000000"/>
                <w:w w:val="15"/>
                <w:shd w:val="solid" w:color="000000" w:fill="000000"/>
                <w:fitText w:val="60" w:id="-1168281854"/>
                <w14:textFill>
                  <w14:solidFill>
                    <w14:srgbClr w14:val="000000">
                      <w14:alpha w14:val="100000"/>
                    </w14:srgbClr>
                  </w14:solidFill>
                </w14:textFill>
              </w:rPr>
              <w:t xml:space="preserve">　</w:t>
            </w:r>
            <w:r w:rsidRPr="001777F5">
              <w:rPr>
                <w:color w:val="000000"/>
                <w:w w:val="15"/>
                <w:shd w:val="solid" w:color="000000" w:fill="000000"/>
                <w:fitText w:val="60" w:id="-1168281854"/>
                <w14:textFill>
                  <w14:solidFill>
                    <w14:srgbClr w14:val="000000">
                      <w14:alpha w14:val="100000"/>
                    </w14:srgbClr>
                  </w14:solidFill>
                </w14:textFill>
              </w:rPr>
              <w:t>|</w:t>
            </w:r>
            <w:r w:rsidRPr="001777F5">
              <w:rPr>
                <w:rFonts w:hint="eastAsia"/>
                <w:color w:val="000000"/>
                <w:spacing w:val="-15"/>
                <w:w w:val="15"/>
                <w:shd w:val="solid" w:color="000000" w:fill="000000"/>
                <w:fitText w:val="60" w:id="-1168281854"/>
                <w14:textFill>
                  <w14:solidFill>
                    <w14:srgbClr w14:val="000000">
                      <w14:alpha w14:val="100000"/>
                    </w14:srgbClr>
                  </w14:solidFill>
                </w14:textFill>
              </w:rPr>
              <w:t xml:space="preserve">　</w:t>
            </w:r>
            <w:r w:rsidR="00227288">
              <w:rPr>
                <w:vertAlign w:val="superscript"/>
              </w:rPr>
              <w:t>10</w:t>
            </w:r>
          </w:p>
        </w:tc>
      </w:tr>
      <w:tr w:rsidR="00FA1535" w:rsidRPr="00E74297" w14:paraId="1997E8C3" w14:textId="77777777" w:rsidTr="00FA1535">
        <w:tc>
          <w:tcPr>
            <w:tcW w:w="1841" w:type="pct"/>
          </w:tcPr>
          <w:p w14:paraId="6EA2E440" w14:textId="198A0A30" w:rsidR="00727224" w:rsidRPr="00E74297" w:rsidRDefault="00727224" w:rsidP="00727224">
            <w:pPr>
              <w:pStyle w:val="TableText0"/>
              <w:snapToGrid w:val="0"/>
              <w:rPr>
                <w:rFonts w:cstheme="minorHAnsi"/>
                <w:b/>
                <w:bCs w:val="0"/>
                <w:szCs w:val="20"/>
              </w:rPr>
            </w:pPr>
            <w:r w:rsidRPr="00E74297">
              <w:t xml:space="preserve">Reduction in cost to the PBS/RPBS for affected </w:t>
            </w:r>
            <w:r w:rsidR="00272C1E" w:rsidRPr="00E74297">
              <w:t>scripts</w:t>
            </w:r>
            <w:r w:rsidR="00272C1E" w:rsidRPr="00E74297">
              <w:rPr>
                <w:vertAlign w:val="superscript"/>
              </w:rPr>
              <w:t xml:space="preserve">c </w:t>
            </w:r>
            <w:r w:rsidR="00B321E1" w:rsidRPr="00E74297">
              <w:t>(incl. wastage)</w:t>
            </w:r>
          </w:p>
        </w:tc>
        <w:tc>
          <w:tcPr>
            <w:tcW w:w="533" w:type="pct"/>
          </w:tcPr>
          <w:p w14:paraId="7A1B6814" w14:textId="28A8A8F1" w:rsidR="00727224" w:rsidRPr="00227288" w:rsidRDefault="006F55C1" w:rsidP="00727224">
            <w:pPr>
              <w:pStyle w:val="TableText0"/>
              <w:snapToGrid w:val="0"/>
              <w:jc w:val="center"/>
              <w:rPr>
                <w:rFonts w:cstheme="minorHAnsi"/>
                <w:b/>
                <w:bCs w:val="0"/>
                <w:szCs w:val="20"/>
                <w:highlight w:val="darkGray"/>
              </w:rPr>
            </w:pPr>
            <w:r w:rsidRPr="001777F5">
              <w:rPr>
                <w:rFonts w:hint="eastAsia"/>
                <w:color w:val="000000"/>
                <w:w w:val="15"/>
                <w:shd w:val="solid" w:color="000000" w:fill="000000"/>
                <w:fitText w:val="60" w:id="-1168281853"/>
                <w14:textFill>
                  <w14:solidFill>
                    <w14:srgbClr w14:val="000000">
                      <w14:alpha w14:val="100000"/>
                    </w14:srgbClr>
                  </w14:solidFill>
                </w14:textFill>
              </w:rPr>
              <w:t xml:space="preserve">　</w:t>
            </w:r>
            <w:r w:rsidRPr="001777F5">
              <w:rPr>
                <w:color w:val="000000"/>
                <w:w w:val="15"/>
                <w:shd w:val="solid" w:color="000000" w:fill="000000"/>
                <w:fitText w:val="60" w:id="-1168281853"/>
                <w14:textFill>
                  <w14:solidFill>
                    <w14:srgbClr w14:val="000000">
                      <w14:alpha w14:val="100000"/>
                    </w14:srgbClr>
                  </w14:solidFill>
                </w14:textFill>
              </w:rPr>
              <w:t>|</w:t>
            </w:r>
            <w:r w:rsidRPr="001777F5">
              <w:rPr>
                <w:rFonts w:hint="eastAsia"/>
                <w:color w:val="000000"/>
                <w:spacing w:val="-15"/>
                <w:w w:val="15"/>
                <w:shd w:val="solid" w:color="000000" w:fill="000000"/>
                <w:fitText w:val="60" w:id="-1168281853"/>
                <w14:textFill>
                  <w14:solidFill>
                    <w14:srgbClr w14:val="000000">
                      <w14:alpha w14:val="100000"/>
                    </w14:srgbClr>
                  </w14:solidFill>
                </w14:textFill>
              </w:rPr>
              <w:t xml:space="preserve">　</w:t>
            </w:r>
            <w:r w:rsidR="00227288">
              <w:rPr>
                <w:vertAlign w:val="superscript"/>
              </w:rPr>
              <w:t>8</w:t>
            </w:r>
          </w:p>
        </w:tc>
        <w:tc>
          <w:tcPr>
            <w:tcW w:w="529" w:type="pct"/>
          </w:tcPr>
          <w:p w14:paraId="0874B8C9" w14:textId="78A07BFD" w:rsidR="00727224" w:rsidRPr="00227288" w:rsidRDefault="006F55C1" w:rsidP="00727224">
            <w:pPr>
              <w:pStyle w:val="TableText0"/>
              <w:snapToGrid w:val="0"/>
              <w:jc w:val="center"/>
              <w:rPr>
                <w:rFonts w:cstheme="minorHAnsi"/>
                <w:b/>
                <w:bCs w:val="0"/>
                <w:szCs w:val="20"/>
                <w:highlight w:val="darkGray"/>
              </w:rPr>
            </w:pPr>
            <w:r w:rsidRPr="001777F5">
              <w:rPr>
                <w:rFonts w:hint="eastAsia"/>
                <w:color w:val="000000"/>
                <w:w w:val="15"/>
                <w:shd w:val="solid" w:color="000000" w:fill="000000"/>
                <w:fitText w:val="45" w:id="-1168281852"/>
                <w14:textFill>
                  <w14:solidFill>
                    <w14:srgbClr w14:val="000000">
                      <w14:alpha w14:val="100000"/>
                    </w14:srgbClr>
                  </w14:solidFill>
                </w14:textFill>
              </w:rPr>
              <w:t xml:space="preserve">　</w:t>
            </w:r>
            <w:r w:rsidRPr="001777F5">
              <w:rPr>
                <w:color w:val="000000"/>
                <w:w w:val="15"/>
                <w:shd w:val="solid" w:color="000000" w:fill="000000"/>
                <w:fitText w:val="45" w:id="-1168281852"/>
                <w14:textFill>
                  <w14:solidFill>
                    <w14:srgbClr w14:val="000000">
                      <w14:alpha w14:val="100000"/>
                    </w14:srgbClr>
                  </w14:solidFill>
                </w14:textFill>
              </w:rPr>
              <w:t>|</w:t>
            </w:r>
            <w:r w:rsidRPr="001777F5">
              <w:rPr>
                <w:rFonts w:hint="eastAsia"/>
                <w:color w:val="000000"/>
                <w:spacing w:val="-30"/>
                <w:w w:val="15"/>
                <w:shd w:val="solid" w:color="000000" w:fill="000000"/>
                <w:fitText w:val="45" w:id="-1168281852"/>
                <w14:textFill>
                  <w14:solidFill>
                    <w14:srgbClr w14:val="000000">
                      <w14:alpha w14:val="100000"/>
                    </w14:srgbClr>
                  </w14:solidFill>
                </w14:textFill>
              </w:rPr>
              <w:t xml:space="preserve">　</w:t>
            </w:r>
            <w:r w:rsidR="00227288">
              <w:rPr>
                <w:vertAlign w:val="superscript"/>
              </w:rPr>
              <w:t>8</w:t>
            </w:r>
          </w:p>
        </w:tc>
        <w:tc>
          <w:tcPr>
            <w:tcW w:w="528" w:type="pct"/>
          </w:tcPr>
          <w:p w14:paraId="00E1B1B1" w14:textId="794CA36C" w:rsidR="00727224" w:rsidRPr="00227288" w:rsidRDefault="006F55C1" w:rsidP="00727224">
            <w:pPr>
              <w:pStyle w:val="TableText0"/>
              <w:snapToGrid w:val="0"/>
              <w:jc w:val="center"/>
              <w:rPr>
                <w:rFonts w:cstheme="minorHAnsi"/>
                <w:b/>
                <w:bCs w:val="0"/>
                <w:szCs w:val="20"/>
                <w:highlight w:val="darkGray"/>
              </w:rPr>
            </w:pPr>
            <w:r w:rsidRPr="001777F5">
              <w:rPr>
                <w:rFonts w:hint="eastAsia"/>
                <w:color w:val="000000"/>
                <w:w w:val="15"/>
                <w:shd w:val="solid" w:color="000000" w:fill="000000"/>
                <w:fitText w:val="45" w:id="-1168281851"/>
                <w14:textFill>
                  <w14:solidFill>
                    <w14:srgbClr w14:val="000000">
                      <w14:alpha w14:val="100000"/>
                    </w14:srgbClr>
                  </w14:solidFill>
                </w14:textFill>
              </w:rPr>
              <w:t xml:space="preserve">　</w:t>
            </w:r>
            <w:r w:rsidRPr="001777F5">
              <w:rPr>
                <w:color w:val="000000"/>
                <w:w w:val="15"/>
                <w:shd w:val="solid" w:color="000000" w:fill="000000"/>
                <w:fitText w:val="45" w:id="-1168281851"/>
                <w14:textFill>
                  <w14:solidFill>
                    <w14:srgbClr w14:val="000000">
                      <w14:alpha w14:val="100000"/>
                    </w14:srgbClr>
                  </w14:solidFill>
                </w14:textFill>
              </w:rPr>
              <w:t>|</w:t>
            </w:r>
            <w:r w:rsidRPr="001777F5">
              <w:rPr>
                <w:rFonts w:hint="eastAsia"/>
                <w:color w:val="000000"/>
                <w:spacing w:val="-30"/>
                <w:w w:val="15"/>
                <w:shd w:val="solid" w:color="000000" w:fill="000000"/>
                <w:fitText w:val="45" w:id="-1168281851"/>
                <w14:textFill>
                  <w14:solidFill>
                    <w14:srgbClr w14:val="000000">
                      <w14:alpha w14:val="100000"/>
                    </w14:srgbClr>
                  </w14:solidFill>
                </w14:textFill>
              </w:rPr>
              <w:t xml:space="preserve">　</w:t>
            </w:r>
            <w:r w:rsidR="00227288">
              <w:rPr>
                <w:vertAlign w:val="superscript"/>
              </w:rPr>
              <w:t>8</w:t>
            </w:r>
          </w:p>
        </w:tc>
        <w:tc>
          <w:tcPr>
            <w:tcW w:w="527" w:type="pct"/>
          </w:tcPr>
          <w:p w14:paraId="6D6A8F64" w14:textId="733D0ADA" w:rsidR="00727224" w:rsidRPr="00227288" w:rsidRDefault="006F55C1" w:rsidP="00727224">
            <w:pPr>
              <w:pStyle w:val="TableText0"/>
              <w:snapToGrid w:val="0"/>
              <w:jc w:val="center"/>
              <w:rPr>
                <w:rFonts w:cstheme="minorHAnsi"/>
                <w:b/>
                <w:bCs w:val="0"/>
                <w:szCs w:val="20"/>
                <w:highlight w:val="darkGray"/>
              </w:rPr>
            </w:pPr>
            <w:r w:rsidRPr="00075DC2">
              <w:rPr>
                <w:rFonts w:hint="eastAsia"/>
                <w:color w:val="000000"/>
                <w:w w:val="15"/>
                <w:shd w:val="solid" w:color="000000" w:fill="000000"/>
                <w:fitText w:val="15" w:id="-1168281850"/>
                <w14:textFill>
                  <w14:solidFill>
                    <w14:srgbClr w14:val="000000">
                      <w14:alpha w14:val="100000"/>
                    </w14:srgbClr>
                  </w14:solidFill>
                </w14:textFill>
              </w:rPr>
              <w:t xml:space="preserve">　</w:t>
            </w:r>
            <w:r w:rsidRPr="00075DC2">
              <w:rPr>
                <w:color w:val="000000"/>
                <w:w w:val="15"/>
                <w:shd w:val="solid" w:color="000000" w:fill="000000"/>
                <w:fitText w:val="15" w:id="-1168281850"/>
                <w14:textFill>
                  <w14:solidFill>
                    <w14:srgbClr w14:val="000000">
                      <w14:alpha w14:val="100000"/>
                    </w14:srgbClr>
                  </w14:solidFill>
                </w14:textFill>
              </w:rPr>
              <w:t>|</w:t>
            </w:r>
            <w:r w:rsidRPr="00075DC2">
              <w:rPr>
                <w:rFonts w:hint="eastAsia"/>
                <w:color w:val="000000"/>
                <w:spacing w:val="-50"/>
                <w:w w:val="15"/>
                <w:shd w:val="solid" w:color="000000" w:fill="000000"/>
                <w:fitText w:val="15" w:id="-1168281850"/>
                <w14:textFill>
                  <w14:solidFill>
                    <w14:srgbClr w14:val="000000">
                      <w14:alpha w14:val="100000"/>
                    </w14:srgbClr>
                  </w14:solidFill>
                </w14:textFill>
              </w:rPr>
              <w:t xml:space="preserve">　</w:t>
            </w:r>
            <w:r w:rsidR="00227288">
              <w:rPr>
                <w:vertAlign w:val="superscript"/>
              </w:rPr>
              <w:t>8</w:t>
            </w:r>
          </w:p>
        </w:tc>
        <w:tc>
          <w:tcPr>
            <w:tcW w:w="527" w:type="pct"/>
          </w:tcPr>
          <w:p w14:paraId="2C0BE318" w14:textId="72BCB8A5" w:rsidR="00727224" w:rsidRPr="00227288" w:rsidRDefault="006F55C1" w:rsidP="00727224">
            <w:pPr>
              <w:pStyle w:val="TableText0"/>
              <w:snapToGrid w:val="0"/>
              <w:jc w:val="center"/>
              <w:rPr>
                <w:rFonts w:cstheme="minorHAnsi"/>
                <w:b/>
                <w:bCs w:val="0"/>
                <w:szCs w:val="20"/>
                <w:highlight w:val="darkGray"/>
              </w:rPr>
            </w:pPr>
            <w:r w:rsidRPr="006F55C1">
              <w:rPr>
                <w:color w:val="000000"/>
                <w:shd w:val="solid" w:color="000000" w:fill="000000"/>
                <w14:textFill>
                  <w14:solidFill>
                    <w14:srgbClr w14:val="000000">
                      <w14:alpha w14:val="100000"/>
                    </w14:srgbClr>
                  </w14:solidFill>
                </w14:textFill>
              </w:rPr>
              <w:t>|</w:t>
            </w:r>
            <w:r w:rsidR="00227288">
              <w:rPr>
                <w:vertAlign w:val="superscript"/>
              </w:rPr>
              <w:t>8</w:t>
            </w:r>
          </w:p>
        </w:tc>
        <w:tc>
          <w:tcPr>
            <w:tcW w:w="514" w:type="pct"/>
          </w:tcPr>
          <w:p w14:paraId="5F13E729" w14:textId="3CDEC96F" w:rsidR="00727224" w:rsidRPr="00227288" w:rsidRDefault="006F55C1" w:rsidP="00727224">
            <w:pPr>
              <w:pStyle w:val="TableText0"/>
              <w:snapToGrid w:val="0"/>
              <w:jc w:val="center"/>
              <w:rPr>
                <w:rFonts w:cstheme="minorHAnsi"/>
                <w:b/>
                <w:bCs w:val="0"/>
                <w:szCs w:val="20"/>
                <w:highlight w:val="darkGray"/>
              </w:rPr>
            </w:pPr>
            <w:r w:rsidRPr="001777F5">
              <w:rPr>
                <w:rFonts w:hint="eastAsia"/>
                <w:color w:val="000000"/>
                <w:w w:val="15"/>
                <w:shd w:val="solid" w:color="000000" w:fill="000000"/>
                <w:fitText w:val="30" w:id="-1168281849"/>
                <w14:textFill>
                  <w14:solidFill>
                    <w14:srgbClr w14:val="000000">
                      <w14:alpha w14:val="100000"/>
                    </w14:srgbClr>
                  </w14:solidFill>
                </w14:textFill>
              </w:rPr>
              <w:t xml:space="preserve">　</w:t>
            </w:r>
            <w:r w:rsidRPr="001777F5">
              <w:rPr>
                <w:color w:val="000000"/>
                <w:w w:val="15"/>
                <w:shd w:val="solid" w:color="000000" w:fill="000000"/>
                <w:fitText w:val="30" w:id="-1168281849"/>
                <w14:textFill>
                  <w14:solidFill>
                    <w14:srgbClr w14:val="000000">
                      <w14:alpha w14:val="100000"/>
                    </w14:srgbClr>
                  </w14:solidFill>
                </w14:textFill>
              </w:rPr>
              <w:t>|</w:t>
            </w:r>
            <w:r w:rsidRPr="001777F5">
              <w:rPr>
                <w:rFonts w:hint="eastAsia"/>
                <w:color w:val="000000"/>
                <w:spacing w:val="-45"/>
                <w:w w:val="15"/>
                <w:shd w:val="solid" w:color="000000" w:fill="000000"/>
                <w:fitText w:val="30" w:id="-1168281849"/>
                <w14:textFill>
                  <w14:solidFill>
                    <w14:srgbClr w14:val="000000">
                      <w14:alpha w14:val="100000"/>
                    </w14:srgbClr>
                  </w14:solidFill>
                </w14:textFill>
              </w:rPr>
              <w:t xml:space="preserve">　</w:t>
            </w:r>
            <w:r w:rsidR="00227288">
              <w:rPr>
                <w:vertAlign w:val="superscript"/>
              </w:rPr>
              <w:t>8</w:t>
            </w:r>
          </w:p>
        </w:tc>
      </w:tr>
      <w:tr w:rsidR="00FA1535" w:rsidRPr="00E74297" w14:paraId="7C99433D" w14:textId="77777777" w:rsidTr="00FA1535">
        <w:tc>
          <w:tcPr>
            <w:tcW w:w="1841" w:type="pct"/>
          </w:tcPr>
          <w:p w14:paraId="26939C42" w14:textId="2C8DF858" w:rsidR="00727224" w:rsidRPr="00E74297" w:rsidRDefault="00727224" w:rsidP="00727224">
            <w:pPr>
              <w:pStyle w:val="TableText0"/>
              <w:snapToGrid w:val="0"/>
              <w:rPr>
                <w:rFonts w:cstheme="minorHAnsi"/>
                <w:b/>
                <w:bCs w:val="0"/>
                <w:szCs w:val="20"/>
              </w:rPr>
            </w:pPr>
            <w:r w:rsidRPr="00E74297">
              <w:rPr>
                <w:b/>
                <w:bCs w:val="0"/>
              </w:rPr>
              <w:t>Net cost to the PBS/RPBS</w:t>
            </w:r>
            <w:r w:rsidR="00B321E1" w:rsidRPr="00E74297">
              <w:rPr>
                <w:b/>
                <w:bCs w:val="0"/>
              </w:rPr>
              <w:t xml:space="preserve"> (incl. wastage)</w:t>
            </w:r>
          </w:p>
        </w:tc>
        <w:tc>
          <w:tcPr>
            <w:tcW w:w="533" w:type="pct"/>
          </w:tcPr>
          <w:p w14:paraId="07DE4D59" w14:textId="76E378DD" w:rsidR="00727224" w:rsidRPr="00227288" w:rsidRDefault="006F55C1" w:rsidP="00727224">
            <w:pPr>
              <w:pStyle w:val="TableText0"/>
              <w:snapToGrid w:val="0"/>
              <w:jc w:val="center"/>
              <w:rPr>
                <w:rFonts w:cstheme="minorHAnsi"/>
                <w:b/>
                <w:bCs w:val="0"/>
                <w:szCs w:val="20"/>
                <w:highlight w:val="darkGray"/>
              </w:rPr>
            </w:pPr>
            <w:r w:rsidRPr="001777F5">
              <w:rPr>
                <w:rFonts w:hint="eastAsia"/>
                <w:b/>
                <w:bCs w:val="0"/>
                <w:color w:val="000000"/>
                <w:w w:val="23"/>
                <w:shd w:val="solid" w:color="000000" w:fill="000000"/>
                <w:fitText w:val="105" w:id="-1168281848"/>
                <w14:textFill>
                  <w14:solidFill>
                    <w14:srgbClr w14:val="000000">
                      <w14:alpha w14:val="100000"/>
                    </w14:srgbClr>
                  </w14:solidFill>
                </w14:textFill>
              </w:rPr>
              <w:t xml:space="preserve">　</w:t>
            </w:r>
            <w:r w:rsidRPr="001777F5">
              <w:rPr>
                <w:b/>
                <w:bCs w:val="0"/>
                <w:color w:val="000000"/>
                <w:w w:val="23"/>
                <w:shd w:val="solid" w:color="000000" w:fill="000000"/>
                <w:fitText w:val="105" w:id="-1168281848"/>
                <w14:textFill>
                  <w14:solidFill>
                    <w14:srgbClr w14:val="000000">
                      <w14:alpha w14:val="100000"/>
                    </w14:srgbClr>
                  </w14:solidFill>
                </w14:textFill>
              </w:rPr>
              <w:t>|</w:t>
            </w:r>
            <w:r w:rsidRPr="001777F5">
              <w:rPr>
                <w:rFonts w:hint="eastAsia"/>
                <w:b/>
                <w:bCs w:val="0"/>
                <w:color w:val="000000"/>
                <w:spacing w:val="3"/>
                <w:w w:val="23"/>
                <w:shd w:val="solid" w:color="000000" w:fill="000000"/>
                <w:fitText w:val="105" w:id="-1168281848"/>
                <w14:textFill>
                  <w14:solidFill>
                    <w14:srgbClr w14:val="000000">
                      <w14:alpha w14:val="100000"/>
                    </w14:srgbClr>
                  </w14:solidFill>
                </w14:textFill>
              </w:rPr>
              <w:t xml:space="preserve">　</w:t>
            </w:r>
            <w:r w:rsidR="00227288">
              <w:rPr>
                <w:vertAlign w:val="superscript"/>
              </w:rPr>
              <w:t>5</w:t>
            </w:r>
          </w:p>
        </w:tc>
        <w:tc>
          <w:tcPr>
            <w:tcW w:w="529" w:type="pct"/>
          </w:tcPr>
          <w:p w14:paraId="7649F9BD" w14:textId="1B21D1C4" w:rsidR="00727224" w:rsidRPr="00227288" w:rsidRDefault="006F55C1" w:rsidP="00727224">
            <w:pPr>
              <w:pStyle w:val="TableText0"/>
              <w:snapToGrid w:val="0"/>
              <w:jc w:val="center"/>
              <w:rPr>
                <w:rFonts w:cstheme="minorHAnsi"/>
                <w:b/>
                <w:bCs w:val="0"/>
                <w:szCs w:val="20"/>
                <w:highlight w:val="darkGray"/>
              </w:rPr>
            </w:pPr>
            <w:r w:rsidRPr="006F55C1">
              <w:rPr>
                <w:rFonts w:hint="eastAsia"/>
                <w:b/>
                <w:bCs w:val="0"/>
                <w:color w:val="000000"/>
                <w:w w:val="16"/>
                <w:shd w:val="solid" w:color="000000" w:fill="000000"/>
                <w:fitText w:val="75" w:id="-1168281847"/>
                <w14:textFill>
                  <w14:solidFill>
                    <w14:srgbClr w14:val="000000">
                      <w14:alpha w14:val="100000"/>
                    </w14:srgbClr>
                  </w14:solidFill>
                </w14:textFill>
              </w:rPr>
              <w:t xml:space="preserve">　</w:t>
            </w:r>
            <w:r w:rsidRPr="006F55C1">
              <w:rPr>
                <w:b/>
                <w:bCs w:val="0"/>
                <w:color w:val="000000"/>
                <w:w w:val="16"/>
                <w:shd w:val="solid" w:color="000000" w:fill="000000"/>
                <w:fitText w:val="75" w:id="-1168281847"/>
                <w14:textFill>
                  <w14:solidFill>
                    <w14:srgbClr w14:val="000000">
                      <w14:alpha w14:val="100000"/>
                    </w14:srgbClr>
                  </w14:solidFill>
                </w14:textFill>
              </w:rPr>
              <w:t>|</w:t>
            </w:r>
            <w:r w:rsidRPr="006F55C1">
              <w:rPr>
                <w:rFonts w:hint="eastAsia"/>
                <w:b/>
                <w:bCs w:val="0"/>
                <w:color w:val="000000"/>
                <w:spacing w:val="5"/>
                <w:w w:val="16"/>
                <w:shd w:val="solid" w:color="000000" w:fill="000000"/>
                <w:fitText w:val="75" w:id="-1168281847"/>
                <w14:textFill>
                  <w14:solidFill>
                    <w14:srgbClr w14:val="000000">
                      <w14:alpha w14:val="100000"/>
                    </w14:srgbClr>
                  </w14:solidFill>
                </w14:textFill>
              </w:rPr>
              <w:t xml:space="preserve">　</w:t>
            </w:r>
            <w:r w:rsidR="00227288">
              <w:rPr>
                <w:vertAlign w:val="superscript"/>
              </w:rPr>
              <w:t>6</w:t>
            </w:r>
          </w:p>
        </w:tc>
        <w:tc>
          <w:tcPr>
            <w:tcW w:w="528" w:type="pct"/>
          </w:tcPr>
          <w:p w14:paraId="0EFEC086" w14:textId="106D588B" w:rsidR="00727224" w:rsidRPr="00227288" w:rsidRDefault="006F55C1" w:rsidP="00727224">
            <w:pPr>
              <w:pStyle w:val="TableText0"/>
              <w:snapToGrid w:val="0"/>
              <w:jc w:val="center"/>
              <w:rPr>
                <w:rFonts w:cstheme="minorHAnsi"/>
                <w:b/>
                <w:bCs w:val="0"/>
                <w:szCs w:val="20"/>
                <w:highlight w:val="darkGray"/>
              </w:rPr>
            </w:pPr>
            <w:r w:rsidRPr="006F55C1">
              <w:rPr>
                <w:rFonts w:hint="eastAsia"/>
                <w:b/>
                <w:bCs w:val="0"/>
                <w:color w:val="000000"/>
                <w:w w:val="16"/>
                <w:shd w:val="solid" w:color="000000" w:fill="000000"/>
                <w:fitText w:val="75" w:id="-1168281846"/>
                <w14:textFill>
                  <w14:solidFill>
                    <w14:srgbClr w14:val="000000">
                      <w14:alpha w14:val="100000"/>
                    </w14:srgbClr>
                  </w14:solidFill>
                </w14:textFill>
              </w:rPr>
              <w:t xml:space="preserve">　</w:t>
            </w:r>
            <w:r w:rsidRPr="006F55C1">
              <w:rPr>
                <w:b/>
                <w:bCs w:val="0"/>
                <w:color w:val="000000"/>
                <w:w w:val="16"/>
                <w:shd w:val="solid" w:color="000000" w:fill="000000"/>
                <w:fitText w:val="75" w:id="-1168281846"/>
                <w14:textFill>
                  <w14:solidFill>
                    <w14:srgbClr w14:val="000000">
                      <w14:alpha w14:val="100000"/>
                    </w14:srgbClr>
                  </w14:solidFill>
                </w14:textFill>
              </w:rPr>
              <w:t>|</w:t>
            </w:r>
            <w:r w:rsidRPr="006F55C1">
              <w:rPr>
                <w:rFonts w:hint="eastAsia"/>
                <w:b/>
                <w:bCs w:val="0"/>
                <w:color w:val="000000"/>
                <w:spacing w:val="5"/>
                <w:w w:val="16"/>
                <w:shd w:val="solid" w:color="000000" w:fill="000000"/>
                <w:fitText w:val="75" w:id="-1168281846"/>
                <w14:textFill>
                  <w14:solidFill>
                    <w14:srgbClr w14:val="000000">
                      <w14:alpha w14:val="100000"/>
                    </w14:srgbClr>
                  </w14:solidFill>
                </w14:textFill>
              </w:rPr>
              <w:t xml:space="preserve">　</w:t>
            </w:r>
            <w:r w:rsidR="00227288">
              <w:rPr>
                <w:vertAlign w:val="superscript"/>
              </w:rPr>
              <w:t>7</w:t>
            </w:r>
          </w:p>
        </w:tc>
        <w:tc>
          <w:tcPr>
            <w:tcW w:w="527" w:type="pct"/>
          </w:tcPr>
          <w:p w14:paraId="5E2C87B4" w14:textId="29FC2DB0" w:rsidR="00727224" w:rsidRPr="00227288" w:rsidRDefault="006F55C1" w:rsidP="00727224">
            <w:pPr>
              <w:pStyle w:val="TableText0"/>
              <w:snapToGrid w:val="0"/>
              <w:jc w:val="center"/>
              <w:rPr>
                <w:rFonts w:cstheme="minorHAnsi"/>
                <w:b/>
                <w:bCs w:val="0"/>
                <w:szCs w:val="20"/>
                <w:highlight w:val="darkGray"/>
              </w:rPr>
            </w:pPr>
            <w:r w:rsidRPr="006F55C1">
              <w:rPr>
                <w:rFonts w:hint="eastAsia"/>
                <w:b/>
                <w:bCs w:val="0"/>
                <w:color w:val="000000"/>
                <w:w w:val="16"/>
                <w:shd w:val="solid" w:color="000000" w:fill="000000"/>
                <w:fitText w:val="75" w:id="-1168281845"/>
                <w14:textFill>
                  <w14:solidFill>
                    <w14:srgbClr w14:val="000000">
                      <w14:alpha w14:val="100000"/>
                    </w14:srgbClr>
                  </w14:solidFill>
                </w14:textFill>
              </w:rPr>
              <w:t xml:space="preserve">　</w:t>
            </w:r>
            <w:r w:rsidRPr="006F55C1">
              <w:rPr>
                <w:b/>
                <w:bCs w:val="0"/>
                <w:color w:val="000000"/>
                <w:w w:val="16"/>
                <w:shd w:val="solid" w:color="000000" w:fill="000000"/>
                <w:fitText w:val="75" w:id="-1168281845"/>
                <w14:textFill>
                  <w14:solidFill>
                    <w14:srgbClr w14:val="000000">
                      <w14:alpha w14:val="100000"/>
                    </w14:srgbClr>
                  </w14:solidFill>
                </w14:textFill>
              </w:rPr>
              <w:t>|</w:t>
            </w:r>
            <w:r w:rsidRPr="006F55C1">
              <w:rPr>
                <w:rFonts w:hint="eastAsia"/>
                <w:b/>
                <w:bCs w:val="0"/>
                <w:color w:val="000000"/>
                <w:spacing w:val="5"/>
                <w:w w:val="16"/>
                <w:shd w:val="solid" w:color="000000" w:fill="000000"/>
                <w:fitText w:val="75" w:id="-1168281845"/>
                <w14:textFill>
                  <w14:solidFill>
                    <w14:srgbClr w14:val="000000">
                      <w14:alpha w14:val="100000"/>
                    </w14:srgbClr>
                  </w14:solidFill>
                </w14:textFill>
              </w:rPr>
              <w:t xml:space="preserve">　</w:t>
            </w:r>
            <w:r w:rsidR="00227288">
              <w:rPr>
                <w:vertAlign w:val="superscript"/>
              </w:rPr>
              <w:t>7</w:t>
            </w:r>
          </w:p>
        </w:tc>
        <w:tc>
          <w:tcPr>
            <w:tcW w:w="527" w:type="pct"/>
          </w:tcPr>
          <w:p w14:paraId="6D5EF8FA" w14:textId="6DD553A5" w:rsidR="00727224" w:rsidRPr="00227288" w:rsidRDefault="006F55C1" w:rsidP="00727224">
            <w:pPr>
              <w:pStyle w:val="TableText0"/>
              <w:snapToGrid w:val="0"/>
              <w:jc w:val="center"/>
              <w:rPr>
                <w:rFonts w:cstheme="minorHAnsi"/>
                <w:b/>
                <w:bCs w:val="0"/>
                <w:szCs w:val="20"/>
                <w:highlight w:val="darkGray"/>
              </w:rPr>
            </w:pPr>
            <w:r w:rsidRPr="001777F5">
              <w:rPr>
                <w:rFonts w:hint="eastAsia"/>
                <w:b/>
                <w:bCs w:val="0"/>
                <w:color w:val="000000"/>
                <w:w w:val="15"/>
                <w:shd w:val="solid" w:color="000000" w:fill="000000"/>
                <w:fitText w:val="60" w:id="-1168281844"/>
                <w14:textFill>
                  <w14:solidFill>
                    <w14:srgbClr w14:val="000000">
                      <w14:alpha w14:val="100000"/>
                    </w14:srgbClr>
                  </w14:solidFill>
                </w14:textFill>
              </w:rPr>
              <w:t xml:space="preserve">　</w:t>
            </w:r>
            <w:r w:rsidRPr="001777F5">
              <w:rPr>
                <w:b/>
                <w:bCs w:val="0"/>
                <w:color w:val="000000"/>
                <w:w w:val="15"/>
                <w:shd w:val="solid" w:color="000000" w:fill="000000"/>
                <w:fitText w:val="60" w:id="-1168281844"/>
                <w14:textFill>
                  <w14:solidFill>
                    <w14:srgbClr w14:val="000000">
                      <w14:alpha w14:val="100000"/>
                    </w14:srgbClr>
                  </w14:solidFill>
                </w14:textFill>
              </w:rPr>
              <w:t>|</w:t>
            </w:r>
            <w:r w:rsidRPr="001777F5">
              <w:rPr>
                <w:rFonts w:hint="eastAsia"/>
                <w:b/>
                <w:bCs w:val="0"/>
                <w:color w:val="000000"/>
                <w:spacing w:val="-15"/>
                <w:w w:val="15"/>
                <w:shd w:val="solid" w:color="000000" w:fill="000000"/>
                <w:fitText w:val="60" w:id="-1168281844"/>
                <w14:textFill>
                  <w14:solidFill>
                    <w14:srgbClr w14:val="000000">
                      <w14:alpha w14:val="100000"/>
                    </w14:srgbClr>
                  </w14:solidFill>
                </w14:textFill>
              </w:rPr>
              <w:t xml:space="preserve">　</w:t>
            </w:r>
            <w:r w:rsidR="00227288">
              <w:rPr>
                <w:vertAlign w:val="superscript"/>
              </w:rPr>
              <w:t>7</w:t>
            </w:r>
          </w:p>
        </w:tc>
        <w:tc>
          <w:tcPr>
            <w:tcW w:w="514" w:type="pct"/>
          </w:tcPr>
          <w:p w14:paraId="6F8280EF" w14:textId="5392B1D1" w:rsidR="00727224" w:rsidRPr="00227288" w:rsidRDefault="006F55C1" w:rsidP="00727224">
            <w:pPr>
              <w:pStyle w:val="TableText0"/>
              <w:snapToGrid w:val="0"/>
              <w:jc w:val="center"/>
              <w:rPr>
                <w:rFonts w:cstheme="minorHAnsi"/>
                <w:b/>
                <w:bCs w:val="0"/>
                <w:szCs w:val="20"/>
                <w:highlight w:val="darkGray"/>
              </w:rPr>
            </w:pPr>
            <w:r w:rsidRPr="001777F5">
              <w:rPr>
                <w:rFonts w:hint="eastAsia"/>
                <w:b/>
                <w:bCs w:val="0"/>
                <w:color w:val="000000"/>
                <w:w w:val="16"/>
                <w:shd w:val="solid" w:color="000000" w:fill="000000"/>
                <w:fitText w:val="75" w:id="-1168281843"/>
                <w14:textFill>
                  <w14:solidFill>
                    <w14:srgbClr w14:val="000000">
                      <w14:alpha w14:val="100000"/>
                    </w14:srgbClr>
                  </w14:solidFill>
                </w14:textFill>
              </w:rPr>
              <w:t xml:space="preserve">　</w:t>
            </w:r>
            <w:r w:rsidRPr="001777F5">
              <w:rPr>
                <w:b/>
                <w:bCs w:val="0"/>
                <w:color w:val="000000"/>
                <w:w w:val="16"/>
                <w:shd w:val="solid" w:color="000000" w:fill="000000"/>
                <w:fitText w:val="75" w:id="-1168281843"/>
                <w14:textFill>
                  <w14:solidFill>
                    <w14:srgbClr w14:val="000000">
                      <w14:alpha w14:val="100000"/>
                    </w14:srgbClr>
                  </w14:solidFill>
                </w14:textFill>
              </w:rPr>
              <w:t>|</w:t>
            </w:r>
            <w:r w:rsidRPr="001777F5">
              <w:rPr>
                <w:rFonts w:hint="eastAsia"/>
                <w:b/>
                <w:bCs w:val="0"/>
                <w:color w:val="000000"/>
                <w:spacing w:val="5"/>
                <w:w w:val="16"/>
                <w:shd w:val="solid" w:color="000000" w:fill="000000"/>
                <w:fitText w:val="75" w:id="-1168281843"/>
                <w14:textFill>
                  <w14:solidFill>
                    <w14:srgbClr w14:val="000000">
                      <w14:alpha w14:val="100000"/>
                    </w14:srgbClr>
                  </w14:solidFill>
                </w14:textFill>
              </w:rPr>
              <w:t xml:space="preserve">　</w:t>
            </w:r>
            <w:r w:rsidR="00227288">
              <w:rPr>
                <w:vertAlign w:val="superscript"/>
              </w:rPr>
              <w:t>7</w:t>
            </w:r>
          </w:p>
        </w:tc>
      </w:tr>
    </w:tbl>
    <w:p w14:paraId="3BCFBF10" w14:textId="3DFAE3AE" w:rsidR="00E2343C" w:rsidRPr="00E74297" w:rsidRDefault="00E2343C" w:rsidP="00E2343C">
      <w:pPr>
        <w:pStyle w:val="FooterTableFigure"/>
      </w:pPr>
      <w:r w:rsidRPr="00E74297">
        <w:t xml:space="preserve">Source: PSCR </w:t>
      </w:r>
      <w:r w:rsidR="00B321E1" w:rsidRPr="00E74297">
        <w:t>, and constructed from PSCR financial estimates workbook</w:t>
      </w:r>
    </w:p>
    <w:p w14:paraId="23809231" w14:textId="77777777" w:rsidR="000E337C" w:rsidRPr="00E74297" w:rsidRDefault="00E2343C" w:rsidP="00B321E1">
      <w:pPr>
        <w:pStyle w:val="FooterTableFigure"/>
      </w:pPr>
      <w:r w:rsidRPr="00E74297">
        <w:rPr>
          <w:vertAlign w:val="superscript"/>
        </w:rPr>
        <w:t>a</w:t>
      </w:r>
      <w:r w:rsidRPr="00E74297">
        <w:t xml:space="preserve"> Mean cost per dose, taken from section 3 economic model</w:t>
      </w:r>
    </w:p>
    <w:p w14:paraId="6CDA63EB" w14:textId="02E09B9C" w:rsidR="00B321E1" w:rsidRPr="00E74297" w:rsidRDefault="00B321E1" w:rsidP="00B321E1">
      <w:pPr>
        <w:pStyle w:val="FooterTableFigure"/>
      </w:pPr>
      <w:r w:rsidRPr="00E74297">
        <w:rPr>
          <w:vertAlign w:val="superscript"/>
        </w:rPr>
        <w:t xml:space="preserve">b </w:t>
      </w:r>
      <w:r w:rsidRPr="00E74297">
        <w:t>Cost per SG script revised from $</w:t>
      </w:r>
      <w:r w:rsidR="00FA1535" w:rsidRPr="00FA1535">
        <w:rPr>
          <w:spacing w:val="22"/>
          <w:shd w:val="solid" w:color="000000" w:fill="000000"/>
          <w:fitText w:val="472" w:id="-1153805312"/>
          <w14:textFill>
            <w14:solidFill>
              <w14:srgbClr w14:val="000000">
                <w14:alpha w14:val="100000"/>
              </w14:srgbClr>
            </w14:solidFill>
          </w14:textFill>
        </w:rPr>
        <w:t>|||  ||</w:t>
      </w:r>
      <w:r w:rsidR="00FA1535" w:rsidRPr="00FA1535">
        <w:rPr>
          <w:spacing w:val="6"/>
          <w:shd w:val="solid" w:color="000000" w:fill="000000"/>
          <w:fitText w:val="472" w:id="-1153805312"/>
          <w14:textFill>
            <w14:solidFill>
              <w14:srgbClr w14:val="000000">
                <w14:alpha w14:val="100000"/>
              </w14:srgbClr>
            </w14:solidFill>
          </w14:textFill>
        </w:rPr>
        <w:t>|</w:t>
      </w:r>
      <w:r w:rsidR="00FA1535">
        <w:t xml:space="preserve"> </w:t>
      </w:r>
      <w:r w:rsidRPr="00E74297">
        <w:t>to $</w:t>
      </w:r>
      <w:r w:rsidR="00FA1535" w:rsidRPr="00FA1535">
        <w:rPr>
          <w:spacing w:val="22"/>
          <w:shd w:val="solid" w:color="000000" w:fill="000000"/>
          <w:fitText w:val="472" w:id="-1153805056"/>
          <w14:textFill>
            <w14:solidFill>
              <w14:srgbClr w14:val="000000">
                <w14:alpha w14:val="100000"/>
              </w14:srgbClr>
            </w14:solidFill>
          </w14:textFill>
        </w:rPr>
        <w:t>|||  ||</w:t>
      </w:r>
      <w:r w:rsidR="00FA1535" w:rsidRPr="00FA1535">
        <w:rPr>
          <w:spacing w:val="6"/>
          <w:shd w:val="solid" w:color="000000" w:fill="000000"/>
          <w:fitText w:val="472" w:id="-1153805056"/>
          <w14:textFill>
            <w14:solidFill>
              <w14:srgbClr w14:val="000000">
                <w14:alpha w14:val="100000"/>
              </w14:srgbClr>
            </w14:solidFill>
          </w14:textFill>
        </w:rPr>
        <w:t>|</w:t>
      </w:r>
      <w:r w:rsidRPr="00E74297">
        <w:t>.</w:t>
      </w:r>
    </w:p>
    <w:p w14:paraId="6B0D23A2" w14:textId="3D030799" w:rsidR="00B321E1" w:rsidRPr="00E74297" w:rsidRDefault="00B321E1" w:rsidP="00B321E1">
      <w:pPr>
        <w:pStyle w:val="FooterTableFigure"/>
      </w:pPr>
      <w:r w:rsidRPr="00E74297">
        <w:rPr>
          <w:vertAlign w:val="superscript"/>
        </w:rPr>
        <w:t xml:space="preserve">c </w:t>
      </w:r>
      <w:r w:rsidRPr="00E74297">
        <w:t>Cost per eribulin script revised from $640.88 to $792.69, cost per vinorelbine script revised from $108.97 to $159.15 and cost per gemcitabine script revised from $127.96 to $173.54.</w:t>
      </w:r>
    </w:p>
    <w:p w14:paraId="0ADBEA53" w14:textId="50B1B33D" w:rsidR="00E2343C" w:rsidRDefault="00E2343C" w:rsidP="00E2343C">
      <w:pPr>
        <w:pStyle w:val="FooterTableFigure"/>
      </w:pPr>
      <w:r w:rsidRPr="00E74297">
        <w:t>Note:</w:t>
      </w:r>
      <w:r w:rsidR="003A0A15" w:rsidRPr="00E74297">
        <w:t xml:space="preserve"> PSCR notes that </w:t>
      </w:r>
      <w:r w:rsidR="00AA3281" w:rsidRPr="00E74297">
        <w:t>revised estimates</w:t>
      </w:r>
      <w:r w:rsidRPr="00E74297">
        <w:t xml:space="preserve"> </w:t>
      </w:r>
      <w:r w:rsidR="00AA3281" w:rsidRPr="00E74297">
        <w:t>apply</w:t>
      </w:r>
      <w:r w:rsidR="003A0A15" w:rsidRPr="00E74297">
        <w:t xml:space="preserve"> two patient co-payments per patient, instead of a co-payment every 14 scripts</w:t>
      </w:r>
      <w:r w:rsidR="009131E5" w:rsidRPr="00E74297">
        <w:t>.</w:t>
      </w:r>
    </w:p>
    <w:p w14:paraId="55C83C8E" w14:textId="6AF56285" w:rsidR="00227288" w:rsidRPr="00227288" w:rsidRDefault="00227288" w:rsidP="00E2343C">
      <w:pPr>
        <w:pStyle w:val="FooterTableFigure"/>
        <w:rPr>
          <w:i/>
          <w:iCs/>
        </w:rPr>
      </w:pPr>
      <w:r w:rsidRPr="00227288">
        <w:rPr>
          <w:i/>
          <w:iCs/>
        </w:rPr>
        <w:t>The redacted values correspond to the following ranges:</w:t>
      </w:r>
    </w:p>
    <w:p w14:paraId="62D166B9" w14:textId="7BCB355E" w:rsidR="00227288" w:rsidRPr="00227288" w:rsidRDefault="00227288" w:rsidP="00E2343C">
      <w:pPr>
        <w:pStyle w:val="FooterTableFigure"/>
        <w:rPr>
          <w:i/>
          <w:iCs/>
        </w:rPr>
      </w:pPr>
      <w:r w:rsidRPr="00227288">
        <w:rPr>
          <w:i/>
          <w:iCs/>
          <w:vertAlign w:val="superscript"/>
        </w:rPr>
        <w:t>1</w:t>
      </w:r>
      <w:r w:rsidRPr="00227288">
        <w:rPr>
          <w:i/>
          <w:iCs/>
        </w:rPr>
        <w:t xml:space="preserve"> 500 to &lt; 5,000</w:t>
      </w:r>
    </w:p>
    <w:p w14:paraId="3DCB406C" w14:textId="6E7FE608" w:rsidR="00227288" w:rsidRPr="00227288" w:rsidRDefault="00227288" w:rsidP="00E2343C">
      <w:pPr>
        <w:pStyle w:val="FooterTableFigure"/>
        <w:rPr>
          <w:i/>
          <w:iCs/>
        </w:rPr>
      </w:pPr>
      <w:r w:rsidRPr="00227288">
        <w:rPr>
          <w:i/>
          <w:iCs/>
          <w:vertAlign w:val="superscript"/>
        </w:rPr>
        <w:t>2</w:t>
      </w:r>
      <w:r w:rsidRPr="00227288">
        <w:rPr>
          <w:i/>
          <w:iCs/>
        </w:rPr>
        <w:t xml:space="preserve"> 40,000 to &lt; 50,000</w:t>
      </w:r>
    </w:p>
    <w:p w14:paraId="3BA8C3CE" w14:textId="1080B10D" w:rsidR="00227288" w:rsidRPr="00227288" w:rsidRDefault="00227288" w:rsidP="00E2343C">
      <w:pPr>
        <w:pStyle w:val="FooterTableFigure"/>
        <w:rPr>
          <w:i/>
          <w:iCs/>
        </w:rPr>
      </w:pPr>
      <w:r w:rsidRPr="00227288">
        <w:rPr>
          <w:i/>
          <w:iCs/>
          <w:vertAlign w:val="superscript"/>
        </w:rPr>
        <w:t>3</w:t>
      </w:r>
      <w:r w:rsidRPr="00227288">
        <w:rPr>
          <w:i/>
          <w:iCs/>
        </w:rPr>
        <w:t xml:space="preserve"> 50,000 to &lt; 60,000</w:t>
      </w:r>
    </w:p>
    <w:p w14:paraId="341503AF" w14:textId="6FE9EDFC" w:rsidR="00227288" w:rsidRPr="00227288" w:rsidRDefault="00227288" w:rsidP="00E2343C">
      <w:pPr>
        <w:pStyle w:val="FooterTableFigure"/>
        <w:rPr>
          <w:i/>
          <w:iCs/>
        </w:rPr>
      </w:pPr>
      <w:r w:rsidRPr="00227288">
        <w:rPr>
          <w:i/>
          <w:iCs/>
          <w:vertAlign w:val="superscript"/>
        </w:rPr>
        <w:t>4</w:t>
      </w:r>
      <w:r w:rsidRPr="00227288">
        <w:rPr>
          <w:i/>
          <w:iCs/>
        </w:rPr>
        <w:t xml:space="preserve"> 60,000 to &lt; 70,000</w:t>
      </w:r>
    </w:p>
    <w:p w14:paraId="7C5BE177" w14:textId="05FBAC64" w:rsidR="00227288" w:rsidRPr="00227288" w:rsidRDefault="00227288" w:rsidP="00E2343C">
      <w:pPr>
        <w:pStyle w:val="FooterTableFigure"/>
        <w:rPr>
          <w:i/>
          <w:iCs/>
        </w:rPr>
      </w:pPr>
      <w:r w:rsidRPr="00227288">
        <w:rPr>
          <w:i/>
          <w:iCs/>
          <w:vertAlign w:val="superscript"/>
        </w:rPr>
        <w:t>5</w:t>
      </w:r>
      <w:r w:rsidRPr="00227288">
        <w:rPr>
          <w:i/>
          <w:iCs/>
        </w:rPr>
        <w:t xml:space="preserve"> $70 million to &lt; $80 million</w:t>
      </w:r>
    </w:p>
    <w:p w14:paraId="23112836" w14:textId="695DC6F8" w:rsidR="00227288" w:rsidRPr="00227288" w:rsidRDefault="00227288" w:rsidP="00E2343C">
      <w:pPr>
        <w:pStyle w:val="FooterTableFigure"/>
        <w:rPr>
          <w:i/>
          <w:iCs/>
        </w:rPr>
      </w:pPr>
      <w:r w:rsidRPr="00227288">
        <w:rPr>
          <w:i/>
          <w:iCs/>
          <w:vertAlign w:val="superscript"/>
        </w:rPr>
        <w:t>6</w:t>
      </w:r>
      <w:r w:rsidRPr="00227288">
        <w:rPr>
          <w:i/>
          <w:iCs/>
        </w:rPr>
        <w:t xml:space="preserve"> $80 million to &lt; $90 million</w:t>
      </w:r>
    </w:p>
    <w:p w14:paraId="4DA709C2" w14:textId="47C199AA" w:rsidR="00227288" w:rsidRPr="00227288" w:rsidRDefault="00227288" w:rsidP="00E2343C">
      <w:pPr>
        <w:pStyle w:val="FooterTableFigure"/>
        <w:rPr>
          <w:i/>
          <w:iCs/>
        </w:rPr>
      </w:pPr>
      <w:r w:rsidRPr="00227288">
        <w:rPr>
          <w:i/>
          <w:iCs/>
          <w:vertAlign w:val="superscript"/>
        </w:rPr>
        <w:t>7</w:t>
      </w:r>
      <w:r w:rsidRPr="00227288">
        <w:rPr>
          <w:i/>
          <w:iCs/>
        </w:rPr>
        <w:t xml:space="preserve"> $90 million to &lt; $100 million</w:t>
      </w:r>
    </w:p>
    <w:p w14:paraId="6930EB11" w14:textId="322E98B7" w:rsidR="00227288" w:rsidRPr="00227288" w:rsidRDefault="00227288" w:rsidP="00E2343C">
      <w:pPr>
        <w:pStyle w:val="FooterTableFigure"/>
        <w:rPr>
          <w:i/>
          <w:iCs/>
        </w:rPr>
      </w:pPr>
      <w:r w:rsidRPr="00227288">
        <w:rPr>
          <w:i/>
          <w:iCs/>
          <w:vertAlign w:val="superscript"/>
        </w:rPr>
        <w:t>8</w:t>
      </w:r>
      <w:r w:rsidRPr="00227288">
        <w:rPr>
          <w:i/>
          <w:iCs/>
        </w:rPr>
        <w:t xml:space="preserve"> net cost saving</w:t>
      </w:r>
    </w:p>
    <w:p w14:paraId="40A5775A" w14:textId="356230B3" w:rsidR="00227288" w:rsidRPr="00227288" w:rsidRDefault="00227288" w:rsidP="00E2343C">
      <w:pPr>
        <w:pStyle w:val="FooterTableFigure"/>
        <w:rPr>
          <w:i/>
          <w:iCs/>
        </w:rPr>
      </w:pPr>
      <w:r w:rsidRPr="00227288">
        <w:rPr>
          <w:i/>
          <w:iCs/>
          <w:vertAlign w:val="superscript"/>
        </w:rPr>
        <w:t>9</w:t>
      </w:r>
      <w:r w:rsidRPr="00227288">
        <w:rPr>
          <w:i/>
          <w:iCs/>
        </w:rPr>
        <w:t xml:space="preserve"> $60 million to &lt; $70 million</w:t>
      </w:r>
    </w:p>
    <w:p w14:paraId="12F30CD6" w14:textId="3A53188C" w:rsidR="00227288" w:rsidRPr="00227288" w:rsidRDefault="00227288" w:rsidP="00E2343C">
      <w:pPr>
        <w:pStyle w:val="FooterTableFigure"/>
        <w:rPr>
          <w:i/>
          <w:iCs/>
        </w:rPr>
      </w:pPr>
      <w:r w:rsidRPr="00227288">
        <w:rPr>
          <w:i/>
          <w:iCs/>
          <w:vertAlign w:val="superscript"/>
        </w:rPr>
        <w:t>10</w:t>
      </w:r>
      <w:r w:rsidRPr="00227288">
        <w:rPr>
          <w:i/>
          <w:iCs/>
        </w:rPr>
        <w:t xml:space="preserve"> $100 million to &lt; $200 million</w:t>
      </w:r>
    </w:p>
    <w:p w14:paraId="186D108B" w14:textId="312BE3C5" w:rsidR="000624AF" w:rsidRPr="00E74297" w:rsidRDefault="000624AF" w:rsidP="00AA3281">
      <w:pPr>
        <w:pStyle w:val="3-BodyText"/>
      </w:pPr>
      <w:r w:rsidRPr="00E74297">
        <w:t>The total cost to the PBS/RPBS of listing SG was estimated</w:t>
      </w:r>
      <w:r w:rsidR="008835CB" w:rsidRPr="00E74297">
        <w:t xml:space="preserve"> in the submission</w:t>
      </w:r>
      <w:r w:rsidRPr="00E74297">
        <w:t xml:space="preserve"> to be $</w:t>
      </w:r>
      <w:r w:rsidR="00227288">
        <w:t>90</w:t>
      </w:r>
      <w:r w:rsidR="0089533C">
        <w:t> </w:t>
      </w:r>
      <w:r w:rsidR="00227288">
        <w:t>million</w:t>
      </w:r>
      <w:r w:rsidR="0089533C">
        <w:t> </w:t>
      </w:r>
      <w:r w:rsidR="00227288">
        <w:t>to</w:t>
      </w:r>
      <w:r w:rsidR="0089533C">
        <w:t> </w:t>
      </w:r>
      <w:r w:rsidR="00227288">
        <w:t>&lt;</w:t>
      </w:r>
      <w:r w:rsidR="0089533C">
        <w:t> </w:t>
      </w:r>
      <w:r w:rsidR="00227288">
        <w:t>$100</w:t>
      </w:r>
      <w:r w:rsidR="0089533C">
        <w:t> </w:t>
      </w:r>
      <w:r w:rsidRPr="00E74297">
        <w:t>million in Year 6 (revised</w:t>
      </w:r>
      <w:r w:rsidR="00C364BD" w:rsidRPr="00E74297">
        <w:t xml:space="preserve"> in the evaluation</w:t>
      </w:r>
      <w:r w:rsidRPr="00E74297">
        <w:t>: $</w:t>
      </w:r>
      <w:r w:rsidR="00227288">
        <w:t>80</w:t>
      </w:r>
      <w:r w:rsidR="0089533C">
        <w:t> </w:t>
      </w:r>
      <w:r w:rsidR="00227288">
        <w:t>million</w:t>
      </w:r>
      <w:r w:rsidR="0089533C">
        <w:t> </w:t>
      </w:r>
      <w:r w:rsidR="00227288">
        <w:t>to</w:t>
      </w:r>
      <w:r w:rsidR="0089533C">
        <w:t> </w:t>
      </w:r>
      <w:r w:rsidR="00227288">
        <w:t>&lt;</w:t>
      </w:r>
      <w:r w:rsidR="0089533C">
        <w:t> </w:t>
      </w:r>
      <w:r w:rsidR="00227288">
        <w:t>$90</w:t>
      </w:r>
      <w:r w:rsidR="0089533C">
        <w:t> </w:t>
      </w:r>
      <w:r w:rsidR="00227288">
        <w:t>million</w:t>
      </w:r>
      <w:r w:rsidRPr="00E74297">
        <w:t>), and a total of $</w:t>
      </w:r>
      <w:r w:rsidR="00227288">
        <w:t>500</w:t>
      </w:r>
      <w:r w:rsidR="0089533C">
        <w:t> </w:t>
      </w:r>
      <w:r w:rsidR="00227288">
        <w:t>million</w:t>
      </w:r>
      <w:r w:rsidR="0089533C">
        <w:t> </w:t>
      </w:r>
      <w:r w:rsidR="00227288">
        <w:t>to</w:t>
      </w:r>
      <w:r w:rsidR="0089533C">
        <w:t> </w:t>
      </w:r>
      <w:r w:rsidR="00227288">
        <w:t>&lt;</w:t>
      </w:r>
      <w:r w:rsidR="0089533C">
        <w:t> </w:t>
      </w:r>
      <w:r w:rsidR="00227288">
        <w:t>$600</w:t>
      </w:r>
      <w:r w:rsidR="0089533C">
        <w:t> </w:t>
      </w:r>
      <w:r w:rsidRPr="00E74297">
        <w:t>million (revised</w:t>
      </w:r>
      <w:r w:rsidR="00C364BD" w:rsidRPr="00E74297">
        <w:t xml:space="preserve"> in the evaluation</w:t>
      </w:r>
      <w:r w:rsidRPr="00E74297">
        <w:t>: $</w:t>
      </w:r>
      <w:r w:rsidR="00227288">
        <w:t>400</w:t>
      </w:r>
      <w:r w:rsidR="0089533C">
        <w:t> </w:t>
      </w:r>
      <w:r w:rsidR="00227288">
        <w:t>million</w:t>
      </w:r>
      <w:r w:rsidR="0089533C">
        <w:t> </w:t>
      </w:r>
      <w:r w:rsidR="00227288">
        <w:t>to</w:t>
      </w:r>
      <w:r w:rsidR="0089533C">
        <w:t> </w:t>
      </w:r>
      <w:r w:rsidR="00227288">
        <w:t>&lt;</w:t>
      </w:r>
      <w:r w:rsidR="0089533C">
        <w:t> </w:t>
      </w:r>
      <w:r w:rsidR="00227288">
        <w:t>$500</w:t>
      </w:r>
      <w:r w:rsidRPr="00E74297">
        <w:t xml:space="preserve"> million) in the first 6 years of listing. </w:t>
      </w:r>
      <w:r w:rsidR="00AA3281" w:rsidRPr="00E74297">
        <w:t>Based on the updated financial estimates provided in the PSCR, the total cost to the PBS/RPBS of listing SG was estimated to be $</w:t>
      </w:r>
      <w:r w:rsidR="00227288">
        <w:t>70</w:t>
      </w:r>
      <w:r w:rsidR="0089533C">
        <w:t> </w:t>
      </w:r>
      <w:r w:rsidR="00227288">
        <w:t>million</w:t>
      </w:r>
      <w:r w:rsidR="0089533C">
        <w:t> </w:t>
      </w:r>
      <w:r w:rsidR="00227288">
        <w:t>t</w:t>
      </w:r>
      <w:r w:rsidR="0089533C">
        <w:t>o </w:t>
      </w:r>
      <w:r w:rsidR="00227288">
        <w:t>&lt;</w:t>
      </w:r>
      <w:r w:rsidR="0089533C">
        <w:t> </w:t>
      </w:r>
      <w:r w:rsidR="00227288">
        <w:t>$80</w:t>
      </w:r>
      <w:r w:rsidR="00AA3281" w:rsidRPr="00E74297">
        <w:t xml:space="preserve"> million in Year 6, and a total of $</w:t>
      </w:r>
      <w:r w:rsidR="00227288">
        <w:t>400</w:t>
      </w:r>
      <w:r w:rsidR="0089533C">
        <w:t> </w:t>
      </w:r>
      <w:r w:rsidR="00227288">
        <w:t>million</w:t>
      </w:r>
      <w:r w:rsidR="0089533C">
        <w:t> </w:t>
      </w:r>
      <w:r w:rsidR="00227288">
        <w:t>to</w:t>
      </w:r>
      <w:r w:rsidR="0089533C">
        <w:t> </w:t>
      </w:r>
      <w:r w:rsidR="00227288">
        <w:t>&lt;</w:t>
      </w:r>
      <w:r w:rsidR="0089533C">
        <w:t> </w:t>
      </w:r>
      <w:r w:rsidR="00227288">
        <w:t>$500</w:t>
      </w:r>
      <w:r w:rsidR="00AA3281" w:rsidRPr="00E74297">
        <w:t xml:space="preserve"> million in the first 6 years of listing. </w:t>
      </w:r>
      <w:r w:rsidR="00FB1A2E" w:rsidRPr="00E74297">
        <w:t>When wastage is included, the net cost increases to $</w:t>
      </w:r>
      <w:r w:rsidR="00227288">
        <w:t>90</w:t>
      </w:r>
      <w:r w:rsidR="0089533C">
        <w:t> </w:t>
      </w:r>
      <w:r w:rsidR="00227288">
        <w:t>million</w:t>
      </w:r>
      <w:r w:rsidR="0089533C">
        <w:t> </w:t>
      </w:r>
      <w:r w:rsidR="00227288">
        <w:t>to</w:t>
      </w:r>
      <w:r w:rsidR="0089533C">
        <w:t> </w:t>
      </w:r>
      <w:r w:rsidR="00227288">
        <w:t>&lt;</w:t>
      </w:r>
      <w:r w:rsidR="0089533C">
        <w:t> </w:t>
      </w:r>
      <w:r w:rsidR="00227288">
        <w:t>$100</w:t>
      </w:r>
      <w:r w:rsidR="00060F5F">
        <w:t> </w:t>
      </w:r>
      <w:r w:rsidR="00FB1A2E" w:rsidRPr="00E74297">
        <w:t xml:space="preserve">million in year 6, and a total of </w:t>
      </w:r>
      <w:r w:rsidR="00782DBD" w:rsidRPr="00E74297">
        <w:t>$</w:t>
      </w:r>
      <w:r w:rsidR="00227288">
        <w:t>500</w:t>
      </w:r>
      <w:r w:rsidR="0089533C">
        <w:t> </w:t>
      </w:r>
      <w:r w:rsidR="00227288">
        <w:t>million</w:t>
      </w:r>
      <w:r w:rsidR="0089533C">
        <w:t> </w:t>
      </w:r>
      <w:r w:rsidR="00227288">
        <w:t>to</w:t>
      </w:r>
      <w:r w:rsidR="0089533C">
        <w:t> </w:t>
      </w:r>
      <w:r w:rsidR="00227288">
        <w:t>&lt;</w:t>
      </w:r>
      <w:r w:rsidR="0089533C">
        <w:t> </w:t>
      </w:r>
      <w:r w:rsidR="00227288">
        <w:t>$600</w:t>
      </w:r>
      <w:r w:rsidR="00782DBD" w:rsidRPr="00E74297">
        <w:t xml:space="preserve"> million in the first 6 years of listing.</w:t>
      </w:r>
      <w:r w:rsidR="00FB1A2E" w:rsidRPr="00E74297">
        <w:t xml:space="preserve"> However, the net cost to the PBS/RPBS may be an underestimate if the reduction in use and cost of TPC medicines has been overestimated (due to displacement rather than replacement in some patients).</w:t>
      </w:r>
    </w:p>
    <w:p w14:paraId="2A4176F8" w14:textId="77777777" w:rsidR="000E337C" w:rsidRPr="00E74297" w:rsidRDefault="000624AF" w:rsidP="000624AF">
      <w:pPr>
        <w:pStyle w:val="3-BodyText"/>
      </w:pPr>
      <w:r w:rsidRPr="00E74297">
        <w:t>Grandfathered patients were not explicitly included in the financial analysis as they were assumed to be captured in the incident population. As the first year of the financial analysis is 2024, it is unlikely that prevalent patients are captured, including those who will enrol in the sponsor’s patient access program in mid-2023.</w:t>
      </w:r>
    </w:p>
    <w:p w14:paraId="4476EED5" w14:textId="16753A12" w:rsidR="002E1C81" w:rsidRPr="00E74297" w:rsidRDefault="009131E5" w:rsidP="002E1C81">
      <w:pPr>
        <w:pStyle w:val="3-BodyText"/>
      </w:pPr>
      <w:bookmarkStart w:id="90" w:name="_Ref138058781"/>
      <w:r w:rsidRPr="00E74297">
        <w:lastRenderedPageBreak/>
        <w:t>The ESC noted that the financial estimates were</w:t>
      </w:r>
      <w:r w:rsidR="002E1C81" w:rsidRPr="00E74297">
        <w:t xml:space="preserve"> </w:t>
      </w:r>
      <w:r w:rsidRPr="00E74297">
        <w:t xml:space="preserve">calculated based on a </w:t>
      </w:r>
      <w:r w:rsidR="00CD599E" w:rsidRPr="00E74297">
        <w:t>second</w:t>
      </w:r>
      <w:r w:rsidR="002E1C81" w:rsidRPr="00E74297">
        <w:t xml:space="preserve"> line advanced breast cancer patient</w:t>
      </w:r>
      <w:r w:rsidRPr="00E74297">
        <w:t xml:space="preserve"> population.</w:t>
      </w:r>
      <w:r w:rsidR="008A625E" w:rsidRPr="00E74297">
        <w:t xml:space="preserve"> </w:t>
      </w:r>
      <w:r w:rsidR="00C364BD" w:rsidRPr="00E74297">
        <w:t xml:space="preserve">The </w:t>
      </w:r>
      <w:r w:rsidR="008C5CB4" w:rsidRPr="00E74297">
        <w:t xml:space="preserve">PBAC agreed with </w:t>
      </w:r>
      <w:r w:rsidR="00C364BD" w:rsidRPr="00E74297">
        <w:t>ESC that if the requested PBS listing for SG is revised to align with the TROPiCS-02 inclusion criteria the financial estimates should be revised to account for the lower proportion of advanced breast cancer in their fourth or later line of therapy.</w:t>
      </w:r>
      <w:r w:rsidR="001E3F82" w:rsidRPr="00E74297">
        <w:t xml:space="preserve"> This would be expected to reduce the financial estimates substantially.</w:t>
      </w:r>
      <w:bookmarkEnd w:id="90"/>
    </w:p>
    <w:p w14:paraId="167393BF" w14:textId="77777777" w:rsidR="000624AF" w:rsidRPr="00E74297" w:rsidRDefault="000624AF" w:rsidP="000624AF">
      <w:pPr>
        <w:pStyle w:val="4-SubsectionHeading"/>
      </w:pPr>
      <w:bookmarkStart w:id="91" w:name="_Toc22897648"/>
      <w:bookmarkStart w:id="92" w:name="_Toc107927634"/>
      <w:bookmarkStart w:id="93" w:name="_Toc135207390"/>
      <w:r w:rsidRPr="00E74297">
        <w:t>Quality Use of Medicines</w:t>
      </w:r>
      <w:bookmarkEnd w:id="91"/>
      <w:bookmarkEnd w:id="92"/>
      <w:bookmarkEnd w:id="93"/>
    </w:p>
    <w:p w14:paraId="6AF7D163" w14:textId="77777777" w:rsidR="000624AF" w:rsidRPr="00E74297" w:rsidRDefault="000624AF" w:rsidP="000624AF">
      <w:pPr>
        <w:pStyle w:val="3-BodyText"/>
        <w:rPr>
          <w:color w:val="0066FF"/>
        </w:rPr>
      </w:pPr>
      <w:r w:rsidRPr="00E74297">
        <w:t>The submission stated that educational material related to SG comply with the Medicines Australia Code of Conduct, SG packaging correlates to the approved PI and TGA requirements and that patients would be given the opportunity to access Consumer Medicines Information (CMI).</w:t>
      </w:r>
    </w:p>
    <w:p w14:paraId="4028BC59" w14:textId="77777777" w:rsidR="000624AF" w:rsidRPr="00E74297" w:rsidRDefault="000624AF" w:rsidP="000624AF">
      <w:pPr>
        <w:pStyle w:val="4-SubsectionHeading"/>
      </w:pPr>
      <w:bookmarkStart w:id="94" w:name="_Toc22897649"/>
      <w:bookmarkStart w:id="95" w:name="_Toc107927635"/>
      <w:bookmarkStart w:id="96" w:name="_Toc135207391"/>
      <w:r w:rsidRPr="00E74297">
        <w:t>Financial Management – Risk Sharing Arrangements</w:t>
      </w:r>
      <w:bookmarkEnd w:id="94"/>
      <w:bookmarkEnd w:id="95"/>
      <w:bookmarkEnd w:id="96"/>
    </w:p>
    <w:p w14:paraId="75CE860F" w14:textId="77777777" w:rsidR="000624AF" w:rsidRPr="00E74297" w:rsidRDefault="000624AF" w:rsidP="000624AF">
      <w:pPr>
        <w:pStyle w:val="3-BodyText"/>
        <w:rPr>
          <w:color w:val="0066FF"/>
        </w:rPr>
      </w:pPr>
      <w:r w:rsidRPr="00E74297">
        <w:t>The submission did not propose a risk-sharing arrangement, however, noted that it was willing to accept one based on the financial analyses presented.</w:t>
      </w:r>
    </w:p>
    <w:p w14:paraId="0583E30F" w14:textId="77777777" w:rsidR="00D06CD4" w:rsidRPr="00E74297" w:rsidRDefault="00D06CD4" w:rsidP="00D06CD4">
      <w:pPr>
        <w:ind w:firstLine="720"/>
        <w:rPr>
          <w:i/>
          <w:iCs/>
        </w:rPr>
      </w:pPr>
      <w:bookmarkStart w:id="97" w:name="_Toc135207393"/>
      <w:bookmarkEnd w:id="83"/>
      <w:r w:rsidRPr="00E74297">
        <w:rPr>
          <w:i/>
          <w:iCs/>
        </w:rPr>
        <w:t>For more detail on PBAC’s view, see section 7 PBAC outcome.</w:t>
      </w:r>
    </w:p>
    <w:p w14:paraId="3BDD71E8" w14:textId="77777777" w:rsidR="00D06CD4" w:rsidRPr="00E74297" w:rsidRDefault="00D06CD4" w:rsidP="00D06CD4">
      <w:pPr>
        <w:pStyle w:val="2-SectionHeading"/>
        <w:numPr>
          <w:ilvl w:val="0"/>
          <w:numId w:val="1"/>
        </w:numPr>
      </w:pPr>
      <w:bookmarkStart w:id="98" w:name="_Hlk76381249"/>
      <w:bookmarkStart w:id="99" w:name="_Hlk76377955"/>
      <w:r w:rsidRPr="00E74297">
        <w:t>PBAC Outcome</w:t>
      </w:r>
    </w:p>
    <w:p w14:paraId="6FF8F18B" w14:textId="77777777" w:rsidR="000E337C" w:rsidRPr="00E74297" w:rsidRDefault="00AE1267" w:rsidP="00D06CD4">
      <w:pPr>
        <w:widowControl w:val="0"/>
        <w:numPr>
          <w:ilvl w:val="1"/>
          <w:numId w:val="1"/>
        </w:numPr>
        <w:spacing w:after="120"/>
      </w:pPr>
      <w:r w:rsidRPr="00E74297">
        <w:t>The PBAC did not recommend the listing of sacituzumab govitecan</w:t>
      </w:r>
      <w:r w:rsidR="002763ED" w:rsidRPr="00E74297">
        <w:t xml:space="preserve"> (SG)</w:t>
      </w:r>
      <w:r w:rsidRPr="00E74297">
        <w:t xml:space="preserve">, for the treatment of adult patients with unresectable locally advanced or metastatic HR+/HER2- breast cancer, who have previously received at least two systemic therapies. The PBAC considered that </w:t>
      </w:r>
      <w:r w:rsidR="002763ED" w:rsidRPr="00E74297">
        <w:t>SG</w:t>
      </w:r>
      <w:r w:rsidRPr="00E74297">
        <w:t xml:space="preserve"> provided a modest clinical benefit, </w:t>
      </w:r>
      <w:r w:rsidR="009154A6" w:rsidRPr="00E74297">
        <w:t xml:space="preserve">with </w:t>
      </w:r>
      <w:r w:rsidRPr="00E74297">
        <w:t>the magnitude likely depend</w:t>
      </w:r>
      <w:r w:rsidR="005B79C2" w:rsidRPr="00E74297">
        <w:t>ing</w:t>
      </w:r>
      <w:r w:rsidRPr="00E74297">
        <w:t xml:space="preserve"> on the </w:t>
      </w:r>
      <w:r w:rsidR="00782DBD" w:rsidRPr="00E74297">
        <w:t>population treated</w:t>
      </w:r>
      <w:r w:rsidRPr="00E74297">
        <w:t xml:space="preserve">. The PBAC considered that the proposed restriction was not consistent with the pivotal TROPiCS-02 trial, the proposed TGA listing, or international treatment guidelines. The PBAC advised that the proposed PBS population should reflect the patients included in TROPiCS-02 which was a heavily pre-treated patient population. The PBAC considered </w:t>
      </w:r>
      <w:r w:rsidR="002763ED" w:rsidRPr="00E74297">
        <w:t>SG</w:t>
      </w:r>
      <w:r w:rsidRPr="00E74297">
        <w:t xml:space="preserve"> was not cost-effective at the price proposed in the submission given optimistic assumptions included in the economic model.</w:t>
      </w:r>
    </w:p>
    <w:p w14:paraId="7CC51EF2" w14:textId="77777777" w:rsidR="000E337C" w:rsidRPr="00E74297" w:rsidRDefault="00612BB8" w:rsidP="00612BB8">
      <w:pPr>
        <w:widowControl w:val="0"/>
        <w:numPr>
          <w:ilvl w:val="1"/>
          <w:numId w:val="1"/>
        </w:numPr>
        <w:spacing w:after="120"/>
      </w:pPr>
      <w:r w:rsidRPr="00E74297">
        <w:t xml:space="preserve">The PBAC considered the primary reason for this outcome was due to the </w:t>
      </w:r>
      <w:r w:rsidR="00AC1A76" w:rsidRPr="00E74297">
        <w:t>place in therapy</w:t>
      </w:r>
      <w:r w:rsidRPr="00E74297">
        <w:t>.</w:t>
      </w:r>
    </w:p>
    <w:p w14:paraId="02E556D1" w14:textId="048B50A1" w:rsidR="00C62913" w:rsidRPr="00E74297" w:rsidRDefault="00C62913" w:rsidP="00C62913">
      <w:pPr>
        <w:widowControl w:val="0"/>
        <w:numPr>
          <w:ilvl w:val="1"/>
          <w:numId w:val="1"/>
        </w:numPr>
        <w:spacing w:after="120"/>
        <w:rPr>
          <w:rFonts w:asciiTheme="minorHAnsi" w:hAnsiTheme="minorHAnsi"/>
          <w:snapToGrid w:val="0"/>
        </w:rPr>
      </w:pPr>
      <w:bookmarkStart w:id="100" w:name="_Ref141798472"/>
      <w:r w:rsidRPr="00E74297">
        <w:rPr>
          <w:rFonts w:asciiTheme="minorHAnsi" w:hAnsiTheme="minorHAnsi"/>
          <w:snapToGrid w:val="0"/>
        </w:rPr>
        <w:t xml:space="preserve">The PBAC considered that the submission’s proposed place in therapy </w:t>
      </w:r>
      <w:r w:rsidR="007420E5" w:rsidRPr="00E74297">
        <w:rPr>
          <w:bCs/>
        </w:rPr>
        <w:t>as</w:t>
      </w:r>
      <w:r w:rsidRPr="00E74297">
        <w:rPr>
          <w:bCs/>
        </w:rPr>
        <w:t xml:space="preserve"> the </w:t>
      </w:r>
      <w:r w:rsidR="00343E3C" w:rsidRPr="00E74297">
        <w:rPr>
          <w:bCs/>
        </w:rPr>
        <w:t>second- or third-line</w:t>
      </w:r>
      <w:r w:rsidR="007420E5" w:rsidRPr="00E74297">
        <w:rPr>
          <w:bCs/>
        </w:rPr>
        <w:t xml:space="preserve"> systemic treatment for mBC </w:t>
      </w:r>
      <w:r w:rsidRPr="00E74297">
        <w:rPr>
          <w:bCs/>
        </w:rPr>
        <w:t>(</w:t>
      </w:r>
      <w:r w:rsidR="00612BB8" w:rsidRPr="00E74297">
        <w:rPr>
          <w:bCs/>
        </w:rPr>
        <w:t>where</w:t>
      </w:r>
      <w:r w:rsidRPr="00E74297">
        <w:rPr>
          <w:bCs/>
        </w:rPr>
        <w:t xml:space="preserve"> patients</w:t>
      </w:r>
      <w:r w:rsidR="00612BB8" w:rsidRPr="00E74297">
        <w:rPr>
          <w:bCs/>
        </w:rPr>
        <w:t xml:space="preserve"> </w:t>
      </w:r>
      <w:r w:rsidRPr="00E74297">
        <w:rPr>
          <w:bCs/>
        </w:rPr>
        <w:t xml:space="preserve">have received at least two prior systemic therapies, one of which may have been in the neoadjuvant/adjuvant setting) was not appropriate </w:t>
      </w:r>
      <w:r w:rsidR="00612BB8" w:rsidRPr="00E74297">
        <w:rPr>
          <w:bCs/>
        </w:rPr>
        <w:t>as it was</w:t>
      </w:r>
      <w:r w:rsidRPr="00E74297">
        <w:rPr>
          <w:bCs/>
        </w:rPr>
        <w:t xml:space="preserve"> not consistent with the pivotal trial</w:t>
      </w:r>
      <w:r w:rsidR="007420E5" w:rsidRPr="00E74297">
        <w:rPr>
          <w:bCs/>
        </w:rPr>
        <w:t xml:space="preserve"> (TROPiCS-02). In TROPiCS-02 patients had received an endocrine-based therapy, a CDK4/6 inhibitor, a taxane</w:t>
      </w:r>
      <w:r w:rsidR="00864ACB" w:rsidRPr="00E74297">
        <w:rPr>
          <w:bCs/>
        </w:rPr>
        <w:t xml:space="preserve">, </w:t>
      </w:r>
      <w:r w:rsidR="00616D0B" w:rsidRPr="00E74297">
        <w:rPr>
          <w:bCs/>
        </w:rPr>
        <w:t>and had been treated with 1-9 prior lines of chemotherapy</w:t>
      </w:r>
      <w:r w:rsidR="007420E5" w:rsidRPr="00E74297">
        <w:rPr>
          <w:bCs/>
        </w:rPr>
        <w:t>.</w:t>
      </w:r>
      <w:r w:rsidRPr="00E74297">
        <w:rPr>
          <w:bCs/>
        </w:rPr>
        <w:t xml:space="preserve"> </w:t>
      </w:r>
      <w:r w:rsidR="000604FB" w:rsidRPr="00E74297">
        <w:rPr>
          <w:bCs/>
        </w:rPr>
        <w:t>T</w:t>
      </w:r>
      <w:r w:rsidRPr="00E74297">
        <w:rPr>
          <w:bCs/>
        </w:rPr>
        <w:t xml:space="preserve">he </w:t>
      </w:r>
      <w:r w:rsidR="000604FB" w:rsidRPr="00E74297">
        <w:rPr>
          <w:bCs/>
        </w:rPr>
        <w:t xml:space="preserve">PBAC considered the </w:t>
      </w:r>
      <w:r w:rsidR="00F46E0D" w:rsidRPr="00E74297">
        <w:rPr>
          <w:bCs/>
        </w:rPr>
        <w:t xml:space="preserve">submission’s </w:t>
      </w:r>
      <w:r w:rsidR="000604FB" w:rsidRPr="00E74297">
        <w:rPr>
          <w:bCs/>
        </w:rPr>
        <w:t xml:space="preserve">proposed clinical place </w:t>
      </w:r>
      <w:r w:rsidR="00F46E0D" w:rsidRPr="00E74297">
        <w:rPr>
          <w:bCs/>
        </w:rPr>
        <w:t xml:space="preserve">reflected a less heavily pre-treated population than that included in the trial </w:t>
      </w:r>
      <w:r w:rsidR="00A00F49" w:rsidRPr="00E74297">
        <w:rPr>
          <w:bCs/>
        </w:rPr>
        <w:t xml:space="preserve">and </w:t>
      </w:r>
      <w:r w:rsidR="000604FB" w:rsidRPr="00E74297">
        <w:rPr>
          <w:bCs/>
        </w:rPr>
        <w:t xml:space="preserve">was </w:t>
      </w:r>
      <w:r w:rsidR="00F46E0D" w:rsidRPr="00E74297">
        <w:rPr>
          <w:bCs/>
        </w:rPr>
        <w:t xml:space="preserve">also </w:t>
      </w:r>
      <w:r w:rsidR="000604FB" w:rsidRPr="00E74297">
        <w:rPr>
          <w:bCs/>
        </w:rPr>
        <w:t xml:space="preserve">not consistent with the </w:t>
      </w:r>
      <w:r w:rsidRPr="00E74297">
        <w:rPr>
          <w:bCs/>
        </w:rPr>
        <w:t>proposed TGA indication or the international guidelines</w:t>
      </w:r>
      <w:r w:rsidR="007420E5" w:rsidRPr="00E74297">
        <w:rPr>
          <w:bCs/>
        </w:rPr>
        <w:t>.</w:t>
      </w:r>
      <w:r w:rsidR="000604FB" w:rsidRPr="00E74297">
        <w:rPr>
          <w:bCs/>
        </w:rPr>
        <w:t xml:space="preserve"> The PBAC considered that the </w:t>
      </w:r>
      <w:r w:rsidR="000604FB" w:rsidRPr="00E74297">
        <w:rPr>
          <w:bCs/>
        </w:rPr>
        <w:lastRenderedPageBreak/>
        <w:t xml:space="preserve">listing of SG should reflect use as the </w:t>
      </w:r>
      <w:r w:rsidR="000604FB" w:rsidRPr="00E74297">
        <w:rPr>
          <w:rFonts w:cstheme="minorHAnsi"/>
          <w:bCs/>
        </w:rPr>
        <w:t>fourth</w:t>
      </w:r>
      <w:r w:rsidR="000604FB" w:rsidRPr="00E74297">
        <w:rPr>
          <w:bCs/>
        </w:rPr>
        <w:t xml:space="preserve"> or later line systemic treatment (including endocrine therapy), consistent with the eligibility criteria of the TROPiCS-02 trial.</w:t>
      </w:r>
      <w:bookmarkEnd w:id="100"/>
    </w:p>
    <w:p w14:paraId="7F3AA941" w14:textId="53B39E26" w:rsidR="00F46E0D" w:rsidRPr="00E74297" w:rsidRDefault="00F46E0D" w:rsidP="009B29CA">
      <w:pPr>
        <w:pStyle w:val="3-BodyText"/>
        <w:rPr>
          <w:bCs/>
        </w:rPr>
      </w:pPr>
      <w:bookmarkStart w:id="101" w:name="_Ref141786060"/>
      <w:r w:rsidRPr="00E74297">
        <w:t xml:space="preserve">The PBAC considered that the restriction for SG should reflect the inclusion criteria for TROPiCS-02 </w:t>
      </w:r>
      <w:r w:rsidR="00864ACB" w:rsidRPr="00E74297">
        <w:t xml:space="preserve">of </w:t>
      </w:r>
      <w:r w:rsidRPr="00E74297">
        <w:t>at least two prior chemotherapy regimens</w:t>
      </w:r>
      <w:r w:rsidR="00984BA3" w:rsidRPr="00E74297">
        <w:t xml:space="preserve"> in the metastatic setting</w:t>
      </w:r>
      <w:r w:rsidRPr="00E74297">
        <w:rPr>
          <w:szCs w:val="20"/>
          <w:lang w:eastAsia="en-US"/>
        </w:rPr>
        <w:t xml:space="preserve">. The PBAC noted that there was little evidence for treatment of patients with locally advanced disease, however considered that it </w:t>
      </w:r>
      <w:r w:rsidR="00864ACB" w:rsidRPr="00E74297">
        <w:rPr>
          <w:szCs w:val="20"/>
          <w:lang w:eastAsia="en-US"/>
        </w:rPr>
        <w:t>may</w:t>
      </w:r>
      <w:r w:rsidRPr="00E74297">
        <w:rPr>
          <w:szCs w:val="20"/>
          <w:lang w:eastAsia="en-US"/>
        </w:rPr>
        <w:t xml:space="preserve"> be appropriate for the small number of patients in this category to be included in the restriction, consistent with the TNBC restriction.</w:t>
      </w:r>
      <w:r w:rsidRPr="00E74297">
        <w:rPr>
          <w:bCs/>
        </w:rPr>
        <w:t xml:space="preserve"> The PBS listing for SG in the mTNBC setting includes a caution regarding toxicity and the PBAC considered this information should also be included as a caution in </w:t>
      </w:r>
      <w:r w:rsidR="00BF0560" w:rsidRPr="00E74297">
        <w:rPr>
          <w:bCs/>
        </w:rPr>
        <w:t xml:space="preserve">the </w:t>
      </w:r>
      <w:r w:rsidR="00BF0560" w:rsidRPr="00E74297">
        <w:t>HR+/HER2-</w:t>
      </w:r>
      <w:r w:rsidR="00BF0560" w:rsidRPr="00E74297">
        <w:rPr>
          <w:bCs/>
        </w:rPr>
        <w:t xml:space="preserve"> </w:t>
      </w:r>
      <w:r w:rsidRPr="00E74297">
        <w:rPr>
          <w:bCs/>
        </w:rPr>
        <w:t>restriction.</w:t>
      </w:r>
      <w:bookmarkEnd w:id="101"/>
    </w:p>
    <w:p w14:paraId="29395268" w14:textId="77777777" w:rsidR="000E337C" w:rsidRPr="00E74297" w:rsidRDefault="00F46E0D" w:rsidP="00D06CD4">
      <w:pPr>
        <w:widowControl w:val="0"/>
        <w:numPr>
          <w:ilvl w:val="1"/>
          <w:numId w:val="1"/>
        </w:numPr>
        <w:spacing w:after="120"/>
        <w:rPr>
          <w:rFonts w:asciiTheme="minorHAnsi" w:hAnsiTheme="minorHAnsi"/>
          <w:snapToGrid w:val="0"/>
        </w:rPr>
      </w:pPr>
      <w:r w:rsidRPr="00E74297">
        <w:rPr>
          <w:rFonts w:asciiTheme="minorHAnsi" w:hAnsiTheme="minorHAnsi"/>
          <w:snapToGrid w:val="0"/>
        </w:rPr>
        <w:t xml:space="preserve">The PBAC considered that the comparator of TPC was appropriate and that </w:t>
      </w:r>
      <w:r w:rsidR="009B29CA" w:rsidRPr="00E74297">
        <w:rPr>
          <w:rFonts w:asciiTheme="minorHAnsi" w:hAnsiTheme="minorHAnsi"/>
          <w:snapToGrid w:val="0"/>
        </w:rPr>
        <w:t xml:space="preserve">TPC would include </w:t>
      </w:r>
      <w:r w:rsidRPr="00E74297">
        <w:rPr>
          <w:rFonts w:asciiTheme="minorHAnsi" w:hAnsiTheme="minorHAnsi"/>
          <w:snapToGrid w:val="0"/>
        </w:rPr>
        <w:t xml:space="preserve">eribulin, capecitabine, gemcitabine and vinorelbine but </w:t>
      </w:r>
      <w:r w:rsidR="009B29CA" w:rsidRPr="00E74297">
        <w:rPr>
          <w:rFonts w:asciiTheme="minorHAnsi" w:hAnsiTheme="minorHAnsi"/>
          <w:snapToGrid w:val="0"/>
        </w:rPr>
        <w:t xml:space="preserve">may also include </w:t>
      </w:r>
      <w:r w:rsidRPr="00E74297">
        <w:rPr>
          <w:rFonts w:asciiTheme="minorHAnsi" w:hAnsiTheme="minorHAnsi"/>
          <w:snapToGrid w:val="0"/>
        </w:rPr>
        <w:t>other drugs</w:t>
      </w:r>
      <w:r w:rsidR="009B29CA" w:rsidRPr="00E74297">
        <w:rPr>
          <w:rFonts w:asciiTheme="minorHAnsi" w:hAnsiTheme="minorHAnsi"/>
          <w:snapToGrid w:val="0"/>
        </w:rPr>
        <w:t xml:space="preserve">. The PBAC considered that if the Australian PBS population </w:t>
      </w:r>
      <w:r w:rsidR="00A124B8" w:rsidRPr="00E74297">
        <w:rPr>
          <w:rFonts w:asciiTheme="minorHAnsi" w:hAnsiTheme="minorHAnsi"/>
          <w:snapToGrid w:val="0"/>
        </w:rPr>
        <w:t xml:space="preserve">for listing </w:t>
      </w:r>
      <w:r w:rsidR="009B29CA" w:rsidRPr="00E74297">
        <w:rPr>
          <w:rFonts w:asciiTheme="minorHAnsi" w:hAnsiTheme="minorHAnsi"/>
          <w:snapToGrid w:val="0"/>
        </w:rPr>
        <w:t xml:space="preserve">reflects the population in TROPiCS-02 (as per </w:t>
      </w:r>
      <w:r w:rsidR="00A124B8" w:rsidRPr="00E74297">
        <w:rPr>
          <w:rFonts w:asciiTheme="minorHAnsi" w:hAnsiTheme="minorHAnsi"/>
          <w:snapToGrid w:val="0"/>
        </w:rPr>
        <w:t xml:space="preserve">paragraph </w:t>
      </w:r>
      <w:r w:rsidR="00A124B8" w:rsidRPr="00E74297">
        <w:rPr>
          <w:rFonts w:asciiTheme="minorHAnsi" w:hAnsiTheme="minorHAnsi"/>
          <w:snapToGrid w:val="0"/>
        </w:rPr>
        <w:fldChar w:fldCharType="begin" w:fldLock="1"/>
      </w:r>
      <w:r w:rsidR="00A124B8" w:rsidRPr="00E74297">
        <w:rPr>
          <w:rFonts w:asciiTheme="minorHAnsi" w:hAnsiTheme="minorHAnsi"/>
          <w:snapToGrid w:val="0"/>
        </w:rPr>
        <w:instrText xml:space="preserve"> REF _Ref141786060 \r \h </w:instrText>
      </w:r>
      <w:r w:rsidR="00A124B8" w:rsidRPr="00E74297">
        <w:rPr>
          <w:rFonts w:asciiTheme="minorHAnsi" w:hAnsiTheme="minorHAnsi"/>
          <w:snapToGrid w:val="0"/>
        </w:rPr>
      </w:r>
      <w:r w:rsidR="00A124B8" w:rsidRPr="00E74297">
        <w:rPr>
          <w:rFonts w:asciiTheme="minorHAnsi" w:hAnsiTheme="minorHAnsi"/>
          <w:snapToGrid w:val="0"/>
        </w:rPr>
        <w:fldChar w:fldCharType="separate"/>
      </w:r>
      <w:r w:rsidR="00AE1DC7" w:rsidRPr="00E74297">
        <w:rPr>
          <w:rFonts w:asciiTheme="minorHAnsi" w:hAnsiTheme="minorHAnsi"/>
          <w:snapToGrid w:val="0"/>
        </w:rPr>
        <w:t>7.4</w:t>
      </w:r>
      <w:r w:rsidR="00A124B8" w:rsidRPr="00E74297">
        <w:rPr>
          <w:rFonts w:asciiTheme="minorHAnsi" w:hAnsiTheme="minorHAnsi"/>
          <w:snapToGrid w:val="0"/>
        </w:rPr>
        <w:fldChar w:fldCharType="end"/>
      </w:r>
      <w:r w:rsidR="00A124B8" w:rsidRPr="00E74297">
        <w:rPr>
          <w:rFonts w:asciiTheme="minorHAnsi" w:hAnsiTheme="minorHAnsi"/>
          <w:snapToGrid w:val="0"/>
        </w:rPr>
        <w:t>) the drugs included as TPC in TROPiCS-02 would be likely to adequately reflect Australian clinical practice.</w:t>
      </w:r>
    </w:p>
    <w:p w14:paraId="09EBF5AF" w14:textId="314117C3" w:rsidR="00D06CD4" w:rsidRPr="00E74297" w:rsidRDefault="003A287F" w:rsidP="00D06CD4">
      <w:pPr>
        <w:widowControl w:val="0"/>
        <w:numPr>
          <w:ilvl w:val="1"/>
          <w:numId w:val="1"/>
        </w:numPr>
        <w:spacing w:after="120"/>
        <w:rPr>
          <w:rFonts w:asciiTheme="minorHAnsi" w:hAnsiTheme="minorHAnsi"/>
          <w:snapToGrid w:val="0"/>
        </w:rPr>
      </w:pPr>
      <w:r w:rsidRPr="00E74297">
        <w:rPr>
          <w:rFonts w:asciiTheme="minorHAnsi" w:hAnsiTheme="minorHAnsi"/>
          <w:snapToGrid w:val="0"/>
        </w:rPr>
        <w:t xml:space="preserve">The PBAC noted that the submission was based on the TROPiCS-02 trial, an open label, randomised comparison of SG and TPC. The PBAC noted that informative censoring may have biased the primary outcome of PFS. However, the PBAC noted that the </w:t>
      </w:r>
      <w:r w:rsidR="00690A0D" w:rsidRPr="00E74297">
        <w:rPr>
          <w:rFonts w:asciiTheme="minorHAnsi" w:hAnsiTheme="minorHAnsi"/>
          <w:snapToGrid w:val="0"/>
        </w:rPr>
        <w:t xml:space="preserve">secondary outcome of </w:t>
      </w:r>
      <w:r w:rsidRPr="00E74297">
        <w:rPr>
          <w:rFonts w:asciiTheme="minorHAnsi" w:hAnsiTheme="minorHAnsi"/>
          <w:snapToGrid w:val="0"/>
        </w:rPr>
        <w:t>OS was not impacted by censoring</w:t>
      </w:r>
      <w:r w:rsidR="00690A0D" w:rsidRPr="00E74297">
        <w:rPr>
          <w:rFonts w:asciiTheme="minorHAnsi" w:hAnsiTheme="minorHAnsi"/>
          <w:snapToGrid w:val="0"/>
        </w:rPr>
        <w:t xml:space="preserve"> and the potential for bias in this outcome was minimal</w:t>
      </w:r>
      <w:r w:rsidRPr="00E74297">
        <w:rPr>
          <w:rFonts w:asciiTheme="minorHAnsi" w:hAnsiTheme="minorHAnsi"/>
          <w:snapToGrid w:val="0"/>
        </w:rPr>
        <w:t>.</w:t>
      </w:r>
    </w:p>
    <w:p w14:paraId="255E6F47" w14:textId="58B8771F" w:rsidR="00274264" w:rsidRPr="00E74297" w:rsidRDefault="00D91E0E" w:rsidP="00DB71D7">
      <w:pPr>
        <w:widowControl w:val="0"/>
        <w:numPr>
          <w:ilvl w:val="1"/>
          <w:numId w:val="1"/>
        </w:numPr>
        <w:spacing w:after="120"/>
        <w:rPr>
          <w:rFonts w:asciiTheme="minorHAnsi" w:hAnsiTheme="minorHAnsi"/>
          <w:snapToGrid w:val="0"/>
          <w:szCs w:val="20"/>
        </w:rPr>
      </w:pPr>
      <w:r w:rsidRPr="00E74297">
        <w:t xml:space="preserve">The </w:t>
      </w:r>
      <w:r w:rsidR="00690A0D" w:rsidRPr="00E74297">
        <w:t>PBAC noted that in TROPiCS-02 at the primary analysis (January 2022 DCO) there was</w:t>
      </w:r>
      <w:r w:rsidRPr="00E74297">
        <w:t xml:space="preserve"> a statistically significant improvement in PFS </w:t>
      </w:r>
      <w:r w:rsidR="00690A0D" w:rsidRPr="00E74297">
        <w:t xml:space="preserve">for patients treated with SG </w:t>
      </w:r>
      <w:r w:rsidRPr="00E74297">
        <w:t>(</w:t>
      </w:r>
      <w:r w:rsidR="007A5622" w:rsidRPr="00E74297">
        <w:t xml:space="preserve">median </w:t>
      </w:r>
      <w:r w:rsidRPr="00E74297">
        <w:t xml:space="preserve">5.5 months in SG vs 4.0 months in TPC, HR: 0.661; 95% CI: 0.529, 0.826; P=0.0003). At the July 2022 DCO, SG was associated with a significant improvement </w:t>
      </w:r>
      <w:r w:rsidR="007A5622" w:rsidRPr="00E74297">
        <w:t xml:space="preserve">in </w:t>
      </w:r>
      <w:r w:rsidR="00690A0D" w:rsidRPr="00E74297">
        <w:t xml:space="preserve">OS </w:t>
      </w:r>
      <w:r w:rsidR="007A5622" w:rsidRPr="00E74297">
        <w:t xml:space="preserve">with a </w:t>
      </w:r>
      <w:r w:rsidR="00690A0D" w:rsidRPr="00E74297">
        <w:t>gain</w:t>
      </w:r>
      <w:r w:rsidR="007A5622" w:rsidRPr="00E74297">
        <w:t xml:space="preserve"> in median OS</w:t>
      </w:r>
      <w:r w:rsidR="00690A0D" w:rsidRPr="00E74297">
        <w:t xml:space="preserve"> of 3.2 months compared with </w:t>
      </w:r>
      <w:r w:rsidRPr="00E74297">
        <w:t xml:space="preserve">TPC (HR: 0.789; 95% CI: 0.646, 0.964; P=0.002). </w:t>
      </w:r>
      <w:r w:rsidR="006B4C4F" w:rsidRPr="00E74297">
        <w:rPr>
          <w:rFonts w:asciiTheme="minorHAnsi" w:hAnsiTheme="minorHAnsi"/>
          <w:snapToGrid w:val="0"/>
        </w:rPr>
        <w:t>The PBAC noted that s</w:t>
      </w:r>
      <w:r w:rsidR="00274264" w:rsidRPr="00E74297">
        <w:t>ubgroup analyses by type of chemotherapy agent indicated that the observed superiority of SG over TPC may have been driven by the relatively larger benefit of SG over vinorelbine</w:t>
      </w:r>
      <w:r w:rsidR="00BC75AF" w:rsidRPr="00E74297">
        <w:t xml:space="preserve">, which </w:t>
      </w:r>
      <w:r w:rsidR="006B4C4F" w:rsidRPr="00E74297">
        <w:t xml:space="preserve">is usually used </w:t>
      </w:r>
      <w:r w:rsidR="00291164" w:rsidRPr="00E74297">
        <w:t>as a later line of therapy</w:t>
      </w:r>
      <w:r w:rsidR="00DB71D7" w:rsidRPr="00E74297">
        <w:t xml:space="preserve"> than other TPCs (eribulin, capecitabine, gemcitabine)</w:t>
      </w:r>
      <w:r w:rsidR="00291164" w:rsidRPr="00E74297">
        <w:t xml:space="preserve">. </w:t>
      </w:r>
      <w:r w:rsidR="00DB71D7" w:rsidRPr="00E74297">
        <w:t xml:space="preserve">Overall, the PBAC considered that the clinical claim of superior efficacy was reasonable, </w:t>
      </w:r>
      <w:r w:rsidR="00DB71D7" w:rsidRPr="00E74297">
        <w:rPr>
          <w:rFonts w:asciiTheme="minorHAnsi" w:hAnsiTheme="minorHAnsi"/>
          <w:snapToGrid w:val="0"/>
          <w:szCs w:val="20"/>
        </w:rPr>
        <w:t xml:space="preserve">though the magnitude of benefit is </w:t>
      </w:r>
      <w:r w:rsidR="00BC75AF" w:rsidRPr="00E74297">
        <w:rPr>
          <w:rFonts w:asciiTheme="minorHAnsi" w:hAnsiTheme="minorHAnsi"/>
          <w:snapToGrid w:val="0"/>
          <w:szCs w:val="20"/>
        </w:rPr>
        <w:t>modest</w:t>
      </w:r>
      <w:r w:rsidR="00DB71D7" w:rsidRPr="00E74297">
        <w:rPr>
          <w:rFonts w:asciiTheme="minorHAnsi" w:hAnsiTheme="minorHAnsi"/>
          <w:snapToGrid w:val="0"/>
          <w:szCs w:val="20"/>
        </w:rPr>
        <w:t xml:space="preserve"> and </w:t>
      </w:r>
      <w:r w:rsidR="00BC75AF" w:rsidRPr="00E74297">
        <w:rPr>
          <w:rFonts w:asciiTheme="minorHAnsi" w:hAnsiTheme="minorHAnsi"/>
          <w:snapToGrid w:val="0"/>
          <w:szCs w:val="20"/>
        </w:rPr>
        <w:t>likely to depend</w:t>
      </w:r>
      <w:r w:rsidR="00DB71D7" w:rsidRPr="00E74297">
        <w:rPr>
          <w:rFonts w:asciiTheme="minorHAnsi" w:hAnsiTheme="minorHAnsi"/>
          <w:snapToGrid w:val="0"/>
          <w:szCs w:val="20"/>
        </w:rPr>
        <w:t xml:space="preserve"> on the applicability of the </w:t>
      </w:r>
      <w:r w:rsidR="00BC75AF" w:rsidRPr="00E74297">
        <w:rPr>
          <w:rFonts w:asciiTheme="minorHAnsi" w:hAnsiTheme="minorHAnsi"/>
          <w:snapToGrid w:val="0"/>
          <w:szCs w:val="20"/>
        </w:rPr>
        <w:t>trial population to the Australian PBS population</w:t>
      </w:r>
      <w:r w:rsidR="00DB71D7" w:rsidRPr="00E74297">
        <w:rPr>
          <w:rFonts w:asciiTheme="minorHAnsi" w:hAnsiTheme="minorHAnsi"/>
          <w:snapToGrid w:val="0"/>
          <w:szCs w:val="20"/>
        </w:rPr>
        <w:t>.</w:t>
      </w:r>
    </w:p>
    <w:p w14:paraId="0898904B" w14:textId="769345E4" w:rsidR="000E337C" w:rsidRPr="00E74297" w:rsidRDefault="00DB71D7" w:rsidP="00D06CD4">
      <w:pPr>
        <w:widowControl w:val="0"/>
        <w:numPr>
          <w:ilvl w:val="1"/>
          <w:numId w:val="1"/>
        </w:numPr>
        <w:spacing w:after="120"/>
      </w:pPr>
      <w:r w:rsidRPr="00E74297">
        <w:rPr>
          <w:rFonts w:asciiTheme="minorHAnsi" w:hAnsiTheme="minorHAnsi"/>
          <w:snapToGrid w:val="0"/>
        </w:rPr>
        <w:t xml:space="preserve">The PBAC noted that in TROPiCS-02 the SG arm had higher rates of grade 3 or higher TEAEs, treatment related TEAEs, treatment emergent treatment related SAEs, and TEAEs leading to dose interruption or discontinuation. </w:t>
      </w:r>
      <w:r w:rsidR="006C5799" w:rsidRPr="00E74297">
        <w:t xml:space="preserve">The main AEs of concern for SG were neutropenia, diarrhoea, </w:t>
      </w:r>
      <w:r w:rsidR="00606C6B" w:rsidRPr="00E74297">
        <w:t>fatigue,</w:t>
      </w:r>
      <w:r w:rsidR="006C5799" w:rsidRPr="00E74297">
        <w:t xml:space="preserve"> and nausea. </w:t>
      </w:r>
      <w:r w:rsidRPr="00E74297">
        <w:rPr>
          <w:rFonts w:cstheme="minorHAnsi"/>
        </w:rPr>
        <w:t xml:space="preserve">The PBAC considered that </w:t>
      </w:r>
      <w:r w:rsidR="006C5799" w:rsidRPr="00E74297">
        <w:rPr>
          <w:rFonts w:cstheme="minorHAnsi"/>
        </w:rPr>
        <w:t xml:space="preserve">Grade 3 </w:t>
      </w:r>
      <w:r w:rsidRPr="00E74297">
        <w:rPr>
          <w:rFonts w:cstheme="minorHAnsi"/>
        </w:rPr>
        <w:t xml:space="preserve">diarrhoea typically </w:t>
      </w:r>
      <w:r w:rsidR="007F70FF" w:rsidRPr="00E74297">
        <w:rPr>
          <w:rFonts w:cstheme="minorHAnsi"/>
        </w:rPr>
        <w:t xml:space="preserve">requires hospitalisation </w:t>
      </w:r>
      <w:r w:rsidRPr="00E74297">
        <w:rPr>
          <w:rFonts w:cstheme="minorHAnsi"/>
        </w:rPr>
        <w:t>in clinical practice and patients often discontinue treatment as a result</w:t>
      </w:r>
      <w:r w:rsidR="00931002" w:rsidRPr="00E74297">
        <w:rPr>
          <w:rFonts w:cstheme="minorHAnsi"/>
        </w:rPr>
        <w:t xml:space="preserve">. </w:t>
      </w:r>
      <w:r w:rsidR="006C5799" w:rsidRPr="00E74297">
        <w:t>Overall the PBAC considered that SG has inferior safety compared with TPC.</w:t>
      </w:r>
    </w:p>
    <w:p w14:paraId="6C9F7E06" w14:textId="171B2CF6" w:rsidR="00235BAB" w:rsidRPr="00E74297" w:rsidRDefault="006C5799" w:rsidP="00D06CD4">
      <w:pPr>
        <w:widowControl w:val="0"/>
        <w:numPr>
          <w:ilvl w:val="1"/>
          <w:numId w:val="1"/>
        </w:numPr>
        <w:spacing w:after="120"/>
        <w:rPr>
          <w:rFonts w:asciiTheme="minorHAnsi" w:hAnsiTheme="minorHAnsi"/>
          <w:snapToGrid w:val="0"/>
        </w:rPr>
      </w:pPr>
      <w:bookmarkStart w:id="102" w:name="_Ref141798403"/>
      <w:r w:rsidRPr="00E74297">
        <w:rPr>
          <w:rFonts w:asciiTheme="minorHAnsi" w:hAnsiTheme="minorHAnsi"/>
          <w:snapToGrid w:val="0"/>
        </w:rPr>
        <w:t xml:space="preserve">The PBAC noted that the submission presented a </w:t>
      </w:r>
      <w:r w:rsidRPr="00E74297">
        <w:t>cost-utility analysis based on the direct randomised trial TROPiCS-02.</w:t>
      </w:r>
      <w:r w:rsidR="00F02235" w:rsidRPr="00E74297">
        <w:t xml:space="preserve"> A substantial proportion (80%) of incremental life </w:t>
      </w:r>
      <w:r w:rsidR="00F02235" w:rsidRPr="00E74297">
        <w:lastRenderedPageBreak/>
        <w:t xml:space="preserve">years gained occur during the extrapolated period despite the trial having relatively mature OS data available. </w:t>
      </w:r>
      <w:r w:rsidR="00606CE9" w:rsidRPr="00E74297">
        <w:t xml:space="preserve">The PBAC considered that the model </w:t>
      </w:r>
      <w:r w:rsidR="00235BAB" w:rsidRPr="00E74297">
        <w:t>applied</w:t>
      </w:r>
      <w:r w:rsidR="00606CE9" w:rsidRPr="00E74297">
        <w:t xml:space="preserve"> a number of </w:t>
      </w:r>
      <w:r w:rsidR="00235BAB" w:rsidRPr="00E74297">
        <w:t>methods and assumptions that were not justified and potentially favoured SG</w:t>
      </w:r>
      <w:r w:rsidR="00B51D72" w:rsidRPr="00E74297">
        <w:t>, including</w:t>
      </w:r>
      <w:r w:rsidR="00235BAB" w:rsidRPr="00E74297">
        <w:t>:</w:t>
      </w:r>
      <w:bookmarkEnd w:id="102"/>
    </w:p>
    <w:p w14:paraId="074BE87F" w14:textId="094258D2" w:rsidR="00D06CD4" w:rsidRPr="00E74297" w:rsidRDefault="00235BAB" w:rsidP="00235BAB">
      <w:pPr>
        <w:pStyle w:val="ListParagraph"/>
        <w:ind w:left="1134"/>
      </w:pPr>
      <w:r w:rsidRPr="00E74297">
        <w:t xml:space="preserve">The model used a </w:t>
      </w:r>
      <w:r w:rsidR="00343E3C" w:rsidRPr="00E74297">
        <w:t>10-year</w:t>
      </w:r>
      <w:r w:rsidRPr="00E74297">
        <w:t xml:space="preserve"> time horizon, however PBAC considered if the proposed PBS population is aligned to the TROPiCS-02 trial a time horizon of 5 years would be more appropriate for the heavily pre-treated population.</w:t>
      </w:r>
    </w:p>
    <w:p w14:paraId="5365A170" w14:textId="4850DFA6" w:rsidR="000E337C" w:rsidRPr="00E74297" w:rsidRDefault="00235BAB" w:rsidP="00F02235">
      <w:pPr>
        <w:pStyle w:val="ListParagraph"/>
        <w:ind w:left="1134"/>
      </w:pPr>
      <w:r w:rsidRPr="00E74297">
        <w:t xml:space="preserve">KM data was only used up to 13.1 months, however KM estimates up to 30 months still contain a sufficient number of patients at risk to give reliable estimates. The PBAC considered that use of KM data up to 30 months was consistent with the preferred approach as outlined in the PBAC guidelines. </w:t>
      </w:r>
      <w:r w:rsidR="00F02235" w:rsidRPr="00E74297">
        <w:t>The</w:t>
      </w:r>
      <w:r w:rsidR="00C54556">
        <w:t> </w:t>
      </w:r>
      <w:r w:rsidR="00F02235" w:rsidRPr="00E74297">
        <w:t>PBAC noted that using more OS KM data and a shorter time horizon would substantially reduce the uncertainty</w:t>
      </w:r>
      <w:r w:rsidR="00E3674A" w:rsidRPr="00E74297">
        <w:t xml:space="preserve"> in the modelled outcomes</w:t>
      </w:r>
      <w:r w:rsidR="00F02235" w:rsidRPr="00E74297">
        <w:t>.</w:t>
      </w:r>
    </w:p>
    <w:p w14:paraId="04DAFDB5" w14:textId="5FE44631" w:rsidR="00993C90" w:rsidRPr="00E74297" w:rsidRDefault="00993C90" w:rsidP="00993C90">
      <w:pPr>
        <w:pStyle w:val="ListParagraph"/>
        <w:ind w:left="1134"/>
      </w:pPr>
      <w:r w:rsidRPr="00E74297">
        <w:t>Health state quality-of-life data were captured in the TROPiCS-02 trial, however the base case analysis included health state utilities that were sourced from the economic evaluation of SG vs TPC for mTNBC. The submission also applied treatment-specific utilities for the PF health state. The PBAC considered the use of treatment specific utilities was poorly justified in the submission and considered that utilities in TNBC are not applicable to the HR+ setting as TNBC patients tend to have more aggressive disease, more visceral disease and tend to be younger, with more additional value placed on small survival gains. The PBAC considered that the economic model should apply utility values from the TROPiCS-02 trial.</w:t>
      </w:r>
    </w:p>
    <w:p w14:paraId="4203D1AC" w14:textId="7176243A" w:rsidR="00993C90" w:rsidRPr="00E74297" w:rsidRDefault="00993C90" w:rsidP="00993C90">
      <w:pPr>
        <w:pStyle w:val="ListParagraph"/>
        <w:ind w:left="1134"/>
      </w:pPr>
      <w:r w:rsidRPr="00E74297">
        <w:t>The duration of treatment in the economic model used KM TTD data from TROPiCS-02 up to the mean follow-up time (13.1 months), then dependent exponential distributions were used for parametric extrapolation over the remaining time horizon. The PBAC considered that as TTD data were mature (2%</w:t>
      </w:r>
      <w:r w:rsidR="00C54556">
        <w:t> </w:t>
      </w:r>
      <w:r w:rsidRPr="00E74297">
        <w:t>and 1% of patients remaining on treatment in the SG and TPC arms at the end of the observed period), TTD data without extrapolation should be used.</w:t>
      </w:r>
    </w:p>
    <w:p w14:paraId="6F73F7A8" w14:textId="372120A0" w:rsidR="00A704E4" w:rsidRPr="00E74297" w:rsidRDefault="00A704E4" w:rsidP="00A704E4">
      <w:pPr>
        <w:pStyle w:val="ListParagraph"/>
        <w:ind w:left="1134"/>
      </w:pPr>
      <w:r w:rsidRPr="00E74297">
        <w:t>The submission assumed vial sharing would occur in the base case analysis for SG and the comparator drugs. The PBAC considered that the economic model should include wastage as this would be expected to occur in practice.</w:t>
      </w:r>
    </w:p>
    <w:p w14:paraId="3F06A8CD" w14:textId="5249C6A1" w:rsidR="00993C90" w:rsidRPr="00E74297" w:rsidRDefault="00A704E4" w:rsidP="005B6CF9">
      <w:pPr>
        <w:pStyle w:val="ListParagraph"/>
        <w:ind w:left="1134"/>
      </w:pPr>
      <w:r w:rsidRPr="00E74297">
        <w:t>The model included subsequent treatment with SG for 8% of patients in the TPC arm.</w:t>
      </w:r>
      <w:r w:rsidR="00443AF8" w:rsidRPr="00E74297">
        <w:t xml:space="preserve"> </w:t>
      </w:r>
      <w:r w:rsidRPr="00E74297">
        <w:t>The PBAC considered this was not reasonable as SG is not currently available in the proposed setting for this indication. The economic model assumed all patients receive subsequent therapies despite only 66% and 60% of patients in the SG and TPC arms, respectively, receiving subsequent treatment in the key trial. The PBAC considered that the proportions observed in the trial should be applied to the economic model.</w:t>
      </w:r>
    </w:p>
    <w:p w14:paraId="47F0E60A" w14:textId="6B6C6656" w:rsidR="00C06505" w:rsidRPr="00E74297" w:rsidRDefault="00C06505" w:rsidP="00C06505">
      <w:pPr>
        <w:pStyle w:val="3-BodyText"/>
      </w:pPr>
      <w:r w:rsidRPr="00E74297">
        <w:lastRenderedPageBreak/>
        <w:t>The PBAC noted that the base case ICER was $</w:t>
      </w:r>
      <w:r w:rsidR="00227288">
        <w:t>75,000</w:t>
      </w:r>
      <w:r w:rsidR="0089533C">
        <w:t> </w:t>
      </w:r>
      <w:r w:rsidR="00227288">
        <w:t>to</w:t>
      </w:r>
      <w:r w:rsidR="0089533C">
        <w:t> </w:t>
      </w:r>
      <w:r w:rsidR="00227288">
        <w:t>&lt;</w:t>
      </w:r>
      <w:r w:rsidR="0089533C">
        <w:t> </w:t>
      </w:r>
      <w:r w:rsidR="00227288">
        <w:t>$95,000</w:t>
      </w:r>
      <w:r w:rsidRPr="00E74297">
        <w:t xml:space="preserve"> per QALY gained, however, given the above issues, the committee considered that this ICER was substantially underestimated</w:t>
      </w:r>
      <w:r w:rsidR="00FF2895" w:rsidRPr="00E74297">
        <w:t xml:space="preserve"> and uncertain, given the proportion of incremental life years gained occur during the extrapolated period</w:t>
      </w:r>
      <w:r w:rsidRPr="00E74297">
        <w:t xml:space="preserve">. </w:t>
      </w:r>
      <w:r w:rsidR="003F4E7B" w:rsidRPr="00E74297">
        <w:t xml:space="preserve">The PBAC considered this should be addressed in any resubmission. </w:t>
      </w:r>
      <w:r w:rsidR="00C12B75" w:rsidRPr="00E74297">
        <w:t>The PBAC noted that with changes applied as above the ICER increased to $</w:t>
      </w:r>
      <w:r w:rsidR="00227288">
        <w:t>155,000</w:t>
      </w:r>
      <w:r w:rsidR="0089533C">
        <w:t> </w:t>
      </w:r>
      <w:r w:rsidR="00227288">
        <w:t>to</w:t>
      </w:r>
      <w:r w:rsidR="0089533C">
        <w:t> </w:t>
      </w:r>
      <w:r w:rsidR="00227288">
        <w:t>&lt;</w:t>
      </w:r>
      <w:r w:rsidR="0089533C">
        <w:t> </w:t>
      </w:r>
      <w:r w:rsidR="00227288">
        <w:t>$255,000</w:t>
      </w:r>
      <w:r w:rsidR="00C12B75" w:rsidRPr="00E74297">
        <w:t xml:space="preserve"> per QALY gained. </w:t>
      </w:r>
      <w:r w:rsidRPr="00E74297">
        <w:t>Therefore, the PBAC considered that SG was not cost-effective at the proposed price.</w:t>
      </w:r>
      <w:r w:rsidR="00E3674A" w:rsidRPr="00E74297">
        <w:t xml:space="preserve"> The </w:t>
      </w:r>
      <w:r w:rsidR="00C12B75" w:rsidRPr="00E74297">
        <w:t xml:space="preserve">PBAC considered that at an ICER of $75,000 per QALY SG would be acceptably </w:t>
      </w:r>
      <w:r w:rsidR="00343E3C" w:rsidRPr="00E74297">
        <w:t>cost-effective and</w:t>
      </w:r>
      <w:r w:rsidR="00C12B75" w:rsidRPr="00E74297">
        <w:t xml:space="preserve"> noted that this would require a substantial price reduction.</w:t>
      </w:r>
    </w:p>
    <w:p w14:paraId="7D70E603" w14:textId="74917B25" w:rsidR="000E337C" w:rsidRPr="00E74297" w:rsidRDefault="00F927DB" w:rsidP="00C12B75">
      <w:pPr>
        <w:pStyle w:val="3-BodyText"/>
      </w:pPr>
      <w:bookmarkStart w:id="103" w:name="_Ref141798551"/>
      <w:r w:rsidRPr="00E74297">
        <w:t xml:space="preserve">The PBAC noted that the financial estimates used an epidemiological approach, however the PBAC considered that estimating the proportion of patients with Stage III/IV disease (incident or progressed) is complex and introduces a high level of uncertainty into the estimated patient numbers. The PBAC noted that 2,031 patients were initiated on CDK4/6 inhibitors (palbociclib, ribociclib and abemaciclib) in the most recent 12 months of data (July 2022 to June 2023). </w:t>
      </w:r>
      <w:r w:rsidR="00C12B75" w:rsidRPr="00E74297">
        <w:t>The PBAC considered that around 60% (1,219 patients) would be in the 4</w:t>
      </w:r>
      <w:r w:rsidR="00C12B75" w:rsidRPr="00E74297">
        <w:rPr>
          <w:vertAlign w:val="superscript"/>
        </w:rPr>
        <w:t>th</w:t>
      </w:r>
      <w:r w:rsidR="00C12B75" w:rsidRPr="00E74297">
        <w:t xml:space="preserve"> line or later of therapy and therefore eligible for SG. The PBAC considered this suggests that the number of eligible patients (3,620 in year 1) was substantially overestimated. The PBAC</w:t>
      </w:r>
      <w:r w:rsidRPr="00E74297">
        <w:t xml:space="preserve"> considered </w:t>
      </w:r>
      <w:r w:rsidR="00C12B75" w:rsidRPr="00E74297">
        <w:t>using patient data for CDK4/6 inhibitors</w:t>
      </w:r>
      <w:r w:rsidRPr="00E74297">
        <w:t xml:space="preserve"> would provide more robust estimates of the eligible patient population. The PBAC noted that corrections to the estimated scripts per patient had appropriately been applied in the revised estimates provided with the </w:t>
      </w:r>
      <w:r w:rsidR="00343E3C" w:rsidRPr="00E74297">
        <w:t>PSCR but</w:t>
      </w:r>
      <w:r w:rsidR="00C12B75" w:rsidRPr="00E74297">
        <w:t xml:space="preserve"> noted that the revised estimates di</w:t>
      </w:r>
      <w:r w:rsidRPr="00E74297">
        <w:t xml:space="preserve">d </w:t>
      </w:r>
      <w:r w:rsidR="00C12B75" w:rsidRPr="00E74297">
        <w:t xml:space="preserve">not </w:t>
      </w:r>
      <w:r w:rsidRPr="00E74297">
        <w:t>account for wastage</w:t>
      </w:r>
      <w:r w:rsidR="00C12B75" w:rsidRPr="00E74297">
        <w:t xml:space="preserve">. The PBAC also considered </w:t>
      </w:r>
      <w:r w:rsidR="00762EFB" w:rsidRPr="00E74297">
        <w:t>the PSCR revised uptake rates were too high given the toxicity of SG</w:t>
      </w:r>
      <w:r w:rsidR="00C12B75" w:rsidRPr="00E74297">
        <w:t xml:space="preserve"> and considered the submission’s uptake rates were more reasonable</w:t>
      </w:r>
      <w:r w:rsidR="00762EFB" w:rsidRPr="00E74297">
        <w:t>.</w:t>
      </w:r>
      <w:bookmarkEnd w:id="103"/>
    </w:p>
    <w:p w14:paraId="1D750488" w14:textId="7CEF2525" w:rsidR="00D06CD4" w:rsidRPr="00E74297" w:rsidRDefault="00D06CD4" w:rsidP="00762EFB">
      <w:pPr>
        <w:pStyle w:val="3-BodyText"/>
      </w:pPr>
      <w:r w:rsidRPr="00E74297">
        <w:t>The PBAC considered the outstanding issues could be easily resolved in a simple resubmission for</w:t>
      </w:r>
      <w:r w:rsidR="00762EFB" w:rsidRPr="00E74297">
        <w:t xml:space="preserve"> SG</w:t>
      </w:r>
      <w:r w:rsidRPr="00E74297">
        <w:t xml:space="preserve"> using the early re-entry pathway. If the sponsor accepts this pathway, the following changes may address these outstanding issues without requiring further re-evaluation</w:t>
      </w:r>
      <w:r w:rsidR="00762EFB" w:rsidRPr="00E74297">
        <w:t>:</w:t>
      </w:r>
    </w:p>
    <w:p w14:paraId="752A698E" w14:textId="3BFC2E04" w:rsidR="00762EFB" w:rsidRPr="00E74297" w:rsidRDefault="00762EFB" w:rsidP="00A77744">
      <w:pPr>
        <w:pStyle w:val="TableBullet"/>
        <w:spacing w:before="0" w:line="240" w:lineRule="auto"/>
        <w:ind w:left="1134" w:hanging="357"/>
        <w:rPr>
          <w:rFonts w:asciiTheme="minorHAnsi" w:eastAsia="SimSun" w:hAnsiTheme="minorHAnsi" w:cs="Arial"/>
          <w:snapToGrid w:val="0"/>
          <w:sz w:val="24"/>
          <w:szCs w:val="24"/>
          <w:lang w:eastAsia="en-AU"/>
        </w:rPr>
      </w:pPr>
      <w:r w:rsidRPr="00E74297">
        <w:rPr>
          <w:rFonts w:asciiTheme="minorHAnsi" w:eastAsia="SimSun" w:hAnsiTheme="minorHAnsi" w:cs="Arial"/>
          <w:snapToGrid w:val="0"/>
          <w:sz w:val="24"/>
          <w:szCs w:val="24"/>
          <w:lang w:eastAsia="en-AU"/>
        </w:rPr>
        <w:t xml:space="preserve">Revision of the restriction to reflect the TROPiCS-02 trial population as described in paragraphs </w:t>
      </w:r>
      <w:r w:rsidRPr="00E74297">
        <w:rPr>
          <w:rFonts w:asciiTheme="minorHAnsi" w:eastAsia="SimSun" w:hAnsiTheme="minorHAnsi" w:cs="Arial"/>
          <w:snapToGrid w:val="0"/>
          <w:sz w:val="24"/>
          <w:szCs w:val="24"/>
          <w:lang w:eastAsia="en-AU"/>
        </w:rPr>
        <w:fldChar w:fldCharType="begin" w:fldLock="1"/>
      </w:r>
      <w:r w:rsidRPr="00E74297">
        <w:rPr>
          <w:rFonts w:asciiTheme="minorHAnsi" w:eastAsia="SimSun" w:hAnsiTheme="minorHAnsi" w:cs="Arial"/>
          <w:snapToGrid w:val="0"/>
          <w:sz w:val="24"/>
          <w:szCs w:val="24"/>
          <w:lang w:eastAsia="en-AU"/>
        </w:rPr>
        <w:instrText xml:space="preserve"> REF _Ref141798472 \r \h </w:instrText>
      </w:r>
      <w:r w:rsidR="00A77744" w:rsidRPr="00E74297">
        <w:rPr>
          <w:rFonts w:asciiTheme="minorHAnsi" w:eastAsia="SimSun" w:hAnsiTheme="minorHAnsi" w:cs="Arial"/>
          <w:snapToGrid w:val="0"/>
          <w:sz w:val="24"/>
          <w:szCs w:val="24"/>
          <w:lang w:eastAsia="en-AU"/>
        </w:rPr>
        <w:instrText xml:space="preserve"> \* MERGEFORMAT </w:instrText>
      </w:r>
      <w:r w:rsidRPr="00E74297">
        <w:rPr>
          <w:rFonts w:asciiTheme="minorHAnsi" w:eastAsia="SimSun" w:hAnsiTheme="minorHAnsi" w:cs="Arial"/>
          <w:snapToGrid w:val="0"/>
          <w:sz w:val="24"/>
          <w:szCs w:val="24"/>
          <w:lang w:eastAsia="en-AU"/>
        </w:rPr>
      </w:r>
      <w:r w:rsidRPr="00E74297">
        <w:rPr>
          <w:rFonts w:asciiTheme="minorHAnsi" w:eastAsia="SimSun" w:hAnsiTheme="minorHAnsi" w:cs="Arial"/>
          <w:snapToGrid w:val="0"/>
          <w:sz w:val="24"/>
          <w:szCs w:val="24"/>
          <w:lang w:eastAsia="en-AU"/>
        </w:rPr>
        <w:fldChar w:fldCharType="separate"/>
      </w:r>
      <w:r w:rsidR="00AE1DC7" w:rsidRPr="00E74297">
        <w:rPr>
          <w:rFonts w:asciiTheme="minorHAnsi" w:eastAsia="SimSun" w:hAnsiTheme="minorHAnsi" w:cs="Arial"/>
          <w:snapToGrid w:val="0"/>
          <w:sz w:val="24"/>
          <w:szCs w:val="24"/>
          <w:lang w:eastAsia="en-AU"/>
        </w:rPr>
        <w:t>7.3</w:t>
      </w:r>
      <w:r w:rsidRPr="00E74297">
        <w:rPr>
          <w:rFonts w:asciiTheme="minorHAnsi" w:eastAsia="SimSun" w:hAnsiTheme="minorHAnsi" w:cs="Arial"/>
          <w:snapToGrid w:val="0"/>
          <w:sz w:val="24"/>
          <w:szCs w:val="24"/>
          <w:lang w:eastAsia="en-AU"/>
        </w:rPr>
        <w:fldChar w:fldCharType="end"/>
      </w:r>
      <w:r w:rsidRPr="00E74297">
        <w:rPr>
          <w:rFonts w:asciiTheme="minorHAnsi" w:eastAsia="SimSun" w:hAnsiTheme="minorHAnsi" w:cs="Arial"/>
          <w:snapToGrid w:val="0"/>
          <w:sz w:val="24"/>
          <w:szCs w:val="24"/>
          <w:lang w:eastAsia="en-AU"/>
        </w:rPr>
        <w:t xml:space="preserve"> and </w:t>
      </w:r>
      <w:r w:rsidRPr="00E74297">
        <w:rPr>
          <w:rFonts w:asciiTheme="minorHAnsi" w:eastAsia="SimSun" w:hAnsiTheme="minorHAnsi" w:cs="Arial"/>
          <w:snapToGrid w:val="0"/>
          <w:sz w:val="24"/>
          <w:szCs w:val="24"/>
          <w:lang w:eastAsia="en-AU"/>
        </w:rPr>
        <w:fldChar w:fldCharType="begin" w:fldLock="1"/>
      </w:r>
      <w:r w:rsidRPr="00E74297">
        <w:rPr>
          <w:rFonts w:asciiTheme="minorHAnsi" w:eastAsia="SimSun" w:hAnsiTheme="minorHAnsi" w:cs="Arial"/>
          <w:snapToGrid w:val="0"/>
          <w:sz w:val="24"/>
          <w:szCs w:val="24"/>
          <w:lang w:eastAsia="en-AU"/>
        </w:rPr>
        <w:instrText xml:space="preserve"> REF _Ref141786060 \r \h </w:instrText>
      </w:r>
      <w:r w:rsidR="00A77744" w:rsidRPr="00E74297">
        <w:rPr>
          <w:rFonts w:asciiTheme="minorHAnsi" w:eastAsia="SimSun" w:hAnsiTheme="minorHAnsi" w:cs="Arial"/>
          <w:snapToGrid w:val="0"/>
          <w:sz w:val="24"/>
          <w:szCs w:val="24"/>
          <w:lang w:eastAsia="en-AU"/>
        </w:rPr>
        <w:instrText xml:space="preserve"> \* MERGEFORMAT </w:instrText>
      </w:r>
      <w:r w:rsidRPr="00E74297">
        <w:rPr>
          <w:rFonts w:asciiTheme="minorHAnsi" w:eastAsia="SimSun" w:hAnsiTheme="minorHAnsi" w:cs="Arial"/>
          <w:snapToGrid w:val="0"/>
          <w:sz w:val="24"/>
          <w:szCs w:val="24"/>
          <w:lang w:eastAsia="en-AU"/>
        </w:rPr>
      </w:r>
      <w:r w:rsidRPr="00E74297">
        <w:rPr>
          <w:rFonts w:asciiTheme="minorHAnsi" w:eastAsia="SimSun" w:hAnsiTheme="minorHAnsi" w:cs="Arial"/>
          <w:snapToGrid w:val="0"/>
          <w:sz w:val="24"/>
          <w:szCs w:val="24"/>
          <w:lang w:eastAsia="en-AU"/>
        </w:rPr>
        <w:fldChar w:fldCharType="separate"/>
      </w:r>
      <w:r w:rsidR="00AE1DC7" w:rsidRPr="00E74297">
        <w:rPr>
          <w:rFonts w:asciiTheme="minorHAnsi" w:eastAsia="SimSun" w:hAnsiTheme="minorHAnsi" w:cs="Arial"/>
          <w:snapToGrid w:val="0"/>
          <w:sz w:val="24"/>
          <w:szCs w:val="24"/>
          <w:lang w:eastAsia="en-AU"/>
        </w:rPr>
        <w:t>7.4</w:t>
      </w:r>
      <w:r w:rsidRPr="00E74297">
        <w:rPr>
          <w:rFonts w:asciiTheme="minorHAnsi" w:eastAsia="SimSun" w:hAnsiTheme="minorHAnsi" w:cs="Arial"/>
          <w:snapToGrid w:val="0"/>
          <w:sz w:val="24"/>
          <w:szCs w:val="24"/>
          <w:lang w:eastAsia="en-AU"/>
        </w:rPr>
        <w:fldChar w:fldCharType="end"/>
      </w:r>
    </w:p>
    <w:p w14:paraId="7FCC64E6" w14:textId="03DB3843" w:rsidR="00762EFB" w:rsidRPr="00E74297" w:rsidRDefault="00762EFB" w:rsidP="00A77744">
      <w:pPr>
        <w:pStyle w:val="TableBullet"/>
        <w:spacing w:before="0" w:line="240" w:lineRule="auto"/>
        <w:ind w:left="1134" w:hanging="357"/>
        <w:rPr>
          <w:rFonts w:asciiTheme="minorHAnsi" w:eastAsia="SimSun" w:hAnsiTheme="minorHAnsi" w:cs="Arial"/>
          <w:snapToGrid w:val="0"/>
          <w:sz w:val="24"/>
          <w:szCs w:val="24"/>
          <w:lang w:eastAsia="en-AU"/>
        </w:rPr>
      </w:pPr>
      <w:r w:rsidRPr="00E74297">
        <w:rPr>
          <w:rFonts w:asciiTheme="minorHAnsi" w:eastAsia="SimSun" w:hAnsiTheme="minorHAnsi" w:cs="Arial"/>
          <w:snapToGrid w:val="0"/>
          <w:sz w:val="24"/>
          <w:szCs w:val="24"/>
          <w:lang w:eastAsia="en-AU"/>
        </w:rPr>
        <w:t xml:space="preserve">Revision of the economic model as outlined in paragraph </w:t>
      </w:r>
      <w:r w:rsidRPr="00E74297">
        <w:rPr>
          <w:rFonts w:asciiTheme="minorHAnsi" w:eastAsia="SimSun" w:hAnsiTheme="minorHAnsi" w:cs="Arial"/>
          <w:snapToGrid w:val="0"/>
          <w:sz w:val="24"/>
          <w:szCs w:val="24"/>
          <w:lang w:eastAsia="en-AU"/>
        </w:rPr>
        <w:fldChar w:fldCharType="begin" w:fldLock="1"/>
      </w:r>
      <w:r w:rsidRPr="00E74297">
        <w:rPr>
          <w:rFonts w:asciiTheme="minorHAnsi" w:eastAsia="SimSun" w:hAnsiTheme="minorHAnsi" w:cs="Arial"/>
          <w:snapToGrid w:val="0"/>
          <w:sz w:val="24"/>
          <w:szCs w:val="24"/>
          <w:lang w:eastAsia="en-AU"/>
        </w:rPr>
        <w:instrText xml:space="preserve"> REF _Ref141798403 \r \h </w:instrText>
      </w:r>
      <w:r w:rsidR="00A77744" w:rsidRPr="00E74297">
        <w:rPr>
          <w:rFonts w:asciiTheme="minorHAnsi" w:eastAsia="SimSun" w:hAnsiTheme="minorHAnsi" w:cs="Arial"/>
          <w:snapToGrid w:val="0"/>
          <w:sz w:val="24"/>
          <w:szCs w:val="24"/>
          <w:lang w:eastAsia="en-AU"/>
        </w:rPr>
        <w:instrText xml:space="preserve"> \* MERGEFORMAT </w:instrText>
      </w:r>
      <w:r w:rsidRPr="00E74297">
        <w:rPr>
          <w:rFonts w:asciiTheme="minorHAnsi" w:eastAsia="SimSun" w:hAnsiTheme="minorHAnsi" w:cs="Arial"/>
          <w:snapToGrid w:val="0"/>
          <w:sz w:val="24"/>
          <w:szCs w:val="24"/>
          <w:lang w:eastAsia="en-AU"/>
        </w:rPr>
      </w:r>
      <w:r w:rsidRPr="00E74297">
        <w:rPr>
          <w:rFonts w:asciiTheme="minorHAnsi" w:eastAsia="SimSun" w:hAnsiTheme="minorHAnsi" w:cs="Arial"/>
          <w:snapToGrid w:val="0"/>
          <w:sz w:val="24"/>
          <w:szCs w:val="24"/>
          <w:lang w:eastAsia="en-AU"/>
        </w:rPr>
        <w:fldChar w:fldCharType="separate"/>
      </w:r>
      <w:r w:rsidR="00AE1DC7" w:rsidRPr="00E74297">
        <w:rPr>
          <w:rFonts w:asciiTheme="minorHAnsi" w:eastAsia="SimSun" w:hAnsiTheme="minorHAnsi" w:cs="Arial"/>
          <w:snapToGrid w:val="0"/>
          <w:sz w:val="24"/>
          <w:szCs w:val="24"/>
          <w:lang w:eastAsia="en-AU"/>
        </w:rPr>
        <w:t>7.9</w:t>
      </w:r>
      <w:r w:rsidRPr="00E74297">
        <w:rPr>
          <w:rFonts w:asciiTheme="minorHAnsi" w:eastAsia="SimSun" w:hAnsiTheme="minorHAnsi" w:cs="Arial"/>
          <w:snapToGrid w:val="0"/>
          <w:sz w:val="24"/>
          <w:szCs w:val="24"/>
          <w:lang w:eastAsia="en-AU"/>
        </w:rPr>
        <w:fldChar w:fldCharType="end"/>
      </w:r>
    </w:p>
    <w:p w14:paraId="5F1DB063" w14:textId="77777777" w:rsidR="000E337C" w:rsidRPr="00E74297" w:rsidRDefault="00762EFB" w:rsidP="00E3674A">
      <w:pPr>
        <w:pStyle w:val="TableBullet"/>
        <w:spacing w:before="0" w:line="240" w:lineRule="auto"/>
        <w:ind w:left="1134" w:hanging="357"/>
        <w:rPr>
          <w:rFonts w:asciiTheme="minorHAnsi" w:eastAsia="SimSun" w:hAnsiTheme="minorHAnsi" w:cs="Arial"/>
          <w:snapToGrid w:val="0"/>
          <w:sz w:val="24"/>
          <w:szCs w:val="24"/>
          <w:lang w:eastAsia="en-AU"/>
        </w:rPr>
      </w:pPr>
      <w:r w:rsidRPr="00E74297">
        <w:rPr>
          <w:rFonts w:asciiTheme="minorHAnsi" w:eastAsia="SimSun" w:hAnsiTheme="minorHAnsi" w:cs="Arial"/>
          <w:snapToGrid w:val="0"/>
          <w:sz w:val="24"/>
          <w:szCs w:val="24"/>
          <w:lang w:eastAsia="en-AU"/>
        </w:rPr>
        <w:t>Revision of the financial estimates</w:t>
      </w:r>
      <w:r w:rsidR="00A77744" w:rsidRPr="00E74297">
        <w:rPr>
          <w:rFonts w:asciiTheme="minorHAnsi" w:eastAsia="SimSun" w:hAnsiTheme="minorHAnsi" w:cs="Arial"/>
          <w:snapToGrid w:val="0"/>
          <w:sz w:val="24"/>
          <w:szCs w:val="24"/>
          <w:lang w:eastAsia="en-AU"/>
        </w:rPr>
        <w:t xml:space="preserve"> as described in paragraph </w:t>
      </w:r>
      <w:r w:rsidR="00A77744" w:rsidRPr="00E74297">
        <w:rPr>
          <w:rFonts w:asciiTheme="minorHAnsi" w:eastAsia="SimSun" w:hAnsiTheme="minorHAnsi" w:cs="Arial"/>
          <w:snapToGrid w:val="0"/>
          <w:sz w:val="24"/>
          <w:szCs w:val="24"/>
          <w:lang w:eastAsia="en-AU"/>
        </w:rPr>
        <w:fldChar w:fldCharType="begin" w:fldLock="1"/>
      </w:r>
      <w:r w:rsidR="00A77744" w:rsidRPr="00E74297">
        <w:rPr>
          <w:rFonts w:asciiTheme="minorHAnsi" w:eastAsia="SimSun" w:hAnsiTheme="minorHAnsi" w:cs="Arial"/>
          <w:snapToGrid w:val="0"/>
          <w:sz w:val="24"/>
          <w:szCs w:val="24"/>
          <w:lang w:eastAsia="en-AU"/>
        </w:rPr>
        <w:instrText xml:space="preserve"> REF _Ref141798551 \r \h  \* MERGEFORMAT </w:instrText>
      </w:r>
      <w:r w:rsidR="00A77744" w:rsidRPr="00E74297">
        <w:rPr>
          <w:rFonts w:asciiTheme="minorHAnsi" w:eastAsia="SimSun" w:hAnsiTheme="minorHAnsi" w:cs="Arial"/>
          <w:snapToGrid w:val="0"/>
          <w:sz w:val="24"/>
          <w:szCs w:val="24"/>
          <w:lang w:eastAsia="en-AU"/>
        </w:rPr>
      </w:r>
      <w:r w:rsidR="00A77744" w:rsidRPr="00E74297">
        <w:rPr>
          <w:rFonts w:asciiTheme="minorHAnsi" w:eastAsia="SimSun" w:hAnsiTheme="minorHAnsi" w:cs="Arial"/>
          <w:snapToGrid w:val="0"/>
          <w:sz w:val="24"/>
          <w:szCs w:val="24"/>
          <w:lang w:eastAsia="en-AU"/>
        </w:rPr>
        <w:fldChar w:fldCharType="separate"/>
      </w:r>
      <w:r w:rsidR="00AE1DC7" w:rsidRPr="00E74297">
        <w:rPr>
          <w:rFonts w:asciiTheme="minorHAnsi" w:eastAsia="SimSun" w:hAnsiTheme="minorHAnsi" w:cs="Arial"/>
          <w:snapToGrid w:val="0"/>
          <w:sz w:val="24"/>
          <w:szCs w:val="24"/>
          <w:lang w:eastAsia="en-AU"/>
        </w:rPr>
        <w:t>7.11</w:t>
      </w:r>
      <w:r w:rsidR="00A77744" w:rsidRPr="00E74297">
        <w:rPr>
          <w:rFonts w:asciiTheme="minorHAnsi" w:eastAsia="SimSun" w:hAnsiTheme="minorHAnsi" w:cs="Arial"/>
          <w:snapToGrid w:val="0"/>
          <w:sz w:val="24"/>
          <w:szCs w:val="24"/>
          <w:lang w:eastAsia="en-AU"/>
        </w:rPr>
        <w:fldChar w:fldCharType="end"/>
      </w:r>
    </w:p>
    <w:p w14:paraId="782DAA24" w14:textId="6F34FEBE" w:rsidR="00AE1267" w:rsidRPr="00E74297" w:rsidRDefault="00D06CD4" w:rsidP="00E3674A">
      <w:pPr>
        <w:widowControl w:val="0"/>
        <w:spacing w:after="120"/>
        <w:ind w:left="720"/>
        <w:rPr>
          <w:rFonts w:asciiTheme="minorHAnsi" w:hAnsiTheme="minorHAnsi"/>
          <w:bCs/>
          <w:snapToGrid w:val="0"/>
        </w:rPr>
      </w:pPr>
      <w:r w:rsidRPr="00E74297">
        <w:rPr>
          <w:rFonts w:asciiTheme="minorHAnsi" w:hAnsiTheme="minorHAnsi"/>
          <w:bCs/>
          <w:snapToGrid w:val="0"/>
        </w:rPr>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30CFA7C9" w14:textId="69B8EAF1" w:rsidR="00AE1267" w:rsidRPr="00FA1535" w:rsidRDefault="00D06CD4" w:rsidP="00FA1535">
      <w:pPr>
        <w:widowControl w:val="0"/>
        <w:numPr>
          <w:ilvl w:val="1"/>
          <w:numId w:val="1"/>
        </w:numPr>
        <w:spacing w:after="120"/>
        <w:rPr>
          <w:rFonts w:asciiTheme="minorHAnsi" w:hAnsiTheme="minorHAnsi"/>
          <w:bCs/>
          <w:snapToGrid w:val="0"/>
        </w:rPr>
      </w:pPr>
      <w:r w:rsidRPr="00E74297">
        <w:rPr>
          <w:rFonts w:asciiTheme="minorHAnsi" w:hAnsiTheme="minorHAnsi"/>
          <w:bCs/>
          <w:snapToGrid w:val="0"/>
        </w:rPr>
        <w:t>The PBAC noted that this submission is eligible for an Independent Review.</w:t>
      </w:r>
    </w:p>
    <w:p w14:paraId="59C9DCFE" w14:textId="1E6C0384" w:rsidR="00D06CD4" w:rsidRPr="00E74297" w:rsidRDefault="00D06CD4" w:rsidP="00FA1535">
      <w:pPr>
        <w:widowControl w:val="0"/>
        <w:spacing w:before="240" w:after="120"/>
        <w:rPr>
          <w:rFonts w:asciiTheme="minorHAnsi" w:hAnsiTheme="minorHAnsi"/>
          <w:b/>
          <w:bCs/>
          <w:snapToGrid w:val="0"/>
        </w:rPr>
      </w:pPr>
      <w:r w:rsidRPr="00E74297">
        <w:rPr>
          <w:rFonts w:asciiTheme="minorHAnsi" w:hAnsiTheme="minorHAnsi"/>
          <w:b/>
          <w:bCs/>
          <w:snapToGrid w:val="0"/>
        </w:rPr>
        <w:t>Outcome:</w:t>
      </w:r>
    </w:p>
    <w:p w14:paraId="4EEDDF59" w14:textId="005C33E0" w:rsidR="004459BC" w:rsidRDefault="00D06CD4" w:rsidP="00022F79">
      <w:pPr>
        <w:rPr>
          <w:rFonts w:asciiTheme="minorHAnsi" w:hAnsiTheme="minorHAnsi"/>
          <w:bCs/>
          <w:snapToGrid w:val="0"/>
        </w:rPr>
      </w:pPr>
      <w:r w:rsidRPr="00E74297">
        <w:rPr>
          <w:rFonts w:asciiTheme="minorHAnsi" w:hAnsiTheme="minorHAnsi"/>
          <w:bCs/>
          <w:snapToGrid w:val="0"/>
        </w:rPr>
        <w:t>Not recommended</w:t>
      </w:r>
      <w:bookmarkStart w:id="104" w:name="_Hlk76377978"/>
      <w:bookmarkEnd w:id="98"/>
      <w:bookmarkEnd w:id="99"/>
    </w:p>
    <w:bookmarkEnd w:id="97"/>
    <w:bookmarkEnd w:id="104"/>
    <w:p w14:paraId="7B85B260" w14:textId="77777777" w:rsidR="00060F5F" w:rsidRPr="00525125" w:rsidRDefault="00060F5F" w:rsidP="00060F5F">
      <w:pPr>
        <w:pStyle w:val="2-SectionHeading"/>
        <w:numPr>
          <w:ilvl w:val="0"/>
          <w:numId w:val="1"/>
        </w:numPr>
      </w:pPr>
      <w:r w:rsidRPr="00525125">
        <w:lastRenderedPageBreak/>
        <w:t>Context for Decision</w:t>
      </w:r>
    </w:p>
    <w:p w14:paraId="5319152B" w14:textId="77777777" w:rsidR="00060F5F" w:rsidRPr="007129F2" w:rsidRDefault="00060F5F" w:rsidP="00060F5F">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44DFC0D" w14:textId="77777777" w:rsidR="00060F5F" w:rsidRPr="00525125" w:rsidRDefault="00060F5F" w:rsidP="00060F5F">
      <w:pPr>
        <w:pStyle w:val="2-SectionHeading"/>
        <w:numPr>
          <w:ilvl w:val="0"/>
          <w:numId w:val="1"/>
        </w:numPr>
      </w:pPr>
      <w:r>
        <w:t>Sponsor’s Comment</w:t>
      </w:r>
    </w:p>
    <w:p w14:paraId="0A1AF6C6" w14:textId="389EF38B" w:rsidR="00060F5F" w:rsidRPr="00E74297" w:rsidRDefault="002F19B7" w:rsidP="002F19B7">
      <w:pPr>
        <w:ind w:left="709"/>
        <w:rPr>
          <w:rFonts w:asciiTheme="minorHAnsi" w:hAnsiTheme="minorHAnsi"/>
          <w:bCs/>
          <w:snapToGrid w:val="0"/>
        </w:rPr>
      </w:pPr>
      <w:r w:rsidRPr="002F19B7">
        <w:rPr>
          <w:rFonts w:asciiTheme="minorHAnsi" w:hAnsiTheme="minorHAnsi"/>
          <w:bCs/>
          <w:lang w:val="en-GB"/>
        </w:rPr>
        <w:t>Gilead Sciences would like to thank the patient organisations and consumer groups for their submissions to the PBAC and their strong support of the PBS listing of SG for unresectable locally advanced or metastatic HR+/HER2- breast cancer. While we are disappointed in the outcome, we welcome the opportunity for an early re-entry pathway and will continue to work with PBAC and Department of Health to achieve reimbursed access for SG and address the high unmet clinical need for patients living with unresectable locally advanced or metastatic HR+/HER2- breast cancer as quickly as possible.</w:t>
      </w:r>
    </w:p>
    <w:sectPr w:rsidR="00060F5F" w:rsidRPr="00E74297" w:rsidSect="00D33126">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31C6" w14:textId="77777777" w:rsidR="00A62A73" w:rsidRDefault="00A62A73" w:rsidP="00124A51">
      <w:r>
        <w:separator/>
      </w:r>
    </w:p>
    <w:p w14:paraId="3F9076F6" w14:textId="77777777" w:rsidR="00A62A73" w:rsidRDefault="00A62A73"/>
  </w:endnote>
  <w:endnote w:type="continuationSeparator" w:id="0">
    <w:p w14:paraId="7415C3BD" w14:textId="77777777" w:rsidR="00A62A73" w:rsidRDefault="00A62A73" w:rsidP="00124A51">
      <w:r>
        <w:continuationSeparator/>
      </w:r>
    </w:p>
    <w:p w14:paraId="02031363" w14:textId="77777777" w:rsidR="00A62A73" w:rsidRDefault="00A62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Calibri (Body)">
    <w:altName w:val="Calibri"/>
    <w:charset w:val="00"/>
    <w:family w:val="roman"/>
    <w:pitch w:val="default"/>
  </w:font>
  <w:font w:name="Georgia Pro Cond Light">
    <w:charset w:val="00"/>
    <w:family w:val="roman"/>
    <w:pitch w:val="variable"/>
    <w:sig w:usb0="800002AF" w:usb1="00000003" w:usb2="00000000" w:usb3="00000000" w:csb0="0000009F" w:csb1="00000000"/>
  </w:font>
  <w:font w:name="Proxima Nova">
    <w:altName w:val="Tahoma"/>
    <w:panose1 w:val="00000000000000000000"/>
    <w:charset w:val="00"/>
    <w:family w:val="modern"/>
    <w:notTrueType/>
    <w:pitch w:val="variable"/>
    <w:sig w:usb0="20000287" w:usb1="00000001" w:usb2="00000000"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86C1" w14:textId="77777777" w:rsidR="00FA1535" w:rsidRDefault="00FA1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176508" w:rsidRDefault="00176508" w:rsidP="00753B29">
    <w:pPr>
      <w:pStyle w:val="Footer"/>
      <w:jc w:val="center"/>
    </w:pPr>
  </w:p>
  <w:p w14:paraId="37484CD3" w14:textId="57DD5502" w:rsidR="00176508" w:rsidRPr="00F452C5" w:rsidRDefault="00CE4721"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176508" w:rsidRPr="00F452C5">
          <w:rPr>
            <w:b/>
            <w:bCs/>
          </w:rPr>
          <w:fldChar w:fldCharType="begin"/>
        </w:r>
        <w:r w:rsidR="00176508" w:rsidRPr="00F452C5">
          <w:rPr>
            <w:b/>
            <w:bCs/>
          </w:rPr>
          <w:instrText xml:space="preserve"> PAGE   \* MERGEFORMAT </w:instrText>
        </w:r>
        <w:r w:rsidR="00176508" w:rsidRPr="00F452C5">
          <w:rPr>
            <w:b/>
            <w:bCs/>
          </w:rPr>
          <w:fldChar w:fldCharType="separate"/>
        </w:r>
        <w:r w:rsidR="00176508" w:rsidRPr="00F452C5">
          <w:rPr>
            <w:b/>
            <w:bCs/>
            <w:noProof/>
          </w:rPr>
          <w:t>80</w:t>
        </w:r>
        <w:r w:rsidR="00176508" w:rsidRPr="00F452C5">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29BD" w14:textId="77777777" w:rsidR="00FA1535" w:rsidRDefault="00FA1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4648" w14:textId="77777777" w:rsidR="00A62A73" w:rsidRDefault="00A62A73" w:rsidP="00124A51">
      <w:r>
        <w:separator/>
      </w:r>
    </w:p>
    <w:p w14:paraId="2783F167" w14:textId="77777777" w:rsidR="00A62A73" w:rsidRDefault="00A62A73"/>
  </w:footnote>
  <w:footnote w:type="continuationSeparator" w:id="0">
    <w:p w14:paraId="646B02A6" w14:textId="77777777" w:rsidR="00A62A73" w:rsidRDefault="00A62A73" w:rsidP="00124A51">
      <w:r>
        <w:continuationSeparator/>
      </w:r>
    </w:p>
    <w:p w14:paraId="78518560" w14:textId="77777777" w:rsidR="00A62A73" w:rsidRDefault="00A62A73"/>
  </w:footnote>
  <w:footnote w:id="1">
    <w:p w14:paraId="024B0811" w14:textId="75FE83CA" w:rsidR="00176508" w:rsidRDefault="00176508" w:rsidP="00DD76FD">
      <w:pPr>
        <w:pStyle w:val="EndNoteBibliography"/>
        <w:ind w:left="720" w:hanging="720"/>
      </w:pPr>
      <w:r>
        <w:rPr>
          <w:rStyle w:val="FootnoteReference"/>
        </w:rPr>
        <w:footnoteRef/>
      </w:r>
      <w:r>
        <w:t xml:space="preserve"> </w:t>
      </w:r>
      <w:r>
        <w:rPr>
          <w:sz w:val="20"/>
          <w:szCs w:val="20"/>
        </w:rPr>
        <w:t>Australian Institute of Health</w:t>
      </w:r>
      <w:r w:rsidRPr="00BB4611">
        <w:rPr>
          <w:sz w:val="20"/>
          <w:szCs w:val="20"/>
        </w:rPr>
        <w:t xml:space="preserve"> and Welfare, </w:t>
      </w:r>
      <w:r w:rsidRPr="00DD7C0B">
        <w:rPr>
          <w:sz w:val="20"/>
          <w:szCs w:val="20"/>
        </w:rPr>
        <w:t>Cancer in Australia 2021</w:t>
      </w:r>
      <w:r w:rsidRPr="00BB4611">
        <w:rPr>
          <w:sz w:val="20"/>
          <w:szCs w:val="20"/>
        </w:rPr>
        <w:t>. 2021, AIHW: Canberra.</w:t>
      </w:r>
    </w:p>
  </w:footnote>
  <w:footnote w:id="2">
    <w:p w14:paraId="1381155F" w14:textId="4D03BED9" w:rsidR="00176508" w:rsidRPr="00DD7C0B" w:rsidRDefault="00176508" w:rsidP="00DD76FD">
      <w:pPr>
        <w:pStyle w:val="FootnoteText"/>
      </w:pPr>
      <w:r>
        <w:rPr>
          <w:rStyle w:val="FootnoteReference"/>
        </w:rPr>
        <w:footnoteRef/>
      </w:r>
      <w:r>
        <w:t xml:space="preserve"> </w:t>
      </w:r>
      <w:r w:rsidRPr="00586FFB">
        <w:rPr>
          <w:noProof/>
        </w:rPr>
        <w:t>Howlader, N., et al.</w:t>
      </w:r>
      <w:r>
        <w:rPr>
          <w:noProof/>
        </w:rPr>
        <w:t>,</w:t>
      </w:r>
      <w:r w:rsidRPr="00586FFB">
        <w:rPr>
          <w:noProof/>
        </w:rPr>
        <w:t xml:space="preserve"> </w:t>
      </w:r>
      <w:r w:rsidRPr="00DD7C0B">
        <w:rPr>
          <w:noProof/>
        </w:rPr>
        <w:t>US incidence of breast cancer subtypes defined by joint hormone receptor and HER2 status.</w:t>
      </w:r>
      <w:r w:rsidRPr="00586FFB">
        <w:rPr>
          <w:noProof/>
        </w:rPr>
        <w:t xml:space="preserve"> </w:t>
      </w:r>
      <w:r w:rsidRPr="00DD7C0B">
        <w:rPr>
          <w:i/>
          <w:noProof/>
        </w:rPr>
        <w:t>J Natl Cancer Inst</w:t>
      </w:r>
      <w:r w:rsidRPr="00586FFB">
        <w:rPr>
          <w:noProof/>
        </w:rPr>
        <w:t>, 2014</w:t>
      </w:r>
      <w:r w:rsidRPr="00DD7C0B">
        <w:rPr>
          <w:noProof/>
        </w:rPr>
        <w:t>. 106(5)</w:t>
      </w:r>
    </w:p>
  </w:footnote>
  <w:footnote w:id="3">
    <w:p w14:paraId="5A1DA2E5" w14:textId="23BD77EE" w:rsidR="00176508" w:rsidRDefault="00176508" w:rsidP="00DD76FD">
      <w:pPr>
        <w:pStyle w:val="FootnoteText"/>
      </w:pPr>
      <w:r w:rsidRPr="00DD7C0B">
        <w:rPr>
          <w:rStyle w:val="FootnoteReference"/>
        </w:rPr>
        <w:footnoteRef/>
      </w:r>
      <w:r w:rsidRPr="00DD7C0B">
        <w:t xml:space="preserve"> </w:t>
      </w:r>
      <w:r w:rsidRPr="00DD7C0B">
        <w:rPr>
          <w:noProof/>
        </w:rPr>
        <w:t xml:space="preserve">Hortobagyi, G.N., </w:t>
      </w:r>
      <w:r>
        <w:rPr>
          <w:noProof/>
        </w:rPr>
        <w:t>et al</w:t>
      </w:r>
      <w:r w:rsidRPr="00DD7C0B">
        <w:rPr>
          <w:noProof/>
        </w:rPr>
        <w:t>.</w:t>
      </w:r>
      <w:r>
        <w:rPr>
          <w:noProof/>
        </w:rPr>
        <w:t>,</w:t>
      </w:r>
      <w:r w:rsidRPr="00DD7C0B">
        <w:rPr>
          <w:noProof/>
        </w:rPr>
        <w:t xml:space="preserve"> New and Important Changes in the TNM Staging System for Breast Cancer</w:t>
      </w:r>
      <w:r w:rsidRPr="00DD7C0B">
        <w:rPr>
          <w:i/>
          <w:noProof/>
        </w:rPr>
        <w:t>.</w:t>
      </w:r>
      <w:r w:rsidRPr="00DD7C0B">
        <w:rPr>
          <w:noProof/>
        </w:rPr>
        <w:t xml:space="preserve"> </w:t>
      </w:r>
      <w:r w:rsidRPr="00DD7C0B">
        <w:rPr>
          <w:i/>
          <w:noProof/>
        </w:rPr>
        <w:t>Am Soc Clin Oncol Educ Book</w:t>
      </w:r>
      <w:r w:rsidRPr="00DD7C0B">
        <w:rPr>
          <w:noProof/>
        </w:rPr>
        <w:t>, 2018. 38:457-467</w:t>
      </w:r>
      <w:r w:rsidRPr="00586FFB">
        <w:rPr>
          <w:noProof/>
        </w:rPr>
        <w:t>.</w:t>
      </w:r>
    </w:p>
  </w:footnote>
  <w:footnote w:id="4">
    <w:p w14:paraId="3DFF23AD" w14:textId="42581F8B" w:rsidR="00176508" w:rsidRPr="00DD7C0B" w:rsidRDefault="00176508" w:rsidP="00DD76FD">
      <w:pPr>
        <w:pStyle w:val="FootnoteText"/>
      </w:pPr>
      <w:r>
        <w:rPr>
          <w:rStyle w:val="FootnoteReference"/>
        </w:rPr>
        <w:footnoteRef/>
      </w:r>
      <w:r>
        <w:t xml:space="preserve"> </w:t>
      </w:r>
      <w:r w:rsidRPr="00DD7C0B">
        <w:rPr>
          <w:noProof/>
        </w:rPr>
        <w:t>Shastry, M., et al., Antibody-drug conjugates targeting TROP-2: Clinical development in metastatic breast cancer</w:t>
      </w:r>
      <w:r w:rsidRPr="00DD7C0B">
        <w:rPr>
          <w:i/>
          <w:noProof/>
        </w:rPr>
        <w:t>.</w:t>
      </w:r>
      <w:r w:rsidRPr="00DD7C0B">
        <w:rPr>
          <w:noProof/>
        </w:rPr>
        <w:t xml:space="preserve"> </w:t>
      </w:r>
      <w:r w:rsidRPr="00DD7C0B">
        <w:rPr>
          <w:i/>
          <w:noProof/>
        </w:rPr>
        <w:t>Breast</w:t>
      </w:r>
      <w:r w:rsidRPr="00DD7C0B">
        <w:rPr>
          <w:noProof/>
        </w:rPr>
        <w:t>, 2022. 66:169-177.</w:t>
      </w:r>
    </w:p>
  </w:footnote>
  <w:footnote w:id="5">
    <w:p w14:paraId="000880B0" w14:textId="346CE8F4" w:rsidR="00176508" w:rsidRPr="00DD7C0B" w:rsidRDefault="00176508" w:rsidP="00DD76FD">
      <w:pPr>
        <w:pStyle w:val="FootnoteText"/>
      </w:pPr>
      <w:r w:rsidRPr="00DD7C0B">
        <w:rPr>
          <w:rStyle w:val="FootnoteReference"/>
        </w:rPr>
        <w:footnoteRef/>
      </w:r>
      <w:r w:rsidRPr="00DD7C0B">
        <w:t xml:space="preserve"> </w:t>
      </w:r>
      <w:r w:rsidRPr="00DD7C0B">
        <w:rPr>
          <w:noProof/>
        </w:rPr>
        <w:t>Gennari, A., et al., ESMO Clinical Practice Guideline for the diagnosis, staging and treatment of patients with metastatic breast cancer</w:t>
      </w:r>
      <w:r w:rsidRPr="00DD7C0B">
        <w:rPr>
          <w:i/>
          <w:noProof/>
        </w:rPr>
        <w:t>.</w:t>
      </w:r>
      <w:r w:rsidRPr="00DD7C0B">
        <w:rPr>
          <w:noProof/>
        </w:rPr>
        <w:t xml:space="preserve"> </w:t>
      </w:r>
      <w:r w:rsidRPr="00DD7C0B">
        <w:rPr>
          <w:i/>
          <w:noProof/>
        </w:rPr>
        <w:t>Ann Oncol</w:t>
      </w:r>
      <w:r w:rsidRPr="00DD7C0B">
        <w:rPr>
          <w:noProof/>
        </w:rPr>
        <w:t>, 2021. 32(12):1475-1495.</w:t>
      </w:r>
    </w:p>
  </w:footnote>
  <w:footnote w:id="6">
    <w:p w14:paraId="613D956F" w14:textId="7E26E6B6" w:rsidR="00176508" w:rsidRDefault="00176508" w:rsidP="00DD76FD">
      <w:pPr>
        <w:pStyle w:val="FootnoteText"/>
      </w:pPr>
      <w:r w:rsidRPr="00DD7C0B">
        <w:rPr>
          <w:rStyle w:val="FootnoteReference"/>
        </w:rPr>
        <w:footnoteRef/>
      </w:r>
      <w:r w:rsidRPr="00DD7C0B">
        <w:t xml:space="preserve"> </w:t>
      </w:r>
      <w:r w:rsidRPr="00DD7C0B">
        <w:rPr>
          <w:noProof/>
        </w:rPr>
        <w:t>Gradishar, W.J., et al., Breast Cancer, Version 3.2020, NCCN Clinical Practice Guidelines in Oncology</w:t>
      </w:r>
      <w:r w:rsidRPr="00DD7C0B">
        <w:rPr>
          <w:i/>
          <w:noProof/>
        </w:rPr>
        <w:t>.</w:t>
      </w:r>
      <w:r w:rsidRPr="00DD7C0B">
        <w:rPr>
          <w:noProof/>
        </w:rPr>
        <w:t xml:space="preserve"> </w:t>
      </w:r>
      <w:r w:rsidRPr="00DD7C0B">
        <w:rPr>
          <w:i/>
          <w:noProof/>
        </w:rPr>
        <w:t>J Natl Compr Canc Netw</w:t>
      </w:r>
      <w:r w:rsidRPr="00DD7C0B">
        <w:rPr>
          <w:noProof/>
        </w:rPr>
        <w:t>, 2020. 18(4):452-478</w:t>
      </w:r>
      <w:r w:rsidRPr="00586FFB">
        <w:rPr>
          <w:noProof/>
        </w:rPr>
        <w:t>.</w:t>
      </w:r>
    </w:p>
  </w:footnote>
  <w:footnote w:id="7">
    <w:p w14:paraId="43B2E8A4" w14:textId="1B5925EB" w:rsidR="008B7338" w:rsidRDefault="008B7338">
      <w:pPr>
        <w:pStyle w:val="FootnoteText"/>
      </w:pPr>
      <w:r w:rsidRPr="008B7338">
        <w:rPr>
          <w:noProof/>
          <w:vertAlign w:val="superscript"/>
        </w:rPr>
        <w:footnoteRef/>
      </w:r>
      <w:r>
        <w:rPr>
          <w:noProof/>
        </w:rPr>
        <w:t xml:space="preserve"> </w:t>
      </w:r>
      <w:r w:rsidRPr="008B7338">
        <w:rPr>
          <w:noProof/>
        </w:rPr>
        <w:t>Cherny NI, Dafni U, Bogaerts J, et al: ESMO-Magnitude of Clinical Benefit Scale version 1.1. Annals of Oncology 28:2340-2366, 2017</w:t>
      </w:r>
    </w:p>
  </w:footnote>
  <w:footnote w:id="8">
    <w:p w14:paraId="3CE0A732" w14:textId="77777777" w:rsidR="00F54704" w:rsidRPr="00F54704" w:rsidRDefault="00F54704" w:rsidP="00F54704">
      <w:pPr>
        <w:shd w:val="clear" w:color="auto" w:fill="FFFFFF"/>
        <w:spacing w:afterAutospacing="1"/>
        <w:jc w:val="left"/>
        <w:rPr>
          <w:rFonts w:ascii="Open Sans" w:hAnsi="Open Sans" w:cs="Open Sans"/>
          <w:color w:val="333333"/>
        </w:rPr>
      </w:pPr>
      <w:r>
        <w:rPr>
          <w:rStyle w:val="FootnoteReference"/>
        </w:rPr>
        <w:footnoteRef/>
      </w:r>
      <w:r>
        <w:t xml:space="preserve"> </w:t>
      </w:r>
      <w:r w:rsidRPr="00F54704">
        <w:rPr>
          <w:rFonts w:eastAsia="Times New Roman"/>
          <w:noProof/>
          <w:sz w:val="20"/>
          <w:szCs w:val="20"/>
        </w:rPr>
        <w:t>Masashi Takano &amp; Toru Sugiyama (2017) UGT1A1 polymorphisms in cancer: impact on irinotecan treatment, Pharmacogenomics and Personalized Medicine, 10:, 61-68, DOI: </w:t>
      </w:r>
      <w:hyperlink r:id="rId1" w:history="1">
        <w:r w:rsidRPr="00F54704">
          <w:rPr>
            <w:rFonts w:eastAsia="Times New Roman"/>
            <w:noProof/>
            <w:sz w:val="20"/>
            <w:szCs w:val="20"/>
          </w:rPr>
          <w:t>10.2147/PGPM.S108656</w:t>
        </w:r>
      </w:hyperlink>
    </w:p>
  </w:footnote>
  <w:footnote w:id="9">
    <w:p w14:paraId="03D4AB82" w14:textId="2A09587E" w:rsidR="00D96C3D" w:rsidRDefault="00D96C3D">
      <w:pPr>
        <w:pStyle w:val="FootnoteText"/>
      </w:pPr>
      <w:r>
        <w:rPr>
          <w:rStyle w:val="FootnoteReference"/>
        </w:rPr>
        <w:footnoteRef/>
      </w:r>
      <w:r>
        <w:t xml:space="preserve"> </w:t>
      </w:r>
      <w:r w:rsidRPr="003A62D2">
        <w:rPr>
          <w:noProof/>
        </w:rPr>
        <w:t xml:space="preserve">Gebski V, Garès V, Gibbs E, Byth K. Data maturity and follow-up in time-to-event analyses. </w:t>
      </w:r>
      <w:r w:rsidRPr="003A62D2">
        <w:rPr>
          <w:i/>
          <w:noProof/>
        </w:rPr>
        <w:t>Int J Epidemiol</w:t>
      </w:r>
      <w:r w:rsidRPr="003A62D2">
        <w:rPr>
          <w:noProof/>
        </w:rPr>
        <w:t>. 2018 Jun 1;47(3):850-9.</w:t>
      </w:r>
    </w:p>
  </w:footnote>
  <w:footnote w:id="10">
    <w:p w14:paraId="78FBB958" w14:textId="16536F5D" w:rsidR="000F1264" w:rsidRPr="00AF2668" w:rsidRDefault="000F1264" w:rsidP="00AF2668">
      <w:pPr>
        <w:pStyle w:val="EndNoteBibliography"/>
        <w:rPr>
          <w:sz w:val="20"/>
          <w:szCs w:val="20"/>
        </w:rPr>
      </w:pPr>
      <w:r w:rsidRPr="000F1264">
        <w:rPr>
          <w:rStyle w:val="FootnoteReference"/>
          <w:sz w:val="20"/>
          <w:szCs w:val="20"/>
        </w:rPr>
        <w:footnoteRef/>
      </w:r>
      <w:r w:rsidRPr="000F1264">
        <w:rPr>
          <w:sz w:val="20"/>
          <w:szCs w:val="20"/>
        </w:rPr>
        <w:t xml:space="preserve"> </w:t>
      </w:r>
      <w:r w:rsidRPr="000F1264">
        <w:rPr>
          <w:rFonts w:eastAsia="Times New Roman" w:cs="Arial"/>
          <w:sz w:val="20"/>
          <w:szCs w:val="20"/>
        </w:rPr>
        <w:t>Zagami P, Carey LA. Triple negative breast cancer: Pitfalls and progress. npj Breast Cancer. 2022 2022/08/20;8(1):95.</w:t>
      </w:r>
    </w:p>
  </w:footnote>
  <w:footnote w:id="11">
    <w:p w14:paraId="129A4A1C" w14:textId="77777777" w:rsidR="00176508" w:rsidRDefault="00176508" w:rsidP="000624AF">
      <w:pPr>
        <w:pStyle w:val="FootnoteText"/>
      </w:pPr>
      <w:r>
        <w:rPr>
          <w:rStyle w:val="FootnoteReference"/>
        </w:rPr>
        <w:footnoteRef/>
      </w:r>
      <w:r>
        <w:t xml:space="preserve"> </w:t>
      </w:r>
      <w:r w:rsidRPr="000268B5">
        <w:t>Reeve R, Srasuebkul P</w:t>
      </w:r>
      <w:r>
        <w:t xml:space="preserve">, et al. </w:t>
      </w:r>
      <w:r w:rsidRPr="000268B5">
        <w:t xml:space="preserve">Health care use and costs at the end of life: a comparison of elderly Australian decedents with and without a cancer history. </w:t>
      </w:r>
      <w:r w:rsidRPr="000268B5">
        <w:rPr>
          <w:i/>
        </w:rPr>
        <w:t>BMC Palliat Care.</w:t>
      </w:r>
      <w:r w:rsidRPr="000268B5">
        <w:t xml:space="preserve"> 2017;17(1):1.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E6CE" w14:textId="77777777" w:rsidR="00FA1535" w:rsidRDefault="00FA1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943B" w14:textId="4A1D0CC0" w:rsidR="00176508" w:rsidRDefault="00652FE9" w:rsidP="00652FE9">
    <w:pPr>
      <w:pStyle w:val="Header"/>
      <w:rPr>
        <w:rFonts w:asciiTheme="minorHAnsi" w:hAnsiTheme="minorHAnsi"/>
        <w:i/>
        <w:color w:val="808080"/>
      </w:rPr>
    </w:pPr>
    <w:r w:rsidRPr="00652FE9">
      <w:rPr>
        <w:rFonts w:asciiTheme="minorHAnsi" w:hAnsiTheme="minorHAnsi"/>
        <w:i/>
        <w:color w:val="808080"/>
      </w:rPr>
      <w:t>Public Summary Document</w:t>
    </w:r>
    <w:r>
      <w:rPr>
        <w:rFonts w:asciiTheme="minorHAnsi" w:hAnsiTheme="minorHAnsi"/>
        <w:i/>
        <w:color w:val="808080"/>
      </w:rPr>
      <w:t xml:space="preserve"> </w:t>
    </w:r>
    <w:r w:rsidR="00F452C5">
      <w:rPr>
        <w:rFonts w:asciiTheme="minorHAnsi" w:hAnsiTheme="minorHAnsi"/>
        <w:i/>
        <w:color w:val="808080"/>
      </w:rPr>
      <w:t xml:space="preserve">– </w:t>
    </w:r>
    <w:r w:rsidR="00176508">
      <w:rPr>
        <w:rFonts w:asciiTheme="minorHAnsi" w:hAnsiTheme="minorHAnsi"/>
        <w:i/>
        <w:color w:val="808080"/>
      </w:rPr>
      <w:t xml:space="preserve">July 2023 </w:t>
    </w:r>
    <w:r w:rsidR="00176508" w:rsidRPr="00195452">
      <w:rPr>
        <w:rFonts w:asciiTheme="minorHAnsi" w:hAnsiTheme="minorHAnsi"/>
        <w:i/>
        <w:color w:val="808080"/>
      </w:rPr>
      <w:t>PBAC Meeting</w:t>
    </w:r>
  </w:p>
  <w:p w14:paraId="577EFEBC" w14:textId="77777777" w:rsidR="002774A8" w:rsidRPr="00652FE9" w:rsidRDefault="002774A8" w:rsidP="00652FE9">
    <w:pPr>
      <w:pStyle w:val="Header"/>
      <w:rPr>
        <w:rFonts w:asciiTheme="minorHAnsi" w:hAnsiTheme="minorHAnsi"/>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4043" w14:textId="77777777" w:rsidR="00FA1535" w:rsidRDefault="00FA1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9F4AD9"/>
    <w:multiLevelType w:val="multilevel"/>
    <w:tmpl w:val="63182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DD1137"/>
    <w:multiLevelType w:val="hybridMultilevel"/>
    <w:tmpl w:val="18FE4CCA"/>
    <w:lvl w:ilvl="0" w:tplc="0C09000F">
      <w:start w:val="1"/>
      <w:numFmt w:val="decimal"/>
      <w:lvlText w:val="%1."/>
      <w:lvlJc w:val="left"/>
      <w:pPr>
        <w:ind w:left="1189" w:hanging="360"/>
      </w:pPr>
    </w:lvl>
    <w:lvl w:ilvl="1" w:tplc="FFFFFFFF">
      <w:start w:val="1"/>
      <w:numFmt w:val="bullet"/>
      <w:lvlText w:val="o"/>
      <w:lvlJc w:val="left"/>
      <w:pPr>
        <w:ind w:left="1909" w:hanging="360"/>
      </w:pPr>
      <w:rPr>
        <w:rFonts w:ascii="Courier New" w:hAnsi="Courier New" w:cs="Courier New" w:hint="default"/>
      </w:rPr>
    </w:lvl>
    <w:lvl w:ilvl="2" w:tplc="FFFFFFFF">
      <w:start w:val="1"/>
      <w:numFmt w:val="bullet"/>
      <w:lvlText w:val=""/>
      <w:lvlJc w:val="left"/>
      <w:pPr>
        <w:ind w:left="2629" w:hanging="360"/>
      </w:pPr>
      <w:rPr>
        <w:rFonts w:ascii="Wingdings" w:hAnsi="Wingdings" w:hint="default"/>
      </w:rPr>
    </w:lvl>
    <w:lvl w:ilvl="3" w:tplc="FFFFFFFF">
      <w:start w:val="1"/>
      <w:numFmt w:val="bullet"/>
      <w:lvlText w:val=""/>
      <w:lvlJc w:val="left"/>
      <w:pPr>
        <w:ind w:left="3349" w:hanging="360"/>
      </w:pPr>
      <w:rPr>
        <w:rFonts w:ascii="Symbol" w:hAnsi="Symbol" w:hint="default"/>
      </w:rPr>
    </w:lvl>
    <w:lvl w:ilvl="4" w:tplc="FFFFFFFF">
      <w:start w:val="1"/>
      <w:numFmt w:val="bullet"/>
      <w:lvlText w:val="o"/>
      <w:lvlJc w:val="left"/>
      <w:pPr>
        <w:ind w:left="4069" w:hanging="360"/>
      </w:pPr>
      <w:rPr>
        <w:rFonts w:ascii="Courier New" w:hAnsi="Courier New" w:cs="Courier New" w:hint="default"/>
      </w:rPr>
    </w:lvl>
    <w:lvl w:ilvl="5" w:tplc="FFFFFFFF">
      <w:start w:val="1"/>
      <w:numFmt w:val="bullet"/>
      <w:lvlText w:val=""/>
      <w:lvlJc w:val="left"/>
      <w:pPr>
        <w:ind w:left="4789" w:hanging="360"/>
      </w:pPr>
      <w:rPr>
        <w:rFonts w:ascii="Wingdings" w:hAnsi="Wingdings" w:hint="default"/>
      </w:rPr>
    </w:lvl>
    <w:lvl w:ilvl="6" w:tplc="FFFFFFFF">
      <w:start w:val="1"/>
      <w:numFmt w:val="bullet"/>
      <w:lvlText w:val=""/>
      <w:lvlJc w:val="left"/>
      <w:pPr>
        <w:ind w:left="5509" w:hanging="360"/>
      </w:pPr>
      <w:rPr>
        <w:rFonts w:ascii="Symbol" w:hAnsi="Symbol" w:hint="default"/>
      </w:rPr>
    </w:lvl>
    <w:lvl w:ilvl="7" w:tplc="FFFFFFFF">
      <w:start w:val="1"/>
      <w:numFmt w:val="bullet"/>
      <w:lvlText w:val="o"/>
      <w:lvlJc w:val="left"/>
      <w:pPr>
        <w:ind w:left="6229" w:hanging="360"/>
      </w:pPr>
      <w:rPr>
        <w:rFonts w:ascii="Courier New" w:hAnsi="Courier New" w:cs="Courier New" w:hint="default"/>
      </w:rPr>
    </w:lvl>
    <w:lvl w:ilvl="8" w:tplc="FFFFFFFF">
      <w:start w:val="1"/>
      <w:numFmt w:val="bullet"/>
      <w:lvlText w:val=""/>
      <w:lvlJc w:val="left"/>
      <w:pPr>
        <w:ind w:left="6949" w:hanging="360"/>
      </w:pPr>
      <w:rPr>
        <w:rFonts w:ascii="Wingdings" w:hAnsi="Wingdings" w:hint="default"/>
      </w:rPr>
    </w:lvl>
  </w:abstractNum>
  <w:abstractNum w:abstractNumId="3" w15:restartNumberingAfterBreak="0">
    <w:nsid w:val="300743D8"/>
    <w:multiLevelType w:val="hybridMultilevel"/>
    <w:tmpl w:val="4B0A1500"/>
    <w:lvl w:ilvl="0" w:tplc="7A9887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7C42AD"/>
    <w:multiLevelType w:val="hybridMultilevel"/>
    <w:tmpl w:val="5F303CF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15:restartNumberingAfterBreak="0">
    <w:nsid w:val="37EE5E3F"/>
    <w:multiLevelType w:val="hybridMultilevel"/>
    <w:tmpl w:val="AA82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62E6A"/>
    <w:multiLevelType w:val="hybridMultilevel"/>
    <w:tmpl w:val="B606A62E"/>
    <w:lvl w:ilvl="0" w:tplc="0C090001">
      <w:start w:val="1"/>
      <w:numFmt w:val="bullet"/>
      <w:lvlText w:val=""/>
      <w:lvlJc w:val="left"/>
      <w:pPr>
        <w:ind w:left="1496" w:hanging="360"/>
      </w:pPr>
      <w:rPr>
        <w:rFonts w:ascii="Symbol" w:hAnsi="Symbol" w:hint="default"/>
      </w:rPr>
    </w:lvl>
    <w:lvl w:ilvl="1" w:tplc="0C090003">
      <w:start w:val="1"/>
      <w:numFmt w:val="bullet"/>
      <w:lvlText w:val="o"/>
      <w:lvlJc w:val="left"/>
      <w:pPr>
        <w:ind w:left="2216" w:hanging="360"/>
      </w:pPr>
      <w:rPr>
        <w:rFonts w:ascii="Courier New" w:hAnsi="Courier New" w:cs="Courier New" w:hint="default"/>
      </w:rPr>
    </w:lvl>
    <w:lvl w:ilvl="2" w:tplc="0C090005">
      <w:start w:val="1"/>
      <w:numFmt w:val="bullet"/>
      <w:lvlText w:val=""/>
      <w:lvlJc w:val="left"/>
      <w:pPr>
        <w:ind w:left="2936" w:hanging="360"/>
      </w:pPr>
      <w:rPr>
        <w:rFonts w:ascii="Wingdings" w:hAnsi="Wingdings" w:hint="default"/>
      </w:rPr>
    </w:lvl>
    <w:lvl w:ilvl="3" w:tplc="0C090001">
      <w:start w:val="1"/>
      <w:numFmt w:val="bullet"/>
      <w:lvlText w:val=""/>
      <w:lvlJc w:val="left"/>
      <w:pPr>
        <w:ind w:left="3656" w:hanging="360"/>
      </w:pPr>
      <w:rPr>
        <w:rFonts w:ascii="Symbol" w:hAnsi="Symbol" w:hint="default"/>
      </w:rPr>
    </w:lvl>
    <w:lvl w:ilvl="4" w:tplc="0C090003">
      <w:start w:val="1"/>
      <w:numFmt w:val="bullet"/>
      <w:lvlText w:val="o"/>
      <w:lvlJc w:val="left"/>
      <w:pPr>
        <w:ind w:left="4376" w:hanging="360"/>
      </w:pPr>
      <w:rPr>
        <w:rFonts w:ascii="Courier New" w:hAnsi="Courier New" w:cs="Courier New" w:hint="default"/>
      </w:rPr>
    </w:lvl>
    <w:lvl w:ilvl="5" w:tplc="0C090005">
      <w:start w:val="1"/>
      <w:numFmt w:val="bullet"/>
      <w:lvlText w:val=""/>
      <w:lvlJc w:val="left"/>
      <w:pPr>
        <w:ind w:left="5096" w:hanging="360"/>
      </w:pPr>
      <w:rPr>
        <w:rFonts w:ascii="Wingdings" w:hAnsi="Wingdings" w:hint="default"/>
      </w:rPr>
    </w:lvl>
    <w:lvl w:ilvl="6" w:tplc="0C090001">
      <w:start w:val="1"/>
      <w:numFmt w:val="bullet"/>
      <w:lvlText w:val=""/>
      <w:lvlJc w:val="left"/>
      <w:pPr>
        <w:ind w:left="5816" w:hanging="360"/>
      </w:pPr>
      <w:rPr>
        <w:rFonts w:ascii="Symbol" w:hAnsi="Symbol" w:hint="default"/>
      </w:rPr>
    </w:lvl>
    <w:lvl w:ilvl="7" w:tplc="0C090003">
      <w:start w:val="1"/>
      <w:numFmt w:val="bullet"/>
      <w:lvlText w:val="o"/>
      <w:lvlJc w:val="left"/>
      <w:pPr>
        <w:ind w:left="6536" w:hanging="360"/>
      </w:pPr>
      <w:rPr>
        <w:rFonts w:ascii="Courier New" w:hAnsi="Courier New" w:cs="Courier New" w:hint="default"/>
      </w:rPr>
    </w:lvl>
    <w:lvl w:ilvl="8" w:tplc="0C090005">
      <w:start w:val="1"/>
      <w:numFmt w:val="bullet"/>
      <w:lvlText w:val=""/>
      <w:lvlJc w:val="left"/>
      <w:pPr>
        <w:ind w:left="7256" w:hanging="360"/>
      </w:pPr>
      <w:rPr>
        <w:rFonts w:ascii="Wingdings" w:hAnsi="Wingdings" w:hint="default"/>
      </w:rPr>
    </w:lvl>
  </w:abstractNum>
  <w:abstractNum w:abstractNumId="8"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67063"/>
    <w:multiLevelType w:val="hybridMultilevel"/>
    <w:tmpl w:val="CED0B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67A14D68"/>
    <w:multiLevelType w:val="hybridMultilevel"/>
    <w:tmpl w:val="8BEA21B6"/>
    <w:lvl w:ilvl="0" w:tplc="04090003">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C47AD0"/>
    <w:multiLevelType w:val="hybridMultilevel"/>
    <w:tmpl w:val="A2C28B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09725AA"/>
    <w:multiLevelType w:val="hybridMultilevel"/>
    <w:tmpl w:val="636A61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73EE5369"/>
    <w:multiLevelType w:val="hybridMultilevel"/>
    <w:tmpl w:val="30E070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30873009">
    <w:abstractNumId w:val="16"/>
  </w:num>
  <w:num w:numId="2" w16cid:durableId="41636643">
    <w:abstractNumId w:val="6"/>
  </w:num>
  <w:num w:numId="3" w16cid:durableId="494566790">
    <w:abstractNumId w:val="8"/>
  </w:num>
  <w:num w:numId="4" w16cid:durableId="634022759">
    <w:abstractNumId w:val="16"/>
  </w:num>
  <w:num w:numId="5" w16cid:durableId="176893939">
    <w:abstractNumId w:val="10"/>
  </w:num>
  <w:num w:numId="6" w16cid:durableId="1803498332">
    <w:abstractNumId w:val="0"/>
  </w:num>
  <w:num w:numId="7" w16cid:durableId="12652553">
    <w:abstractNumId w:val="5"/>
  </w:num>
  <w:num w:numId="8" w16cid:durableId="1660889978">
    <w:abstractNumId w:val="15"/>
  </w:num>
  <w:num w:numId="9" w16cid:durableId="1888755010">
    <w:abstractNumId w:val="11"/>
  </w:num>
  <w:num w:numId="10" w16cid:durableId="2121561360">
    <w:abstractNumId w:val="13"/>
  </w:num>
  <w:num w:numId="11" w16cid:durableId="2005817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4781253">
    <w:abstractNumId w:val="4"/>
  </w:num>
  <w:num w:numId="13" w16cid:durableId="1592162592">
    <w:abstractNumId w:val="7"/>
  </w:num>
  <w:num w:numId="14" w16cid:durableId="1292858145">
    <w:abstractNumId w:val="2"/>
    <w:lvlOverride w:ilvl="0">
      <w:startOverride w:val="1"/>
    </w:lvlOverride>
    <w:lvlOverride w:ilvl="1"/>
    <w:lvlOverride w:ilvl="2"/>
    <w:lvlOverride w:ilvl="3"/>
    <w:lvlOverride w:ilvl="4"/>
    <w:lvlOverride w:ilvl="5"/>
    <w:lvlOverride w:ilvl="6"/>
    <w:lvlOverride w:ilvl="7"/>
    <w:lvlOverride w:ilvl="8"/>
  </w:num>
  <w:num w:numId="15" w16cid:durableId="2107378302">
    <w:abstractNumId w:val="12"/>
  </w:num>
  <w:num w:numId="16" w16cid:durableId="756558443">
    <w:abstractNumId w:val="3"/>
  </w:num>
  <w:num w:numId="17" w16cid:durableId="999388101">
    <w:abstractNumId w:val="1"/>
  </w:num>
  <w:num w:numId="18" w16cid:durableId="6931867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6918415">
    <w:abstractNumId w:val="2"/>
  </w:num>
  <w:num w:numId="20" w16cid:durableId="1227692228">
    <w:abstractNumId w:val="9"/>
  </w:num>
  <w:num w:numId="21" w16cid:durableId="931821106">
    <w:abstractNumId w:val="8"/>
  </w:num>
  <w:num w:numId="22" w16cid:durableId="115791537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w9tde5sxvttbeepp0ppfzcwtpezzpz5pzz&quot;&gt;SG_COM_Economics&lt;record-ids&gt;&lt;item&gt;1&lt;/item&gt;&lt;item&gt;2&lt;/item&gt;&lt;item&gt;3&lt;/item&gt;&lt;item&gt;4&lt;/item&gt;&lt;item&gt;5&lt;/item&gt;&lt;item&gt;7&lt;/item&gt;&lt;item&gt;8&lt;/item&gt;&lt;item&gt;9&lt;/item&gt;&lt;item&gt;10&lt;/item&gt;&lt;item&gt;11&lt;/item&gt;&lt;item&gt;12&lt;/item&gt;&lt;item&gt;13&lt;/item&gt;&lt;item&gt;14&lt;/item&gt;&lt;item&gt;15&lt;/item&gt;&lt;item&gt;16&lt;/item&gt;&lt;item&gt;17&lt;/item&gt;&lt;item&gt;18&lt;/item&gt;&lt;item&gt;20&lt;/item&gt;&lt;item&gt;21&lt;/item&gt;&lt;item&gt;22&lt;/item&gt;&lt;item&gt;24&lt;/item&gt;&lt;item&gt;25&lt;/item&gt;&lt;item&gt;26&lt;/item&gt;&lt;item&gt;27&lt;/item&gt;&lt;item&gt;28&lt;/item&gt;&lt;item&gt;29&lt;/item&gt;&lt;item&gt;32&lt;/item&gt;&lt;item&gt;33&lt;/item&gt;&lt;item&gt;35&lt;/item&gt;&lt;item&gt;36&lt;/item&gt;&lt;item&gt;38&lt;/item&gt;&lt;item&gt;39&lt;/item&gt;&lt;item&gt;40&lt;/item&gt;&lt;item&gt;41&lt;/item&gt;&lt;item&gt;43&lt;/item&gt;&lt;item&gt;44&lt;/item&gt;&lt;item&gt;45&lt;/item&gt;&lt;/record-ids&gt;&lt;/item&gt;&lt;/Libraries&gt;"/>
  </w:docVars>
  <w:rsids>
    <w:rsidRoot w:val="00E65E79"/>
    <w:rsid w:val="00000790"/>
    <w:rsid w:val="00000F78"/>
    <w:rsid w:val="0000110B"/>
    <w:rsid w:val="00002026"/>
    <w:rsid w:val="00002331"/>
    <w:rsid w:val="00003499"/>
    <w:rsid w:val="000039B7"/>
    <w:rsid w:val="000056B9"/>
    <w:rsid w:val="00005920"/>
    <w:rsid w:val="0000639A"/>
    <w:rsid w:val="00006BC1"/>
    <w:rsid w:val="00010BA4"/>
    <w:rsid w:val="00012852"/>
    <w:rsid w:val="00013247"/>
    <w:rsid w:val="00013549"/>
    <w:rsid w:val="00015886"/>
    <w:rsid w:val="000162EF"/>
    <w:rsid w:val="0002064B"/>
    <w:rsid w:val="000207C9"/>
    <w:rsid w:val="0002082F"/>
    <w:rsid w:val="00020F10"/>
    <w:rsid w:val="0002140F"/>
    <w:rsid w:val="0002225F"/>
    <w:rsid w:val="00022C2F"/>
    <w:rsid w:val="00022F79"/>
    <w:rsid w:val="00023763"/>
    <w:rsid w:val="00024A63"/>
    <w:rsid w:val="00024EB5"/>
    <w:rsid w:val="00026918"/>
    <w:rsid w:val="00026E56"/>
    <w:rsid w:val="000274B8"/>
    <w:rsid w:val="00033760"/>
    <w:rsid w:val="00033863"/>
    <w:rsid w:val="00035DC0"/>
    <w:rsid w:val="00035DC6"/>
    <w:rsid w:val="00036829"/>
    <w:rsid w:val="00036D4C"/>
    <w:rsid w:val="000375C7"/>
    <w:rsid w:val="00040895"/>
    <w:rsid w:val="00040D11"/>
    <w:rsid w:val="000410A0"/>
    <w:rsid w:val="000435EE"/>
    <w:rsid w:val="00043C37"/>
    <w:rsid w:val="00044139"/>
    <w:rsid w:val="000442EC"/>
    <w:rsid w:val="00045017"/>
    <w:rsid w:val="00045A2B"/>
    <w:rsid w:val="0004698F"/>
    <w:rsid w:val="00046B97"/>
    <w:rsid w:val="00046D64"/>
    <w:rsid w:val="000475AB"/>
    <w:rsid w:val="00047FE4"/>
    <w:rsid w:val="000508C2"/>
    <w:rsid w:val="00050FD3"/>
    <w:rsid w:val="00051F1B"/>
    <w:rsid w:val="0005215F"/>
    <w:rsid w:val="00052DFF"/>
    <w:rsid w:val="00053121"/>
    <w:rsid w:val="000539D0"/>
    <w:rsid w:val="000543F4"/>
    <w:rsid w:val="00054621"/>
    <w:rsid w:val="000546D7"/>
    <w:rsid w:val="00054A8D"/>
    <w:rsid w:val="0005591B"/>
    <w:rsid w:val="00055FFA"/>
    <w:rsid w:val="00056893"/>
    <w:rsid w:val="00056ECF"/>
    <w:rsid w:val="000575A1"/>
    <w:rsid w:val="00057A97"/>
    <w:rsid w:val="000604A3"/>
    <w:rsid w:val="000604DF"/>
    <w:rsid w:val="000604FB"/>
    <w:rsid w:val="00060F5F"/>
    <w:rsid w:val="00062324"/>
    <w:rsid w:val="000624AF"/>
    <w:rsid w:val="000653B5"/>
    <w:rsid w:val="0006592A"/>
    <w:rsid w:val="00066360"/>
    <w:rsid w:val="00066AF8"/>
    <w:rsid w:val="00071248"/>
    <w:rsid w:val="000720B9"/>
    <w:rsid w:val="00072262"/>
    <w:rsid w:val="000728BE"/>
    <w:rsid w:val="00073181"/>
    <w:rsid w:val="000734F4"/>
    <w:rsid w:val="000737F7"/>
    <w:rsid w:val="00073A68"/>
    <w:rsid w:val="00073BD7"/>
    <w:rsid w:val="00074C03"/>
    <w:rsid w:val="00075DC2"/>
    <w:rsid w:val="0007672F"/>
    <w:rsid w:val="00076B54"/>
    <w:rsid w:val="000774F0"/>
    <w:rsid w:val="00077E31"/>
    <w:rsid w:val="000803B3"/>
    <w:rsid w:val="00080909"/>
    <w:rsid w:val="00081121"/>
    <w:rsid w:val="000812CA"/>
    <w:rsid w:val="00081E63"/>
    <w:rsid w:val="0008258D"/>
    <w:rsid w:val="0008299A"/>
    <w:rsid w:val="00083399"/>
    <w:rsid w:val="00083E99"/>
    <w:rsid w:val="00084FA8"/>
    <w:rsid w:val="000856C5"/>
    <w:rsid w:val="00085C31"/>
    <w:rsid w:val="00086F11"/>
    <w:rsid w:val="000872A9"/>
    <w:rsid w:val="000872F7"/>
    <w:rsid w:val="000902D9"/>
    <w:rsid w:val="00090311"/>
    <w:rsid w:val="00090394"/>
    <w:rsid w:val="000906F4"/>
    <w:rsid w:val="00090C7E"/>
    <w:rsid w:val="000911AC"/>
    <w:rsid w:val="00091AD0"/>
    <w:rsid w:val="00092600"/>
    <w:rsid w:val="0009262B"/>
    <w:rsid w:val="00092E2D"/>
    <w:rsid w:val="00093310"/>
    <w:rsid w:val="00093D53"/>
    <w:rsid w:val="0009445C"/>
    <w:rsid w:val="00094ECF"/>
    <w:rsid w:val="00095200"/>
    <w:rsid w:val="00095FE5"/>
    <w:rsid w:val="00096284"/>
    <w:rsid w:val="000A1BC0"/>
    <w:rsid w:val="000A2D4F"/>
    <w:rsid w:val="000A2EE8"/>
    <w:rsid w:val="000A2F9E"/>
    <w:rsid w:val="000A3E47"/>
    <w:rsid w:val="000A522B"/>
    <w:rsid w:val="000A5DF1"/>
    <w:rsid w:val="000A6039"/>
    <w:rsid w:val="000A7453"/>
    <w:rsid w:val="000A7D08"/>
    <w:rsid w:val="000B0121"/>
    <w:rsid w:val="000B0670"/>
    <w:rsid w:val="000B0E75"/>
    <w:rsid w:val="000B1F5B"/>
    <w:rsid w:val="000B2DCB"/>
    <w:rsid w:val="000B40C8"/>
    <w:rsid w:val="000B590D"/>
    <w:rsid w:val="000B5BE0"/>
    <w:rsid w:val="000B5CE0"/>
    <w:rsid w:val="000B600D"/>
    <w:rsid w:val="000B6CAC"/>
    <w:rsid w:val="000B7612"/>
    <w:rsid w:val="000B7895"/>
    <w:rsid w:val="000B78AE"/>
    <w:rsid w:val="000C02D1"/>
    <w:rsid w:val="000C071C"/>
    <w:rsid w:val="000C122E"/>
    <w:rsid w:val="000C3D67"/>
    <w:rsid w:val="000C3DF9"/>
    <w:rsid w:val="000C4CF2"/>
    <w:rsid w:val="000C50BD"/>
    <w:rsid w:val="000C5394"/>
    <w:rsid w:val="000C6535"/>
    <w:rsid w:val="000C6713"/>
    <w:rsid w:val="000D1BFC"/>
    <w:rsid w:val="000D1D5D"/>
    <w:rsid w:val="000D1EC1"/>
    <w:rsid w:val="000D281A"/>
    <w:rsid w:val="000D2848"/>
    <w:rsid w:val="000D3092"/>
    <w:rsid w:val="000D326A"/>
    <w:rsid w:val="000D4E80"/>
    <w:rsid w:val="000D51FB"/>
    <w:rsid w:val="000D6DB7"/>
    <w:rsid w:val="000D7443"/>
    <w:rsid w:val="000D7ED9"/>
    <w:rsid w:val="000E0640"/>
    <w:rsid w:val="000E135D"/>
    <w:rsid w:val="000E1ECC"/>
    <w:rsid w:val="000E1FAE"/>
    <w:rsid w:val="000E2B56"/>
    <w:rsid w:val="000E337C"/>
    <w:rsid w:val="000E3BD5"/>
    <w:rsid w:val="000E418C"/>
    <w:rsid w:val="000E5F27"/>
    <w:rsid w:val="000E6211"/>
    <w:rsid w:val="000E670E"/>
    <w:rsid w:val="000F00BA"/>
    <w:rsid w:val="000F0182"/>
    <w:rsid w:val="000F1151"/>
    <w:rsid w:val="000F1264"/>
    <w:rsid w:val="000F2A46"/>
    <w:rsid w:val="000F316A"/>
    <w:rsid w:val="000F3C74"/>
    <w:rsid w:val="000F4A53"/>
    <w:rsid w:val="000F4BB8"/>
    <w:rsid w:val="000F4FA9"/>
    <w:rsid w:val="000F53FB"/>
    <w:rsid w:val="000F7127"/>
    <w:rsid w:val="000F72C2"/>
    <w:rsid w:val="000F7B54"/>
    <w:rsid w:val="000F7C71"/>
    <w:rsid w:val="001000B3"/>
    <w:rsid w:val="00100D42"/>
    <w:rsid w:val="00100EBC"/>
    <w:rsid w:val="00100F8A"/>
    <w:rsid w:val="001026C4"/>
    <w:rsid w:val="00102BE3"/>
    <w:rsid w:val="0010452E"/>
    <w:rsid w:val="00105AE2"/>
    <w:rsid w:val="00105D51"/>
    <w:rsid w:val="001060C6"/>
    <w:rsid w:val="0010650B"/>
    <w:rsid w:val="00106B80"/>
    <w:rsid w:val="001076C4"/>
    <w:rsid w:val="0011032E"/>
    <w:rsid w:val="001103A8"/>
    <w:rsid w:val="00111C08"/>
    <w:rsid w:val="00112803"/>
    <w:rsid w:val="00112965"/>
    <w:rsid w:val="0011348B"/>
    <w:rsid w:val="0011466A"/>
    <w:rsid w:val="00115982"/>
    <w:rsid w:val="001167A0"/>
    <w:rsid w:val="00116C53"/>
    <w:rsid w:val="00120D84"/>
    <w:rsid w:val="0012157A"/>
    <w:rsid w:val="00121799"/>
    <w:rsid w:val="00122280"/>
    <w:rsid w:val="001222FC"/>
    <w:rsid w:val="00123902"/>
    <w:rsid w:val="0012405A"/>
    <w:rsid w:val="00124334"/>
    <w:rsid w:val="00124A51"/>
    <w:rsid w:val="00124FC5"/>
    <w:rsid w:val="001252BE"/>
    <w:rsid w:val="00125EB0"/>
    <w:rsid w:val="00126621"/>
    <w:rsid w:val="00126B1D"/>
    <w:rsid w:val="00127B72"/>
    <w:rsid w:val="001301E9"/>
    <w:rsid w:val="00131D82"/>
    <w:rsid w:val="00132B22"/>
    <w:rsid w:val="00133C21"/>
    <w:rsid w:val="00133D36"/>
    <w:rsid w:val="00133D5A"/>
    <w:rsid w:val="00134AFF"/>
    <w:rsid w:val="00136FE9"/>
    <w:rsid w:val="00137645"/>
    <w:rsid w:val="0014015A"/>
    <w:rsid w:val="00140B7C"/>
    <w:rsid w:val="00140E99"/>
    <w:rsid w:val="00142729"/>
    <w:rsid w:val="00142CFE"/>
    <w:rsid w:val="00142FA9"/>
    <w:rsid w:val="00143342"/>
    <w:rsid w:val="00143541"/>
    <w:rsid w:val="00143F67"/>
    <w:rsid w:val="00144BF1"/>
    <w:rsid w:val="00145234"/>
    <w:rsid w:val="00145540"/>
    <w:rsid w:val="001455BE"/>
    <w:rsid w:val="001456B0"/>
    <w:rsid w:val="00145E3B"/>
    <w:rsid w:val="00150CF6"/>
    <w:rsid w:val="001510D3"/>
    <w:rsid w:val="00151781"/>
    <w:rsid w:val="001526DE"/>
    <w:rsid w:val="001533BD"/>
    <w:rsid w:val="00154597"/>
    <w:rsid w:val="001547AB"/>
    <w:rsid w:val="001547F9"/>
    <w:rsid w:val="0015503B"/>
    <w:rsid w:val="001551EB"/>
    <w:rsid w:val="00155C9A"/>
    <w:rsid w:val="00156F8F"/>
    <w:rsid w:val="00157130"/>
    <w:rsid w:val="001576B1"/>
    <w:rsid w:val="0016047B"/>
    <w:rsid w:val="00160A4C"/>
    <w:rsid w:val="00162913"/>
    <w:rsid w:val="00163EFF"/>
    <w:rsid w:val="00163F66"/>
    <w:rsid w:val="0016478E"/>
    <w:rsid w:val="001649A5"/>
    <w:rsid w:val="00164D48"/>
    <w:rsid w:val="0016587F"/>
    <w:rsid w:val="00165EC4"/>
    <w:rsid w:val="001661FB"/>
    <w:rsid w:val="001671A0"/>
    <w:rsid w:val="0016767F"/>
    <w:rsid w:val="0017012A"/>
    <w:rsid w:val="00170ED7"/>
    <w:rsid w:val="0017140A"/>
    <w:rsid w:val="00171D0F"/>
    <w:rsid w:val="00173565"/>
    <w:rsid w:val="001735FD"/>
    <w:rsid w:val="001739EE"/>
    <w:rsid w:val="00173B07"/>
    <w:rsid w:val="001751FA"/>
    <w:rsid w:val="00175C9A"/>
    <w:rsid w:val="00176508"/>
    <w:rsid w:val="001771D1"/>
    <w:rsid w:val="001777F5"/>
    <w:rsid w:val="00181C10"/>
    <w:rsid w:val="00181D9C"/>
    <w:rsid w:val="00183395"/>
    <w:rsid w:val="001837FF"/>
    <w:rsid w:val="00184B0E"/>
    <w:rsid w:val="00186C9A"/>
    <w:rsid w:val="0018752F"/>
    <w:rsid w:val="00193838"/>
    <w:rsid w:val="00194AD8"/>
    <w:rsid w:val="00195222"/>
    <w:rsid w:val="00195452"/>
    <w:rsid w:val="00195FE5"/>
    <w:rsid w:val="001965E8"/>
    <w:rsid w:val="001975D8"/>
    <w:rsid w:val="001A10A7"/>
    <w:rsid w:val="001A164A"/>
    <w:rsid w:val="001A178E"/>
    <w:rsid w:val="001A1D0B"/>
    <w:rsid w:val="001A2A0B"/>
    <w:rsid w:val="001A3E36"/>
    <w:rsid w:val="001A43FA"/>
    <w:rsid w:val="001A47C5"/>
    <w:rsid w:val="001A48E6"/>
    <w:rsid w:val="001A59FB"/>
    <w:rsid w:val="001A5B2C"/>
    <w:rsid w:val="001A5E9E"/>
    <w:rsid w:val="001A6354"/>
    <w:rsid w:val="001A6366"/>
    <w:rsid w:val="001A732B"/>
    <w:rsid w:val="001A7AE8"/>
    <w:rsid w:val="001B084F"/>
    <w:rsid w:val="001B204E"/>
    <w:rsid w:val="001B2372"/>
    <w:rsid w:val="001B33D2"/>
    <w:rsid w:val="001B3443"/>
    <w:rsid w:val="001B4D20"/>
    <w:rsid w:val="001B4F70"/>
    <w:rsid w:val="001B6387"/>
    <w:rsid w:val="001B6A2C"/>
    <w:rsid w:val="001B7F84"/>
    <w:rsid w:val="001C1615"/>
    <w:rsid w:val="001C2213"/>
    <w:rsid w:val="001C2A9B"/>
    <w:rsid w:val="001C3647"/>
    <w:rsid w:val="001C3DD6"/>
    <w:rsid w:val="001C4146"/>
    <w:rsid w:val="001C4299"/>
    <w:rsid w:val="001C4874"/>
    <w:rsid w:val="001C5B45"/>
    <w:rsid w:val="001C5F94"/>
    <w:rsid w:val="001C6A1A"/>
    <w:rsid w:val="001C6E66"/>
    <w:rsid w:val="001C6E68"/>
    <w:rsid w:val="001C738D"/>
    <w:rsid w:val="001C76AF"/>
    <w:rsid w:val="001D057A"/>
    <w:rsid w:val="001D1100"/>
    <w:rsid w:val="001D1391"/>
    <w:rsid w:val="001D25D7"/>
    <w:rsid w:val="001D50B2"/>
    <w:rsid w:val="001D67C0"/>
    <w:rsid w:val="001D71F4"/>
    <w:rsid w:val="001D7645"/>
    <w:rsid w:val="001E05C3"/>
    <w:rsid w:val="001E1E86"/>
    <w:rsid w:val="001E238E"/>
    <w:rsid w:val="001E2483"/>
    <w:rsid w:val="001E2B1E"/>
    <w:rsid w:val="001E2CFF"/>
    <w:rsid w:val="001E2F24"/>
    <w:rsid w:val="001E30D4"/>
    <w:rsid w:val="001E3163"/>
    <w:rsid w:val="001E34DF"/>
    <w:rsid w:val="001E3F82"/>
    <w:rsid w:val="001E52EB"/>
    <w:rsid w:val="001E61D2"/>
    <w:rsid w:val="001E6C53"/>
    <w:rsid w:val="001E740C"/>
    <w:rsid w:val="001E7436"/>
    <w:rsid w:val="001E7E91"/>
    <w:rsid w:val="001F0E72"/>
    <w:rsid w:val="001F1235"/>
    <w:rsid w:val="001F1BF3"/>
    <w:rsid w:val="001F1CB3"/>
    <w:rsid w:val="001F38B5"/>
    <w:rsid w:val="001F4081"/>
    <w:rsid w:val="001F7361"/>
    <w:rsid w:val="001F7648"/>
    <w:rsid w:val="002000C3"/>
    <w:rsid w:val="00200B3A"/>
    <w:rsid w:val="002011B0"/>
    <w:rsid w:val="00202081"/>
    <w:rsid w:val="00203181"/>
    <w:rsid w:val="00203783"/>
    <w:rsid w:val="0020385F"/>
    <w:rsid w:val="00204B58"/>
    <w:rsid w:val="00204E86"/>
    <w:rsid w:val="00204FCA"/>
    <w:rsid w:val="00205ED3"/>
    <w:rsid w:val="002068A0"/>
    <w:rsid w:val="00207021"/>
    <w:rsid w:val="0020732F"/>
    <w:rsid w:val="00207D00"/>
    <w:rsid w:val="00207FD5"/>
    <w:rsid w:val="002105C1"/>
    <w:rsid w:val="00211283"/>
    <w:rsid w:val="002116FD"/>
    <w:rsid w:val="00213EF5"/>
    <w:rsid w:val="00214859"/>
    <w:rsid w:val="0021649B"/>
    <w:rsid w:val="002167C2"/>
    <w:rsid w:val="00216BF5"/>
    <w:rsid w:val="0021737B"/>
    <w:rsid w:val="00217A1E"/>
    <w:rsid w:val="00217EDB"/>
    <w:rsid w:val="00223B49"/>
    <w:rsid w:val="00223D5A"/>
    <w:rsid w:val="00224DD4"/>
    <w:rsid w:val="00226873"/>
    <w:rsid w:val="00227288"/>
    <w:rsid w:val="002278A0"/>
    <w:rsid w:val="002309CC"/>
    <w:rsid w:val="00230BD1"/>
    <w:rsid w:val="00231BA9"/>
    <w:rsid w:val="00231D25"/>
    <w:rsid w:val="00231F15"/>
    <w:rsid w:val="0023209F"/>
    <w:rsid w:val="002334FF"/>
    <w:rsid w:val="00233C01"/>
    <w:rsid w:val="0023413C"/>
    <w:rsid w:val="002346F0"/>
    <w:rsid w:val="00234B56"/>
    <w:rsid w:val="00235BAB"/>
    <w:rsid w:val="0023629D"/>
    <w:rsid w:val="00237255"/>
    <w:rsid w:val="00240043"/>
    <w:rsid w:val="00240ECA"/>
    <w:rsid w:val="002412CC"/>
    <w:rsid w:val="002424AF"/>
    <w:rsid w:val="002439DC"/>
    <w:rsid w:val="002441D2"/>
    <w:rsid w:val="00244DC8"/>
    <w:rsid w:val="0024568C"/>
    <w:rsid w:val="002458BA"/>
    <w:rsid w:val="00245CE9"/>
    <w:rsid w:val="0024636C"/>
    <w:rsid w:val="0024644C"/>
    <w:rsid w:val="00247925"/>
    <w:rsid w:val="00247C5E"/>
    <w:rsid w:val="0025046D"/>
    <w:rsid w:val="00250BC1"/>
    <w:rsid w:val="00251006"/>
    <w:rsid w:val="002524D5"/>
    <w:rsid w:val="00253838"/>
    <w:rsid w:val="00253B1D"/>
    <w:rsid w:val="00253E77"/>
    <w:rsid w:val="0025418B"/>
    <w:rsid w:val="00254DCF"/>
    <w:rsid w:val="00255228"/>
    <w:rsid w:val="0025534B"/>
    <w:rsid w:val="00255588"/>
    <w:rsid w:val="00255BB7"/>
    <w:rsid w:val="00256203"/>
    <w:rsid w:val="00256288"/>
    <w:rsid w:val="002570A7"/>
    <w:rsid w:val="00257541"/>
    <w:rsid w:val="00257A39"/>
    <w:rsid w:val="00257AC4"/>
    <w:rsid w:val="00257BBE"/>
    <w:rsid w:val="00260068"/>
    <w:rsid w:val="00261EEF"/>
    <w:rsid w:val="00262A1A"/>
    <w:rsid w:val="00262A87"/>
    <w:rsid w:val="00263972"/>
    <w:rsid w:val="00264D26"/>
    <w:rsid w:val="0026547E"/>
    <w:rsid w:val="002659B1"/>
    <w:rsid w:val="00265DE8"/>
    <w:rsid w:val="00266260"/>
    <w:rsid w:val="00267244"/>
    <w:rsid w:val="00267642"/>
    <w:rsid w:val="00267AEA"/>
    <w:rsid w:val="002700E6"/>
    <w:rsid w:val="00271745"/>
    <w:rsid w:val="00271CDF"/>
    <w:rsid w:val="0027212C"/>
    <w:rsid w:val="00272789"/>
    <w:rsid w:val="00272859"/>
    <w:rsid w:val="0027294B"/>
    <w:rsid w:val="00272C1E"/>
    <w:rsid w:val="00273EB4"/>
    <w:rsid w:val="00274264"/>
    <w:rsid w:val="00274682"/>
    <w:rsid w:val="00275158"/>
    <w:rsid w:val="00275C5A"/>
    <w:rsid w:val="002763ED"/>
    <w:rsid w:val="0027694F"/>
    <w:rsid w:val="002774A8"/>
    <w:rsid w:val="00277B4A"/>
    <w:rsid w:val="002809C8"/>
    <w:rsid w:val="00281014"/>
    <w:rsid w:val="002817C8"/>
    <w:rsid w:val="00282432"/>
    <w:rsid w:val="00282491"/>
    <w:rsid w:val="0028275C"/>
    <w:rsid w:val="002858E7"/>
    <w:rsid w:val="00285BCE"/>
    <w:rsid w:val="0028665D"/>
    <w:rsid w:val="00286CF2"/>
    <w:rsid w:val="00291164"/>
    <w:rsid w:val="00292E92"/>
    <w:rsid w:val="00294438"/>
    <w:rsid w:val="002948AE"/>
    <w:rsid w:val="00296133"/>
    <w:rsid w:val="0029642B"/>
    <w:rsid w:val="0029706F"/>
    <w:rsid w:val="002A14AB"/>
    <w:rsid w:val="002A2ADE"/>
    <w:rsid w:val="002A2F50"/>
    <w:rsid w:val="002A348F"/>
    <w:rsid w:val="002A38DF"/>
    <w:rsid w:val="002A4330"/>
    <w:rsid w:val="002A4ABC"/>
    <w:rsid w:val="002A5E5C"/>
    <w:rsid w:val="002A7943"/>
    <w:rsid w:val="002B052F"/>
    <w:rsid w:val="002B05A1"/>
    <w:rsid w:val="002B09A4"/>
    <w:rsid w:val="002B1C1F"/>
    <w:rsid w:val="002B2B70"/>
    <w:rsid w:val="002B432F"/>
    <w:rsid w:val="002B44AE"/>
    <w:rsid w:val="002B62B3"/>
    <w:rsid w:val="002B6754"/>
    <w:rsid w:val="002B6CCE"/>
    <w:rsid w:val="002B7B55"/>
    <w:rsid w:val="002C0E99"/>
    <w:rsid w:val="002C0FAE"/>
    <w:rsid w:val="002C24F5"/>
    <w:rsid w:val="002C2510"/>
    <w:rsid w:val="002C2775"/>
    <w:rsid w:val="002C27C1"/>
    <w:rsid w:val="002C2D0F"/>
    <w:rsid w:val="002C36E3"/>
    <w:rsid w:val="002C3855"/>
    <w:rsid w:val="002C5099"/>
    <w:rsid w:val="002C5889"/>
    <w:rsid w:val="002C5B60"/>
    <w:rsid w:val="002C5ED5"/>
    <w:rsid w:val="002C621F"/>
    <w:rsid w:val="002C71CE"/>
    <w:rsid w:val="002D03E6"/>
    <w:rsid w:val="002D08F8"/>
    <w:rsid w:val="002D1EF3"/>
    <w:rsid w:val="002D577C"/>
    <w:rsid w:val="002D60C4"/>
    <w:rsid w:val="002D6A2B"/>
    <w:rsid w:val="002D732D"/>
    <w:rsid w:val="002D7832"/>
    <w:rsid w:val="002E0DCD"/>
    <w:rsid w:val="002E1071"/>
    <w:rsid w:val="002E11B2"/>
    <w:rsid w:val="002E15B9"/>
    <w:rsid w:val="002E184E"/>
    <w:rsid w:val="002E1C81"/>
    <w:rsid w:val="002E2158"/>
    <w:rsid w:val="002E30ED"/>
    <w:rsid w:val="002E37DA"/>
    <w:rsid w:val="002E4F02"/>
    <w:rsid w:val="002E60BE"/>
    <w:rsid w:val="002E7033"/>
    <w:rsid w:val="002E7722"/>
    <w:rsid w:val="002F07BA"/>
    <w:rsid w:val="002F0DA9"/>
    <w:rsid w:val="002F1014"/>
    <w:rsid w:val="002F1916"/>
    <w:rsid w:val="002F19B7"/>
    <w:rsid w:val="002F1E3B"/>
    <w:rsid w:val="002F2474"/>
    <w:rsid w:val="002F2511"/>
    <w:rsid w:val="002F330F"/>
    <w:rsid w:val="002F3C92"/>
    <w:rsid w:val="002F506B"/>
    <w:rsid w:val="002F5486"/>
    <w:rsid w:val="002F643C"/>
    <w:rsid w:val="002F6D57"/>
    <w:rsid w:val="002F71C0"/>
    <w:rsid w:val="002F74F1"/>
    <w:rsid w:val="00300D4B"/>
    <w:rsid w:val="00301017"/>
    <w:rsid w:val="0030155F"/>
    <w:rsid w:val="003023E6"/>
    <w:rsid w:val="00302D30"/>
    <w:rsid w:val="0030312F"/>
    <w:rsid w:val="0030587B"/>
    <w:rsid w:val="00305F65"/>
    <w:rsid w:val="003065B5"/>
    <w:rsid w:val="00306D98"/>
    <w:rsid w:val="0030786C"/>
    <w:rsid w:val="0031007C"/>
    <w:rsid w:val="0031031A"/>
    <w:rsid w:val="00310981"/>
    <w:rsid w:val="00311D9B"/>
    <w:rsid w:val="003124D9"/>
    <w:rsid w:val="00312594"/>
    <w:rsid w:val="00314073"/>
    <w:rsid w:val="00315498"/>
    <w:rsid w:val="00316474"/>
    <w:rsid w:val="0031729F"/>
    <w:rsid w:val="00317B70"/>
    <w:rsid w:val="003206F2"/>
    <w:rsid w:val="0032168D"/>
    <w:rsid w:val="0032194F"/>
    <w:rsid w:val="00321A07"/>
    <w:rsid w:val="00321E40"/>
    <w:rsid w:val="00321E94"/>
    <w:rsid w:val="00322107"/>
    <w:rsid w:val="00322355"/>
    <w:rsid w:val="00322846"/>
    <w:rsid w:val="00323B6C"/>
    <w:rsid w:val="00323CC0"/>
    <w:rsid w:val="00324E02"/>
    <w:rsid w:val="00326DA7"/>
    <w:rsid w:val="003270E4"/>
    <w:rsid w:val="003271B5"/>
    <w:rsid w:val="00327FBE"/>
    <w:rsid w:val="00330DAA"/>
    <w:rsid w:val="00330F5C"/>
    <w:rsid w:val="00332B83"/>
    <w:rsid w:val="0033543C"/>
    <w:rsid w:val="003366C9"/>
    <w:rsid w:val="003371B0"/>
    <w:rsid w:val="00340DF1"/>
    <w:rsid w:val="00343E3C"/>
    <w:rsid w:val="00344880"/>
    <w:rsid w:val="00345B61"/>
    <w:rsid w:val="003501C4"/>
    <w:rsid w:val="003517F9"/>
    <w:rsid w:val="00351BA9"/>
    <w:rsid w:val="00354F64"/>
    <w:rsid w:val="0035620E"/>
    <w:rsid w:val="003575BE"/>
    <w:rsid w:val="00357858"/>
    <w:rsid w:val="00360345"/>
    <w:rsid w:val="00361352"/>
    <w:rsid w:val="00361832"/>
    <w:rsid w:val="00361A05"/>
    <w:rsid w:val="003624C4"/>
    <w:rsid w:val="00362A94"/>
    <w:rsid w:val="003631CB"/>
    <w:rsid w:val="00363A0E"/>
    <w:rsid w:val="00363B00"/>
    <w:rsid w:val="00363ED2"/>
    <w:rsid w:val="003648E4"/>
    <w:rsid w:val="00365192"/>
    <w:rsid w:val="003654AC"/>
    <w:rsid w:val="003669BE"/>
    <w:rsid w:val="00370AB8"/>
    <w:rsid w:val="00370D53"/>
    <w:rsid w:val="003710CF"/>
    <w:rsid w:val="00371C24"/>
    <w:rsid w:val="0037358A"/>
    <w:rsid w:val="003746A2"/>
    <w:rsid w:val="003750F6"/>
    <w:rsid w:val="00375CAC"/>
    <w:rsid w:val="003760FC"/>
    <w:rsid w:val="003767F2"/>
    <w:rsid w:val="00381A28"/>
    <w:rsid w:val="0038272E"/>
    <w:rsid w:val="0038365C"/>
    <w:rsid w:val="0038369B"/>
    <w:rsid w:val="00383B78"/>
    <w:rsid w:val="00385A9D"/>
    <w:rsid w:val="00387121"/>
    <w:rsid w:val="003902B1"/>
    <w:rsid w:val="00390439"/>
    <w:rsid w:val="00390F8C"/>
    <w:rsid w:val="00391263"/>
    <w:rsid w:val="0039179C"/>
    <w:rsid w:val="003938DA"/>
    <w:rsid w:val="003938EA"/>
    <w:rsid w:val="00396896"/>
    <w:rsid w:val="00396FD0"/>
    <w:rsid w:val="00397654"/>
    <w:rsid w:val="003A0A15"/>
    <w:rsid w:val="003A1A7A"/>
    <w:rsid w:val="003A207A"/>
    <w:rsid w:val="003A2392"/>
    <w:rsid w:val="003A2831"/>
    <w:rsid w:val="003A287F"/>
    <w:rsid w:val="003A3CB6"/>
    <w:rsid w:val="003A3ED1"/>
    <w:rsid w:val="003A44DB"/>
    <w:rsid w:val="003A4824"/>
    <w:rsid w:val="003A4C14"/>
    <w:rsid w:val="003A4FD8"/>
    <w:rsid w:val="003A62D2"/>
    <w:rsid w:val="003A6FC7"/>
    <w:rsid w:val="003A7380"/>
    <w:rsid w:val="003B2982"/>
    <w:rsid w:val="003B308C"/>
    <w:rsid w:val="003B3971"/>
    <w:rsid w:val="003B55D1"/>
    <w:rsid w:val="003B5B61"/>
    <w:rsid w:val="003B60EA"/>
    <w:rsid w:val="003B6C32"/>
    <w:rsid w:val="003B7D6C"/>
    <w:rsid w:val="003C0EDD"/>
    <w:rsid w:val="003C1654"/>
    <w:rsid w:val="003C3AE9"/>
    <w:rsid w:val="003C400B"/>
    <w:rsid w:val="003C4628"/>
    <w:rsid w:val="003C5542"/>
    <w:rsid w:val="003C60D1"/>
    <w:rsid w:val="003C7874"/>
    <w:rsid w:val="003C7C15"/>
    <w:rsid w:val="003C7D19"/>
    <w:rsid w:val="003C7D2F"/>
    <w:rsid w:val="003D0B92"/>
    <w:rsid w:val="003D0C5A"/>
    <w:rsid w:val="003D1828"/>
    <w:rsid w:val="003D188B"/>
    <w:rsid w:val="003D1DE4"/>
    <w:rsid w:val="003D1E9A"/>
    <w:rsid w:val="003D20F2"/>
    <w:rsid w:val="003D2422"/>
    <w:rsid w:val="003D36F6"/>
    <w:rsid w:val="003D39A1"/>
    <w:rsid w:val="003D3FBF"/>
    <w:rsid w:val="003D43C8"/>
    <w:rsid w:val="003D4A30"/>
    <w:rsid w:val="003D5015"/>
    <w:rsid w:val="003D502F"/>
    <w:rsid w:val="003D5227"/>
    <w:rsid w:val="003D71A1"/>
    <w:rsid w:val="003D7452"/>
    <w:rsid w:val="003D79BB"/>
    <w:rsid w:val="003D7C98"/>
    <w:rsid w:val="003D7D9D"/>
    <w:rsid w:val="003E0025"/>
    <w:rsid w:val="003E0543"/>
    <w:rsid w:val="003E1BD4"/>
    <w:rsid w:val="003E4082"/>
    <w:rsid w:val="003E4DB9"/>
    <w:rsid w:val="003E530B"/>
    <w:rsid w:val="003E5603"/>
    <w:rsid w:val="003E6D60"/>
    <w:rsid w:val="003E749E"/>
    <w:rsid w:val="003F2DD6"/>
    <w:rsid w:val="003F4156"/>
    <w:rsid w:val="003F4E7B"/>
    <w:rsid w:val="003F5ADF"/>
    <w:rsid w:val="003F5D2D"/>
    <w:rsid w:val="003F6F8B"/>
    <w:rsid w:val="00400B29"/>
    <w:rsid w:val="0040255E"/>
    <w:rsid w:val="00402812"/>
    <w:rsid w:val="00402FDA"/>
    <w:rsid w:val="00403F2F"/>
    <w:rsid w:val="00404290"/>
    <w:rsid w:val="0040504B"/>
    <w:rsid w:val="0040571D"/>
    <w:rsid w:val="004059F4"/>
    <w:rsid w:val="004079E9"/>
    <w:rsid w:val="00407FE5"/>
    <w:rsid w:val="004101B0"/>
    <w:rsid w:val="00410326"/>
    <w:rsid w:val="00410708"/>
    <w:rsid w:val="00410EC7"/>
    <w:rsid w:val="004111F2"/>
    <w:rsid w:val="00411B39"/>
    <w:rsid w:val="004127A7"/>
    <w:rsid w:val="0041380B"/>
    <w:rsid w:val="00413A1E"/>
    <w:rsid w:val="00413AFA"/>
    <w:rsid w:val="00414476"/>
    <w:rsid w:val="00414C2E"/>
    <w:rsid w:val="004151CF"/>
    <w:rsid w:val="00416364"/>
    <w:rsid w:val="004165E9"/>
    <w:rsid w:val="0042047F"/>
    <w:rsid w:val="00420AA6"/>
    <w:rsid w:val="00420B9F"/>
    <w:rsid w:val="0042192C"/>
    <w:rsid w:val="00421ABD"/>
    <w:rsid w:val="00422260"/>
    <w:rsid w:val="004228DB"/>
    <w:rsid w:val="0042413F"/>
    <w:rsid w:val="0042668F"/>
    <w:rsid w:val="00426777"/>
    <w:rsid w:val="00427C6D"/>
    <w:rsid w:val="004319F8"/>
    <w:rsid w:val="00431E55"/>
    <w:rsid w:val="004321F6"/>
    <w:rsid w:val="00432619"/>
    <w:rsid w:val="00433044"/>
    <w:rsid w:val="00433160"/>
    <w:rsid w:val="004336D6"/>
    <w:rsid w:val="00433B70"/>
    <w:rsid w:val="00434088"/>
    <w:rsid w:val="00434BC6"/>
    <w:rsid w:val="00434F00"/>
    <w:rsid w:val="004375B9"/>
    <w:rsid w:val="004428D0"/>
    <w:rsid w:val="00443367"/>
    <w:rsid w:val="00443AF8"/>
    <w:rsid w:val="00444185"/>
    <w:rsid w:val="004443A7"/>
    <w:rsid w:val="0044442C"/>
    <w:rsid w:val="00445586"/>
    <w:rsid w:val="00445941"/>
    <w:rsid w:val="004459BC"/>
    <w:rsid w:val="004464EB"/>
    <w:rsid w:val="00447123"/>
    <w:rsid w:val="00447D26"/>
    <w:rsid w:val="00447DFC"/>
    <w:rsid w:val="004546AA"/>
    <w:rsid w:val="004548CA"/>
    <w:rsid w:val="00454C58"/>
    <w:rsid w:val="00455D45"/>
    <w:rsid w:val="00455E8F"/>
    <w:rsid w:val="0045615C"/>
    <w:rsid w:val="00460428"/>
    <w:rsid w:val="00461233"/>
    <w:rsid w:val="00464595"/>
    <w:rsid w:val="004658B5"/>
    <w:rsid w:val="0046761E"/>
    <w:rsid w:val="00470DB4"/>
    <w:rsid w:val="00471EA5"/>
    <w:rsid w:val="00472A79"/>
    <w:rsid w:val="00472F56"/>
    <w:rsid w:val="00473F19"/>
    <w:rsid w:val="00475E22"/>
    <w:rsid w:val="00477FD1"/>
    <w:rsid w:val="0048088E"/>
    <w:rsid w:val="00480F2B"/>
    <w:rsid w:val="004810C7"/>
    <w:rsid w:val="0048134D"/>
    <w:rsid w:val="004815F7"/>
    <w:rsid w:val="00482184"/>
    <w:rsid w:val="00482311"/>
    <w:rsid w:val="0048238A"/>
    <w:rsid w:val="00482720"/>
    <w:rsid w:val="004830CF"/>
    <w:rsid w:val="004835E7"/>
    <w:rsid w:val="004858E4"/>
    <w:rsid w:val="004859E1"/>
    <w:rsid w:val="0048665B"/>
    <w:rsid w:val="004867B7"/>
    <w:rsid w:val="004867E2"/>
    <w:rsid w:val="00486D48"/>
    <w:rsid w:val="00486F0B"/>
    <w:rsid w:val="00486F0C"/>
    <w:rsid w:val="004877A5"/>
    <w:rsid w:val="00490B17"/>
    <w:rsid w:val="00491B3A"/>
    <w:rsid w:val="00492CFD"/>
    <w:rsid w:val="00493B89"/>
    <w:rsid w:val="00493E33"/>
    <w:rsid w:val="00494207"/>
    <w:rsid w:val="004944C5"/>
    <w:rsid w:val="00494A57"/>
    <w:rsid w:val="00494DD5"/>
    <w:rsid w:val="004962D2"/>
    <w:rsid w:val="004979FF"/>
    <w:rsid w:val="004A049D"/>
    <w:rsid w:val="004A0CC2"/>
    <w:rsid w:val="004A0DA1"/>
    <w:rsid w:val="004A0F34"/>
    <w:rsid w:val="004A13D6"/>
    <w:rsid w:val="004A28D4"/>
    <w:rsid w:val="004A338C"/>
    <w:rsid w:val="004A52E9"/>
    <w:rsid w:val="004A6040"/>
    <w:rsid w:val="004A6597"/>
    <w:rsid w:val="004A7848"/>
    <w:rsid w:val="004A793B"/>
    <w:rsid w:val="004B0359"/>
    <w:rsid w:val="004B09F1"/>
    <w:rsid w:val="004B1CB4"/>
    <w:rsid w:val="004B2F18"/>
    <w:rsid w:val="004B3DDB"/>
    <w:rsid w:val="004B4151"/>
    <w:rsid w:val="004B44FD"/>
    <w:rsid w:val="004B4BD3"/>
    <w:rsid w:val="004B5CFC"/>
    <w:rsid w:val="004B6F0B"/>
    <w:rsid w:val="004B6F79"/>
    <w:rsid w:val="004B7096"/>
    <w:rsid w:val="004B774D"/>
    <w:rsid w:val="004C04BF"/>
    <w:rsid w:val="004C2425"/>
    <w:rsid w:val="004C2AC2"/>
    <w:rsid w:val="004C473C"/>
    <w:rsid w:val="004C4AED"/>
    <w:rsid w:val="004C4EC0"/>
    <w:rsid w:val="004D0445"/>
    <w:rsid w:val="004D2C2D"/>
    <w:rsid w:val="004D69B5"/>
    <w:rsid w:val="004D7227"/>
    <w:rsid w:val="004D7B5E"/>
    <w:rsid w:val="004E054C"/>
    <w:rsid w:val="004E0E56"/>
    <w:rsid w:val="004E0E7F"/>
    <w:rsid w:val="004E0EB8"/>
    <w:rsid w:val="004E18E9"/>
    <w:rsid w:val="004E207D"/>
    <w:rsid w:val="004E2ADC"/>
    <w:rsid w:val="004E43B2"/>
    <w:rsid w:val="004E4B07"/>
    <w:rsid w:val="004E4B1F"/>
    <w:rsid w:val="004E5252"/>
    <w:rsid w:val="004E71F1"/>
    <w:rsid w:val="004F022D"/>
    <w:rsid w:val="004F0D1B"/>
    <w:rsid w:val="004F1D02"/>
    <w:rsid w:val="004F2679"/>
    <w:rsid w:val="004F2F21"/>
    <w:rsid w:val="004F3123"/>
    <w:rsid w:val="004F3DE5"/>
    <w:rsid w:val="004F6913"/>
    <w:rsid w:val="004F6AD9"/>
    <w:rsid w:val="004F7865"/>
    <w:rsid w:val="0050174E"/>
    <w:rsid w:val="00501824"/>
    <w:rsid w:val="00501854"/>
    <w:rsid w:val="00501DE9"/>
    <w:rsid w:val="00501EE1"/>
    <w:rsid w:val="0050219B"/>
    <w:rsid w:val="00503F17"/>
    <w:rsid w:val="00503F3A"/>
    <w:rsid w:val="00506928"/>
    <w:rsid w:val="005077EF"/>
    <w:rsid w:val="00510D5A"/>
    <w:rsid w:val="00511AD5"/>
    <w:rsid w:val="00511DC7"/>
    <w:rsid w:val="00513E1C"/>
    <w:rsid w:val="00513F41"/>
    <w:rsid w:val="005142C5"/>
    <w:rsid w:val="0051501B"/>
    <w:rsid w:val="0051524D"/>
    <w:rsid w:val="005152B5"/>
    <w:rsid w:val="00515886"/>
    <w:rsid w:val="00515935"/>
    <w:rsid w:val="00517BF5"/>
    <w:rsid w:val="00517EF0"/>
    <w:rsid w:val="00520147"/>
    <w:rsid w:val="0052123C"/>
    <w:rsid w:val="00521319"/>
    <w:rsid w:val="0052157C"/>
    <w:rsid w:val="00521C51"/>
    <w:rsid w:val="005228F6"/>
    <w:rsid w:val="00522BC8"/>
    <w:rsid w:val="00522F1D"/>
    <w:rsid w:val="00523C28"/>
    <w:rsid w:val="00524408"/>
    <w:rsid w:val="00524A2F"/>
    <w:rsid w:val="00525B00"/>
    <w:rsid w:val="00525E93"/>
    <w:rsid w:val="00525F7F"/>
    <w:rsid w:val="005271AE"/>
    <w:rsid w:val="00527FAD"/>
    <w:rsid w:val="00530F80"/>
    <w:rsid w:val="0053176B"/>
    <w:rsid w:val="005323FE"/>
    <w:rsid w:val="00532A33"/>
    <w:rsid w:val="00532C19"/>
    <w:rsid w:val="005330B2"/>
    <w:rsid w:val="00533E4E"/>
    <w:rsid w:val="005341B3"/>
    <w:rsid w:val="00534EAC"/>
    <w:rsid w:val="00534F70"/>
    <w:rsid w:val="0053501A"/>
    <w:rsid w:val="00535168"/>
    <w:rsid w:val="00536F42"/>
    <w:rsid w:val="00537182"/>
    <w:rsid w:val="00541EDD"/>
    <w:rsid w:val="00542743"/>
    <w:rsid w:val="00542C2D"/>
    <w:rsid w:val="0054358A"/>
    <w:rsid w:val="00544C98"/>
    <w:rsid w:val="0054661F"/>
    <w:rsid w:val="00546D05"/>
    <w:rsid w:val="00547336"/>
    <w:rsid w:val="005478BD"/>
    <w:rsid w:val="005479E3"/>
    <w:rsid w:val="00551985"/>
    <w:rsid w:val="0055248C"/>
    <w:rsid w:val="00552BD3"/>
    <w:rsid w:val="005532A0"/>
    <w:rsid w:val="00553CC9"/>
    <w:rsid w:val="005540A0"/>
    <w:rsid w:val="00554A24"/>
    <w:rsid w:val="00555109"/>
    <w:rsid w:val="0055695C"/>
    <w:rsid w:val="00556B35"/>
    <w:rsid w:val="0055741A"/>
    <w:rsid w:val="005574BA"/>
    <w:rsid w:val="005611B7"/>
    <w:rsid w:val="005618D4"/>
    <w:rsid w:val="005624E8"/>
    <w:rsid w:val="00562AD5"/>
    <w:rsid w:val="00564534"/>
    <w:rsid w:val="00564867"/>
    <w:rsid w:val="00565C79"/>
    <w:rsid w:val="00565DF0"/>
    <w:rsid w:val="0056696F"/>
    <w:rsid w:val="00566EFB"/>
    <w:rsid w:val="0057066B"/>
    <w:rsid w:val="00570852"/>
    <w:rsid w:val="00571CF9"/>
    <w:rsid w:val="00572269"/>
    <w:rsid w:val="0057244A"/>
    <w:rsid w:val="00572F26"/>
    <w:rsid w:val="005750C5"/>
    <w:rsid w:val="005752DE"/>
    <w:rsid w:val="00575D60"/>
    <w:rsid w:val="00575D8D"/>
    <w:rsid w:val="00576972"/>
    <w:rsid w:val="00577248"/>
    <w:rsid w:val="00577286"/>
    <w:rsid w:val="00577296"/>
    <w:rsid w:val="0057761A"/>
    <w:rsid w:val="00581D0C"/>
    <w:rsid w:val="005827F6"/>
    <w:rsid w:val="00583699"/>
    <w:rsid w:val="0058544E"/>
    <w:rsid w:val="00585CDD"/>
    <w:rsid w:val="00586857"/>
    <w:rsid w:val="00586ECD"/>
    <w:rsid w:val="00587058"/>
    <w:rsid w:val="00587D37"/>
    <w:rsid w:val="005903D0"/>
    <w:rsid w:val="00590E1B"/>
    <w:rsid w:val="00591957"/>
    <w:rsid w:val="00592F84"/>
    <w:rsid w:val="00592FD3"/>
    <w:rsid w:val="00593876"/>
    <w:rsid w:val="005950F1"/>
    <w:rsid w:val="00597BF9"/>
    <w:rsid w:val="005A0C11"/>
    <w:rsid w:val="005A309A"/>
    <w:rsid w:val="005A373D"/>
    <w:rsid w:val="005A4459"/>
    <w:rsid w:val="005A6016"/>
    <w:rsid w:val="005B07C2"/>
    <w:rsid w:val="005B0B58"/>
    <w:rsid w:val="005B26C0"/>
    <w:rsid w:val="005B38CE"/>
    <w:rsid w:val="005B4E53"/>
    <w:rsid w:val="005B5857"/>
    <w:rsid w:val="005B6C43"/>
    <w:rsid w:val="005B6CF9"/>
    <w:rsid w:val="005B79C2"/>
    <w:rsid w:val="005C014C"/>
    <w:rsid w:val="005C09C8"/>
    <w:rsid w:val="005C19C4"/>
    <w:rsid w:val="005C1B83"/>
    <w:rsid w:val="005C25FF"/>
    <w:rsid w:val="005C2707"/>
    <w:rsid w:val="005C2AE7"/>
    <w:rsid w:val="005C2D55"/>
    <w:rsid w:val="005C346B"/>
    <w:rsid w:val="005C4BAF"/>
    <w:rsid w:val="005C5ABC"/>
    <w:rsid w:val="005C6402"/>
    <w:rsid w:val="005C6F3F"/>
    <w:rsid w:val="005C74FE"/>
    <w:rsid w:val="005C786D"/>
    <w:rsid w:val="005D044D"/>
    <w:rsid w:val="005D0501"/>
    <w:rsid w:val="005D0ABD"/>
    <w:rsid w:val="005D1166"/>
    <w:rsid w:val="005D18AD"/>
    <w:rsid w:val="005D26B4"/>
    <w:rsid w:val="005D2844"/>
    <w:rsid w:val="005D3AEC"/>
    <w:rsid w:val="005D5FE5"/>
    <w:rsid w:val="005E026B"/>
    <w:rsid w:val="005E1995"/>
    <w:rsid w:val="005E2432"/>
    <w:rsid w:val="005E2F95"/>
    <w:rsid w:val="005E5EC0"/>
    <w:rsid w:val="005E6CBC"/>
    <w:rsid w:val="005E72FF"/>
    <w:rsid w:val="005E73C0"/>
    <w:rsid w:val="005E76B1"/>
    <w:rsid w:val="005E76F3"/>
    <w:rsid w:val="005F0182"/>
    <w:rsid w:val="005F07ED"/>
    <w:rsid w:val="005F0A42"/>
    <w:rsid w:val="005F2706"/>
    <w:rsid w:val="005F2F3D"/>
    <w:rsid w:val="005F3133"/>
    <w:rsid w:val="005F56C0"/>
    <w:rsid w:val="005F6A8F"/>
    <w:rsid w:val="005F6BB7"/>
    <w:rsid w:val="005F7479"/>
    <w:rsid w:val="005F7588"/>
    <w:rsid w:val="006014CC"/>
    <w:rsid w:val="006037A9"/>
    <w:rsid w:val="00603983"/>
    <w:rsid w:val="00603DB9"/>
    <w:rsid w:val="0060446D"/>
    <w:rsid w:val="00605B84"/>
    <w:rsid w:val="00606394"/>
    <w:rsid w:val="00606C6B"/>
    <w:rsid w:val="00606CE9"/>
    <w:rsid w:val="00606FBA"/>
    <w:rsid w:val="00607669"/>
    <w:rsid w:val="006076F4"/>
    <w:rsid w:val="00607AFD"/>
    <w:rsid w:val="0061006C"/>
    <w:rsid w:val="00611B12"/>
    <w:rsid w:val="00612B61"/>
    <w:rsid w:val="00612BB8"/>
    <w:rsid w:val="00612F97"/>
    <w:rsid w:val="0061345D"/>
    <w:rsid w:val="00613978"/>
    <w:rsid w:val="0061439C"/>
    <w:rsid w:val="0061549B"/>
    <w:rsid w:val="00615EEF"/>
    <w:rsid w:val="00616661"/>
    <w:rsid w:val="00616802"/>
    <w:rsid w:val="00616D0B"/>
    <w:rsid w:val="00617E12"/>
    <w:rsid w:val="0062051C"/>
    <w:rsid w:val="00620C25"/>
    <w:rsid w:val="00621477"/>
    <w:rsid w:val="00621ADA"/>
    <w:rsid w:val="006236BD"/>
    <w:rsid w:val="00623F7B"/>
    <w:rsid w:val="00624BD4"/>
    <w:rsid w:val="00624E91"/>
    <w:rsid w:val="00625321"/>
    <w:rsid w:val="00625752"/>
    <w:rsid w:val="00627043"/>
    <w:rsid w:val="00627A51"/>
    <w:rsid w:val="00627CB7"/>
    <w:rsid w:val="00631003"/>
    <w:rsid w:val="0063158F"/>
    <w:rsid w:val="00631D6B"/>
    <w:rsid w:val="00632183"/>
    <w:rsid w:val="006330A1"/>
    <w:rsid w:val="00633CF1"/>
    <w:rsid w:val="006341B3"/>
    <w:rsid w:val="0063440C"/>
    <w:rsid w:val="0063479F"/>
    <w:rsid w:val="006353F0"/>
    <w:rsid w:val="006357B5"/>
    <w:rsid w:val="006361A4"/>
    <w:rsid w:val="006364A1"/>
    <w:rsid w:val="0063678E"/>
    <w:rsid w:val="00637BFD"/>
    <w:rsid w:val="00637C5C"/>
    <w:rsid w:val="00637E49"/>
    <w:rsid w:val="0064036C"/>
    <w:rsid w:val="00641C4E"/>
    <w:rsid w:val="00641FB3"/>
    <w:rsid w:val="0064382B"/>
    <w:rsid w:val="00643FD9"/>
    <w:rsid w:val="0064434C"/>
    <w:rsid w:val="00644488"/>
    <w:rsid w:val="00644C87"/>
    <w:rsid w:val="006471CC"/>
    <w:rsid w:val="006472FE"/>
    <w:rsid w:val="006477CA"/>
    <w:rsid w:val="006479C4"/>
    <w:rsid w:val="00647A29"/>
    <w:rsid w:val="0065079F"/>
    <w:rsid w:val="006508D0"/>
    <w:rsid w:val="00650DD9"/>
    <w:rsid w:val="00652A28"/>
    <w:rsid w:val="00652FE9"/>
    <w:rsid w:val="0065379F"/>
    <w:rsid w:val="00653DCD"/>
    <w:rsid w:val="00656188"/>
    <w:rsid w:val="0065715A"/>
    <w:rsid w:val="006610F1"/>
    <w:rsid w:val="00661C6B"/>
    <w:rsid w:val="00662809"/>
    <w:rsid w:val="00662D3E"/>
    <w:rsid w:val="00662DBF"/>
    <w:rsid w:val="00667823"/>
    <w:rsid w:val="00667BE3"/>
    <w:rsid w:val="00671004"/>
    <w:rsid w:val="0067105D"/>
    <w:rsid w:val="006713EA"/>
    <w:rsid w:val="00671728"/>
    <w:rsid w:val="00672646"/>
    <w:rsid w:val="00672999"/>
    <w:rsid w:val="006746BE"/>
    <w:rsid w:val="00674E42"/>
    <w:rsid w:val="006754EB"/>
    <w:rsid w:val="0067551B"/>
    <w:rsid w:val="006761C2"/>
    <w:rsid w:val="00676563"/>
    <w:rsid w:val="00676C2F"/>
    <w:rsid w:val="0067789D"/>
    <w:rsid w:val="006811FA"/>
    <w:rsid w:val="006813F8"/>
    <w:rsid w:val="00681445"/>
    <w:rsid w:val="00681ECF"/>
    <w:rsid w:val="00682112"/>
    <w:rsid w:val="0068252C"/>
    <w:rsid w:val="00682BA6"/>
    <w:rsid w:val="00683666"/>
    <w:rsid w:val="00684310"/>
    <w:rsid w:val="00684B8A"/>
    <w:rsid w:val="006865CC"/>
    <w:rsid w:val="00686957"/>
    <w:rsid w:val="006871BF"/>
    <w:rsid w:val="006872BA"/>
    <w:rsid w:val="00690038"/>
    <w:rsid w:val="00690795"/>
    <w:rsid w:val="00690A0D"/>
    <w:rsid w:val="00691648"/>
    <w:rsid w:val="006917D7"/>
    <w:rsid w:val="00692E1A"/>
    <w:rsid w:val="0069434C"/>
    <w:rsid w:val="00694F44"/>
    <w:rsid w:val="0069547C"/>
    <w:rsid w:val="006964C6"/>
    <w:rsid w:val="00696EF9"/>
    <w:rsid w:val="00696F51"/>
    <w:rsid w:val="00697853"/>
    <w:rsid w:val="006979A5"/>
    <w:rsid w:val="006A016F"/>
    <w:rsid w:val="006A0CCC"/>
    <w:rsid w:val="006A0DF7"/>
    <w:rsid w:val="006A1A23"/>
    <w:rsid w:val="006A26CD"/>
    <w:rsid w:val="006A2A4E"/>
    <w:rsid w:val="006A4321"/>
    <w:rsid w:val="006A43D9"/>
    <w:rsid w:val="006A48A9"/>
    <w:rsid w:val="006A4BC2"/>
    <w:rsid w:val="006A4E52"/>
    <w:rsid w:val="006A53F0"/>
    <w:rsid w:val="006A6A24"/>
    <w:rsid w:val="006A6B99"/>
    <w:rsid w:val="006A726E"/>
    <w:rsid w:val="006A7E5F"/>
    <w:rsid w:val="006B0D3F"/>
    <w:rsid w:val="006B2040"/>
    <w:rsid w:val="006B261B"/>
    <w:rsid w:val="006B2C90"/>
    <w:rsid w:val="006B35E6"/>
    <w:rsid w:val="006B465A"/>
    <w:rsid w:val="006B4C4F"/>
    <w:rsid w:val="006B6DD0"/>
    <w:rsid w:val="006B75F7"/>
    <w:rsid w:val="006C0399"/>
    <w:rsid w:val="006C2A8E"/>
    <w:rsid w:val="006C3255"/>
    <w:rsid w:val="006C3829"/>
    <w:rsid w:val="006C3F26"/>
    <w:rsid w:val="006C43BE"/>
    <w:rsid w:val="006C56AB"/>
    <w:rsid w:val="006C5799"/>
    <w:rsid w:val="006D0D17"/>
    <w:rsid w:val="006D141B"/>
    <w:rsid w:val="006D292B"/>
    <w:rsid w:val="006D3C7D"/>
    <w:rsid w:val="006D4659"/>
    <w:rsid w:val="006D4BA8"/>
    <w:rsid w:val="006D4BF8"/>
    <w:rsid w:val="006D5BDF"/>
    <w:rsid w:val="006D5D5F"/>
    <w:rsid w:val="006D5E11"/>
    <w:rsid w:val="006D5F50"/>
    <w:rsid w:val="006D6538"/>
    <w:rsid w:val="006D68FB"/>
    <w:rsid w:val="006E1881"/>
    <w:rsid w:val="006E2868"/>
    <w:rsid w:val="006E2CD8"/>
    <w:rsid w:val="006E5A37"/>
    <w:rsid w:val="006E6888"/>
    <w:rsid w:val="006F0F59"/>
    <w:rsid w:val="006F16CE"/>
    <w:rsid w:val="006F2BED"/>
    <w:rsid w:val="006F306C"/>
    <w:rsid w:val="006F55C1"/>
    <w:rsid w:val="006F63A5"/>
    <w:rsid w:val="006F6896"/>
    <w:rsid w:val="0070007E"/>
    <w:rsid w:val="00700191"/>
    <w:rsid w:val="0070142B"/>
    <w:rsid w:val="007025C9"/>
    <w:rsid w:val="0070276E"/>
    <w:rsid w:val="007028B8"/>
    <w:rsid w:val="00702F8F"/>
    <w:rsid w:val="0070455F"/>
    <w:rsid w:val="0070488C"/>
    <w:rsid w:val="00705CF6"/>
    <w:rsid w:val="00707649"/>
    <w:rsid w:val="007079FC"/>
    <w:rsid w:val="007105B4"/>
    <w:rsid w:val="00710923"/>
    <w:rsid w:val="00711A36"/>
    <w:rsid w:val="007125D3"/>
    <w:rsid w:val="007129A3"/>
    <w:rsid w:val="00712EE1"/>
    <w:rsid w:val="00713060"/>
    <w:rsid w:val="00713E6A"/>
    <w:rsid w:val="00714C26"/>
    <w:rsid w:val="0071529C"/>
    <w:rsid w:val="00715AD4"/>
    <w:rsid w:val="007170DA"/>
    <w:rsid w:val="007172AD"/>
    <w:rsid w:val="00717546"/>
    <w:rsid w:val="00720801"/>
    <w:rsid w:val="00720F66"/>
    <w:rsid w:val="007216CC"/>
    <w:rsid w:val="00722B1B"/>
    <w:rsid w:val="00723CFA"/>
    <w:rsid w:val="0072416F"/>
    <w:rsid w:val="00724D44"/>
    <w:rsid w:val="00726941"/>
    <w:rsid w:val="00727224"/>
    <w:rsid w:val="00727C94"/>
    <w:rsid w:val="0073024C"/>
    <w:rsid w:val="007310A2"/>
    <w:rsid w:val="00731B0A"/>
    <w:rsid w:val="00731B7B"/>
    <w:rsid w:val="00731D3E"/>
    <w:rsid w:val="00731EAE"/>
    <w:rsid w:val="00732BD8"/>
    <w:rsid w:val="00732CD2"/>
    <w:rsid w:val="00733073"/>
    <w:rsid w:val="00735033"/>
    <w:rsid w:val="00735328"/>
    <w:rsid w:val="007367DA"/>
    <w:rsid w:val="0073685B"/>
    <w:rsid w:val="0073708D"/>
    <w:rsid w:val="007420E5"/>
    <w:rsid w:val="00742295"/>
    <w:rsid w:val="007423E1"/>
    <w:rsid w:val="007449BF"/>
    <w:rsid w:val="007457CD"/>
    <w:rsid w:val="007463FE"/>
    <w:rsid w:val="007465B8"/>
    <w:rsid w:val="00746654"/>
    <w:rsid w:val="00746BC0"/>
    <w:rsid w:val="00747D9B"/>
    <w:rsid w:val="007508EF"/>
    <w:rsid w:val="007510B4"/>
    <w:rsid w:val="00752142"/>
    <w:rsid w:val="007523F9"/>
    <w:rsid w:val="0075357E"/>
    <w:rsid w:val="00753B29"/>
    <w:rsid w:val="00754E60"/>
    <w:rsid w:val="0075553F"/>
    <w:rsid w:val="00755C6B"/>
    <w:rsid w:val="00757356"/>
    <w:rsid w:val="007573E8"/>
    <w:rsid w:val="00757CE3"/>
    <w:rsid w:val="00760C4E"/>
    <w:rsid w:val="00760F9E"/>
    <w:rsid w:val="0076144B"/>
    <w:rsid w:val="007616E6"/>
    <w:rsid w:val="007622E2"/>
    <w:rsid w:val="007627BE"/>
    <w:rsid w:val="00762EFB"/>
    <w:rsid w:val="00764F03"/>
    <w:rsid w:val="007657C5"/>
    <w:rsid w:val="00765B1A"/>
    <w:rsid w:val="00765DC1"/>
    <w:rsid w:val="0076702F"/>
    <w:rsid w:val="007674F4"/>
    <w:rsid w:val="0077216F"/>
    <w:rsid w:val="00773E10"/>
    <w:rsid w:val="00777335"/>
    <w:rsid w:val="00777983"/>
    <w:rsid w:val="00780CF9"/>
    <w:rsid w:val="00782BBB"/>
    <w:rsid w:val="00782DBD"/>
    <w:rsid w:val="007843F2"/>
    <w:rsid w:val="007846FA"/>
    <w:rsid w:val="00784E8E"/>
    <w:rsid w:val="00785A9F"/>
    <w:rsid w:val="00786A68"/>
    <w:rsid w:val="00790927"/>
    <w:rsid w:val="007917CF"/>
    <w:rsid w:val="007925DF"/>
    <w:rsid w:val="007933CD"/>
    <w:rsid w:val="007939C4"/>
    <w:rsid w:val="00793CD0"/>
    <w:rsid w:val="00793FBA"/>
    <w:rsid w:val="0079424C"/>
    <w:rsid w:val="00794C69"/>
    <w:rsid w:val="00796A6D"/>
    <w:rsid w:val="00796FB2"/>
    <w:rsid w:val="007A08AA"/>
    <w:rsid w:val="007A0A12"/>
    <w:rsid w:val="007A132D"/>
    <w:rsid w:val="007A1345"/>
    <w:rsid w:val="007A2DDB"/>
    <w:rsid w:val="007A33BA"/>
    <w:rsid w:val="007A3DAC"/>
    <w:rsid w:val="007A5622"/>
    <w:rsid w:val="007A5E6C"/>
    <w:rsid w:val="007A6094"/>
    <w:rsid w:val="007A70BA"/>
    <w:rsid w:val="007B0C46"/>
    <w:rsid w:val="007B0D68"/>
    <w:rsid w:val="007B1B00"/>
    <w:rsid w:val="007B1F6F"/>
    <w:rsid w:val="007B251D"/>
    <w:rsid w:val="007B3036"/>
    <w:rsid w:val="007B3533"/>
    <w:rsid w:val="007B3D99"/>
    <w:rsid w:val="007B42F9"/>
    <w:rsid w:val="007B4F58"/>
    <w:rsid w:val="007B528D"/>
    <w:rsid w:val="007B5F46"/>
    <w:rsid w:val="007B63CA"/>
    <w:rsid w:val="007B6930"/>
    <w:rsid w:val="007B77D1"/>
    <w:rsid w:val="007B7985"/>
    <w:rsid w:val="007C07C7"/>
    <w:rsid w:val="007C1CD9"/>
    <w:rsid w:val="007C32EF"/>
    <w:rsid w:val="007C3568"/>
    <w:rsid w:val="007C361D"/>
    <w:rsid w:val="007C36CC"/>
    <w:rsid w:val="007C4B84"/>
    <w:rsid w:val="007C58B0"/>
    <w:rsid w:val="007C70FF"/>
    <w:rsid w:val="007C7619"/>
    <w:rsid w:val="007C7C25"/>
    <w:rsid w:val="007C7E4E"/>
    <w:rsid w:val="007D004F"/>
    <w:rsid w:val="007D035F"/>
    <w:rsid w:val="007D06B2"/>
    <w:rsid w:val="007D0B38"/>
    <w:rsid w:val="007D45A8"/>
    <w:rsid w:val="007D5440"/>
    <w:rsid w:val="007D5F18"/>
    <w:rsid w:val="007D69EB"/>
    <w:rsid w:val="007D7762"/>
    <w:rsid w:val="007E030C"/>
    <w:rsid w:val="007E0446"/>
    <w:rsid w:val="007E128F"/>
    <w:rsid w:val="007E19B4"/>
    <w:rsid w:val="007E1DDC"/>
    <w:rsid w:val="007E2A59"/>
    <w:rsid w:val="007E3DF3"/>
    <w:rsid w:val="007E4229"/>
    <w:rsid w:val="007E59EF"/>
    <w:rsid w:val="007E7CEE"/>
    <w:rsid w:val="007F1017"/>
    <w:rsid w:val="007F1D80"/>
    <w:rsid w:val="007F20F6"/>
    <w:rsid w:val="007F3B88"/>
    <w:rsid w:val="007F3BB0"/>
    <w:rsid w:val="007F42BE"/>
    <w:rsid w:val="007F42C9"/>
    <w:rsid w:val="007F4A3F"/>
    <w:rsid w:val="007F4A61"/>
    <w:rsid w:val="007F5255"/>
    <w:rsid w:val="007F56CC"/>
    <w:rsid w:val="007F61C2"/>
    <w:rsid w:val="007F70FF"/>
    <w:rsid w:val="00800159"/>
    <w:rsid w:val="008005B0"/>
    <w:rsid w:val="00803350"/>
    <w:rsid w:val="0080350E"/>
    <w:rsid w:val="00805142"/>
    <w:rsid w:val="00805FCE"/>
    <w:rsid w:val="00807A8B"/>
    <w:rsid w:val="00811383"/>
    <w:rsid w:val="00812149"/>
    <w:rsid w:val="00812CAC"/>
    <w:rsid w:val="00814344"/>
    <w:rsid w:val="00814794"/>
    <w:rsid w:val="00816361"/>
    <w:rsid w:val="008166EF"/>
    <w:rsid w:val="00816FEF"/>
    <w:rsid w:val="0081791D"/>
    <w:rsid w:val="00817E6F"/>
    <w:rsid w:val="00820A8C"/>
    <w:rsid w:val="008210A9"/>
    <w:rsid w:val="00821128"/>
    <w:rsid w:val="008215FB"/>
    <w:rsid w:val="008220CC"/>
    <w:rsid w:val="00823174"/>
    <w:rsid w:val="00824B63"/>
    <w:rsid w:val="00824EA0"/>
    <w:rsid w:val="00825751"/>
    <w:rsid w:val="00825DA6"/>
    <w:rsid w:val="008264EB"/>
    <w:rsid w:val="008268CE"/>
    <w:rsid w:val="008268E6"/>
    <w:rsid w:val="008277D3"/>
    <w:rsid w:val="00827C23"/>
    <w:rsid w:val="00827F05"/>
    <w:rsid w:val="00827F76"/>
    <w:rsid w:val="00830DCF"/>
    <w:rsid w:val="00832A9C"/>
    <w:rsid w:val="008332FF"/>
    <w:rsid w:val="00833B05"/>
    <w:rsid w:val="00833CD1"/>
    <w:rsid w:val="008362B4"/>
    <w:rsid w:val="008368A8"/>
    <w:rsid w:val="008407FA"/>
    <w:rsid w:val="00840816"/>
    <w:rsid w:val="00840CA2"/>
    <w:rsid w:val="008434ED"/>
    <w:rsid w:val="0084374F"/>
    <w:rsid w:val="00844A22"/>
    <w:rsid w:val="00844A8C"/>
    <w:rsid w:val="00845C66"/>
    <w:rsid w:val="00846E3D"/>
    <w:rsid w:val="00847703"/>
    <w:rsid w:val="00847DF5"/>
    <w:rsid w:val="00847F32"/>
    <w:rsid w:val="00850C61"/>
    <w:rsid w:val="008512C0"/>
    <w:rsid w:val="008527D3"/>
    <w:rsid w:val="00852E35"/>
    <w:rsid w:val="0085309D"/>
    <w:rsid w:val="00854742"/>
    <w:rsid w:val="008552C8"/>
    <w:rsid w:val="00856897"/>
    <w:rsid w:val="00856E9A"/>
    <w:rsid w:val="00857A67"/>
    <w:rsid w:val="0086075D"/>
    <w:rsid w:val="008607B8"/>
    <w:rsid w:val="00861324"/>
    <w:rsid w:val="00861BB0"/>
    <w:rsid w:val="008623F0"/>
    <w:rsid w:val="00862502"/>
    <w:rsid w:val="00862CC1"/>
    <w:rsid w:val="00863348"/>
    <w:rsid w:val="008642A7"/>
    <w:rsid w:val="008642E1"/>
    <w:rsid w:val="00864ACB"/>
    <w:rsid w:val="008660D4"/>
    <w:rsid w:val="008665FA"/>
    <w:rsid w:val="00867BB4"/>
    <w:rsid w:val="008703A0"/>
    <w:rsid w:val="008705FB"/>
    <w:rsid w:val="0087198B"/>
    <w:rsid w:val="00871FA9"/>
    <w:rsid w:val="008728E9"/>
    <w:rsid w:val="00874111"/>
    <w:rsid w:val="00875CA5"/>
    <w:rsid w:val="00880BCB"/>
    <w:rsid w:val="00880ECD"/>
    <w:rsid w:val="008817CF"/>
    <w:rsid w:val="0088209A"/>
    <w:rsid w:val="00882874"/>
    <w:rsid w:val="00882E3C"/>
    <w:rsid w:val="0088308A"/>
    <w:rsid w:val="008831D6"/>
    <w:rsid w:val="008835CB"/>
    <w:rsid w:val="00883787"/>
    <w:rsid w:val="008855B9"/>
    <w:rsid w:val="008855E4"/>
    <w:rsid w:val="00886CD2"/>
    <w:rsid w:val="00890764"/>
    <w:rsid w:val="00890BF9"/>
    <w:rsid w:val="00891E6F"/>
    <w:rsid w:val="00892548"/>
    <w:rsid w:val="0089275D"/>
    <w:rsid w:val="00892A36"/>
    <w:rsid w:val="00893239"/>
    <w:rsid w:val="00893342"/>
    <w:rsid w:val="00894489"/>
    <w:rsid w:val="00894CD6"/>
    <w:rsid w:val="0089533C"/>
    <w:rsid w:val="00895768"/>
    <w:rsid w:val="0089580F"/>
    <w:rsid w:val="008963A5"/>
    <w:rsid w:val="00896D5D"/>
    <w:rsid w:val="008979FE"/>
    <w:rsid w:val="008A0B31"/>
    <w:rsid w:val="008A0C65"/>
    <w:rsid w:val="008A2C95"/>
    <w:rsid w:val="008A3158"/>
    <w:rsid w:val="008A3363"/>
    <w:rsid w:val="008A3371"/>
    <w:rsid w:val="008A3571"/>
    <w:rsid w:val="008A3C3E"/>
    <w:rsid w:val="008A625E"/>
    <w:rsid w:val="008A79DE"/>
    <w:rsid w:val="008A7B26"/>
    <w:rsid w:val="008B11C4"/>
    <w:rsid w:val="008B11C5"/>
    <w:rsid w:val="008B1757"/>
    <w:rsid w:val="008B1909"/>
    <w:rsid w:val="008B1C33"/>
    <w:rsid w:val="008B1DB7"/>
    <w:rsid w:val="008B201C"/>
    <w:rsid w:val="008B4B6F"/>
    <w:rsid w:val="008B7338"/>
    <w:rsid w:val="008B7992"/>
    <w:rsid w:val="008B7D7E"/>
    <w:rsid w:val="008C2D10"/>
    <w:rsid w:val="008C4432"/>
    <w:rsid w:val="008C5610"/>
    <w:rsid w:val="008C5739"/>
    <w:rsid w:val="008C5CB4"/>
    <w:rsid w:val="008C63B5"/>
    <w:rsid w:val="008C7282"/>
    <w:rsid w:val="008C7ECB"/>
    <w:rsid w:val="008D1596"/>
    <w:rsid w:val="008D22DB"/>
    <w:rsid w:val="008D3B86"/>
    <w:rsid w:val="008D43FD"/>
    <w:rsid w:val="008D4755"/>
    <w:rsid w:val="008D4C3D"/>
    <w:rsid w:val="008D743C"/>
    <w:rsid w:val="008E0D3C"/>
    <w:rsid w:val="008E1818"/>
    <w:rsid w:val="008E1B9E"/>
    <w:rsid w:val="008E277F"/>
    <w:rsid w:val="008E2FA7"/>
    <w:rsid w:val="008E55AB"/>
    <w:rsid w:val="008F0FCF"/>
    <w:rsid w:val="008F120A"/>
    <w:rsid w:val="008F27E0"/>
    <w:rsid w:val="008F2E57"/>
    <w:rsid w:val="008F48EB"/>
    <w:rsid w:val="008F4F0B"/>
    <w:rsid w:val="008F5095"/>
    <w:rsid w:val="008F640A"/>
    <w:rsid w:val="008F69AF"/>
    <w:rsid w:val="008F7BBF"/>
    <w:rsid w:val="0090044C"/>
    <w:rsid w:val="00900C53"/>
    <w:rsid w:val="00901F55"/>
    <w:rsid w:val="00903C71"/>
    <w:rsid w:val="009046C4"/>
    <w:rsid w:val="009062A5"/>
    <w:rsid w:val="009065E8"/>
    <w:rsid w:val="009067C4"/>
    <w:rsid w:val="00906C74"/>
    <w:rsid w:val="00907699"/>
    <w:rsid w:val="00910081"/>
    <w:rsid w:val="0091099A"/>
    <w:rsid w:val="00910FA7"/>
    <w:rsid w:val="00911272"/>
    <w:rsid w:val="00911339"/>
    <w:rsid w:val="009131E5"/>
    <w:rsid w:val="009135D6"/>
    <w:rsid w:val="009138C4"/>
    <w:rsid w:val="00913923"/>
    <w:rsid w:val="00914C77"/>
    <w:rsid w:val="009154A6"/>
    <w:rsid w:val="009166D1"/>
    <w:rsid w:val="00921ACB"/>
    <w:rsid w:val="0092369B"/>
    <w:rsid w:val="00923F5E"/>
    <w:rsid w:val="00925356"/>
    <w:rsid w:val="00925E7B"/>
    <w:rsid w:val="00926F87"/>
    <w:rsid w:val="00930CC4"/>
    <w:rsid w:val="00931002"/>
    <w:rsid w:val="009334C3"/>
    <w:rsid w:val="00933605"/>
    <w:rsid w:val="00934988"/>
    <w:rsid w:val="0093636D"/>
    <w:rsid w:val="00937089"/>
    <w:rsid w:val="00937EDA"/>
    <w:rsid w:val="00943BCB"/>
    <w:rsid w:val="00944696"/>
    <w:rsid w:val="00944F8A"/>
    <w:rsid w:val="00946F4B"/>
    <w:rsid w:val="009510A2"/>
    <w:rsid w:val="009530E5"/>
    <w:rsid w:val="00953257"/>
    <w:rsid w:val="009543E6"/>
    <w:rsid w:val="00954487"/>
    <w:rsid w:val="0095474C"/>
    <w:rsid w:val="00955B3A"/>
    <w:rsid w:val="009573D2"/>
    <w:rsid w:val="00957D92"/>
    <w:rsid w:val="009612D6"/>
    <w:rsid w:val="00962CB9"/>
    <w:rsid w:val="00964312"/>
    <w:rsid w:val="00965B8A"/>
    <w:rsid w:val="009662A7"/>
    <w:rsid w:val="0097071F"/>
    <w:rsid w:val="009717AC"/>
    <w:rsid w:val="0097255D"/>
    <w:rsid w:val="00973FAF"/>
    <w:rsid w:val="00974416"/>
    <w:rsid w:val="009751C1"/>
    <w:rsid w:val="009765C5"/>
    <w:rsid w:val="00980BFE"/>
    <w:rsid w:val="009811F1"/>
    <w:rsid w:val="00982903"/>
    <w:rsid w:val="00983420"/>
    <w:rsid w:val="00983E57"/>
    <w:rsid w:val="009847B9"/>
    <w:rsid w:val="00984BA3"/>
    <w:rsid w:val="00985DE2"/>
    <w:rsid w:val="00985F78"/>
    <w:rsid w:val="0098675D"/>
    <w:rsid w:val="00987BA4"/>
    <w:rsid w:val="009926E0"/>
    <w:rsid w:val="00993C90"/>
    <w:rsid w:val="00994415"/>
    <w:rsid w:val="0099451E"/>
    <w:rsid w:val="00994F84"/>
    <w:rsid w:val="009954B5"/>
    <w:rsid w:val="00996B1A"/>
    <w:rsid w:val="009A15C5"/>
    <w:rsid w:val="009A18F6"/>
    <w:rsid w:val="009A2442"/>
    <w:rsid w:val="009A2C19"/>
    <w:rsid w:val="009A2CC2"/>
    <w:rsid w:val="009A2DCC"/>
    <w:rsid w:val="009A4E32"/>
    <w:rsid w:val="009A55D1"/>
    <w:rsid w:val="009A5ABC"/>
    <w:rsid w:val="009A74B3"/>
    <w:rsid w:val="009A7F10"/>
    <w:rsid w:val="009B29CA"/>
    <w:rsid w:val="009B3E26"/>
    <w:rsid w:val="009B6C7C"/>
    <w:rsid w:val="009B6EC5"/>
    <w:rsid w:val="009C0FEB"/>
    <w:rsid w:val="009C1271"/>
    <w:rsid w:val="009C3706"/>
    <w:rsid w:val="009C38B5"/>
    <w:rsid w:val="009C3A3A"/>
    <w:rsid w:val="009C3F6A"/>
    <w:rsid w:val="009C412E"/>
    <w:rsid w:val="009C62F0"/>
    <w:rsid w:val="009C6CEA"/>
    <w:rsid w:val="009C7B85"/>
    <w:rsid w:val="009D0254"/>
    <w:rsid w:val="009D0A03"/>
    <w:rsid w:val="009D0CC3"/>
    <w:rsid w:val="009D1A64"/>
    <w:rsid w:val="009D283B"/>
    <w:rsid w:val="009D385F"/>
    <w:rsid w:val="009D41C7"/>
    <w:rsid w:val="009D5B91"/>
    <w:rsid w:val="009D6510"/>
    <w:rsid w:val="009D66FF"/>
    <w:rsid w:val="009D792E"/>
    <w:rsid w:val="009E0A36"/>
    <w:rsid w:val="009E0DFE"/>
    <w:rsid w:val="009E1606"/>
    <w:rsid w:val="009E31F6"/>
    <w:rsid w:val="009E3927"/>
    <w:rsid w:val="009E4C07"/>
    <w:rsid w:val="009E5439"/>
    <w:rsid w:val="009E7533"/>
    <w:rsid w:val="009E777F"/>
    <w:rsid w:val="009F0758"/>
    <w:rsid w:val="009F172D"/>
    <w:rsid w:val="009F23BE"/>
    <w:rsid w:val="009F33B6"/>
    <w:rsid w:val="009F3668"/>
    <w:rsid w:val="009F4331"/>
    <w:rsid w:val="009F6120"/>
    <w:rsid w:val="00A009CF"/>
    <w:rsid w:val="00A00D76"/>
    <w:rsid w:val="00A00F49"/>
    <w:rsid w:val="00A01184"/>
    <w:rsid w:val="00A01449"/>
    <w:rsid w:val="00A03724"/>
    <w:rsid w:val="00A037C2"/>
    <w:rsid w:val="00A03AE3"/>
    <w:rsid w:val="00A03D43"/>
    <w:rsid w:val="00A04380"/>
    <w:rsid w:val="00A0467B"/>
    <w:rsid w:val="00A046C0"/>
    <w:rsid w:val="00A04786"/>
    <w:rsid w:val="00A04C4A"/>
    <w:rsid w:val="00A04C8C"/>
    <w:rsid w:val="00A05472"/>
    <w:rsid w:val="00A0552C"/>
    <w:rsid w:val="00A05C32"/>
    <w:rsid w:val="00A0646D"/>
    <w:rsid w:val="00A0653F"/>
    <w:rsid w:val="00A06801"/>
    <w:rsid w:val="00A117DC"/>
    <w:rsid w:val="00A11CD0"/>
    <w:rsid w:val="00A12044"/>
    <w:rsid w:val="00A124B8"/>
    <w:rsid w:val="00A12D1B"/>
    <w:rsid w:val="00A12D43"/>
    <w:rsid w:val="00A13336"/>
    <w:rsid w:val="00A13948"/>
    <w:rsid w:val="00A13C44"/>
    <w:rsid w:val="00A13C85"/>
    <w:rsid w:val="00A13EFA"/>
    <w:rsid w:val="00A1555B"/>
    <w:rsid w:val="00A155C5"/>
    <w:rsid w:val="00A16AD8"/>
    <w:rsid w:val="00A17D48"/>
    <w:rsid w:val="00A17DC3"/>
    <w:rsid w:val="00A200AD"/>
    <w:rsid w:val="00A2021E"/>
    <w:rsid w:val="00A210C8"/>
    <w:rsid w:val="00A21AB4"/>
    <w:rsid w:val="00A21C95"/>
    <w:rsid w:val="00A21CF3"/>
    <w:rsid w:val="00A22EC1"/>
    <w:rsid w:val="00A24813"/>
    <w:rsid w:val="00A264FD"/>
    <w:rsid w:val="00A27AEC"/>
    <w:rsid w:val="00A30243"/>
    <w:rsid w:val="00A3038F"/>
    <w:rsid w:val="00A320DB"/>
    <w:rsid w:val="00A3487D"/>
    <w:rsid w:val="00A35D16"/>
    <w:rsid w:val="00A37BCD"/>
    <w:rsid w:val="00A41657"/>
    <w:rsid w:val="00A41689"/>
    <w:rsid w:val="00A4171B"/>
    <w:rsid w:val="00A42149"/>
    <w:rsid w:val="00A42592"/>
    <w:rsid w:val="00A42A72"/>
    <w:rsid w:val="00A42F18"/>
    <w:rsid w:val="00A43C59"/>
    <w:rsid w:val="00A446DA"/>
    <w:rsid w:val="00A448D5"/>
    <w:rsid w:val="00A45DB5"/>
    <w:rsid w:val="00A5051C"/>
    <w:rsid w:val="00A50ECD"/>
    <w:rsid w:val="00A518F3"/>
    <w:rsid w:val="00A526F0"/>
    <w:rsid w:val="00A52729"/>
    <w:rsid w:val="00A52AB9"/>
    <w:rsid w:val="00A53675"/>
    <w:rsid w:val="00A5494A"/>
    <w:rsid w:val="00A551C4"/>
    <w:rsid w:val="00A564D7"/>
    <w:rsid w:val="00A56B6A"/>
    <w:rsid w:val="00A56E17"/>
    <w:rsid w:val="00A578DC"/>
    <w:rsid w:val="00A61FC1"/>
    <w:rsid w:val="00A627E9"/>
    <w:rsid w:val="00A62A73"/>
    <w:rsid w:val="00A62EE5"/>
    <w:rsid w:val="00A63084"/>
    <w:rsid w:val="00A6312E"/>
    <w:rsid w:val="00A640E2"/>
    <w:rsid w:val="00A64D65"/>
    <w:rsid w:val="00A66D85"/>
    <w:rsid w:val="00A6725B"/>
    <w:rsid w:val="00A704E4"/>
    <w:rsid w:val="00A70605"/>
    <w:rsid w:val="00A70AFF"/>
    <w:rsid w:val="00A715D1"/>
    <w:rsid w:val="00A73134"/>
    <w:rsid w:val="00A7365A"/>
    <w:rsid w:val="00A736A9"/>
    <w:rsid w:val="00A73FC0"/>
    <w:rsid w:val="00A74593"/>
    <w:rsid w:val="00A7527B"/>
    <w:rsid w:val="00A75B89"/>
    <w:rsid w:val="00A76001"/>
    <w:rsid w:val="00A76C53"/>
    <w:rsid w:val="00A77744"/>
    <w:rsid w:val="00A777B2"/>
    <w:rsid w:val="00A81D6D"/>
    <w:rsid w:val="00A825D4"/>
    <w:rsid w:val="00A828F6"/>
    <w:rsid w:val="00A82B73"/>
    <w:rsid w:val="00A82F81"/>
    <w:rsid w:val="00A85757"/>
    <w:rsid w:val="00A85816"/>
    <w:rsid w:val="00A86931"/>
    <w:rsid w:val="00A86E8B"/>
    <w:rsid w:val="00A87164"/>
    <w:rsid w:val="00A871A9"/>
    <w:rsid w:val="00A872EE"/>
    <w:rsid w:val="00A9138A"/>
    <w:rsid w:val="00A91FC8"/>
    <w:rsid w:val="00A93072"/>
    <w:rsid w:val="00A938BD"/>
    <w:rsid w:val="00A93953"/>
    <w:rsid w:val="00A9412E"/>
    <w:rsid w:val="00A9594A"/>
    <w:rsid w:val="00A959D8"/>
    <w:rsid w:val="00A95E6B"/>
    <w:rsid w:val="00A96675"/>
    <w:rsid w:val="00A970C2"/>
    <w:rsid w:val="00A9791D"/>
    <w:rsid w:val="00AA113D"/>
    <w:rsid w:val="00AA1679"/>
    <w:rsid w:val="00AA265C"/>
    <w:rsid w:val="00AA3281"/>
    <w:rsid w:val="00AA43D6"/>
    <w:rsid w:val="00AA62FD"/>
    <w:rsid w:val="00AA6BD5"/>
    <w:rsid w:val="00AA6BD8"/>
    <w:rsid w:val="00AA6C7D"/>
    <w:rsid w:val="00AA7AFE"/>
    <w:rsid w:val="00AA7FD6"/>
    <w:rsid w:val="00AB042A"/>
    <w:rsid w:val="00AB0D39"/>
    <w:rsid w:val="00AB11AD"/>
    <w:rsid w:val="00AB19EF"/>
    <w:rsid w:val="00AB2495"/>
    <w:rsid w:val="00AB28E8"/>
    <w:rsid w:val="00AB2D34"/>
    <w:rsid w:val="00AB2F3C"/>
    <w:rsid w:val="00AB3430"/>
    <w:rsid w:val="00AB37B9"/>
    <w:rsid w:val="00AB4AD1"/>
    <w:rsid w:val="00AB4BB5"/>
    <w:rsid w:val="00AB5E07"/>
    <w:rsid w:val="00AB7A19"/>
    <w:rsid w:val="00AB7CFA"/>
    <w:rsid w:val="00AC0152"/>
    <w:rsid w:val="00AC06CA"/>
    <w:rsid w:val="00AC1A76"/>
    <w:rsid w:val="00AC4BB7"/>
    <w:rsid w:val="00AC56C0"/>
    <w:rsid w:val="00AC5B42"/>
    <w:rsid w:val="00AC5B48"/>
    <w:rsid w:val="00AC6BEF"/>
    <w:rsid w:val="00AC7DB9"/>
    <w:rsid w:val="00AD1450"/>
    <w:rsid w:val="00AD15E8"/>
    <w:rsid w:val="00AD1D5B"/>
    <w:rsid w:val="00AD356D"/>
    <w:rsid w:val="00AD42E0"/>
    <w:rsid w:val="00AD6502"/>
    <w:rsid w:val="00AD694D"/>
    <w:rsid w:val="00AD6C28"/>
    <w:rsid w:val="00AD7140"/>
    <w:rsid w:val="00AD7267"/>
    <w:rsid w:val="00AD7A37"/>
    <w:rsid w:val="00AE057C"/>
    <w:rsid w:val="00AE0695"/>
    <w:rsid w:val="00AE1267"/>
    <w:rsid w:val="00AE1998"/>
    <w:rsid w:val="00AE1DC7"/>
    <w:rsid w:val="00AE1ED8"/>
    <w:rsid w:val="00AE3383"/>
    <w:rsid w:val="00AE3B2C"/>
    <w:rsid w:val="00AE3E7E"/>
    <w:rsid w:val="00AE65C8"/>
    <w:rsid w:val="00AE6650"/>
    <w:rsid w:val="00AE7E53"/>
    <w:rsid w:val="00AF1315"/>
    <w:rsid w:val="00AF15C5"/>
    <w:rsid w:val="00AF19BF"/>
    <w:rsid w:val="00AF2668"/>
    <w:rsid w:val="00AF2C20"/>
    <w:rsid w:val="00AF2DC3"/>
    <w:rsid w:val="00AF2FE4"/>
    <w:rsid w:val="00AF3FD4"/>
    <w:rsid w:val="00AF4D33"/>
    <w:rsid w:val="00B01297"/>
    <w:rsid w:val="00B02718"/>
    <w:rsid w:val="00B033E5"/>
    <w:rsid w:val="00B03A63"/>
    <w:rsid w:val="00B04118"/>
    <w:rsid w:val="00B047FC"/>
    <w:rsid w:val="00B05B23"/>
    <w:rsid w:val="00B10059"/>
    <w:rsid w:val="00B10481"/>
    <w:rsid w:val="00B1107D"/>
    <w:rsid w:val="00B126F9"/>
    <w:rsid w:val="00B129A4"/>
    <w:rsid w:val="00B139A0"/>
    <w:rsid w:val="00B16C88"/>
    <w:rsid w:val="00B201A4"/>
    <w:rsid w:val="00B201D1"/>
    <w:rsid w:val="00B213A6"/>
    <w:rsid w:val="00B22611"/>
    <w:rsid w:val="00B227F3"/>
    <w:rsid w:val="00B22C7C"/>
    <w:rsid w:val="00B235B0"/>
    <w:rsid w:val="00B247B9"/>
    <w:rsid w:val="00B24DF6"/>
    <w:rsid w:val="00B24FA6"/>
    <w:rsid w:val="00B25C83"/>
    <w:rsid w:val="00B27A61"/>
    <w:rsid w:val="00B321E1"/>
    <w:rsid w:val="00B32C6F"/>
    <w:rsid w:val="00B330F7"/>
    <w:rsid w:val="00B34AF6"/>
    <w:rsid w:val="00B34FE2"/>
    <w:rsid w:val="00B35166"/>
    <w:rsid w:val="00B3570A"/>
    <w:rsid w:val="00B357D8"/>
    <w:rsid w:val="00B35ACF"/>
    <w:rsid w:val="00B360F4"/>
    <w:rsid w:val="00B36A00"/>
    <w:rsid w:val="00B36B81"/>
    <w:rsid w:val="00B37052"/>
    <w:rsid w:val="00B3777C"/>
    <w:rsid w:val="00B3792B"/>
    <w:rsid w:val="00B37A9B"/>
    <w:rsid w:val="00B37BFC"/>
    <w:rsid w:val="00B400A5"/>
    <w:rsid w:val="00B40358"/>
    <w:rsid w:val="00B41614"/>
    <w:rsid w:val="00B427CC"/>
    <w:rsid w:val="00B42851"/>
    <w:rsid w:val="00B42BBA"/>
    <w:rsid w:val="00B42F80"/>
    <w:rsid w:val="00B435CB"/>
    <w:rsid w:val="00B465EC"/>
    <w:rsid w:val="00B467DF"/>
    <w:rsid w:val="00B505C8"/>
    <w:rsid w:val="00B50DB8"/>
    <w:rsid w:val="00B51D72"/>
    <w:rsid w:val="00B5220A"/>
    <w:rsid w:val="00B53654"/>
    <w:rsid w:val="00B5389B"/>
    <w:rsid w:val="00B53905"/>
    <w:rsid w:val="00B546DB"/>
    <w:rsid w:val="00B54B5B"/>
    <w:rsid w:val="00B5562E"/>
    <w:rsid w:val="00B55862"/>
    <w:rsid w:val="00B55D65"/>
    <w:rsid w:val="00B560A1"/>
    <w:rsid w:val="00B56305"/>
    <w:rsid w:val="00B5635D"/>
    <w:rsid w:val="00B57000"/>
    <w:rsid w:val="00B6004E"/>
    <w:rsid w:val="00B6052C"/>
    <w:rsid w:val="00B6052E"/>
    <w:rsid w:val="00B60939"/>
    <w:rsid w:val="00B60AFD"/>
    <w:rsid w:val="00B614C0"/>
    <w:rsid w:val="00B61C95"/>
    <w:rsid w:val="00B62715"/>
    <w:rsid w:val="00B62E1E"/>
    <w:rsid w:val="00B6355C"/>
    <w:rsid w:val="00B65611"/>
    <w:rsid w:val="00B676A7"/>
    <w:rsid w:val="00B705C5"/>
    <w:rsid w:val="00B70E1A"/>
    <w:rsid w:val="00B70E8E"/>
    <w:rsid w:val="00B71DBC"/>
    <w:rsid w:val="00B724B4"/>
    <w:rsid w:val="00B74289"/>
    <w:rsid w:val="00B74D8C"/>
    <w:rsid w:val="00B74F0E"/>
    <w:rsid w:val="00B76417"/>
    <w:rsid w:val="00B76B23"/>
    <w:rsid w:val="00B76C92"/>
    <w:rsid w:val="00B771BA"/>
    <w:rsid w:val="00B80A4E"/>
    <w:rsid w:val="00B80EBD"/>
    <w:rsid w:val="00B80EFD"/>
    <w:rsid w:val="00B818A4"/>
    <w:rsid w:val="00B83739"/>
    <w:rsid w:val="00B84117"/>
    <w:rsid w:val="00B84AD9"/>
    <w:rsid w:val="00B858F0"/>
    <w:rsid w:val="00B859CC"/>
    <w:rsid w:val="00B85AA2"/>
    <w:rsid w:val="00B8649C"/>
    <w:rsid w:val="00B866DD"/>
    <w:rsid w:val="00B8695D"/>
    <w:rsid w:val="00B87F0A"/>
    <w:rsid w:val="00B90543"/>
    <w:rsid w:val="00B91B76"/>
    <w:rsid w:val="00B9285D"/>
    <w:rsid w:val="00B92D0B"/>
    <w:rsid w:val="00B93A8F"/>
    <w:rsid w:val="00B94530"/>
    <w:rsid w:val="00B94945"/>
    <w:rsid w:val="00B94DD6"/>
    <w:rsid w:val="00B955FB"/>
    <w:rsid w:val="00B958ED"/>
    <w:rsid w:val="00B97554"/>
    <w:rsid w:val="00B9758D"/>
    <w:rsid w:val="00B9774F"/>
    <w:rsid w:val="00B9785D"/>
    <w:rsid w:val="00B97975"/>
    <w:rsid w:val="00BA04C5"/>
    <w:rsid w:val="00BA12A1"/>
    <w:rsid w:val="00BA289C"/>
    <w:rsid w:val="00BA322D"/>
    <w:rsid w:val="00BA3A06"/>
    <w:rsid w:val="00BA3B84"/>
    <w:rsid w:val="00BA4A6E"/>
    <w:rsid w:val="00BA4B94"/>
    <w:rsid w:val="00BA4D67"/>
    <w:rsid w:val="00BA63FA"/>
    <w:rsid w:val="00BA7511"/>
    <w:rsid w:val="00BA7831"/>
    <w:rsid w:val="00BB00B3"/>
    <w:rsid w:val="00BB0BDD"/>
    <w:rsid w:val="00BB170E"/>
    <w:rsid w:val="00BB176C"/>
    <w:rsid w:val="00BB186C"/>
    <w:rsid w:val="00BB2928"/>
    <w:rsid w:val="00BB2A73"/>
    <w:rsid w:val="00BB3253"/>
    <w:rsid w:val="00BB3A45"/>
    <w:rsid w:val="00BB4ACC"/>
    <w:rsid w:val="00BB4B3C"/>
    <w:rsid w:val="00BB52E8"/>
    <w:rsid w:val="00BB65B8"/>
    <w:rsid w:val="00BB703E"/>
    <w:rsid w:val="00BB732D"/>
    <w:rsid w:val="00BB7405"/>
    <w:rsid w:val="00BB7971"/>
    <w:rsid w:val="00BB7F2E"/>
    <w:rsid w:val="00BC0761"/>
    <w:rsid w:val="00BC0ECB"/>
    <w:rsid w:val="00BC3631"/>
    <w:rsid w:val="00BC490C"/>
    <w:rsid w:val="00BC53F8"/>
    <w:rsid w:val="00BC591F"/>
    <w:rsid w:val="00BC71BA"/>
    <w:rsid w:val="00BC75AF"/>
    <w:rsid w:val="00BC76D3"/>
    <w:rsid w:val="00BC7817"/>
    <w:rsid w:val="00BC7D6D"/>
    <w:rsid w:val="00BD0B81"/>
    <w:rsid w:val="00BD1826"/>
    <w:rsid w:val="00BD2108"/>
    <w:rsid w:val="00BD24AF"/>
    <w:rsid w:val="00BD5386"/>
    <w:rsid w:val="00BD6633"/>
    <w:rsid w:val="00BD68A3"/>
    <w:rsid w:val="00BD6938"/>
    <w:rsid w:val="00BD6CF3"/>
    <w:rsid w:val="00BD7CF1"/>
    <w:rsid w:val="00BD7F72"/>
    <w:rsid w:val="00BE0137"/>
    <w:rsid w:val="00BE0ECA"/>
    <w:rsid w:val="00BE2180"/>
    <w:rsid w:val="00BE21F2"/>
    <w:rsid w:val="00BE291F"/>
    <w:rsid w:val="00BE3F9B"/>
    <w:rsid w:val="00BE4275"/>
    <w:rsid w:val="00BE55A2"/>
    <w:rsid w:val="00BE74F2"/>
    <w:rsid w:val="00BE7F5E"/>
    <w:rsid w:val="00BF0472"/>
    <w:rsid w:val="00BF0560"/>
    <w:rsid w:val="00BF06AE"/>
    <w:rsid w:val="00BF0F95"/>
    <w:rsid w:val="00BF1E7E"/>
    <w:rsid w:val="00BF206B"/>
    <w:rsid w:val="00BF2433"/>
    <w:rsid w:val="00BF2E6B"/>
    <w:rsid w:val="00BF2E6E"/>
    <w:rsid w:val="00BF30C7"/>
    <w:rsid w:val="00BF61C9"/>
    <w:rsid w:val="00BF6400"/>
    <w:rsid w:val="00BF6C94"/>
    <w:rsid w:val="00C001DF"/>
    <w:rsid w:val="00C00424"/>
    <w:rsid w:val="00C00BB0"/>
    <w:rsid w:val="00C01F23"/>
    <w:rsid w:val="00C020CA"/>
    <w:rsid w:val="00C04418"/>
    <w:rsid w:val="00C0512B"/>
    <w:rsid w:val="00C06505"/>
    <w:rsid w:val="00C07A42"/>
    <w:rsid w:val="00C10AAD"/>
    <w:rsid w:val="00C1179F"/>
    <w:rsid w:val="00C1270B"/>
    <w:rsid w:val="00C127B9"/>
    <w:rsid w:val="00C128FA"/>
    <w:rsid w:val="00C12B75"/>
    <w:rsid w:val="00C12C14"/>
    <w:rsid w:val="00C13A96"/>
    <w:rsid w:val="00C13D36"/>
    <w:rsid w:val="00C15F04"/>
    <w:rsid w:val="00C179B3"/>
    <w:rsid w:val="00C17C3D"/>
    <w:rsid w:val="00C17E3F"/>
    <w:rsid w:val="00C200AA"/>
    <w:rsid w:val="00C21876"/>
    <w:rsid w:val="00C2195C"/>
    <w:rsid w:val="00C22D28"/>
    <w:rsid w:val="00C23526"/>
    <w:rsid w:val="00C237ED"/>
    <w:rsid w:val="00C24632"/>
    <w:rsid w:val="00C24ADA"/>
    <w:rsid w:val="00C2508C"/>
    <w:rsid w:val="00C25206"/>
    <w:rsid w:val="00C25418"/>
    <w:rsid w:val="00C25D9C"/>
    <w:rsid w:val="00C2778B"/>
    <w:rsid w:val="00C31649"/>
    <w:rsid w:val="00C3347F"/>
    <w:rsid w:val="00C33C91"/>
    <w:rsid w:val="00C34315"/>
    <w:rsid w:val="00C3434C"/>
    <w:rsid w:val="00C36033"/>
    <w:rsid w:val="00C364BD"/>
    <w:rsid w:val="00C36FF0"/>
    <w:rsid w:val="00C373B8"/>
    <w:rsid w:val="00C40385"/>
    <w:rsid w:val="00C403EF"/>
    <w:rsid w:val="00C4125D"/>
    <w:rsid w:val="00C41768"/>
    <w:rsid w:val="00C41E44"/>
    <w:rsid w:val="00C42F02"/>
    <w:rsid w:val="00C43DB4"/>
    <w:rsid w:val="00C4460B"/>
    <w:rsid w:val="00C44B75"/>
    <w:rsid w:val="00C46B76"/>
    <w:rsid w:val="00C46ECF"/>
    <w:rsid w:val="00C475AA"/>
    <w:rsid w:val="00C50C57"/>
    <w:rsid w:val="00C51B52"/>
    <w:rsid w:val="00C51BFB"/>
    <w:rsid w:val="00C51FF1"/>
    <w:rsid w:val="00C527C7"/>
    <w:rsid w:val="00C52B91"/>
    <w:rsid w:val="00C53C98"/>
    <w:rsid w:val="00C53FF3"/>
    <w:rsid w:val="00C54556"/>
    <w:rsid w:val="00C547E0"/>
    <w:rsid w:val="00C554E2"/>
    <w:rsid w:val="00C566ED"/>
    <w:rsid w:val="00C56FCF"/>
    <w:rsid w:val="00C57B6C"/>
    <w:rsid w:val="00C60668"/>
    <w:rsid w:val="00C60F5B"/>
    <w:rsid w:val="00C61A59"/>
    <w:rsid w:val="00C628A6"/>
    <w:rsid w:val="00C62913"/>
    <w:rsid w:val="00C62D74"/>
    <w:rsid w:val="00C63322"/>
    <w:rsid w:val="00C63FCD"/>
    <w:rsid w:val="00C64344"/>
    <w:rsid w:val="00C65108"/>
    <w:rsid w:val="00C65576"/>
    <w:rsid w:val="00C66165"/>
    <w:rsid w:val="00C66816"/>
    <w:rsid w:val="00C66BB6"/>
    <w:rsid w:val="00C66F9C"/>
    <w:rsid w:val="00C6734E"/>
    <w:rsid w:val="00C675F6"/>
    <w:rsid w:val="00C7060A"/>
    <w:rsid w:val="00C7151A"/>
    <w:rsid w:val="00C717E3"/>
    <w:rsid w:val="00C71F60"/>
    <w:rsid w:val="00C72241"/>
    <w:rsid w:val="00C72B3D"/>
    <w:rsid w:val="00C74DCE"/>
    <w:rsid w:val="00C750C8"/>
    <w:rsid w:val="00C7560F"/>
    <w:rsid w:val="00C80A0E"/>
    <w:rsid w:val="00C8213F"/>
    <w:rsid w:val="00C82C08"/>
    <w:rsid w:val="00C8303F"/>
    <w:rsid w:val="00C836D7"/>
    <w:rsid w:val="00C84DE0"/>
    <w:rsid w:val="00C84E00"/>
    <w:rsid w:val="00C85154"/>
    <w:rsid w:val="00C85A70"/>
    <w:rsid w:val="00C8691E"/>
    <w:rsid w:val="00C878E8"/>
    <w:rsid w:val="00C8797A"/>
    <w:rsid w:val="00C900B8"/>
    <w:rsid w:val="00C90197"/>
    <w:rsid w:val="00C901BF"/>
    <w:rsid w:val="00C906B4"/>
    <w:rsid w:val="00C90C71"/>
    <w:rsid w:val="00C91799"/>
    <w:rsid w:val="00C91CBF"/>
    <w:rsid w:val="00C91FD1"/>
    <w:rsid w:val="00C931CF"/>
    <w:rsid w:val="00C93348"/>
    <w:rsid w:val="00C938CF"/>
    <w:rsid w:val="00C93B45"/>
    <w:rsid w:val="00C94053"/>
    <w:rsid w:val="00C9624D"/>
    <w:rsid w:val="00C964B9"/>
    <w:rsid w:val="00C969DA"/>
    <w:rsid w:val="00C971FB"/>
    <w:rsid w:val="00CA17E1"/>
    <w:rsid w:val="00CA2A98"/>
    <w:rsid w:val="00CA2C77"/>
    <w:rsid w:val="00CA350C"/>
    <w:rsid w:val="00CA444F"/>
    <w:rsid w:val="00CA4BA4"/>
    <w:rsid w:val="00CA5245"/>
    <w:rsid w:val="00CA5DE7"/>
    <w:rsid w:val="00CA6974"/>
    <w:rsid w:val="00CA71F4"/>
    <w:rsid w:val="00CA7B09"/>
    <w:rsid w:val="00CB0871"/>
    <w:rsid w:val="00CB0B47"/>
    <w:rsid w:val="00CB114A"/>
    <w:rsid w:val="00CB12A5"/>
    <w:rsid w:val="00CB1CAC"/>
    <w:rsid w:val="00CB1D50"/>
    <w:rsid w:val="00CB2857"/>
    <w:rsid w:val="00CB2CDE"/>
    <w:rsid w:val="00CB2F2A"/>
    <w:rsid w:val="00CB2F5E"/>
    <w:rsid w:val="00CB53D2"/>
    <w:rsid w:val="00CB5B1A"/>
    <w:rsid w:val="00CB6B22"/>
    <w:rsid w:val="00CB7F5F"/>
    <w:rsid w:val="00CC00EC"/>
    <w:rsid w:val="00CC191A"/>
    <w:rsid w:val="00CC1B39"/>
    <w:rsid w:val="00CC1BFA"/>
    <w:rsid w:val="00CC2E9F"/>
    <w:rsid w:val="00CC35EA"/>
    <w:rsid w:val="00CC3848"/>
    <w:rsid w:val="00CC3BA1"/>
    <w:rsid w:val="00CC5497"/>
    <w:rsid w:val="00CC6D5E"/>
    <w:rsid w:val="00CD0200"/>
    <w:rsid w:val="00CD2BAF"/>
    <w:rsid w:val="00CD3F77"/>
    <w:rsid w:val="00CD4DB1"/>
    <w:rsid w:val="00CD599E"/>
    <w:rsid w:val="00CD6ADC"/>
    <w:rsid w:val="00CD7193"/>
    <w:rsid w:val="00CD72F1"/>
    <w:rsid w:val="00CE0E71"/>
    <w:rsid w:val="00CE2ED5"/>
    <w:rsid w:val="00CE38C8"/>
    <w:rsid w:val="00CE4721"/>
    <w:rsid w:val="00CE524F"/>
    <w:rsid w:val="00CE58CC"/>
    <w:rsid w:val="00CE6274"/>
    <w:rsid w:val="00CE77B6"/>
    <w:rsid w:val="00CF0C4D"/>
    <w:rsid w:val="00CF2B8D"/>
    <w:rsid w:val="00CF2D8F"/>
    <w:rsid w:val="00CF3358"/>
    <w:rsid w:val="00CF3A1B"/>
    <w:rsid w:val="00CF4465"/>
    <w:rsid w:val="00CF456B"/>
    <w:rsid w:val="00CF4B64"/>
    <w:rsid w:val="00CF58AB"/>
    <w:rsid w:val="00CF5A22"/>
    <w:rsid w:val="00D00314"/>
    <w:rsid w:val="00D00380"/>
    <w:rsid w:val="00D01C67"/>
    <w:rsid w:val="00D0262E"/>
    <w:rsid w:val="00D02FB2"/>
    <w:rsid w:val="00D03679"/>
    <w:rsid w:val="00D0421C"/>
    <w:rsid w:val="00D0474D"/>
    <w:rsid w:val="00D04BB2"/>
    <w:rsid w:val="00D0558C"/>
    <w:rsid w:val="00D05E3D"/>
    <w:rsid w:val="00D06139"/>
    <w:rsid w:val="00D06CD4"/>
    <w:rsid w:val="00D1109F"/>
    <w:rsid w:val="00D110BD"/>
    <w:rsid w:val="00D1146F"/>
    <w:rsid w:val="00D127C6"/>
    <w:rsid w:val="00D13675"/>
    <w:rsid w:val="00D141E1"/>
    <w:rsid w:val="00D143A8"/>
    <w:rsid w:val="00D14C6C"/>
    <w:rsid w:val="00D14CAA"/>
    <w:rsid w:val="00D15314"/>
    <w:rsid w:val="00D154DB"/>
    <w:rsid w:val="00D15B48"/>
    <w:rsid w:val="00D164FF"/>
    <w:rsid w:val="00D17044"/>
    <w:rsid w:val="00D17D6C"/>
    <w:rsid w:val="00D2155B"/>
    <w:rsid w:val="00D2399F"/>
    <w:rsid w:val="00D23A08"/>
    <w:rsid w:val="00D23D11"/>
    <w:rsid w:val="00D244B6"/>
    <w:rsid w:val="00D2587E"/>
    <w:rsid w:val="00D260B5"/>
    <w:rsid w:val="00D26FA1"/>
    <w:rsid w:val="00D271DA"/>
    <w:rsid w:val="00D2754D"/>
    <w:rsid w:val="00D27B27"/>
    <w:rsid w:val="00D30B7D"/>
    <w:rsid w:val="00D30D5B"/>
    <w:rsid w:val="00D324A9"/>
    <w:rsid w:val="00D33126"/>
    <w:rsid w:val="00D33782"/>
    <w:rsid w:val="00D33BE9"/>
    <w:rsid w:val="00D33F93"/>
    <w:rsid w:val="00D357FF"/>
    <w:rsid w:val="00D369E8"/>
    <w:rsid w:val="00D36A3B"/>
    <w:rsid w:val="00D424C7"/>
    <w:rsid w:val="00D42A05"/>
    <w:rsid w:val="00D431F0"/>
    <w:rsid w:val="00D43B2A"/>
    <w:rsid w:val="00D43CF1"/>
    <w:rsid w:val="00D43D83"/>
    <w:rsid w:val="00D453AA"/>
    <w:rsid w:val="00D47575"/>
    <w:rsid w:val="00D47F33"/>
    <w:rsid w:val="00D51CA6"/>
    <w:rsid w:val="00D5243B"/>
    <w:rsid w:val="00D527CE"/>
    <w:rsid w:val="00D533EC"/>
    <w:rsid w:val="00D5659E"/>
    <w:rsid w:val="00D569CA"/>
    <w:rsid w:val="00D56A95"/>
    <w:rsid w:val="00D57E29"/>
    <w:rsid w:val="00D60106"/>
    <w:rsid w:val="00D6076E"/>
    <w:rsid w:val="00D60CB1"/>
    <w:rsid w:val="00D60DC1"/>
    <w:rsid w:val="00D61A12"/>
    <w:rsid w:val="00D64055"/>
    <w:rsid w:val="00D70F16"/>
    <w:rsid w:val="00D7150B"/>
    <w:rsid w:val="00D72617"/>
    <w:rsid w:val="00D72F57"/>
    <w:rsid w:val="00D74C51"/>
    <w:rsid w:val="00D75057"/>
    <w:rsid w:val="00D7570D"/>
    <w:rsid w:val="00D76A44"/>
    <w:rsid w:val="00D803FB"/>
    <w:rsid w:val="00D815EF"/>
    <w:rsid w:val="00D81949"/>
    <w:rsid w:val="00D81F26"/>
    <w:rsid w:val="00D81FA0"/>
    <w:rsid w:val="00D82238"/>
    <w:rsid w:val="00D822E2"/>
    <w:rsid w:val="00D843F2"/>
    <w:rsid w:val="00D85099"/>
    <w:rsid w:val="00D85289"/>
    <w:rsid w:val="00D86231"/>
    <w:rsid w:val="00D86F31"/>
    <w:rsid w:val="00D90841"/>
    <w:rsid w:val="00D912AB"/>
    <w:rsid w:val="00D91923"/>
    <w:rsid w:val="00D91E0E"/>
    <w:rsid w:val="00D93753"/>
    <w:rsid w:val="00D965F8"/>
    <w:rsid w:val="00D96C3D"/>
    <w:rsid w:val="00DA0730"/>
    <w:rsid w:val="00DA19E5"/>
    <w:rsid w:val="00DA2909"/>
    <w:rsid w:val="00DA3150"/>
    <w:rsid w:val="00DA3167"/>
    <w:rsid w:val="00DA3503"/>
    <w:rsid w:val="00DA3CCD"/>
    <w:rsid w:val="00DA3DC3"/>
    <w:rsid w:val="00DA3F58"/>
    <w:rsid w:val="00DA425A"/>
    <w:rsid w:val="00DA4DC3"/>
    <w:rsid w:val="00DA75A8"/>
    <w:rsid w:val="00DA77A5"/>
    <w:rsid w:val="00DB0BA1"/>
    <w:rsid w:val="00DB0DCC"/>
    <w:rsid w:val="00DB0E36"/>
    <w:rsid w:val="00DB131B"/>
    <w:rsid w:val="00DB2785"/>
    <w:rsid w:val="00DB2C81"/>
    <w:rsid w:val="00DB3DBF"/>
    <w:rsid w:val="00DB3E31"/>
    <w:rsid w:val="00DB444E"/>
    <w:rsid w:val="00DB484F"/>
    <w:rsid w:val="00DB524D"/>
    <w:rsid w:val="00DB71D7"/>
    <w:rsid w:val="00DB784C"/>
    <w:rsid w:val="00DC03AB"/>
    <w:rsid w:val="00DC04F6"/>
    <w:rsid w:val="00DC0690"/>
    <w:rsid w:val="00DC139A"/>
    <w:rsid w:val="00DC1D65"/>
    <w:rsid w:val="00DC2C97"/>
    <w:rsid w:val="00DC36E0"/>
    <w:rsid w:val="00DC3C57"/>
    <w:rsid w:val="00DC5501"/>
    <w:rsid w:val="00DC55D7"/>
    <w:rsid w:val="00DC5DE4"/>
    <w:rsid w:val="00DC5F20"/>
    <w:rsid w:val="00DC5F89"/>
    <w:rsid w:val="00DC63D1"/>
    <w:rsid w:val="00DC7154"/>
    <w:rsid w:val="00DC7E8A"/>
    <w:rsid w:val="00DD00DE"/>
    <w:rsid w:val="00DD09BC"/>
    <w:rsid w:val="00DD0F78"/>
    <w:rsid w:val="00DD1AFE"/>
    <w:rsid w:val="00DD1F9F"/>
    <w:rsid w:val="00DD273C"/>
    <w:rsid w:val="00DD3F28"/>
    <w:rsid w:val="00DD4446"/>
    <w:rsid w:val="00DD4537"/>
    <w:rsid w:val="00DD4810"/>
    <w:rsid w:val="00DD4E15"/>
    <w:rsid w:val="00DD76FD"/>
    <w:rsid w:val="00DD7C0B"/>
    <w:rsid w:val="00DD7FD2"/>
    <w:rsid w:val="00DE00E9"/>
    <w:rsid w:val="00DE2304"/>
    <w:rsid w:val="00DE3138"/>
    <w:rsid w:val="00DE37F8"/>
    <w:rsid w:val="00DE4273"/>
    <w:rsid w:val="00DE481A"/>
    <w:rsid w:val="00DE4FCB"/>
    <w:rsid w:val="00DE5D07"/>
    <w:rsid w:val="00DE72A7"/>
    <w:rsid w:val="00DE7832"/>
    <w:rsid w:val="00DF18FC"/>
    <w:rsid w:val="00DF223D"/>
    <w:rsid w:val="00DF2C2B"/>
    <w:rsid w:val="00DF4963"/>
    <w:rsid w:val="00DF4FC6"/>
    <w:rsid w:val="00DF5D2B"/>
    <w:rsid w:val="00DF6341"/>
    <w:rsid w:val="00DF66F1"/>
    <w:rsid w:val="00DF6919"/>
    <w:rsid w:val="00DF7435"/>
    <w:rsid w:val="00E00E8E"/>
    <w:rsid w:val="00E025E2"/>
    <w:rsid w:val="00E02964"/>
    <w:rsid w:val="00E039F0"/>
    <w:rsid w:val="00E03D77"/>
    <w:rsid w:val="00E048D0"/>
    <w:rsid w:val="00E05630"/>
    <w:rsid w:val="00E06DBB"/>
    <w:rsid w:val="00E06FEB"/>
    <w:rsid w:val="00E10149"/>
    <w:rsid w:val="00E102B1"/>
    <w:rsid w:val="00E10909"/>
    <w:rsid w:val="00E11340"/>
    <w:rsid w:val="00E122A1"/>
    <w:rsid w:val="00E147AE"/>
    <w:rsid w:val="00E1558F"/>
    <w:rsid w:val="00E16372"/>
    <w:rsid w:val="00E16AD8"/>
    <w:rsid w:val="00E17FFA"/>
    <w:rsid w:val="00E208F6"/>
    <w:rsid w:val="00E20B33"/>
    <w:rsid w:val="00E20E4D"/>
    <w:rsid w:val="00E20ED6"/>
    <w:rsid w:val="00E21358"/>
    <w:rsid w:val="00E2249B"/>
    <w:rsid w:val="00E22A0D"/>
    <w:rsid w:val="00E231AB"/>
    <w:rsid w:val="00E2343C"/>
    <w:rsid w:val="00E244F6"/>
    <w:rsid w:val="00E258DB"/>
    <w:rsid w:val="00E2771E"/>
    <w:rsid w:val="00E311CE"/>
    <w:rsid w:val="00E311EF"/>
    <w:rsid w:val="00E32180"/>
    <w:rsid w:val="00E34948"/>
    <w:rsid w:val="00E35E47"/>
    <w:rsid w:val="00E3674A"/>
    <w:rsid w:val="00E368FA"/>
    <w:rsid w:val="00E36EF9"/>
    <w:rsid w:val="00E37569"/>
    <w:rsid w:val="00E401B2"/>
    <w:rsid w:val="00E41E30"/>
    <w:rsid w:val="00E42F73"/>
    <w:rsid w:val="00E43481"/>
    <w:rsid w:val="00E43D70"/>
    <w:rsid w:val="00E44C2C"/>
    <w:rsid w:val="00E466F3"/>
    <w:rsid w:val="00E46F3D"/>
    <w:rsid w:val="00E47B2C"/>
    <w:rsid w:val="00E51560"/>
    <w:rsid w:val="00E51821"/>
    <w:rsid w:val="00E51A12"/>
    <w:rsid w:val="00E51A66"/>
    <w:rsid w:val="00E51E69"/>
    <w:rsid w:val="00E533C2"/>
    <w:rsid w:val="00E53FC8"/>
    <w:rsid w:val="00E54347"/>
    <w:rsid w:val="00E55424"/>
    <w:rsid w:val="00E55915"/>
    <w:rsid w:val="00E55BB5"/>
    <w:rsid w:val="00E55CF1"/>
    <w:rsid w:val="00E6071F"/>
    <w:rsid w:val="00E611DF"/>
    <w:rsid w:val="00E63E37"/>
    <w:rsid w:val="00E63EAB"/>
    <w:rsid w:val="00E64A3A"/>
    <w:rsid w:val="00E64F0F"/>
    <w:rsid w:val="00E65E79"/>
    <w:rsid w:val="00E66BA2"/>
    <w:rsid w:val="00E6730C"/>
    <w:rsid w:val="00E67416"/>
    <w:rsid w:val="00E7046F"/>
    <w:rsid w:val="00E7101B"/>
    <w:rsid w:val="00E718B6"/>
    <w:rsid w:val="00E723BA"/>
    <w:rsid w:val="00E73581"/>
    <w:rsid w:val="00E74297"/>
    <w:rsid w:val="00E76D31"/>
    <w:rsid w:val="00E77276"/>
    <w:rsid w:val="00E8268A"/>
    <w:rsid w:val="00E83114"/>
    <w:rsid w:val="00E833F7"/>
    <w:rsid w:val="00E83BDF"/>
    <w:rsid w:val="00E844FB"/>
    <w:rsid w:val="00E86FCC"/>
    <w:rsid w:val="00E87A1D"/>
    <w:rsid w:val="00E9094A"/>
    <w:rsid w:val="00E91D35"/>
    <w:rsid w:val="00E926A5"/>
    <w:rsid w:val="00E92AA4"/>
    <w:rsid w:val="00E94202"/>
    <w:rsid w:val="00E962CC"/>
    <w:rsid w:val="00E9672D"/>
    <w:rsid w:val="00E97AC8"/>
    <w:rsid w:val="00EA0CC4"/>
    <w:rsid w:val="00EA17C3"/>
    <w:rsid w:val="00EA2CAA"/>
    <w:rsid w:val="00EA3864"/>
    <w:rsid w:val="00EA3DAF"/>
    <w:rsid w:val="00EA5484"/>
    <w:rsid w:val="00EA6585"/>
    <w:rsid w:val="00EA67C6"/>
    <w:rsid w:val="00EA6A72"/>
    <w:rsid w:val="00EA6ED0"/>
    <w:rsid w:val="00EA7F1C"/>
    <w:rsid w:val="00EB15B6"/>
    <w:rsid w:val="00EB3349"/>
    <w:rsid w:val="00EB35ED"/>
    <w:rsid w:val="00EB3D06"/>
    <w:rsid w:val="00EB4916"/>
    <w:rsid w:val="00EB5095"/>
    <w:rsid w:val="00EB50C9"/>
    <w:rsid w:val="00EB74D5"/>
    <w:rsid w:val="00EC00C9"/>
    <w:rsid w:val="00EC031A"/>
    <w:rsid w:val="00EC066B"/>
    <w:rsid w:val="00EC0DD9"/>
    <w:rsid w:val="00EC18DA"/>
    <w:rsid w:val="00EC1FD0"/>
    <w:rsid w:val="00EC2649"/>
    <w:rsid w:val="00EC31ED"/>
    <w:rsid w:val="00EC57D0"/>
    <w:rsid w:val="00EC5836"/>
    <w:rsid w:val="00EC688C"/>
    <w:rsid w:val="00EC7F99"/>
    <w:rsid w:val="00ED0894"/>
    <w:rsid w:val="00ED0D0E"/>
    <w:rsid w:val="00ED12E3"/>
    <w:rsid w:val="00ED4B04"/>
    <w:rsid w:val="00ED51C4"/>
    <w:rsid w:val="00ED57EA"/>
    <w:rsid w:val="00ED5BD4"/>
    <w:rsid w:val="00EE07D3"/>
    <w:rsid w:val="00EE10BB"/>
    <w:rsid w:val="00EE1996"/>
    <w:rsid w:val="00EE1C01"/>
    <w:rsid w:val="00EE1D7D"/>
    <w:rsid w:val="00EE21AB"/>
    <w:rsid w:val="00EE22AF"/>
    <w:rsid w:val="00EE25EE"/>
    <w:rsid w:val="00EE2A7F"/>
    <w:rsid w:val="00EE2B0F"/>
    <w:rsid w:val="00EE2E86"/>
    <w:rsid w:val="00EE46D9"/>
    <w:rsid w:val="00EE5201"/>
    <w:rsid w:val="00EE5ADA"/>
    <w:rsid w:val="00EE5ADC"/>
    <w:rsid w:val="00EE5D62"/>
    <w:rsid w:val="00EE7A5E"/>
    <w:rsid w:val="00EF0171"/>
    <w:rsid w:val="00EF1834"/>
    <w:rsid w:val="00EF1B25"/>
    <w:rsid w:val="00EF1DA0"/>
    <w:rsid w:val="00EF2205"/>
    <w:rsid w:val="00EF3323"/>
    <w:rsid w:val="00EF4747"/>
    <w:rsid w:val="00EF4BF8"/>
    <w:rsid w:val="00EF53D1"/>
    <w:rsid w:val="00EF6AE7"/>
    <w:rsid w:val="00EF7927"/>
    <w:rsid w:val="00F001F6"/>
    <w:rsid w:val="00F012C0"/>
    <w:rsid w:val="00F02235"/>
    <w:rsid w:val="00F02253"/>
    <w:rsid w:val="00F03C2E"/>
    <w:rsid w:val="00F04A66"/>
    <w:rsid w:val="00F04B4B"/>
    <w:rsid w:val="00F04D61"/>
    <w:rsid w:val="00F0516C"/>
    <w:rsid w:val="00F067A2"/>
    <w:rsid w:val="00F07B9E"/>
    <w:rsid w:val="00F10823"/>
    <w:rsid w:val="00F1111C"/>
    <w:rsid w:val="00F1116F"/>
    <w:rsid w:val="00F1263A"/>
    <w:rsid w:val="00F137BC"/>
    <w:rsid w:val="00F139C5"/>
    <w:rsid w:val="00F154D3"/>
    <w:rsid w:val="00F15985"/>
    <w:rsid w:val="00F15B77"/>
    <w:rsid w:val="00F21236"/>
    <w:rsid w:val="00F21B41"/>
    <w:rsid w:val="00F239DF"/>
    <w:rsid w:val="00F24837"/>
    <w:rsid w:val="00F2575F"/>
    <w:rsid w:val="00F27565"/>
    <w:rsid w:val="00F27F02"/>
    <w:rsid w:val="00F310D4"/>
    <w:rsid w:val="00F31283"/>
    <w:rsid w:val="00F316E6"/>
    <w:rsid w:val="00F31D5A"/>
    <w:rsid w:val="00F33975"/>
    <w:rsid w:val="00F33DE9"/>
    <w:rsid w:val="00F354D5"/>
    <w:rsid w:val="00F35E5C"/>
    <w:rsid w:val="00F35E6D"/>
    <w:rsid w:val="00F3619A"/>
    <w:rsid w:val="00F36321"/>
    <w:rsid w:val="00F36858"/>
    <w:rsid w:val="00F370C0"/>
    <w:rsid w:val="00F4050F"/>
    <w:rsid w:val="00F40AAA"/>
    <w:rsid w:val="00F40BA7"/>
    <w:rsid w:val="00F40F9D"/>
    <w:rsid w:val="00F41ACD"/>
    <w:rsid w:val="00F44DB5"/>
    <w:rsid w:val="00F452C5"/>
    <w:rsid w:val="00F454AC"/>
    <w:rsid w:val="00F46CB6"/>
    <w:rsid w:val="00F46E0D"/>
    <w:rsid w:val="00F46F0F"/>
    <w:rsid w:val="00F4756D"/>
    <w:rsid w:val="00F47DE8"/>
    <w:rsid w:val="00F524DD"/>
    <w:rsid w:val="00F52C29"/>
    <w:rsid w:val="00F53377"/>
    <w:rsid w:val="00F534B3"/>
    <w:rsid w:val="00F53C43"/>
    <w:rsid w:val="00F5419D"/>
    <w:rsid w:val="00F542C1"/>
    <w:rsid w:val="00F545B2"/>
    <w:rsid w:val="00F54704"/>
    <w:rsid w:val="00F54EAC"/>
    <w:rsid w:val="00F550E3"/>
    <w:rsid w:val="00F55AE9"/>
    <w:rsid w:val="00F55E73"/>
    <w:rsid w:val="00F55EDA"/>
    <w:rsid w:val="00F561FA"/>
    <w:rsid w:val="00F5637E"/>
    <w:rsid w:val="00F56C80"/>
    <w:rsid w:val="00F6008E"/>
    <w:rsid w:val="00F60092"/>
    <w:rsid w:val="00F61C18"/>
    <w:rsid w:val="00F630E1"/>
    <w:rsid w:val="00F63574"/>
    <w:rsid w:val="00F65F4B"/>
    <w:rsid w:val="00F67A69"/>
    <w:rsid w:val="00F70916"/>
    <w:rsid w:val="00F70BFF"/>
    <w:rsid w:val="00F70C9D"/>
    <w:rsid w:val="00F73892"/>
    <w:rsid w:val="00F73E08"/>
    <w:rsid w:val="00F74CD9"/>
    <w:rsid w:val="00F7586C"/>
    <w:rsid w:val="00F77156"/>
    <w:rsid w:val="00F80A7B"/>
    <w:rsid w:val="00F80BA1"/>
    <w:rsid w:val="00F80E5D"/>
    <w:rsid w:val="00F81E78"/>
    <w:rsid w:val="00F83916"/>
    <w:rsid w:val="00F84F0D"/>
    <w:rsid w:val="00F851CE"/>
    <w:rsid w:val="00F868FB"/>
    <w:rsid w:val="00F91219"/>
    <w:rsid w:val="00F92444"/>
    <w:rsid w:val="00F927DB"/>
    <w:rsid w:val="00F9393E"/>
    <w:rsid w:val="00F93A68"/>
    <w:rsid w:val="00F951FA"/>
    <w:rsid w:val="00F95342"/>
    <w:rsid w:val="00F95709"/>
    <w:rsid w:val="00F96B25"/>
    <w:rsid w:val="00F96FD0"/>
    <w:rsid w:val="00F97A78"/>
    <w:rsid w:val="00FA0B20"/>
    <w:rsid w:val="00FA0E49"/>
    <w:rsid w:val="00FA1535"/>
    <w:rsid w:val="00FA1D3A"/>
    <w:rsid w:val="00FA24E7"/>
    <w:rsid w:val="00FA5EE6"/>
    <w:rsid w:val="00FA7956"/>
    <w:rsid w:val="00FB0824"/>
    <w:rsid w:val="00FB1A2E"/>
    <w:rsid w:val="00FB2FCB"/>
    <w:rsid w:val="00FB3E27"/>
    <w:rsid w:val="00FB4C9C"/>
    <w:rsid w:val="00FB5258"/>
    <w:rsid w:val="00FB6B17"/>
    <w:rsid w:val="00FB7C55"/>
    <w:rsid w:val="00FC01E6"/>
    <w:rsid w:val="00FC06CF"/>
    <w:rsid w:val="00FC1074"/>
    <w:rsid w:val="00FC1884"/>
    <w:rsid w:val="00FC20A6"/>
    <w:rsid w:val="00FC371D"/>
    <w:rsid w:val="00FC51EA"/>
    <w:rsid w:val="00FC5F0B"/>
    <w:rsid w:val="00FC7BF7"/>
    <w:rsid w:val="00FD0271"/>
    <w:rsid w:val="00FD2100"/>
    <w:rsid w:val="00FD2AAC"/>
    <w:rsid w:val="00FD2BD9"/>
    <w:rsid w:val="00FD2C45"/>
    <w:rsid w:val="00FD3327"/>
    <w:rsid w:val="00FD436C"/>
    <w:rsid w:val="00FD446D"/>
    <w:rsid w:val="00FD4B63"/>
    <w:rsid w:val="00FD4E03"/>
    <w:rsid w:val="00FD4F2C"/>
    <w:rsid w:val="00FD6394"/>
    <w:rsid w:val="00FD7FAD"/>
    <w:rsid w:val="00FE0A00"/>
    <w:rsid w:val="00FE0ACF"/>
    <w:rsid w:val="00FE0E2A"/>
    <w:rsid w:val="00FE0E6C"/>
    <w:rsid w:val="00FE117E"/>
    <w:rsid w:val="00FE130A"/>
    <w:rsid w:val="00FE1CDC"/>
    <w:rsid w:val="00FE2D1C"/>
    <w:rsid w:val="00FE37E7"/>
    <w:rsid w:val="00FE37EE"/>
    <w:rsid w:val="00FE3D1A"/>
    <w:rsid w:val="00FE686E"/>
    <w:rsid w:val="00FE70C3"/>
    <w:rsid w:val="00FE7829"/>
    <w:rsid w:val="00FE78A2"/>
    <w:rsid w:val="00FF1A8B"/>
    <w:rsid w:val="00FF204B"/>
    <w:rsid w:val="00FF2895"/>
    <w:rsid w:val="00FF2AD9"/>
    <w:rsid w:val="00FF359F"/>
    <w:rsid w:val="00FF3DCF"/>
    <w:rsid w:val="00FF492C"/>
    <w:rsid w:val="00FF4A21"/>
    <w:rsid w:val="00FF5AA3"/>
    <w:rsid w:val="00FF5AD8"/>
    <w:rsid w:val="00FF5F2D"/>
    <w:rsid w:val="00FF6F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3"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1D7"/>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p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Section 3- footnotes,Summary Table,MSD Table Grid,PBAC table,HTAtableplain,new style,RTI AMCP Table,Table Grid nm,PHE Table Grid,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link w:val="TableHeadingChar"/>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link w:val="ListBulletChar"/>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8209A"/>
    <w:rPr>
      <w:color w:val="605E5C"/>
      <w:shd w:val="clear" w:color="auto" w:fill="E1DFDD"/>
    </w:rPr>
  </w:style>
  <w:style w:type="character" w:styleId="Strong">
    <w:name w:val="Strong"/>
    <w:basedOn w:val="DefaultParagraphFont"/>
    <w:uiPriority w:val="22"/>
    <w:qFormat/>
    <w:rsid w:val="0088209A"/>
    <w:rPr>
      <w:b/>
      <w:bCs/>
    </w:rPr>
  </w:style>
  <w:style w:type="character" w:customStyle="1" w:styleId="Heading3Char">
    <w:name w:val="Heading 3 Char"/>
    <w:basedOn w:val="DefaultParagraphFont"/>
    <w:link w:val="Heading3"/>
    <w:rsid w:val="00564534"/>
    <w:rPr>
      <w:rFonts w:ascii="Calibri" w:hAnsi="Calibri" w:cs="Arial"/>
      <w:sz w:val="24"/>
      <w:szCs w:val="24"/>
      <w:u w:val="single"/>
    </w:rPr>
  </w:style>
  <w:style w:type="paragraph" w:customStyle="1" w:styleId="paragraph">
    <w:name w:val="paragraph"/>
    <w:basedOn w:val="Normal"/>
    <w:rsid w:val="002E30ED"/>
    <w:pPr>
      <w:spacing w:before="100" w:beforeAutospacing="1" w:after="100" w:afterAutospacing="1"/>
      <w:jc w:val="left"/>
    </w:pPr>
    <w:rPr>
      <w:rFonts w:ascii="Times New Roman" w:hAnsi="Times New Roman" w:cs="Times New Roman"/>
    </w:rPr>
  </w:style>
  <w:style w:type="character" w:customStyle="1" w:styleId="eop">
    <w:name w:val="eop"/>
    <w:basedOn w:val="DefaultParagraphFont"/>
    <w:rsid w:val="002E30ED"/>
  </w:style>
  <w:style w:type="character" w:customStyle="1" w:styleId="normaltextrun">
    <w:name w:val="normaltextrun"/>
    <w:basedOn w:val="DefaultParagraphFont"/>
    <w:rsid w:val="00BE7F5E"/>
  </w:style>
  <w:style w:type="table" w:customStyle="1" w:styleId="Submissionstandard">
    <w:name w:val="Submission standard"/>
    <w:basedOn w:val="TableNormal"/>
    <w:uiPriority w:val="99"/>
    <w:qFormat/>
    <w:rsid w:val="00606394"/>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Berlin Sans FB Demi" w:hAnsi="Berlin Sans FB Demi"/>
        <w:b/>
        <w:sz w:val="20"/>
      </w:rPr>
      <w:tblPr/>
      <w:tcPr>
        <w:shd w:val="clear" w:color="auto" w:fill="BFBFBF" w:themeFill="background1" w:themeFillShade="BF"/>
      </w:tcPr>
    </w:tblStylePr>
  </w:style>
  <w:style w:type="paragraph" w:customStyle="1" w:styleId="TableFigureFooter">
    <w:name w:val="Table/Figure Footer"/>
    <w:basedOn w:val="Normal"/>
    <w:link w:val="TableFigureFooterChar"/>
    <w:qFormat/>
    <w:rsid w:val="00BB2928"/>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BB2928"/>
    <w:rPr>
      <w:rFonts w:ascii="Arial Narrow" w:hAnsi="Arial Narrow" w:cs="Arial"/>
      <w:snapToGrid w:val="0"/>
      <w:sz w:val="18"/>
      <w:szCs w:val="22"/>
    </w:rPr>
  </w:style>
  <w:style w:type="paragraph" w:customStyle="1" w:styleId="EndNoteBibliographyTitle">
    <w:name w:val="EndNote Bibliography Title"/>
    <w:basedOn w:val="Normal"/>
    <w:link w:val="EndNoteBibliographyTitleChar"/>
    <w:rsid w:val="007622E2"/>
    <w:pPr>
      <w:jc w:val="center"/>
    </w:pPr>
    <w:rPr>
      <w:rFonts w:cs="Calibri"/>
      <w:noProof/>
    </w:rPr>
  </w:style>
  <w:style w:type="character" w:customStyle="1" w:styleId="ListBulletChar">
    <w:name w:val="List Bullet Char"/>
    <w:basedOn w:val="DefaultParagraphFont"/>
    <w:link w:val="ListBullet"/>
    <w:rsid w:val="007622E2"/>
    <w:rPr>
      <w:rFonts w:ascii="Calibri" w:hAnsi="Calibri" w:cs="Arial"/>
      <w:sz w:val="24"/>
      <w:szCs w:val="24"/>
    </w:rPr>
  </w:style>
  <w:style w:type="character" w:customStyle="1" w:styleId="EndNoteBibliographyTitleChar">
    <w:name w:val="EndNote Bibliography Title Char"/>
    <w:basedOn w:val="ListBulletChar"/>
    <w:link w:val="EndNoteBibliographyTitle"/>
    <w:rsid w:val="007622E2"/>
    <w:rPr>
      <w:rFonts w:ascii="Calibri" w:hAnsi="Calibri" w:cs="Calibri"/>
      <w:noProof/>
      <w:sz w:val="24"/>
      <w:szCs w:val="24"/>
    </w:rPr>
  </w:style>
  <w:style w:type="paragraph" w:customStyle="1" w:styleId="EndNoteBibliography">
    <w:name w:val="EndNote Bibliography"/>
    <w:basedOn w:val="Normal"/>
    <w:link w:val="EndNoteBibliographyChar"/>
    <w:rsid w:val="007622E2"/>
    <w:rPr>
      <w:rFonts w:cs="Calibri"/>
      <w:noProof/>
    </w:rPr>
  </w:style>
  <w:style w:type="character" w:customStyle="1" w:styleId="EndNoteBibliographyChar">
    <w:name w:val="EndNote Bibliography Char"/>
    <w:basedOn w:val="ListBulletChar"/>
    <w:link w:val="EndNoteBibliography"/>
    <w:rsid w:val="007622E2"/>
    <w:rPr>
      <w:rFonts w:ascii="Calibri" w:hAnsi="Calibri" w:cs="Calibri"/>
      <w:noProof/>
      <w:sz w:val="24"/>
      <w:szCs w:val="24"/>
    </w:rPr>
  </w:style>
  <w:style w:type="character" w:customStyle="1" w:styleId="TableHeadingChar">
    <w:name w:val="TableHeading Char"/>
    <w:link w:val="TableHeading"/>
    <w:rsid w:val="008A0B31"/>
    <w:rPr>
      <w:rFonts w:ascii="Arial Narrow" w:hAnsi="Arial Narrow" w:cs="Arial Narrow"/>
      <w:b/>
      <w:bCs/>
      <w:snapToGrid w:val="0"/>
      <w:szCs w:val="24"/>
    </w:rPr>
  </w:style>
  <w:style w:type="table" w:customStyle="1" w:styleId="Eviera-2018">
    <w:name w:val="Eviera - 2018"/>
    <w:basedOn w:val="TableNormal"/>
    <w:uiPriority w:val="99"/>
    <w:qFormat/>
    <w:rsid w:val="00C60F5B"/>
    <w:pPr>
      <w:spacing w:before="40" w:after="40"/>
    </w:pPr>
    <w:rPr>
      <w:rFonts w:ascii="Calibri Light" w:eastAsia="Calibri" w:hAnsi="Calibri Light"/>
      <w:sz w:val="18"/>
      <w:lang w:val="en-US"/>
    </w:rPr>
    <w:tblPr>
      <w:tblStyleRowBandSize w:val="1"/>
      <w:tblBorders>
        <w:top w:val="single" w:sz="12" w:space="0" w:color="FFFFFF"/>
        <w:left w:val="single" w:sz="12" w:space="0" w:color="FFFFFF"/>
        <w:bottom w:val="single" w:sz="12" w:space="0" w:color="FFFFFF"/>
        <w:right w:val="single" w:sz="12" w:space="0" w:color="FFFFFF"/>
        <w:insideH w:val="single" w:sz="4" w:space="0" w:color="FFFFFF"/>
        <w:insideV w:val="single" w:sz="4" w:space="0" w:color="FFFFFF"/>
      </w:tblBorders>
    </w:tblPr>
    <w:tcPr>
      <w:shd w:val="clear" w:color="auto" w:fill="auto"/>
    </w:tcPr>
    <w:tblStylePr w:type="firstRow">
      <w:pPr>
        <w:jc w:val="center"/>
      </w:pPr>
      <w:rPr>
        <w:rFonts w:ascii="Yu Mincho Light" w:hAnsi="Yu Mincho Light"/>
        <w:b/>
        <w:color w:val="F79646"/>
        <w:sz w:val="18"/>
      </w:rPr>
      <w:tblPr/>
      <w:trPr>
        <w:tblHeader/>
      </w:trPr>
      <w:tcPr>
        <w:shd w:val="clear" w:color="auto" w:fill="FFFFFF"/>
      </w:tcPr>
    </w:tblStylePr>
    <w:tblStylePr w:type="firstCol">
      <w:pPr>
        <w:jc w:val="left"/>
      </w:pPr>
      <w:tblPr/>
      <w:tcPr>
        <w:vAlign w:val="center"/>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Yu Mincho Light" w:hAnsi="Yu Mincho Light"/>
        <w:color w:val="FFFFFF"/>
        <w:sz w:val="18"/>
      </w:rPr>
      <w:tblPr/>
      <w:tcPr>
        <w:vAlign w:val="center"/>
      </w:tcPr>
    </w:tblStylePr>
  </w:style>
  <w:style w:type="table" w:customStyle="1" w:styleId="PBACTableStyle">
    <w:name w:val="PBAC Table Style"/>
    <w:basedOn w:val="TableGrid1"/>
    <w:uiPriority w:val="99"/>
    <w:rsid w:val="00DF7435"/>
    <w:pPr>
      <w:widowControl w:val="0"/>
      <w:spacing w:before="120"/>
      <w:contextualSpacing/>
      <w:jc w:val="center"/>
    </w:pPr>
    <w:rPr>
      <w:rFonts w:ascii="Arial Narrow" w:eastAsiaTheme="minorHAnsi" w:hAnsi="Arial Narrow" w:cstheme="minorBidi"/>
      <w:color w:val="000000" w:themeColor="text1"/>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Autospacing="0" w:afterLines="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Autospacing="0" w:afterLines="0" w:afterAutospacing="0" w:line="240" w:lineRule="auto"/>
        <w:ind w:leftChars="0" w:left="0" w:rightChars="0" w:right="0"/>
        <w:contextualSpacing/>
        <w:jc w:val="left"/>
      </w:pPr>
      <w:rPr>
        <w:rFonts w:ascii="Arial Narrow" w:hAnsi="Arial Narrow"/>
        <w:sz w:val="20"/>
      </w:rPr>
    </w:tblStylePr>
    <w:tblStylePr w:type="lastCol">
      <w:pPr>
        <w:wordWrap/>
        <w:spacing w:beforeLines="0" w:beforeAutospacing="0" w:afterLines="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
    <w:name w:val="Table Grid 1"/>
    <w:basedOn w:val="TableNormal"/>
    <w:semiHidden/>
    <w:unhideWhenUsed/>
    <w:rsid w:val="00DF743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Bullet">
    <w:name w:val="Table Bullet"/>
    <w:basedOn w:val="TableText0"/>
    <w:qFormat/>
    <w:rsid w:val="00B42BBA"/>
    <w:pPr>
      <w:keepNext w:val="0"/>
      <w:numPr>
        <w:numId w:val="6"/>
      </w:numPr>
      <w:spacing w:before="40" w:after="40" w:line="276" w:lineRule="auto"/>
    </w:pPr>
    <w:rPr>
      <w:rFonts w:eastAsiaTheme="minorHAnsi" w:cs="Calibri (Body)"/>
      <w:bCs w:val="0"/>
      <w:szCs w:val="20"/>
      <w:lang w:eastAsia="en-US"/>
    </w:rPr>
  </w:style>
  <w:style w:type="paragraph" w:styleId="FootnoteText">
    <w:name w:val="footnote text"/>
    <w:basedOn w:val="Normal"/>
    <w:link w:val="FootnoteTextChar"/>
    <w:semiHidden/>
    <w:unhideWhenUsed/>
    <w:rsid w:val="00731D3E"/>
    <w:rPr>
      <w:rFonts w:eastAsia="Times New Roman"/>
      <w:sz w:val="20"/>
      <w:szCs w:val="20"/>
    </w:rPr>
  </w:style>
  <w:style w:type="character" w:customStyle="1" w:styleId="FootnoteTextChar">
    <w:name w:val="Footnote Text Char"/>
    <w:basedOn w:val="DefaultParagraphFont"/>
    <w:link w:val="FootnoteText"/>
    <w:semiHidden/>
    <w:rsid w:val="00731D3E"/>
    <w:rPr>
      <w:rFonts w:ascii="Calibri" w:eastAsia="Times New Roman" w:hAnsi="Calibri" w:cs="Arial"/>
    </w:rPr>
  </w:style>
  <w:style w:type="character" w:styleId="FootnoteReference">
    <w:name w:val="footnote reference"/>
    <w:basedOn w:val="DefaultParagraphFont"/>
    <w:unhideWhenUsed/>
    <w:rsid w:val="00731D3E"/>
    <w:rPr>
      <w:vertAlign w:val="superscript"/>
    </w:rPr>
  </w:style>
  <w:style w:type="character" w:customStyle="1" w:styleId="ui-provider">
    <w:name w:val="ui-provider"/>
    <w:basedOn w:val="DefaultParagraphFont"/>
    <w:rsid w:val="003B2982"/>
  </w:style>
  <w:style w:type="paragraph" w:customStyle="1" w:styleId="InstructionalText">
    <w:name w:val="Instructional Text"/>
    <w:basedOn w:val="Normal"/>
    <w:link w:val="InstructionalTextChar"/>
    <w:uiPriority w:val="3"/>
    <w:qFormat/>
    <w:rsid w:val="00A42149"/>
    <w:pPr>
      <w:spacing w:after="240"/>
    </w:pPr>
    <w:rPr>
      <w:rFonts w:asciiTheme="minorHAnsi" w:eastAsiaTheme="minorHAnsi" w:hAnsiTheme="minorHAnsi" w:cstheme="minorHAnsi"/>
      <w:color w:val="3366FF"/>
      <w:szCs w:val="22"/>
      <w:lang w:eastAsia="en-US"/>
    </w:rPr>
  </w:style>
  <w:style w:type="character" w:customStyle="1" w:styleId="InstructionalTextChar">
    <w:name w:val="Instructional Text Char"/>
    <w:basedOn w:val="DefaultParagraphFont"/>
    <w:link w:val="InstructionalText"/>
    <w:uiPriority w:val="3"/>
    <w:rsid w:val="00A42149"/>
    <w:rPr>
      <w:rFonts w:asciiTheme="minorHAnsi" w:eastAsiaTheme="minorHAnsi" w:hAnsiTheme="minorHAnsi" w:cstheme="minorHAnsi"/>
      <w:color w:val="3366FF"/>
      <w:sz w:val="24"/>
      <w:szCs w:val="22"/>
      <w:lang w:eastAsia="en-US"/>
    </w:rPr>
  </w:style>
  <w:style w:type="table" w:customStyle="1" w:styleId="Submissionstandard1">
    <w:name w:val="Submission standard1"/>
    <w:basedOn w:val="TableNormal"/>
    <w:uiPriority w:val="99"/>
    <w:qFormat/>
    <w:rsid w:val="00AE65C8"/>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Georgia Pro Cond Light" w:hAnsi="Georgia Pro Cond Light" w:cstheme="majorBidi"/>
        <w:b/>
        <w:sz w:val="20"/>
      </w:rPr>
      <w:tblPr/>
      <w:tcPr>
        <w:shd w:val="clear" w:color="auto" w:fill="BFBFBF" w:themeFill="background1" w:themeFillShade="BF"/>
      </w:tcPr>
    </w:tblStylePr>
  </w:style>
  <w:style w:type="paragraph" w:customStyle="1" w:styleId="NormalBeforeBullet">
    <w:name w:val="Normal Before Bullet"/>
    <w:basedOn w:val="Normal"/>
    <w:qFormat/>
    <w:rsid w:val="0017140A"/>
    <w:pPr>
      <w:keepNext/>
      <w:spacing w:line="276" w:lineRule="auto"/>
      <w:jc w:val="left"/>
    </w:pPr>
    <w:rPr>
      <w:rFonts w:asciiTheme="minorHAnsi" w:eastAsiaTheme="minorHAnsi" w:hAnsiTheme="minorHAnsi" w:cs="Calibri (Body)"/>
      <w:sz w:val="22"/>
      <w:szCs w:val="20"/>
      <w:lang w:eastAsia="en-US"/>
    </w:rPr>
  </w:style>
  <w:style w:type="character" w:customStyle="1" w:styleId="CaptionFootnoteChar">
    <w:name w:val="Caption Footnote Char"/>
    <w:basedOn w:val="DefaultParagraphFont"/>
    <w:link w:val="CaptionFootnote"/>
    <w:rsid w:val="0017140A"/>
    <w:rPr>
      <w:rFonts w:eastAsia="Times New Roman"/>
      <w:kern w:val="28"/>
      <w:sz w:val="16"/>
      <w:szCs w:val="24"/>
      <w:lang w:eastAsia="en-GB"/>
    </w:rPr>
  </w:style>
  <w:style w:type="paragraph" w:customStyle="1" w:styleId="CaptionFootnote">
    <w:name w:val="Caption Footnote"/>
    <w:basedOn w:val="Normal"/>
    <w:link w:val="CaptionFootnoteChar"/>
    <w:qFormat/>
    <w:rsid w:val="0017140A"/>
    <w:pPr>
      <w:jc w:val="left"/>
    </w:pPr>
    <w:rPr>
      <w:rFonts w:ascii="Times New Roman" w:eastAsia="Times New Roman" w:hAnsi="Times New Roman" w:cs="Times New Roman"/>
      <w:kern w:val="28"/>
      <w:sz w:val="16"/>
      <w:lang w:eastAsia="en-GB"/>
    </w:rPr>
  </w:style>
  <w:style w:type="paragraph" w:customStyle="1" w:styleId="Tablenormal0">
    <w:name w:val="Table normal"/>
    <w:basedOn w:val="Normal"/>
    <w:link w:val="TablenormalChar"/>
    <w:qFormat/>
    <w:rsid w:val="00DD76FD"/>
    <w:pPr>
      <w:widowControl w:val="0"/>
      <w:spacing w:before="40" w:after="40" w:line="259" w:lineRule="auto"/>
      <w:jc w:val="left"/>
    </w:pPr>
    <w:rPr>
      <w:rFonts w:asciiTheme="minorHAnsi" w:eastAsiaTheme="minorHAnsi" w:hAnsiTheme="minorHAnsi" w:cstheme="minorBidi"/>
      <w:sz w:val="18"/>
      <w:lang w:eastAsia="en-US"/>
    </w:rPr>
  </w:style>
  <w:style w:type="character" w:customStyle="1" w:styleId="TablenormalChar">
    <w:name w:val="Table normal Char"/>
    <w:basedOn w:val="DefaultParagraphFont"/>
    <w:link w:val="Tablenormal0"/>
    <w:rsid w:val="00DD76FD"/>
    <w:rPr>
      <w:rFonts w:asciiTheme="minorHAnsi" w:eastAsiaTheme="minorHAnsi" w:hAnsiTheme="minorHAnsi" w:cstheme="minorBidi"/>
      <w:sz w:val="18"/>
      <w:szCs w:val="24"/>
      <w:lang w:eastAsia="en-US"/>
    </w:rPr>
  </w:style>
  <w:style w:type="paragraph" w:customStyle="1" w:styleId="TableLeft">
    <w:name w:val="Table Left"/>
    <w:basedOn w:val="Normal"/>
    <w:link w:val="TableLeftChar"/>
    <w:uiPriority w:val="99"/>
    <w:qFormat/>
    <w:rsid w:val="00DD76FD"/>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DD76FD"/>
    <w:rPr>
      <w:rFonts w:ascii="Calibri" w:eastAsiaTheme="majorEastAsia" w:hAnsi="Calibri" w:cstheme="majorBidi"/>
      <w:sz w:val="18"/>
      <w:szCs w:val="22"/>
      <w:lang w:eastAsia="en-US" w:bidi="en-US"/>
    </w:rPr>
  </w:style>
  <w:style w:type="character" w:customStyle="1" w:styleId="Small">
    <w:name w:val="Small"/>
    <w:basedOn w:val="DefaultParagraphFont"/>
    <w:uiPriority w:val="4"/>
    <w:qFormat/>
    <w:rsid w:val="00DD76FD"/>
    <w:rPr>
      <w:rFonts w:ascii="Calibri" w:hAnsi="Calibri"/>
      <w:sz w:val="20"/>
    </w:rPr>
  </w:style>
  <w:style w:type="paragraph" w:customStyle="1" w:styleId="TableHeading0">
    <w:name w:val="Table Heading"/>
    <w:basedOn w:val="TableText0"/>
    <w:link w:val="TableHeadingChar0"/>
    <w:uiPriority w:val="3"/>
    <w:qFormat/>
    <w:rsid w:val="00DD76FD"/>
    <w:pPr>
      <w:keepLines/>
      <w:spacing w:before="20" w:after="20" w:line="276" w:lineRule="auto"/>
    </w:pPr>
    <w:rPr>
      <w:rFonts w:cs="Arial"/>
      <w:b/>
      <w:bCs w:val="0"/>
      <w:szCs w:val="20"/>
      <w:lang w:bidi="en-US"/>
    </w:rPr>
  </w:style>
  <w:style w:type="character" w:customStyle="1" w:styleId="TableHeadingChar0">
    <w:name w:val="Table Heading Char"/>
    <w:basedOn w:val="DefaultParagraphFont"/>
    <w:link w:val="TableHeading0"/>
    <w:uiPriority w:val="3"/>
    <w:locked/>
    <w:rsid w:val="00DD76FD"/>
    <w:rPr>
      <w:rFonts w:ascii="Arial Narrow" w:eastAsiaTheme="majorEastAsia" w:hAnsi="Arial Narrow" w:cs="Arial"/>
      <w:b/>
      <w:lang w:bidi="en-US"/>
    </w:rPr>
  </w:style>
  <w:style w:type="paragraph" w:styleId="EndnoteText">
    <w:name w:val="endnote text"/>
    <w:basedOn w:val="Normal"/>
    <w:link w:val="EndnoteTextChar"/>
    <w:semiHidden/>
    <w:unhideWhenUsed/>
    <w:rsid w:val="00DD76FD"/>
    <w:rPr>
      <w:sz w:val="20"/>
      <w:szCs w:val="20"/>
    </w:rPr>
  </w:style>
  <w:style w:type="character" w:customStyle="1" w:styleId="EndnoteTextChar">
    <w:name w:val="Endnote Text Char"/>
    <w:basedOn w:val="DefaultParagraphFont"/>
    <w:link w:val="EndnoteText"/>
    <w:semiHidden/>
    <w:rsid w:val="00DD76FD"/>
    <w:rPr>
      <w:rFonts w:ascii="Calibri" w:hAnsi="Calibri" w:cs="Arial"/>
    </w:rPr>
  </w:style>
  <w:style w:type="character" w:styleId="EndnoteReference">
    <w:name w:val="endnote reference"/>
    <w:basedOn w:val="DefaultParagraphFont"/>
    <w:semiHidden/>
    <w:unhideWhenUsed/>
    <w:rsid w:val="00DD76FD"/>
    <w:rPr>
      <w:vertAlign w:val="superscript"/>
    </w:rPr>
  </w:style>
  <w:style w:type="paragraph" w:customStyle="1" w:styleId="TableFigNoteLast">
    <w:name w:val="TableFigNote Last"/>
    <w:basedOn w:val="Normal"/>
    <w:qFormat/>
    <w:rsid w:val="00DD76FD"/>
    <w:pPr>
      <w:spacing w:after="360" w:line="276" w:lineRule="auto"/>
      <w:ind w:left="426" w:hanging="426"/>
      <w:contextualSpacing/>
      <w:jc w:val="left"/>
    </w:pPr>
    <w:rPr>
      <w:rFonts w:ascii="Arial Narrow" w:eastAsiaTheme="minorHAnsi" w:hAnsi="Arial Narrow" w:cs="Calibri (Body)"/>
      <w:sz w:val="20"/>
      <w:szCs w:val="20"/>
      <w:lang w:eastAsia="en-US"/>
    </w:rPr>
  </w:style>
  <w:style w:type="table" w:customStyle="1" w:styleId="RTIAMCPTable1">
    <w:name w:val="RTI AMCP Table1"/>
    <w:basedOn w:val="TableNormal"/>
    <w:next w:val="TableGrid"/>
    <w:uiPriority w:val="39"/>
    <w:rsid w:val="00DD76FD"/>
    <w:rPr>
      <w:rFonts w:asciiTheme="minorHAnsi" w:eastAsiaTheme="minorHAnsi" w:hAnsiTheme="minorHAnsi" w:cs="Calibri (Body)"/>
      <w:sz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RTIAMCPTable2">
    <w:name w:val="RTI AMCP Table2"/>
    <w:basedOn w:val="TableNormal"/>
    <w:next w:val="TableGrid"/>
    <w:uiPriority w:val="39"/>
    <w:rsid w:val="00DD76FD"/>
    <w:rPr>
      <w:rFonts w:asciiTheme="minorHAnsi" w:eastAsiaTheme="minorHAnsi" w:hAnsiTheme="minorHAnsi" w:cs="Calibri (Body)"/>
      <w:sz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customStyle="1" w:styleId="3-SubsectionHeading">
    <w:name w:val="3-Subsection Heading"/>
    <w:basedOn w:val="Heading2"/>
    <w:next w:val="Normal"/>
    <w:link w:val="3-SubsectionHeadingChar"/>
    <w:qFormat/>
    <w:rsid w:val="00D06CD4"/>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D06CD4"/>
    <w:rPr>
      <w:rFonts w:asciiTheme="minorHAnsi" w:eastAsiaTheme="majorEastAsia" w:hAnsiTheme="minorHAnsi" w:cstheme="majorBidi"/>
      <w:b/>
      <w:i/>
      <w:snapToGrid/>
      <w:spacing w:val="5"/>
      <w:kern w:val="28"/>
      <w:sz w:val="28"/>
      <w:szCs w:val="36"/>
      <w:lang w:eastAsia="en-US"/>
    </w:rPr>
  </w:style>
  <w:style w:type="character" w:customStyle="1" w:styleId="authors">
    <w:name w:val="authors"/>
    <w:basedOn w:val="DefaultParagraphFont"/>
    <w:rsid w:val="00F54704"/>
  </w:style>
  <w:style w:type="character" w:customStyle="1" w:styleId="Date1">
    <w:name w:val="Date1"/>
    <w:basedOn w:val="DefaultParagraphFont"/>
    <w:rsid w:val="00F54704"/>
  </w:style>
  <w:style w:type="character" w:customStyle="1" w:styleId="arttitle">
    <w:name w:val="art_title"/>
    <w:basedOn w:val="DefaultParagraphFont"/>
    <w:rsid w:val="00F54704"/>
  </w:style>
  <w:style w:type="character" w:customStyle="1" w:styleId="serialtitle">
    <w:name w:val="serial_title"/>
    <w:basedOn w:val="DefaultParagraphFont"/>
    <w:rsid w:val="00F54704"/>
  </w:style>
  <w:style w:type="character" w:customStyle="1" w:styleId="volumeissue">
    <w:name w:val="volume_issue"/>
    <w:basedOn w:val="DefaultParagraphFont"/>
    <w:rsid w:val="00F54704"/>
  </w:style>
  <w:style w:type="character" w:customStyle="1" w:styleId="pagerange">
    <w:name w:val="page_range"/>
    <w:basedOn w:val="DefaultParagraphFont"/>
    <w:rsid w:val="00F54704"/>
  </w:style>
  <w:style w:type="character" w:customStyle="1" w:styleId="doilink">
    <w:name w:val="doi_link"/>
    <w:basedOn w:val="DefaultParagraphFont"/>
    <w:rsid w:val="00F54704"/>
  </w:style>
  <w:style w:type="paragraph" w:customStyle="1" w:styleId="xxmsolistparagraph">
    <w:name w:val="x_xmsolistparagraph"/>
    <w:basedOn w:val="Normal"/>
    <w:rsid w:val="000604FB"/>
    <w:pPr>
      <w:ind w:left="720"/>
      <w:jc w:val="left"/>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045">
      <w:bodyDiv w:val="1"/>
      <w:marLeft w:val="0"/>
      <w:marRight w:val="0"/>
      <w:marTop w:val="0"/>
      <w:marBottom w:val="0"/>
      <w:divBdr>
        <w:top w:val="none" w:sz="0" w:space="0" w:color="auto"/>
        <w:left w:val="none" w:sz="0" w:space="0" w:color="auto"/>
        <w:bottom w:val="none" w:sz="0" w:space="0" w:color="auto"/>
        <w:right w:val="none" w:sz="0" w:space="0" w:color="auto"/>
      </w:divBdr>
    </w:div>
    <w:div w:id="4923625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4564878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4599989">
      <w:bodyDiv w:val="1"/>
      <w:marLeft w:val="0"/>
      <w:marRight w:val="0"/>
      <w:marTop w:val="0"/>
      <w:marBottom w:val="0"/>
      <w:divBdr>
        <w:top w:val="none" w:sz="0" w:space="0" w:color="auto"/>
        <w:left w:val="none" w:sz="0" w:space="0" w:color="auto"/>
        <w:bottom w:val="none" w:sz="0" w:space="0" w:color="auto"/>
        <w:right w:val="none" w:sz="0" w:space="0" w:color="auto"/>
      </w:divBdr>
    </w:div>
    <w:div w:id="382099678">
      <w:bodyDiv w:val="1"/>
      <w:marLeft w:val="0"/>
      <w:marRight w:val="0"/>
      <w:marTop w:val="0"/>
      <w:marBottom w:val="0"/>
      <w:divBdr>
        <w:top w:val="none" w:sz="0" w:space="0" w:color="auto"/>
        <w:left w:val="none" w:sz="0" w:space="0" w:color="auto"/>
        <w:bottom w:val="none" w:sz="0" w:space="0" w:color="auto"/>
        <w:right w:val="none" w:sz="0" w:space="0" w:color="auto"/>
      </w:divBdr>
    </w:div>
    <w:div w:id="449710831">
      <w:bodyDiv w:val="1"/>
      <w:marLeft w:val="0"/>
      <w:marRight w:val="0"/>
      <w:marTop w:val="0"/>
      <w:marBottom w:val="0"/>
      <w:divBdr>
        <w:top w:val="none" w:sz="0" w:space="0" w:color="auto"/>
        <w:left w:val="none" w:sz="0" w:space="0" w:color="auto"/>
        <w:bottom w:val="none" w:sz="0" w:space="0" w:color="auto"/>
        <w:right w:val="none" w:sz="0" w:space="0" w:color="auto"/>
      </w:divBdr>
    </w:div>
    <w:div w:id="481580182">
      <w:bodyDiv w:val="1"/>
      <w:marLeft w:val="0"/>
      <w:marRight w:val="0"/>
      <w:marTop w:val="0"/>
      <w:marBottom w:val="0"/>
      <w:divBdr>
        <w:top w:val="none" w:sz="0" w:space="0" w:color="auto"/>
        <w:left w:val="none" w:sz="0" w:space="0" w:color="auto"/>
        <w:bottom w:val="none" w:sz="0" w:space="0" w:color="auto"/>
        <w:right w:val="none" w:sz="0" w:space="0" w:color="auto"/>
      </w:divBdr>
    </w:div>
    <w:div w:id="491483216">
      <w:bodyDiv w:val="1"/>
      <w:marLeft w:val="0"/>
      <w:marRight w:val="0"/>
      <w:marTop w:val="0"/>
      <w:marBottom w:val="0"/>
      <w:divBdr>
        <w:top w:val="none" w:sz="0" w:space="0" w:color="auto"/>
        <w:left w:val="none" w:sz="0" w:space="0" w:color="auto"/>
        <w:bottom w:val="none" w:sz="0" w:space="0" w:color="auto"/>
        <w:right w:val="none" w:sz="0" w:space="0" w:color="auto"/>
      </w:divBdr>
    </w:div>
    <w:div w:id="513155057">
      <w:bodyDiv w:val="1"/>
      <w:marLeft w:val="0"/>
      <w:marRight w:val="0"/>
      <w:marTop w:val="0"/>
      <w:marBottom w:val="0"/>
      <w:divBdr>
        <w:top w:val="none" w:sz="0" w:space="0" w:color="auto"/>
        <w:left w:val="none" w:sz="0" w:space="0" w:color="auto"/>
        <w:bottom w:val="none" w:sz="0" w:space="0" w:color="auto"/>
        <w:right w:val="none" w:sz="0" w:space="0" w:color="auto"/>
      </w:divBdr>
    </w:div>
    <w:div w:id="616642255">
      <w:bodyDiv w:val="1"/>
      <w:marLeft w:val="0"/>
      <w:marRight w:val="0"/>
      <w:marTop w:val="0"/>
      <w:marBottom w:val="0"/>
      <w:divBdr>
        <w:top w:val="none" w:sz="0" w:space="0" w:color="auto"/>
        <w:left w:val="none" w:sz="0" w:space="0" w:color="auto"/>
        <w:bottom w:val="none" w:sz="0" w:space="0" w:color="auto"/>
        <w:right w:val="none" w:sz="0" w:space="0" w:color="auto"/>
      </w:divBdr>
    </w:div>
    <w:div w:id="634409750">
      <w:bodyDiv w:val="1"/>
      <w:marLeft w:val="0"/>
      <w:marRight w:val="0"/>
      <w:marTop w:val="0"/>
      <w:marBottom w:val="0"/>
      <w:divBdr>
        <w:top w:val="none" w:sz="0" w:space="0" w:color="auto"/>
        <w:left w:val="none" w:sz="0" w:space="0" w:color="auto"/>
        <w:bottom w:val="none" w:sz="0" w:space="0" w:color="auto"/>
        <w:right w:val="none" w:sz="0" w:space="0" w:color="auto"/>
      </w:divBdr>
    </w:div>
    <w:div w:id="739595300">
      <w:bodyDiv w:val="1"/>
      <w:marLeft w:val="0"/>
      <w:marRight w:val="0"/>
      <w:marTop w:val="0"/>
      <w:marBottom w:val="0"/>
      <w:divBdr>
        <w:top w:val="none" w:sz="0" w:space="0" w:color="auto"/>
        <w:left w:val="none" w:sz="0" w:space="0" w:color="auto"/>
        <w:bottom w:val="none" w:sz="0" w:space="0" w:color="auto"/>
        <w:right w:val="none" w:sz="0" w:space="0" w:color="auto"/>
      </w:divBdr>
    </w:div>
    <w:div w:id="780226235">
      <w:bodyDiv w:val="1"/>
      <w:marLeft w:val="0"/>
      <w:marRight w:val="0"/>
      <w:marTop w:val="0"/>
      <w:marBottom w:val="0"/>
      <w:divBdr>
        <w:top w:val="none" w:sz="0" w:space="0" w:color="auto"/>
        <w:left w:val="none" w:sz="0" w:space="0" w:color="auto"/>
        <w:bottom w:val="none" w:sz="0" w:space="0" w:color="auto"/>
        <w:right w:val="none" w:sz="0" w:space="0" w:color="auto"/>
      </w:divBdr>
    </w:div>
    <w:div w:id="81005469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2356706">
      <w:bodyDiv w:val="1"/>
      <w:marLeft w:val="0"/>
      <w:marRight w:val="0"/>
      <w:marTop w:val="0"/>
      <w:marBottom w:val="0"/>
      <w:divBdr>
        <w:top w:val="none" w:sz="0" w:space="0" w:color="auto"/>
        <w:left w:val="none" w:sz="0" w:space="0" w:color="auto"/>
        <w:bottom w:val="none" w:sz="0" w:space="0" w:color="auto"/>
        <w:right w:val="none" w:sz="0" w:space="0" w:color="auto"/>
      </w:divBdr>
    </w:div>
    <w:div w:id="913274071">
      <w:bodyDiv w:val="1"/>
      <w:marLeft w:val="0"/>
      <w:marRight w:val="0"/>
      <w:marTop w:val="0"/>
      <w:marBottom w:val="0"/>
      <w:divBdr>
        <w:top w:val="none" w:sz="0" w:space="0" w:color="auto"/>
        <w:left w:val="none" w:sz="0" w:space="0" w:color="auto"/>
        <w:bottom w:val="none" w:sz="0" w:space="0" w:color="auto"/>
        <w:right w:val="none" w:sz="0" w:space="0" w:color="auto"/>
      </w:divBdr>
    </w:div>
    <w:div w:id="953171538">
      <w:bodyDiv w:val="1"/>
      <w:marLeft w:val="0"/>
      <w:marRight w:val="0"/>
      <w:marTop w:val="0"/>
      <w:marBottom w:val="0"/>
      <w:divBdr>
        <w:top w:val="none" w:sz="0" w:space="0" w:color="auto"/>
        <w:left w:val="none" w:sz="0" w:space="0" w:color="auto"/>
        <w:bottom w:val="none" w:sz="0" w:space="0" w:color="auto"/>
        <w:right w:val="none" w:sz="0" w:space="0" w:color="auto"/>
      </w:divBdr>
    </w:div>
    <w:div w:id="967277615">
      <w:bodyDiv w:val="1"/>
      <w:marLeft w:val="0"/>
      <w:marRight w:val="0"/>
      <w:marTop w:val="0"/>
      <w:marBottom w:val="0"/>
      <w:divBdr>
        <w:top w:val="none" w:sz="0" w:space="0" w:color="auto"/>
        <w:left w:val="none" w:sz="0" w:space="0" w:color="auto"/>
        <w:bottom w:val="none" w:sz="0" w:space="0" w:color="auto"/>
        <w:right w:val="none" w:sz="0" w:space="0" w:color="auto"/>
      </w:divBdr>
    </w:div>
    <w:div w:id="970594245">
      <w:bodyDiv w:val="1"/>
      <w:marLeft w:val="0"/>
      <w:marRight w:val="0"/>
      <w:marTop w:val="0"/>
      <w:marBottom w:val="0"/>
      <w:divBdr>
        <w:top w:val="none" w:sz="0" w:space="0" w:color="auto"/>
        <w:left w:val="none" w:sz="0" w:space="0" w:color="auto"/>
        <w:bottom w:val="none" w:sz="0" w:space="0" w:color="auto"/>
        <w:right w:val="none" w:sz="0" w:space="0" w:color="auto"/>
      </w:divBdr>
    </w:div>
    <w:div w:id="971861070">
      <w:bodyDiv w:val="1"/>
      <w:marLeft w:val="0"/>
      <w:marRight w:val="0"/>
      <w:marTop w:val="0"/>
      <w:marBottom w:val="0"/>
      <w:divBdr>
        <w:top w:val="none" w:sz="0" w:space="0" w:color="auto"/>
        <w:left w:val="none" w:sz="0" w:space="0" w:color="auto"/>
        <w:bottom w:val="none" w:sz="0" w:space="0" w:color="auto"/>
        <w:right w:val="none" w:sz="0" w:space="0" w:color="auto"/>
      </w:divBdr>
    </w:div>
    <w:div w:id="1035740178">
      <w:bodyDiv w:val="1"/>
      <w:marLeft w:val="0"/>
      <w:marRight w:val="0"/>
      <w:marTop w:val="0"/>
      <w:marBottom w:val="0"/>
      <w:divBdr>
        <w:top w:val="none" w:sz="0" w:space="0" w:color="auto"/>
        <w:left w:val="none" w:sz="0" w:space="0" w:color="auto"/>
        <w:bottom w:val="none" w:sz="0" w:space="0" w:color="auto"/>
        <w:right w:val="none" w:sz="0" w:space="0" w:color="auto"/>
      </w:divBdr>
    </w:div>
    <w:div w:id="1085297500">
      <w:bodyDiv w:val="1"/>
      <w:marLeft w:val="0"/>
      <w:marRight w:val="0"/>
      <w:marTop w:val="0"/>
      <w:marBottom w:val="0"/>
      <w:divBdr>
        <w:top w:val="none" w:sz="0" w:space="0" w:color="auto"/>
        <w:left w:val="none" w:sz="0" w:space="0" w:color="auto"/>
        <w:bottom w:val="none" w:sz="0" w:space="0" w:color="auto"/>
        <w:right w:val="none" w:sz="0" w:space="0" w:color="auto"/>
      </w:divBdr>
    </w:div>
    <w:div w:id="116798430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4175">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6572663">
      <w:bodyDiv w:val="1"/>
      <w:marLeft w:val="0"/>
      <w:marRight w:val="0"/>
      <w:marTop w:val="0"/>
      <w:marBottom w:val="0"/>
      <w:divBdr>
        <w:top w:val="none" w:sz="0" w:space="0" w:color="auto"/>
        <w:left w:val="none" w:sz="0" w:space="0" w:color="auto"/>
        <w:bottom w:val="none" w:sz="0" w:space="0" w:color="auto"/>
        <w:right w:val="none" w:sz="0" w:space="0" w:color="auto"/>
      </w:divBdr>
    </w:div>
    <w:div w:id="1247958148">
      <w:bodyDiv w:val="1"/>
      <w:marLeft w:val="0"/>
      <w:marRight w:val="0"/>
      <w:marTop w:val="0"/>
      <w:marBottom w:val="0"/>
      <w:divBdr>
        <w:top w:val="none" w:sz="0" w:space="0" w:color="auto"/>
        <w:left w:val="none" w:sz="0" w:space="0" w:color="auto"/>
        <w:bottom w:val="none" w:sz="0" w:space="0" w:color="auto"/>
        <w:right w:val="none" w:sz="0" w:space="0" w:color="auto"/>
      </w:divBdr>
    </w:div>
    <w:div w:id="1259413350">
      <w:bodyDiv w:val="1"/>
      <w:marLeft w:val="0"/>
      <w:marRight w:val="0"/>
      <w:marTop w:val="0"/>
      <w:marBottom w:val="0"/>
      <w:divBdr>
        <w:top w:val="none" w:sz="0" w:space="0" w:color="auto"/>
        <w:left w:val="none" w:sz="0" w:space="0" w:color="auto"/>
        <w:bottom w:val="none" w:sz="0" w:space="0" w:color="auto"/>
        <w:right w:val="none" w:sz="0" w:space="0" w:color="auto"/>
      </w:divBdr>
    </w:div>
    <w:div w:id="1305236216">
      <w:bodyDiv w:val="1"/>
      <w:marLeft w:val="0"/>
      <w:marRight w:val="0"/>
      <w:marTop w:val="0"/>
      <w:marBottom w:val="0"/>
      <w:divBdr>
        <w:top w:val="none" w:sz="0" w:space="0" w:color="auto"/>
        <w:left w:val="none" w:sz="0" w:space="0" w:color="auto"/>
        <w:bottom w:val="none" w:sz="0" w:space="0" w:color="auto"/>
        <w:right w:val="none" w:sz="0" w:space="0" w:color="auto"/>
      </w:divBdr>
    </w:div>
    <w:div w:id="1324428240">
      <w:bodyDiv w:val="1"/>
      <w:marLeft w:val="0"/>
      <w:marRight w:val="0"/>
      <w:marTop w:val="0"/>
      <w:marBottom w:val="0"/>
      <w:divBdr>
        <w:top w:val="none" w:sz="0" w:space="0" w:color="auto"/>
        <w:left w:val="none" w:sz="0" w:space="0" w:color="auto"/>
        <w:bottom w:val="none" w:sz="0" w:space="0" w:color="auto"/>
        <w:right w:val="none" w:sz="0" w:space="0" w:color="auto"/>
      </w:divBdr>
    </w:div>
    <w:div w:id="1326543370">
      <w:bodyDiv w:val="1"/>
      <w:marLeft w:val="0"/>
      <w:marRight w:val="0"/>
      <w:marTop w:val="0"/>
      <w:marBottom w:val="0"/>
      <w:divBdr>
        <w:top w:val="none" w:sz="0" w:space="0" w:color="auto"/>
        <w:left w:val="none" w:sz="0" w:space="0" w:color="auto"/>
        <w:bottom w:val="none" w:sz="0" w:space="0" w:color="auto"/>
        <w:right w:val="none" w:sz="0" w:space="0" w:color="auto"/>
      </w:divBdr>
    </w:div>
    <w:div w:id="1362046490">
      <w:bodyDiv w:val="1"/>
      <w:marLeft w:val="0"/>
      <w:marRight w:val="0"/>
      <w:marTop w:val="0"/>
      <w:marBottom w:val="0"/>
      <w:divBdr>
        <w:top w:val="none" w:sz="0" w:space="0" w:color="auto"/>
        <w:left w:val="none" w:sz="0" w:space="0" w:color="auto"/>
        <w:bottom w:val="none" w:sz="0" w:space="0" w:color="auto"/>
        <w:right w:val="none" w:sz="0" w:space="0" w:color="auto"/>
      </w:divBdr>
    </w:div>
    <w:div w:id="1386637210">
      <w:bodyDiv w:val="1"/>
      <w:marLeft w:val="0"/>
      <w:marRight w:val="0"/>
      <w:marTop w:val="0"/>
      <w:marBottom w:val="0"/>
      <w:divBdr>
        <w:top w:val="none" w:sz="0" w:space="0" w:color="auto"/>
        <w:left w:val="none" w:sz="0" w:space="0" w:color="auto"/>
        <w:bottom w:val="none" w:sz="0" w:space="0" w:color="auto"/>
        <w:right w:val="none" w:sz="0" w:space="0" w:color="auto"/>
      </w:divBdr>
      <w:divsChild>
        <w:div w:id="1122844945">
          <w:marLeft w:val="0"/>
          <w:marRight w:val="0"/>
          <w:marTop w:val="0"/>
          <w:marBottom w:val="0"/>
          <w:divBdr>
            <w:top w:val="none" w:sz="0" w:space="0" w:color="auto"/>
            <w:left w:val="none" w:sz="0" w:space="0" w:color="auto"/>
            <w:bottom w:val="none" w:sz="0" w:space="0" w:color="auto"/>
            <w:right w:val="none" w:sz="0" w:space="0" w:color="auto"/>
          </w:divBdr>
        </w:div>
      </w:divsChild>
    </w:div>
    <w:div w:id="1387220777">
      <w:bodyDiv w:val="1"/>
      <w:marLeft w:val="0"/>
      <w:marRight w:val="0"/>
      <w:marTop w:val="0"/>
      <w:marBottom w:val="0"/>
      <w:divBdr>
        <w:top w:val="none" w:sz="0" w:space="0" w:color="auto"/>
        <w:left w:val="none" w:sz="0" w:space="0" w:color="auto"/>
        <w:bottom w:val="none" w:sz="0" w:space="0" w:color="auto"/>
        <w:right w:val="none" w:sz="0" w:space="0" w:color="auto"/>
      </w:divBdr>
    </w:div>
    <w:div w:id="1436560993">
      <w:bodyDiv w:val="1"/>
      <w:marLeft w:val="0"/>
      <w:marRight w:val="0"/>
      <w:marTop w:val="0"/>
      <w:marBottom w:val="0"/>
      <w:divBdr>
        <w:top w:val="none" w:sz="0" w:space="0" w:color="auto"/>
        <w:left w:val="none" w:sz="0" w:space="0" w:color="auto"/>
        <w:bottom w:val="none" w:sz="0" w:space="0" w:color="auto"/>
        <w:right w:val="none" w:sz="0" w:space="0" w:color="auto"/>
      </w:divBdr>
    </w:div>
    <w:div w:id="1519537130">
      <w:bodyDiv w:val="1"/>
      <w:marLeft w:val="0"/>
      <w:marRight w:val="0"/>
      <w:marTop w:val="0"/>
      <w:marBottom w:val="0"/>
      <w:divBdr>
        <w:top w:val="none" w:sz="0" w:space="0" w:color="auto"/>
        <w:left w:val="none" w:sz="0" w:space="0" w:color="auto"/>
        <w:bottom w:val="none" w:sz="0" w:space="0" w:color="auto"/>
        <w:right w:val="none" w:sz="0" w:space="0" w:color="auto"/>
      </w:divBdr>
    </w:div>
    <w:div w:id="1542865307">
      <w:bodyDiv w:val="1"/>
      <w:marLeft w:val="0"/>
      <w:marRight w:val="0"/>
      <w:marTop w:val="0"/>
      <w:marBottom w:val="0"/>
      <w:divBdr>
        <w:top w:val="none" w:sz="0" w:space="0" w:color="auto"/>
        <w:left w:val="none" w:sz="0" w:space="0" w:color="auto"/>
        <w:bottom w:val="none" w:sz="0" w:space="0" w:color="auto"/>
        <w:right w:val="none" w:sz="0" w:space="0" w:color="auto"/>
      </w:divBdr>
    </w:div>
    <w:div w:id="1546139143">
      <w:bodyDiv w:val="1"/>
      <w:marLeft w:val="0"/>
      <w:marRight w:val="0"/>
      <w:marTop w:val="0"/>
      <w:marBottom w:val="0"/>
      <w:divBdr>
        <w:top w:val="none" w:sz="0" w:space="0" w:color="auto"/>
        <w:left w:val="none" w:sz="0" w:space="0" w:color="auto"/>
        <w:bottom w:val="none" w:sz="0" w:space="0" w:color="auto"/>
        <w:right w:val="none" w:sz="0" w:space="0" w:color="auto"/>
      </w:divBdr>
    </w:div>
    <w:div w:id="1568412964">
      <w:bodyDiv w:val="1"/>
      <w:marLeft w:val="0"/>
      <w:marRight w:val="0"/>
      <w:marTop w:val="0"/>
      <w:marBottom w:val="0"/>
      <w:divBdr>
        <w:top w:val="none" w:sz="0" w:space="0" w:color="auto"/>
        <w:left w:val="none" w:sz="0" w:space="0" w:color="auto"/>
        <w:bottom w:val="none" w:sz="0" w:space="0" w:color="auto"/>
        <w:right w:val="none" w:sz="0" w:space="0" w:color="auto"/>
      </w:divBdr>
    </w:div>
    <w:div w:id="1580559655">
      <w:bodyDiv w:val="1"/>
      <w:marLeft w:val="0"/>
      <w:marRight w:val="0"/>
      <w:marTop w:val="0"/>
      <w:marBottom w:val="0"/>
      <w:divBdr>
        <w:top w:val="none" w:sz="0" w:space="0" w:color="auto"/>
        <w:left w:val="none" w:sz="0" w:space="0" w:color="auto"/>
        <w:bottom w:val="none" w:sz="0" w:space="0" w:color="auto"/>
        <w:right w:val="none" w:sz="0" w:space="0" w:color="auto"/>
      </w:divBdr>
    </w:div>
    <w:div w:id="1610118740">
      <w:bodyDiv w:val="1"/>
      <w:marLeft w:val="0"/>
      <w:marRight w:val="0"/>
      <w:marTop w:val="0"/>
      <w:marBottom w:val="0"/>
      <w:divBdr>
        <w:top w:val="none" w:sz="0" w:space="0" w:color="auto"/>
        <w:left w:val="none" w:sz="0" w:space="0" w:color="auto"/>
        <w:bottom w:val="none" w:sz="0" w:space="0" w:color="auto"/>
        <w:right w:val="none" w:sz="0" w:space="0" w:color="auto"/>
      </w:divBdr>
    </w:div>
    <w:div w:id="1634948236">
      <w:bodyDiv w:val="1"/>
      <w:marLeft w:val="0"/>
      <w:marRight w:val="0"/>
      <w:marTop w:val="0"/>
      <w:marBottom w:val="0"/>
      <w:divBdr>
        <w:top w:val="none" w:sz="0" w:space="0" w:color="auto"/>
        <w:left w:val="none" w:sz="0" w:space="0" w:color="auto"/>
        <w:bottom w:val="none" w:sz="0" w:space="0" w:color="auto"/>
        <w:right w:val="none" w:sz="0" w:space="0" w:color="auto"/>
      </w:divBdr>
    </w:div>
    <w:div w:id="1643924699">
      <w:bodyDiv w:val="1"/>
      <w:marLeft w:val="0"/>
      <w:marRight w:val="0"/>
      <w:marTop w:val="0"/>
      <w:marBottom w:val="0"/>
      <w:divBdr>
        <w:top w:val="none" w:sz="0" w:space="0" w:color="auto"/>
        <w:left w:val="none" w:sz="0" w:space="0" w:color="auto"/>
        <w:bottom w:val="none" w:sz="0" w:space="0" w:color="auto"/>
        <w:right w:val="none" w:sz="0" w:space="0" w:color="auto"/>
      </w:divBdr>
    </w:div>
    <w:div w:id="1799911056">
      <w:bodyDiv w:val="1"/>
      <w:marLeft w:val="0"/>
      <w:marRight w:val="0"/>
      <w:marTop w:val="0"/>
      <w:marBottom w:val="0"/>
      <w:divBdr>
        <w:top w:val="none" w:sz="0" w:space="0" w:color="auto"/>
        <w:left w:val="none" w:sz="0" w:space="0" w:color="auto"/>
        <w:bottom w:val="none" w:sz="0" w:space="0" w:color="auto"/>
        <w:right w:val="none" w:sz="0" w:space="0" w:color="auto"/>
      </w:divBdr>
    </w:div>
    <w:div w:id="1821848560">
      <w:bodyDiv w:val="1"/>
      <w:marLeft w:val="0"/>
      <w:marRight w:val="0"/>
      <w:marTop w:val="0"/>
      <w:marBottom w:val="0"/>
      <w:divBdr>
        <w:top w:val="none" w:sz="0" w:space="0" w:color="auto"/>
        <w:left w:val="none" w:sz="0" w:space="0" w:color="auto"/>
        <w:bottom w:val="none" w:sz="0" w:space="0" w:color="auto"/>
        <w:right w:val="none" w:sz="0" w:space="0" w:color="auto"/>
      </w:divBdr>
    </w:div>
    <w:div w:id="1839610053">
      <w:bodyDiv w:val="1"/>
      <w:marLeft w:val="0"/>
      <w:marRight w:val="0"/>
      <w:marTop w:val="0"/>
      <w:marBottom w:val="0"/>
      <w:divBdr>
        <w:top w:val="none" w:sz="0" w:space="0" w:color="auto"/>
        <w:left w:val="none" w:sz="0" w:space="0" w:color="auto"/>
        <w:bottom w:val="none" w:sz="0" w:space="0" w:color="auto"/>
        <w:right w:val="none" w:sz="0" w:space="0" w:color="auto"/>
      </w:divBdr>
    </w:div>
    <w:div w:id="1872835841">
      <w:bodyDiv w:val="1"/>
      <w:marLeft w:val="0"/>
      <w:marRight w:val="0"/>
      <w:marTop w:val="0"/>
      <w:marBottom w:val="0"/>
      <w:divBdr>
        <w:top w:val="none" w:sz="0" w:space="0" w:color="auto"/>
        <w:left w:val="none" w:sz="0" w:space="0" w:color="auto"/>
        <w:bottom w:val="none" w:sz="0" w:space="0" w:color="auto"/>
        <w:right w:val="none" w:sz="0" w:space="0" w:color="auto"/>
      </w:divBdr>
    </w:div>
    <w:div w:id="193254824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5283674">
      <w:bodyDiv w:val="1"/>
      <w:marLeft w:val="0"/>
      <w:marRight w:val="0"/>
      <w:marTop w:val="0"/>
      <w:marBottom w:val="0"/>
      <w:divBdr>
        <w:top w:val="none" w:sz="0" w:space="0" w:color="auto"/>
        <w:left w:val="none" w:sz="0" w:space="0" w:color="auto"/>
        <w:bottom w:val="none" w:sz="0" w:space="0" w:color="auto"/>
        <w:right w:val="none" w:sz="0" w:space="0" w:color="auto"/>
      </w:divBdr>
    </w:div>
    <w:div w:id="1967807069">
      <w:bodyDiv w:val="1"/>
      <w:marLeft w:val="0"/>
      <w:marRight w:val="0"/>
      <w:marTop w:val="0"/>
      <w:marBottom w:val="0"/>
      <w:divBdr>
        <w:top w:val="none" w:sz="0" w:space="0" w:color="auto"/>
        <w:left w:val="none" w:sz="0" w:space="0" w:color="auto"/>
        <w:bottom w:val="none" w:sz="0" w:space="0" w:color="auto"/>
        <w:right w:val="none" w:sz="0" w:space="0" w:color="auto"/>
      </w:divBdr>
      <w:divsChild>
        <w:div w:id="805590649">
          <w:marLeft w:val="0"/>
          <w:marRight w:val="0"/>
          <w:marTop w:val="0"/>
          <w:marBottom w:val="0"/>
          <w:divBdr>
            <w:top w:val="none" w:sz="0" w:space="0" w:color="auto"/>
            <w:left w:val="none" w:sz="0" w:space="0" w:color="auto"/>
            <w:bottom w:val="none" w:sz="0" w:space="0" w:color="auto"/>
            <w:right w:val="none" w:sz="0" w:space="0" w:color="auto"/>
          </w:divBdr>
        </w:div>
      </w:divsChild>
    </w:div>
    <w:div w:id="1984696909">
      <w:bodyDiv w:val="1"/>
      <w:marLeft w:val="0"/>
      <w:marRight w:val="0"/>
      <w:marTop w:val="0"/>
      <w:marBottom w:val="0"/>
      <w:divBdr>
        <w:top w:val="none" w:sz="0" w:space="0" w:color="auto"/>
        <w:left w:val="none" w:sz="0" w:space="0" w:color="auto"/>
        <w:bottom w:val="none" w:sz="0" w:space="0" w:color="auto"/>
        <w:right w:val="none" w:sz="0" w:space="0" w:color="auto"/>
      </w:divBdr>
    </w:div>
    <w:div w:id="2000425573">
      <w:bodyDiv w:val="1"/>
      <w:marLeft w:val="0"/>
      <w:marRight w:val="0"/>
      <w:marTop w:val="0"/>
      <w:marBottom w:val="0"/>
      <w:divBdr>
        <w:top w:val="none" w:sz="0" w:space="0" w:color="auto"/>
        <w:left w:val="none" w:sz="0" w:space="0" w:color="auto"/>
        <w:bottom w:val="none" w:sz="0" w:space="0" w:color="auto"/>
        <w:right w:val="none" w:sz="0" w:space="0" w:color="auto"/>
      </w:divBdr>
    </w:div>
    <w:div w:id="2027635034">
      <w:bodyDiv w:val="1"/>
      <w:marLeft w:val="0"/>
      <w:marRight w:val="0"/>
      <w:marTop w:val="0"/>
      <w:marBottom w:val="0"/>
      <w:divBdr>
        <w:top w:val="none" w:sz="0" w:space="0" w:color="auto"/>
        <w:left w:val="none" w:sz="0" w:space="0" w:color="auto"/>
        <w:bottom w:val="none" w:sz="0" w:space="0" w:color="auto"/>
        <w:right w:val="none" w:sz="0" w:space="0" w:color="auto"/>
      </w:divBdr>
    </w:div>
    <w:div w:id="2083336127">
      <w:bodyDiv w:val="1"/>
      <w:marLeft w:val="0"/>
      <w:marRight w:val="0"/>
      <w:marTop w:val="0"/>
      <w:marBottom w:val="0"/>
      <w:divBdr>
        <w:top w:val="none" w:sz="0" w:space="0" w:color="auto"/>
        <w:left w:val="none" w:sz="0" w:space="0" w:color="auto"/>
        <w:bottom w:val="none" w:sz="0" w:space="0" w:color="auto"/>
        <w:right w:val="none" w:sz="0" w:space="0" w:color="auto"/>
      </w:divBdr>
    </w:div>
    <w:div w:id="21294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2147/PGPM.S108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AB6D-EA74-42C0-9F99-8F1A10668878}">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41</Pages>
  <Words>15982</Words>
  <Characters>85276</Characters>
  <Application>Microsoft Office Word</Application>
  <DocSecurity>0</DocSecurity>
  <Lines>710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2023-11-01T00:11:00Z</dcterms:created>
  <dcterms:modified xsi:type="dcterms:W3CDTF">2023-11-06T22:23:00Z</dcterms:modified>
</cp:coreProperties>
</file>