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46D7" w14:textId="174DF7CC" w:rsidR="00826AEE" w:rsidRPr="00B779A9" w:rsidRDefault="00B77258" w:rsidP="007E1C14">
      <w:pPr>
        <w:pStyle w:val="1-MainHeading"/>
        <w:spacing w:before="0" w:after="0"/>
        <w:ind w:left="851" w:hanging="851"/>
        <w:rPr>
          <w:sz w:val="32"/>
          <w:szCs w:val="32"/>
        </w:rPr>
      </w:pPr>
      <w:bookmarkStart w:id="0" w:name="_Toc135036622"/>
      <w:r>
        <w:rPr>
          <w:color w:val="000000"/>
        </w:rPr>
        <w:t>6.07</w:t>
      </w:r>
      <w:r w:rsidR="00163F66">
        <w:tab/>
      </w:r>
      <w:r w:rsidR="004D002E">
        <w:t>SECUKINUMAB</w:t>
      </w:r>
      <w:r w:rsidR="00C458F6">
        <w:t xml:space="preserve">, </w:t>
      </w:r>
      <w:r w:rsidR="00C458F6">
        <w:br/>
      </w:r>
      <w:r w:rsidR="00826AEE" w:rsidRPr="00B779A9">
        <w:rPr>
          <w:sz w:val="32"/>
          <w:szCs w:val="32"/>
        </w:rPr>
        <w:t>Solution for injection 300 mg in 2 mL pre-filled syringe</w:t>
      </w:r>
      <w:r w:rsidR="00900E83">
        <w:rPr>
          <w:sz w:val="32"/>
          <w:szCs w:val="32"/>
        </w:rPr>
        <w:t>,</w:t>
      </w:r>
      <w:r w:rsidR="00C458F6">
        <w:rPr>
          <w:sz w:val="32"/>
          <w:szCs w:val="32"/>
        </w:rPr>
        <w:t xml:space="preserve"> </w:t>
      </w:r>
      <w:r w:rsidR="00C458F6">
        <w:rPr>
          <w:sz w:val="32"/>
          <w:szCs w:val="32"/>
        </w:rPr>
        <w:br/>
      </w:r>
      <w:r w:rsidR="00826AEE" w:rsidRPr="00B779A9">
        <w:rPr>
          <w:sz w:val="32"/>
          <w:szCs w:val="32"/>
        </w:rPr>
        <w:t>Solution for injection 150 mg in 1 mL pre-filled syringe</w:t>
      </w:r>
      <w:r w:rsidR="00900E83">
        <w:rPr>
          <w:sz w:val="32"/>
          <w:szCs w:val="32"/>
        </w:rPr>
        <w:t>,</w:t>
      </w:r>
      <w:r w:rsidR="00C458F6">
        <w:rPr>
          <w:sz w:val="32"/>
          <w:szCs w:val="32"/>
        </w:rPr>
        <w:t xml:space="preserve"> </w:t>
      </w:r>
      <w:r w:rsidR="00C458F6">
        <w:rPr>
          <w:sz w:val="32"/>
          <w:szCs w:val="32"/>
        </w:rPr>
        <w:br/>
      </w:r>
      <w:r w:rsidR="00826AEE" w:rsidRPr="00B779A9">
        <w:rPr>
          <w:sz w:val="32"/>
          <w:szCs w:val="32"/>
        </w:rPr>
        <w:t>Solution for injection 150 mg in 1 mL pre-filled pen</w:t>
      </w:r>
      <w:r w:rsidR="00900E83">
        <w:rPr>
          <w:sz w:val="32"/>
          <w:szCs w:val="32"/>
        </w:rPr>
        <w:t>,</w:t>
      </w:r>
      <w:r w:rsidR="00826AEE" w:rsidRPr="00B779A9">
        <w:rPr>
          <w:sz w:val="32"/>
          <w:szCs w:val="32"/>
        </w:rPr>
        <w:t xml:space="preserve"> </w:t>
      </w:r>
      <w:r w:rsidR="00C458F6">
        <w:rPr>
          <w:sz w:val="32"/>
          <w:szCs w:val="32"/>
        </w:rPr>
        <w:br/>
      </w:r>
      <w:r w:rsidR="00826AEE" w:rsidRPr="00B779A9">
        <w:rPr>
          <w:sz w:val="32"/>
          <w:szCs w:val="32"/>
        </w:rPr>
        <w:t>Solution for injection 300 mg in 2 mL pre-filled pen</w:t>
      </w:r>
      <w:r w:rsidR="00900E83">
        <w:rPr>
          <w:sz w:val="32"/>
          <w:szCs w:val="32"/>
        </w:rPr>
        <w:t>,</w:t>
      </w:r>
      <w:r w:rsidR="00C458F6">
        <w:rPr>
          <w:sz w:val="32"/>
          <w:szCs w:val="32"/>
        </w:rPr>
        <w:t xml:space="preserve"> </w:t>
      </w:r>
      <w:r w:rsidR="00C458F6">
        <w:rPr>
          <w:sz w:val="32"/>
          <w:szCs w:val="32"/>
        </w:rPr>
        <w:br/>
      </w:r>
      <w:r w:rsidR="00826AEE" w:rsidRPr="00B779A9">
        <w:rPr>
          <w:sz w:val="32"/>
          <w:szCs w:val="32"/>
        </w:rPr>
        <w:t>Cosentyx®</w:t>
      </w:r>
      <w:r w:rsidR="00900E83">
        <w:rPr>
          <w:sz w:val="32"/>
          <w:szCs w:val="32"/>
        </w:rPr>
        <w:t>,</w:t>
      </w:r>
      <w:r w:rsidR="00C458F6">
        <w:rPr>
          <w:sz w:val="32"/>
          <w:szCs w:val="32"/>
        </w:rPr>
        <w:br/>
      </w:r>
      <w:r w:rsidR="00826AEE" w:rsidRPr="00B779A9">
        <w:rPr>
          <w:sz w:val="32"/>
          <w:szCs w:val="32"/>
        </w:rPr>
        <w:t>NOVARTIS PHARMACEUTICALS AUSTRALIA PTY LIMITED</w:t>
      </w:r>
      <w:bookmarkEnd w:id="0"/>
    </w:p>
    <w:p w14:paraId="11C00795" w14:textId="2AAA6CF8" w:rsidR="00B50DB8" w:rsidRPr="00407F2D" w:rsidRDefault="00B50DB8" w:rsidP="003D1CBD">
      <w:pPr>
        <w:pStyle w:val="2-SectionHeading"/>
      </w:pPr>
      <w:bookmarkStart w:id="1" w:name="_Toc135036625"/>
      <w:r w:rsidRPr="00407F2D">
        <w:t xml:space="preserve">Purpose of </w:t>
      </w:r>
      <w:r w:rsidR="00CD7193">
        <w:t>s</w:t>
      </w:r>
      <w:r w:rsidR="00BB3A45">
        <w:t>ubmission</w:t>
      </w:r>
      <w:bookmarkEnd w:id="1"/>
    </w:p>
    <w:p w14:paraId="19414AA1" w14:textId="0F3AFCD6" w:rsidR="002C2775" w:rsidRPr="008B1757" w:rsidRDefault="007170DA" w:rsidP="007E1C14">
      <w:pPr>
        <w:pStyle w:val="3-BodyText"/>
      </w:pPr>
      <w:r>
        <w:t xml:space="preserve">The </w:t>
      </w:r>
      <w:r w:rsidR="00F73E08">
        <w:t xml:space="preserve">Category </w:t>
      </w:r>
      <w:r w:rsidR="00681F14">
        <w:t>2</w:t>
      </w:r>
      <w:r w:rsidR="00DE6F97">
        <w:t xml:space="preserve"> </w:t>
      </w:r>
      <w:r>
        <w:t xml:space="preserve">submission </w:t>
      </w:r>
      <w:r w:rsidRPr="004E18E9">
        <w:t xml:space="preserve">requested </w:t>
      </w:r>
      <w:r w:rsidR="004A6F8B">
        <w:t xml:space="preserve">a </w:t>
      </w:r>
      <w:r w:rsidR="00FF45C7">
        <w:t>General Schedule</w:t>
      </w:r>
      <w:r w:rsidR="004A6F8B">
        <w:t>, Authority Required</w:t>
      </w:r>
      <w:r w:rsidR="008B1757" w:rsidRPr="004E18E9">
        <w:t xml:space="preserve"> listi</w:t>
      </w:r>
      <w:r w:rsidR="008B1757" w:rsidRPr="002B68E2">
        <w:t xml:space="preserve">ng for </w:t>
      </w:r>
      <w:r w:rsidR="00BF0BA9" w:rsidRPr="002B68E2">
        <w:t>secukinumab</w:t>
      </w:r>
      <w:r w:rsidR="008B1757" w:rsidRPr="002B68E2">
        <w:t xml:space="preserve"> for </w:t>
      </w:r>
      <w:r w:rsidR="0050174E" w:rsidRPr="002B68E2">
        <w:t xml:space="preserve">the </w:t>
      </w:r>
      <w:r w:rsidR="008B1757" w:rsidRPr="002B68E2">
        <w:t xml:space="preserve">treatment of </w:t>
      </w:r>
      <w:r w:rsidR="00BF0BA9" w:rsidRPr="002B68E2">
        <w:t>moderate to severe hidradenitis suppurativa</w:t>
      </w:r>
      <w:r w:rsidR="002B68E2" w:rsidRPr="002B68E2">
        <w:t xml:space="preserve"> (HS)</w:t>
      </w:r>
      <w:r w:rsidR="008B1757" w:rsidRPr="002B68E2">
        <w:t>.</w:t>
      </w:r>
    </w:p>
    <w:p w14:paraId="4E9FBCB5" w14:textId="445610DA" w:rsidR="00C2778B" w:rsidRPr="001C0C7D" w:rsidRDefault="008843BC" w:rsidP="007E1C14">
      <w:pPr>
        <w:pStyle w:val="3-BodyText"/>
      </w:pPr>
      <w:r>
        <w:t xml:space="preserve">The basis for the submission was a claim of </w:t>
      </w:r>
      <w:r w:rsidR="00094DBF">
        <w:t>non-inferior</w:t>
      </w:r>
      <w:r w:rsidR="00FF45C7">
        <w:t xml:space="preserve"> comparative effectiveness and safety versus </w:t>
      </w:r>
      <w:r w:rsidR="005762D0">
        <w:t>adalimumab</w:t>
      </w:r>
      <w:r w:rsidR="00F32888">
        <w:t xml:space="preserve">, </w:t>
      </w:r>
      <w:r w:rsidR="00F32888" w:rsidRPr="00714C38">
        <w:t>supported by an indirect treatment comparison (ITC) using placebo as the common comparator</w:t>
      </w:r>
      <w:r w:rsidR="007D61B1">
        <w:t>. The submission presented</w:t>
      </w:r>
      <w:r w:rsidR="005750C5" w:rsidRPr="005750C5">
        <w:t xml:space="preserve"> a cost-minimisation</w:t>
      </w:r>
      <w:r w:rsidR="001D71F4">
        <w:t xml:space="preserve"> </w:t>
      </w:r>
      <w:r w:rsidR="00010195">
        <w:t>approach</w:t>
      </w:r>
      <w:r w:rsidR="0006393B">
        <w:t xml:space="preserve"> (CMA)</w:t>
      </w:r>
      <w:r w:rsidR="00010195">
        <w:t xml:space="preserve"> </w:t>
      </w:r>
      <w:r w:rsidR="00FF45C7">
        <w:t xml:space="preserve">to </w:t>
      </w:r>
      <w:r w:rsidR="005762D0">
        <w:t>adalimumab</w:t>
      </w:r>
      <w:r w:rsidR="00B10AC9">
        <w:t xml:space="preserve">. </w:t>
      </w:r>
      <w:r w:rsidR="001C0C7D" w:rsidRPr="001C0C7D">
        <w:t>The key components of the clinical issue addressed by the submission are presented in Table 1.</w:t>
      </w:r>
    </w:p>
    <w:p w14:paraId="3718DE61" w14:textId="687E862E" w:rsidR="008B1757" w:rsidRPr="004A6040" w:rsidRDefault="00696EF9" w:rsidP="004A6040">
      <w:pPr>
        <w:pStyle w:val="TableFigureHeading"/>
        <w:rPr>
          <w:rStyle w:val="CommentReference"/>
          <w:b/>
          <w:szCs w:val="24"/>
        </w:rPr>
      </w:pPr>
      <w:r>
        <w:t xml:space="preserve">Table </w:t>
      </w:r>
      <w:r>
        <w:fldChar w:fldCharType="begin" w:fldLock="1"/>
      </w:r>
      <w:r>
        <w:instrText>SEQ Table \* ARABIC</w:instrText>
      </w:r>
      <w:r>
        <w:fldChar w:fldCharType="separate"/>
      </w:r>
      <w:r w:rsidR="000F75DF">
        <w:rPr>
          <w:noProof/>
        </w:rPr>
        <w:t>1</w:t>
      </w:r>
      <w:r>
        <w:fldChar w:fldCharType="end"/>
      </w:r>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261"/>
      </w:tblGrid>
      <w:tr w:rsidR="008B1757" w:rsidRPr="00691913" w14:paraId="569F5103" w14:textId="77777777" w:rsidTr="002857DE">
        <w:trPr>
          <w:cantSplit/>
          <w:tblHeader/>
        </w:trPr>
        <w:tc>
          <w:tcPr>
            <w:tcW w:w="933" w:type="pct"/>
            <w:shd w:val="clear" w:color="auto" w:fill="auto"/>
          </w:tcPr>
          <w:p w14:paraId="501803FB" w14:textId="77777777" w:rsidR="008B1757" w:rsidRPr="008B1757" w:rsidRDefault="008B1757" w:rsidP="004A6040">
            <w:pPr>
              <w:pStyle w:val="In-tableHeading"/>
              <w:rPr>
                <w:szCs w:val="20"/>
              </w:rPr>
            </w:pPr>
            <w:r w:rsidRPr="008B1757">
              <w:t>Component</w:t>
            </w:r>
          </w:p>
        </w:tc>
        <w:tc>
          <w:tcPr>
            <w:tcW w:w="4067" w:type="pct"/>
            <w:shd w:val="clear" w:color="auto" w:fill="auto"/>
          </w:tcPr>
          <w:p w14:paraId="445D9EBB" w14:textId="77777777" w:rsidR="008B1757" w:rsidRPr="008B1757" w:rsidRDefault="008B1757" w:rsidP="004A6040">
            <w:pPr>
              <w:pStyle w:val="In-tableHeading"/>
            </w:pPr>
            <w:r w:rsidRPr="008B1757">
              <w:t>Description</w:t>
            </w:r>
          </w:p>
        </w:tc>
      </w:tr>
      <w:tr w:rsidR="00920224" w:rsidRPr="00691913" w14:paraId="2EB546E2" w14:textId="77777777" w:rsidTr="002857DE">
        <w:trPr>
          <w:cantSplit/>
        </w:trPr>
        <w:tc>
          <w:tcPr>
            <w:tcW w:w="933" w:type="pct"/>
            <w:shd w:val="clear" w:color="auto" w:fill="auto"/>
          </w:tcPr>
          <w:p w14:paraId="38F3BB34" w14:textId="7EEFE217" w:rsidR="00920224" w:rsidRPr="00691913" w:rsidRDefault="00920224" w:rsidP="00920224">
            <w:pPr>
              <w:pStyle w:val="TableText0"/>
            </w:pPr>
            <w:r w:rsidRPr="00AE2667">
              <w:t>Population</w:t>
            </w:r>
          </w:p>
        </w:tc>
        <w:tc>
          <w:tcPr>
            <w:tcW w:w="4067" w:type="pct"/>
            <w:shd w:val="clear" w:color="auto" w:fill="auto"/>
          </w:tcPr>
          <w:p w14:paraId="79618EEE" w14:textId="25C5D561" w:rsidR="00920224" w:rsidRPr="001E1E86" w:rsidRDefault="00920224" w:rsidP="00920224">
            <w:pPr>
              <w:pStyle w:val="TableText0"/>
            </w:pPr>
            <w:r w:rsidRPr="00AE2667">
              <w:t xml:space="preserve">Patients with moderate to severe </w:t>
            </w:r>
            <w:r w:rsidR="0040079A">
              <w:t>hidradenitis</w:t>
            </w:r>
            <w:r w:rsidRPr="00AE2667">
              <w:t xml:space="preserve"> suppurativa</w:t>
            </w:r>
          </w:p>
        </w:tc>
      </w:tr>
      <w:tr w:rsidR="00920224" w:rsidRPr="00691913" w14:paraId="0CA523AF" w14:textId="77777777" w:rsidTr="002857DE">
        <w:trPr>
          <w:cantSplit/>
        </w:trPr>
        <w:tc>
          <w:tcPr>
            <w:tcW w:w="933" w:type="pct"/>
            <w:shd w:val="clear" w:color="auto" w:fill="auto"/>
          </w:tcPr>
          <w:p w14:paraId="7B6D20D8" w14:textId="7261C997" w:rsidR="00920224" w:rsidRPr="00691913" w:rsidRDefault="00920224" w:rsidP="00920224">
            <w:pPr>
              <w:pStyle w:val="TableText0"/>
            </w:pPr>
            <w:r w:rsidRPr="00AE2667">
              <w:t>Intervention</w:t>
            </w:r>
          </w:p>
        </w:tc>
        <w:tc>
          <w:tcPr>
            <w:tcW w:w="4067" w:type="pct"/>
            <w:shd w:val="clear" w:color="auto" w:fill="auto"/>
          </w:tcPr>
          <w:p w14:paraId="2491E905" w14:textId="34D144B3" w:rsidR="00920224" w:rsidRPr="00691913" w:rsidRDefault="00920224" w:rsidP="00920224">
            <w:pPr>
              <w:pStyle w:val="TableText0"/>
            </w:pPr>
            <w:r w:rsidRPr="00AE2667">
              <w:t>Secukinumab (300</w:t>
            </w:r>
            <w:r w:rsidR="00325DC6">
              <w:t xml:space="preserve"> </w:t>
            </w:r>
            <w:r w:rsidRPr="00AE2667">
              <w:t>mg at week 0,1,2,3 and 4 followed by 30</w:t>
            </w:r>
            <w:r w:rsidR="00325DC6">
              <w:t>0 mg</w:t>
            </w:r>
            <w:r w:rsidRPr="00AE2667">
              <w:t xml:space="preserve"> every 4 weeks). </w:t>
            </w:r>
          </w:p>
        </w:tc>
      </w:tr>
      <w:tr w:rsidR="00920224" w:rsidRPr="00691913" w14:paraId="0F81EBE4" w14:textId="77777777" w:rsidTr="002857DE">
        <w:trPr>
          <w:cantSplit/>
        </w:trPr>
        <w:tc>
          <w:tcPr>
            <w:tcW w:w="933" w:type="pct"/>
            <w:shd w:val="clear" w:color="auto" w:fill="auto"/>
          </w:tcPr>
          <w:p w14:paraId="3656B343" w14:textId="4109719C" w:rsidR="00920224" w:rsidRPr="00691913" w:rsidRDefault="00920224" w:rsidP="00920224">
            <w:pPr>
              <w:pStyle w:val="TableText0"/>
            </w:pPr>
            <w:r w:rsidRPr="00AE2667">
              <w:t>Comparator</w:t>
            </w:r>
          </w:p>
        </w:tc>
        <w:tc>
          <w:tcPr>
            <w:tcW w:w="4067" w:type="pct"/>
            <w:shd w:val="clear" w:color="auto" w:fill="auto"/>
          </w:tcPr>
          <w:p w14:paraId="3727DE24" w14:textId="10B8C9C7" w:rsidR="00920224" w:rsidRPr="00691913" w:rsidRDefault="005762D0" w:rsidP="00920224">
            <w:pPr>
              <w:pStyle w:val="TableText0"/>
            </w:pPr>
            <w:r>
              <w:t>Adalimumab</w:t>
            </w:r>
            <w:r w:rsidR="00920224" w:rsidRPr="00AE2667">
              <w:t xml:space="preserve"> (160</w:t>
            </w:r>
            <w:r w:rsidR="00325DC6">
              <w:t xml:space="preserve"> </w:t>
            </w:r>
            <w:r w:rsidR="00920224" w:rsidRPr="00AE2667">
              <w:t>mg at day 1, 8</w:t>
            </w:r>
            <w:r w:rsidR="00325DC6">
              <w:t>0 mg</w:t>
            </w:r>
            <w:r w:rsidR="00920224" w:rsidRPr="00AE2667">
              <w:t xml:space="preserve"> at day 15, followed by 4</w:t>
            </w:r>
            <w:r w:rsidR="00325DC6">
              <w:t>0 mg</w:t>
            </w:r>
            <w:r w:rsidR="00920224" w:rsidRPr="00AE2667">
              <w:t xml:space="preserve"> every week/80</w:t>
            </w:r>
            <w:r w:rsidR="00325DC6">
              <w:t xml:space="preserve"> </w:t>
            </w:r>
            <w:r w:rsidR="00920224" w:rsidRPr="00AE2667">
              <w:t>mg fortnightly from day 29).</w:t>
            </w:r>
          </w:p>
        </w:tc>
      </w:tr>
      <w:tr w:rsidR="00920224" w:rsidRPr="00691913" w14:paraId="02F86F0D" w14:textId="77777777" w:rsidTr="002857DE">
        <w:trPr>
          <w:cantSplit/>
        </w:trPr>
        <w:tc>
          <w:tcPr>
            <w:tcW w:w="933" w:type="pct"/>
            <w:shd w:val="clear" w:color="auto" w:fill="auto"/>
          </w:tcPr>
          <w:p w14:paraId="06433105" w14:textId="517FADC9" w:rsidR="00920224" w:rsidRPr="00691913" w:rsidRDefault="00920224" w:rsidP="00920224">
            <w:pPr>
              <w:pStyle w:val="TableText0"/>
            </w:pPr>
            <w:r w:rsidRPr="00AE2667">
              <w:t>Outcomes</w:t>
            </w:r>
          </w:p>
        </w:tc>
        <w:tc>
          <w:tcPr>
            <w:tcW w:w="4067" w:type="pct"/>
            <w:shd w:val="clear" w:color="auto" w:fill="auto"/>
          </w:tcPr>
          <w:p w14:paraId="5ABC4037" w14:textId="2AC1DDD4" w:rsidR="00920224" w:rsidRPr="001E1E86" w:rsidRDefault="00920224" w:rsidP="00920224">
            <w:pPr>
              <w:pStyle w:val="TableText0"/>
              <w:rPr>
                <w:rFonts w:eastAsia="Times New Roman" w:cs="Arial"/>
                <w:snapToGrid w:val="0"/>
                <w:color w:val="0066FF"/>
              </w:rPr>
            </w:pPr>
            <w:r w:rsidRPr="00AE2667">
              <w:t xml:space="preserve">Clinical response: proportion of patients meeting </w:t>
            </w:r>
            <w:r w:rsidR="0040079A">
              <w:t>hidradenitis</w:t>
            </w:r>
            <w:r w:rsidRPr="00AE2667">
              <w:t xml:space="preserve"> suppurativa response criteria (HiSCR50); change in safety and tolerability.</w:t>
            </w:r>
          </w:p>
        </w:tc>
      </w:tr>
      <w:tr w:rsidR="00920224" w:rsidRPr="00691913" w14:paraId="22223890" w14:textId="77777777" w:rsidTr="002857DE">
        <w:trPr>
          <w:cantSplit/>
        </w:trPr>
        <w:tc>
          <w:tcPr>
            <w:tcW w:w="933" w:type="pct"/>
            <w:shd w:val="clear" w:color="auto" w:fill="auto"/>
          </w:tcPr>
          <w:p w14:paraId="0FC8FCE0" w14:textId="107B4789" w:rsidR="00920224" w:rsidRPr="00691913" w:rsidRDefault="00920224" w:rsidP="00920224">
            <w:pPr>
              <w:pStyle w:val="TableText0"/>
            </w:pPr>
            <w:r w:rsidRPr="00AE2667">
              <w:t>Clinical claim</w:t>
            </w:r>
          </w:p>
        </w:tc>
        <w:tc>
          <w:tcPr>
            <w:tcW w:w="4067" w:type="pct"/>
            <w:shd w:val="clear" w:color="auto" w:fill="auto"/>
          </w:tcPr>
          <w:p w14:paraId="2C99C4DE" w14:textId="25E00BB1" w:rsidR="00920224" w:rsidRPr="001E1E86" w:rsidRDefault="00920224" w:rsidP="00920224">
            <w:pPr>
              <w:pStyle w:val="TableText0"/>
              <w:rPr>
                <w:rFonts w:eastAsia="Times New Roman" w:cs="Arial"/>
                <w:snapToGrid w:val="0"/>
                <w:color w:val="0066FF"/>
              </w:rPr>
            </w:pPr>
            <w:r w:rsidRPr="00AE2667">
              <w:t xml:space="preserve">In patients with moderate to severe </w:t>
            </w:r>
            <w:r w:rsidR="0040079A">
              <w:t>hidradenitis</w:t>
            </w:r>
            <w:r w:rsidRPr="00AE2667">
              <w:t xml:space="preserve"> suppurativa secukinumab is superior in terms of comparative effectiveness and inferior in terms of comparative safety compared with placebo. In patients with moderate to severe </w:t>
            </w:r>
            <w:r w:rsidR="0040079A">
              <w:t>hidradenitis</w:t>
            </w:r>
            <w:r w:rsidRPr="00AE2667">
              <w:t xml:space="preserve"> suppurativa secukinumab is non-inferior in terms of comparative effectiveness and equivalent in terms of comparative safety compared with </w:t>
            </w:r>
            <w:r w:rsidR="005762D0">
              <w:t>adalimumab</w:t>
            </w:r>
            <w:r w:rsidRPr="00AE2667">
              <w:t>.</w:t>
            </w:r>
          </w:p>
        </w:tc>
      </w:tr>
    </w:tbl>
    <w:p w14:paraId="527CA7F0" w14:textId="2BB2D624" w:rsidR="004E43B2" w:rsidRPr="00920224" w:rsidRDefault="00920224" w:rsidP="004A6040">
      <w:pPr>
        <w:pStyle w:val="FooterTableFigure"/>
      </w:pPr>
      <w:r>
        <w:t>Source: Table 1.1, p25 of the submission.</w:t>
      </w:r>
    </w:p>
    <w:p w14:paraId="6B4AB6C2" w14:textId="7F01D731" w:rsidR="005C25FF" w:rsidRPr="00407F2D" w:rsidRDefault="005C25FF" w:rsidP="003D1CBD">
      <w:pPr>
        <w:pStyle w:val="2-SectionHeading"/>
      </w:pPr>
      <w:bookmarkStart w:id="2" w:name="_Toc135036626"/>
      <w:r w:rsidRPr="00407F2D">
        <w:t>Background</w:t>
      </w:r>
      <w:bookmarkEnd w:id="2"/>
    </w:p>
    <w:p w14:paraId="2C521D6D" w14:textId="252699F4" w:rsidR="005C25FF" w:rsidRPr="004151CF" w:rsidRDefault="005C25FF" w:rsidP="004A6040">
      <w:pPr>
        <w:pStyle w:val="4-SubsectionHeading"/>
      </w:pPr>
      <w:bookmarkStart w:id="3" w:name="_Toc22897638"/>
      <w:bookmarkStart w:id="4" w:name="_Toc135036627"/>
      <w:r w:rsidRPr="004151CF">
        <w:t>Registration status</w:t>
      </w:r>
      <w:bookmarkEnd w:id="3"/>
      <w:bookmarkEnd w:id="4"/>
    </w:p>
    <w:p w14:paraId="38B49495" w14:textId="1F2D5BFF" w:rsidR="002B104F" w:rsidRPr="00096ABE" w:rsidRDefault="0003156A" w:rsidP="007E1C14">
      <w:pPr>
        <w:pStyle w:val="3-BodyText"/>
      </w:pPr>
      <w:r w:rsidRPr="00096ABE">
        <w:rPr>
          <w:rFonts w:eastAsia="Calibri"/>
        </w:rPr>
        <w:t xml:space="preserve">TGA status at time of PBAC consideration: </w:t>
      </w:r>
      <w:r w:rsidR="009B4B20">
        <w:rPr>
          <w:rFonts w:eastAsia="SimSun"/>
        </w:rPr>
        <w:t xml:space="preserve">Not registered. </w:t>
      </w:r>
      <w:r w:rsidR="002B104F" w:rsidRPr="00096ABE">
        <w:t xml:space="preserve">The submission was made under TGA/PBAC Parallel Process. </w:t>
      </w:r>
      <w:r w:rsidRPr="00096ABE">
        <w:t>The Delegate’s Overview was available</w:t>
      </w:r>
      <w:r w:rsidR="00096ABE" w:rsidRPr="00096ABE">
        <w:t xml:space="preserve"> at time of consideration.</w:t>
      </w:r>
    </w:p>
    <w:p w14:paraId="672D760E" w14:textId="6C43AFA6" w:rsidR="00FF4DDE" w:rsidRPr="00FF4DDE" w:rsidRDefault="002C708A" w:rsidP="007E1C14">
      <w:pPr>
        <w:pStyle w:val="3-BodyText"/>
      </w:pPr>
      <w:r w:rsidRPr="00182D87">
        <w:t xml:space="preserve">Secukinumab is currently TGA </w:t>
      </w:r>
      <w:proofErr w:type="gramStart"/>
      <w:r w:rsidRPr="00182D87">
        <w:t>indicated</w:t>
      </w:r>
      <w:proofErr w:type="gramEnd"/>
      <w:r w:rsidRPr="00182D87">
        <w:t xml:space="preserve"> </w:t>
      </w:r>
      <w:r w:rsidRPr="004E18E9">
        <w:t xml:space="preserve">and </w:t>
      </w:r>
      <w:r w:rsidRPr="00182D87">
        <w:t>PBS</w:t>
      </w:r>
      <w:r w:rsidR="0051089F">
        <w:t xml:space="preserve"> </w:t>
      </w:r>
      <w:r w:rsidRPr="00182D87">
        <w:t>listed for adult patients with severe psoriasis, severe psoriatic arthritis and ankylosing spondylitis and non-radiographic axial spondyloarthritis.</w:t>
      </w:r>
      <w:r>
        <w:t xml:space="preserve"> </w:t>
      </w:r>
    </w:p>
    <w:p w14:paraId="34E8A298" w14:textId="65A03C97" w:rsidR="005F7615" w:rsidRDefault="005F7615" w:rsidP="005F7615">
      <w:pPr>
        <w:pStyle w:val="4-SubsectionHeading"/>
      </w:pPr>
      <w:bookmarkStart w:id="5" w:name="_Toc135036628"/>
      <w:r>
        <w:lastRenderedPageBreak/>
        <w:t>Previous PBAC consideration</w:t>
      </w:r>
      <w:bookmarkEnd w:id="5"/>
    </w:p>
    <w:p w14:paraId="5ED80315" w14:textId="17125C32" w:rsidR="005F7615" w:rsidRPr="005F7615" w:rsidRDefault="005762D0" w:rsidP="007E1C14">
      <w:pPr>
        <w:pStyle w:val="3-BodyText"/>
      </w:pPr>
      <w:r>
        <w:t>Adalimumab</w:t>
      </w:r>
      <w:r w:rsidR="005F7615" w:rsidRPr="002B68E2">
        <w:t xml:space="preserve"> is </w:t>
      </w:r>
      <w:r w:rsidR="00FF4DDE">
        <w:t>the</w:t>
      </w:r>
      <w:r w:rsidR="005F7615" w:rsidRPr="002B68E2">
        <w:t xml:space="preserve"> only PBS subsidised </w:t>
      </w:r>
      <w:r w:rsidR="006B4E59">
        <w:t>biologic</w:t>
      </w:r>
      <w:r w:rsidR="00B16D75">
        <w:t xml:space="preserve"> immune inhibitor</w:t>
      </w:r>
      <w:r w:rsidR="006B4E59" w:rsidRPr="002B68E2">
        <w:t xml:space="preserve"> </w:t>
      </w:r>
      <w:r w:rsidR="005F7615" w:rsidRPr="002B68E2">
        <w:t>for patients with</w:t>
      </w:r>
      <w:r w:rsidR="0008087B">
        <w:t xml:space="preserve"> moderate to severe</w:t>
      </w:r>
      <w:r w:rsidR="005F7615" w:rsidRPr="002B68E2">
        <w:t xml:space="preserve"> HS.</w:t>
      </w:r>
    </w:p>
    <w:p w14:paraId="45686E10" w14:textId="3F90FD00" w:rsidR="00134108" w:rsidRDefault="00B50DB8" w:rsidP="003D1CBD">
      <w:pPr>
        <w:pStyle w:val="2-SectionHeading"/>
      </w:pPr>
      <w:bookmarkStart w:id="6" w:name="_Toc135036629"/>
      <w:r w:rsidRPr="00407F2D">
        <w:t>Requested listing</w:t>
      </w:r>
      <w:bookmarkEnd w:id="6"/>
    </w:p>
    <w:p w14:paraId="4E951BD3" w14:textId="40239212" w:rsidR="00134108" w:rsidRPr="00882085" w:rsidRDefault="00134108" w:rsidP="007E1C14">
      <w:pPr>
        <w:pStyle w:val="3-BodyText"/>
      </w:pPr>
      <w:r w:rsidRPr="00134108">
        <w:t>For brevity reasons, an abridged version of the restriction is presented below.</w:t>
      </w:r>
    </w:p>
    <w:tbl>
      <w:tblPr>
        <w:tblpPr w:leftFromText="180" w:rightFromText="180" w:vertAnchor="text" w:tblpX="-5"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1870"/>
        <w:gridCol w:w="666"/>
        <w:gridCol w:w="721"/>
        <w:gridCol w:w="722"/>
        <w:gridCol w:w="2706"/>
      </w:tblGrid>
      <w:tr w:rsidR="007E5D84" w:rsidRPr="007E5D84" w14:paraId="21AEAC22" w14:textId="77777777" w:rsidTr="002857DE">
        <w:trPr>
          <w:cantSplit/>
          <w:trHeight w:val="20"/>
        </w:trPr>
        <w:tc>
          <w:tcPr>
            <w:tcW w:w="2241" w:type="dxa"/>
            <w:vAlign w:val="center"/>
          </w:tcPr>
          <w:p w14:paraId="28F48AA3" w14:textId="77777777" w:rsidR="007E5D84" w:rsidRPr="007E5D84" w:rsidRDefault="007E5D84" w:rsidP="005646F7">
            <w:pPr>
              <w:pStyle w:val="TableText0"/>
              <w:keepNext w:val="0"/>
              <w:widowControl w:val="0"/>
            </w:pPr>
            <w:r w:rsidRPr="007E5D84">
              <w:t>MEDICINAL PRODUCT</w:t>
            </w:r>
          </w:p>
          <w:p w14:paraId="48774B15" w14:textId="77777777" w:rsidR="007E5D84" w:rsidRPr="007E5D84" w:rsidRDefault="007E5D84" w:rsidP="005646F7">
            <w:pPr>
              <w:pStyle w:val="TableText0"/>
              <w:keepNext w:val="0"/>
              <w:widowControl w:val="0"/>
            </w:pPr>
            <w:r w:rsidRPr="007E5D84">
              <w:t>medicinal product pack</w:t>
            </w:r>
          </w:p>
        </w:tc>
        <w:tc>
          <w:tcPr>
            <w:tcW w:w="1870" w:type="dxa"/>
            <w:vAlign w:val="center"/>
          </w:tcPr>
          <w:p w14:paraId="2388437D" w14:textId="35EA5392" w:rsidR="007E5D84" w:rsidRPr="007E5D84" w:rsidRDefault="007E5D84" w:rsidP="005646F7">
            <w:pPr>
              <w:pStyle w:val="TableText0"/>
              <w:keepNext w:val="0"/>
              <w:widowControl w:val="0"/>
            </w:pPr>
            <w:r w:rsidRPr="007E5D84">
              <w:rPr>
                <w:snapToGrid w:val="0"/>
              </w:rPr>
              <w:t>Dispensed Price for Max. Qty</w:t>
            </w:r>
            <w:r w:rsidR="00382DAF">
              <w:rPr>
                <w:snapToGrid w:val="0"/>
              </w:rPr>
              <w:t>*</w:t>
            </w:r>
          </w:p>
        </w:tc>
        <w:tc>
          <w:tcPr>
            <w:tcW w:w="666" w:type="dxa"/>
            <w:vAlign w:val="center"/>
          </w:tcPr>
          <w:p w14:paraId="3D91EA9A" w14:textId="77777777" w:rsidR="007E5D84" w:rsidRPr="007E5D84" w:rsidRDefault="007E5D84" w:rsidP="005646F7">
            <w:pPr>
              <w:pStyle w:val="TableText0"/>
              <w:keepNext w:val="0"/>
              <w:widowControl w:val="0"/>
            </w:pPr>
            <w:r w:rsidRPr="007E5D84">
              <w:t>Max. qty packs</w:t>
            </w:r>
          </w:p>
        </w:tc>
        <w:tc>
          <w:tcPr>
            <w:tcW w:w="721" w:type="dxa"/>
            <w:vAlign w:val="center"/>
          </w:tcPr>
          <w:p w14:paraId="21E1E7C5" w14:textId="77777777" w:rsidR="007E5D84" w:rsidRPr="007E5D84" w:rsidRDefault="007E5D84" w:rsidP="005646F7">
            <w:pPr>
              <w:pStyle w:val="TableText0"/>
              <w:keepNext w:val="0"/>
              <w:widowControl w:val="0"/>
            </w:pPr>
            <w:r w:rsidRPr="007E5D84">
              <w:t>Max. qty units</w:t>
            </w:r>
          </w:p>
        </w:tc>
        <w:tc>
          <w:tcPr>
            <w:tcW w:w="722" w:type="dxa"/>
            <w:vAlign w:val="center"/>
          </w:tcPr>
          <w:p w14:paraId="72853187" w14:textId="77777777" w:rsidR="007E5D84" w:rsidRPr="007E5D84" w:rsidRDefault="007E5D84" w:rsidP="005646F7">
            <w:pPr>
              <w:pStyle w:val="TableText0"/>
              <w:keepNext w:val="0"/>
              <w:widowControl w:val="0"/>
            </w:pPr>
            <w:proofErr w:type="gramStart"/>
            <w:r w:rsidRPr="007E5D84">
              <w:t>№.of</w:t>
            </w:r>
            <w:proofErr w:type="gramEnd"/>
          </w:p>
          <w:p w14:paraId="7AC9F463" w14:textId="77777777" w:rsidR="007E5D84" w:rsidRPr="007E5D84" w:rsidRDefault="007E5D84" w:rsidP="005646F7">
            <w:pPr>
              <w:pStyle w:val="TableText0"/>
              <w:keepNext w:val="0"/>
              <w:widowControl w:val="0"/>
            </w:pPr>
            <w:r w:rsidRPr="007E5D84">
              <w:t>Rpts</w:t>
            </w:r>
          </w:p>
        </w:tc>
        <w:tc>
          <w:tcPr>
            <w:tcW w:w="2706" w:type="dxa"/>
            <w:vAlign w:val="center"/>
          </w:tcPr>
          <w:p w14:paraId="30B16CFB" w14:textId="77777777" w:rsidR="007E5D84" w:rsidRPr="007E5D84" w:rsidRDefault="007E5D84" w:rsidP="005646F7">
            <w:pPr>
              <w:pStyle w:val="TableText0"/>
              <w:keepNext w:val="0"/>
              <w:widowControl w:val="0"/>
              <w:rPr>
                <w:lang w:val="fr-FR"/>
              </w:rPr>
            </w:pPr>
            <w:r w:rsidRPr="007E5D84">
              <w:t>Available brands</w:t>
            </w:r>
          </w:p>
        </w:tc>
      </w:tr>
      <w:tr w:rsidR="007E5D84" w:rsidRPr="007E5D84" w14:paraId="50567CA5" w14:textId="77777777" w:rsidTr="002857DE">
        <w:trPr>
          <w:cantSplit/>
          <w:trHeight w:val="20"/>
        </w:trPr>
        <w:tc>
          <w:tcPr>
            <w:tcW w:w="8926" w:type="dxa"/>
            <w:gridSpan w:val="6"/>
            <w:vAlign w:val="center"/>
          </w:tcPr>
          <w:p w14:paraId="450E4AC0" w14:textId="77777777" w:rsidR="007E5D84" w:rsidRPr="007E5D84" w:rsidRDefault="007E5D84" w:rsidP="005646F7">
            <w:pPr>
              <w:pStyle w:val="TableText0"/>
              <w:keepNext w:val="0"/>
              <w:widowControl w:val="0"/>
              <w:rPr>
                <w:rFonts w:cs="Arial"/>
              </w:rPr>
            </w:pPr>
            <w:r w:rsidRPr="007E5D84">
              <w:t>Initial treatment 1, 2 and balance of supply</w:t>
            </w:r>
          </w:p>
        </w:tc>
      </w:tr>
      <w:tr w:rsidR="00801925" w:rsidRPr="007E5D84" w14:paraId="6A23F040" w14:textId="77777777" w:rsidTr="002857DE">
        <w:trPr>
          <w:cantSplit/>
          <w:trHeight w:val="20"/>
        </w:trPr>
        <w:tc>
          <w:tcPr>
            <w:tcW w:w="2241" w:type="dxa"/>
          </w:tcPr>
          <w:p w14:paraId="20F89811" w14:textId="304D7765" w:rsidR="00801925" w:rsidRPr="007E5D84" w:rsidRDefault="00801925" w:rsidP="005646F7">
            <w:pPr>
              <w:pStyle w:val="TableText0"/>
              <w:keepNext w:val="0"/>
              <w:widowControl w:val="0"/>
            </w:pPr>
            <w:r w:rsidRPr="007E5D84">
              <w:t>Secukinumab, 150 mg/mL injection, 2 ×1 mL pen devices</w:t>
            </w:r>
            <w:r>
              <w:t xml:space="preserve"> OR syringe</w:t>
            </w:r>
          </w:p>
        </w:tc>
        <w:tc>
          <w:tcPr>
            <w:tcW w:w="1870" w:type="dxa"/>
          </w:tcPr>
          <w:p w14:paraId="06E40E2C" w14:textId="6980962F" w:rsidR="00801925" w:rsidRPr="007E5D84" w:rsidRDefault="00801925" w:rsidP="00382DAF">
            <w:pPr>
              <w:pStyle w:val="TableText0"/>
              <w:keepNext w:val="0"/>
              <w:widowControl w:val="0"/>
            </w:pPr>
            <w:r w:rsidRPr="007E5D84">
              <w:rPr>
                <w:i/>
              </w:rPr>
              <w:t>$</w:t>
            </w:r>
            <w:r w:rsidRPr="00382DAF">
              <w:rPr>
                <w:iCs/>
              </w:rPr>
              <w:t>6,145.10</w:t>
            </w:r>
            <w:r w:rsidRPr="007E5D84">
              <w:t xml:space="preserve"> </w:t>
            </w:r>
          </w:p>
        </w:tc>
        <w:tc>
          <w:tcPr>
            <w:tcW w:w="666" w:type="dxa"/>
          </w:tcPr>
          <w:p w14:paraId="760055C5" w14:textId="77777777" w:rsidR="00801925" w:rsidRPr="007E5D84" w:rsidRDefault="00801925" w:rsidP="005646F7">
            <w:pPr>
              <w:pStyle w:val="TableText0"/>
              <w:keepNext w:val="0"/>
              <w:widowControl w:val="0"/>
            </w:pPr>
            <w:r w:rsidRPr="007E5D84">
              <w:t>4</w:t>
            </w:r>
          </w:p>
        </w:tc>
        <w:tc>
          <w:tcPr>
            <w:tcW w:w="721" w:type="dxa"/>
          </w:tcPr>
          <w:p w14:paraId="05E751B8" w14:textId="77777777" w:rsidR="00801925" w:rsidRPr="007E5D84" w:rsidRDefault="00801925" w:rsidP="005646F7">
            <w:pPr>
              <w:pStyle w:val="TableText0"/>
              <w:keepNext w:val="0"/>
              <w:widowControl w:val="0"/>
            </w:pPr>
            <w:r w:rsidRPr="007E5D84">
              <w:t>8</w:t>
            </w:r>
          </w:p>
        </w:tc>
        <w:tc>
          <w:tcPr>
            <w:tcW w:w="722" w:type="dxa"/>
          </w:tcPr>
          <w:p w14:paraId="1636A9BB" w14:textId="77777777" w:rsidR="00801925" w:rsidRPr="007E5D84" w:rsidRDefault="00801925" w:rsidP="005646F7">
            <w:pPr>
              <w:pStyle w:val="TableText0"/>
              <w:keepNext w:val="0"/>
              <w:widowControl w:val="0"/>
            </w:pPr>
            <w:r w:rsidRPr="007E5D84">
              <w:t>0</w:t>
            </w:r>
          </w:p>
        </w:tc>
        <w:tc>
          <w:tcPr>
            <w:tcW w:w="2706" w:type="dxa"/>
            <w:vMerge w:val="restart"/>
            <w:vAlign w:val="center"/>
          </w:tcPr>
          <w:p w14:paraId="3E939323" w14:textId="77777777" w:rsidR="002E5074" w:rsidRDefault="00801925" w:rsidP="005646F7">
            <w:pPr>
              <w:pStyle w:val="TableText0"/>
              <w:keepNext w:val="0"/>
              <w:widowControl w:val="0"/>
            </w:pPr>
            <w:r w:rsidRPr="007E5D84">
              <w:t>Cosentyx</w:t>
            </w:r>
          </w:p>
          <w:p w14:paraId="17DFC876" w14:textId="7AB64C21" w:rsidR="00801925" w:rsidRPr="007E5D84" w:rsidRDefault="00801925" w:rsidP="005646F7">
            <w:pPr>
              <w:pStyle w:val="TableText0"/>
              <w:keepNext w:val="0"/>
              <w:widowControl w:val="0"/>
              <w:rPr>
                <w:color w:val="0066FF"/>
              </w:rPr>
            </w:pPr>
            <w:r w:rsidRPr="007E5D84">
              <w:t xml:space="preserve"> Novartis Pharmaceuticals</w:t>
            </w:r>
          </w:p>
          <w:p w14:paraId="7F1A0997" w14:textId="77777777" w:rsidR="00801925" w:rsidRPr="007E5D84" w:rsidDel="004E10DA" w:rsidRDefault="00801925" w:rsidP="005646F7">
            <w:pPr>
              <w:pStyle w:val="TableText0"/>
              <w:keepNext w:val="0"/>
              <w:widowControl w:val="0"/>
            </w:pPr>
          </w:p>
          <w:p w14:paraId="24EEE4F0" w14:textId="77777777" w:rsidR="00801925" w:rsidRPr="007E5D84" w:rsidDel="004E10DA" w:rsidRDefault="00801925" w:rsidP="005646F7">
            <w:pPr>
              <w:pStyle w:val="TableText0"/>
              <w:keepNext w:val="0"/>
              <w:widowControl w:val="0"/>
            </w:pPr>
          </w:p>
          <w:p w14:paraId="4A1A3304" w14:textId="77777777" w:rsidR="00801925" w:rsidRPr="007E5D84" w:rsidRDefault="00801925" w:rsidP="00AE6B73">
            <w:pPr>
              <w:pStyle w:val="TableText0"/>
              <w:widowControl w:val="0"/>
              <w:rPr>
                <w:color w:val="0066FF"/>
              </w:rPr>
            </w:pPr>
          </w:p>
        </w:tc>
      </w:tr>
      <w:tr w:rsidR="00801925" w:rsidRPr="007E5D84" w:rsidDel="004E10DA" w14:paraId="2AB36F97" w14:textId="74723960" w:rsidTr="002857DE">
        <w:trPr>
          <w:cantSplit/>
          <w:trHeight w:val="20"/>
        </w:trPr>
        <w:tc>
          <w:tcPr>
            <w:tcW w:w="2241" w:type="dxa"/>
          </w:tcPr>
          <w:p w14:paraId="7FC4B23E" w14:textId="12DD6C4C" w:rsidR="00801925" w:rsidRPr="007E5D84" w:rsidDel="004E10DA" w:rsidRDefault="00801925" w:rsidP="005646F7">
            <w:pPr>
              <w:pStyle w:val="TableText0"/>
              <w:keepNext w:val="0"/>
              <w:widowControl w:val="0"/>
            </w:pPr>
            <w:r w:rsidRPr="007E5D84" w:rsidDel="004E10DA">
              <w:t>Secukinumab, 150 mg/mL injection, 2 ×1 mL pen devices</w:t>
            </w:r>
            <w:r>
              <w:t xml:space="preserve"> OR syringes</w:t>
            </w:r>
          </w:p>
        </w:tc>
        <w:tc>
          <w:tcPr>
            <w:tcW w:w="1870" w:type="dxa"/>
          </w:tcPr>
          <w:p w14:paraId="7F2EEBDB" w14:textId="047948D9" w:rsidR="00801925" w:rsidRPr="007E5D84" w:rsidDel="004E10DA" w:rsidRDefault="00801925" w:rsidP="00382DAF">
            <w:pPr>
              <w:pStyle w:val="TableText0"/>
              <w:keepNext w:val="0"/>
              <w:widowControl w:val="0"/>
            </w:pPr>
            <w:r w:rsidRPr="00382DAF" w:rsidDel="004E10DA">
              <w:rPr>
                <w:iCs/>
              </w:rPr>
              <w:t>$</w:t>
            </w:r>
            <w:r w:rsidRPr="00382DAF">
              <w:rPr>
                <w:iCs/>
              </w:rPr>
              <w:t>1,634.73</w:t>
            </w:r>
            <w:r w:rsidRPr="007E5D84" w:rsidDel="004E10DA">
              <w:t xml:space="preserve"> </w:t>
            </w:r>
          </w:p>
        </w:tc>
        <w:tc>
          <w:tcPr>
            <w:tcW w:w="666" w:type="dxa"/>
          </w:tcPr>
          <w:p w14:paraId="1A4ABBF9" w14:textId="3667A549" w:rsidR="00801925" w:rsidRPr="007E5D84" w:rsidDel="004E10DA" w:rsidRDefault="00801925" w:rsidP="005646F7">
            <w:pPr>
              <w:pStyle w:val="TableText0"/>
              <w:keepNext w:val="0"/>
              <w:widowControl w:val="0"/>
            </w:pPr>
            <w:r w:rsidRPr="007E5D84" w:rsidDel="004E10DA">
              <w:t>1</w:t>
            </w:r>
          </w:p>
        </w:tc>
        <w:tc>
          <w:tcPr>
            <w:tcW w:w="721" w:type="dxa"/>
          </w:tcPr>
          <w:p w14:paraId="4C075D46" w14:textId="413CA10F" w:rsidR="00801925" w:rsidRPr="007E5D84" w:rsidDel="004E10DA" w:rsidRDefault="00801925" w:rsidP="005646F7">
            <w:pPr>
              <w:pStyle w:val="TableText0"/>
              <w:keepNext w:val="0"/>
              <w:widowControl w:val="0"/>
            </w:pPr>
            <w:r w:rsidRPr="007E5D84" w:rsidDel="004E10DA">
              <w:t>2</w:t>
            </w:r>
          </w:p>
        </w:tc>
        <w:tc>
          <w:tcPr>
            <w:tcW w:w="722" w:type="dxa"/>
          </w:tcPr>
          <w:p w14:paraId="4019F75B" w14:textId="6F3AB776" w:rsidR="00801925" w:rsidRPr="007E5D84" w:rsidDel="004E10DA" w:rsidRDefault="00801925" w:rsidP="005646F7">
            <w:pPr>
              <w:pStyle w:val="TableText0"/>
              <w:keepNext w:val="0"/>
              <w:widowControl w:val="0"/>
            </w:pPr>
            <w:r w:rsidRPr="007E5D84" w:rsidDel="004E10DA">
              <w:t>2</w:t>
            </w:r>
          </w:p>
        </w:tc>
        <w:tc>
          <w:tcPr>
            <w:tcW w:w="2706" w:type="dxa"/>
            <w:vMerge/>
          </w:tcPr>
          <w:p w14:paraId="0E0D2E3C" w14:textId="47EF647C" w:rsidR="00801925" w:rsidRPr="007E5D84" w:rsidDel="004E10DA" w:rsidRDefault="00801925" w:rsidP="00AE6B73">
            <w:pPr>
              <w:pStyle w:val="TableText0"/>
              <w:widowControl w:val="0"/>
              <w:rPr>
                <w:color w:val="0066FF"/>
              </w:rPr>
            </w:pPr>
          </w:p>
        </w:tc>
      </w:tr>
      <w:tr w:rsidR="00801925" w:rsidRPr="007E5D84" w14:paraId="067A3F7E" w14:textId="77777777" w:rsidTr="002857DE">
        <w:trPr>
          <w:cantSplit/>
          <w:trHeight w:val="20"/>
        </w:trPr>
        <w:tc>
          <w:tcPr>
            <w:tcW w:w="2241" w:type="dxa"/>
          </w:tcPr>
          <w:p w14:paraId="0E04C2E0" w14:textId="60223DC3" w:rsidR="00801925" w:rsidRPr="007E5D84" w:rsidRDefault="00801925" w:rsidP="005646F7">
            <w:pPr>
              <w:pStyle w:val="TableText0"/>
              <w:keepNext w:val="0"/>
              <w:widowControl w:val="0"/>
            </w:pPr>
            <w:r w:rsidRPr="007E5D84">
              <w:t>Secukinumab, 300 mg/</w:t>
            </w:r>
            <w:r>
              <w:t>2</w:t>
            </w:r>
            <w:r w:rsidRPr="007E5D84">
              <w:t>mL injection, 2 mL pen device</w:t>
            </w:r>
            <w:r>
              <w:t xml:space="preserve"> OR syringe</w:t>
            </w:r>
          </w:p>
        </w:tc>
        <w:tc>
          <w:tcPr>
            <w:tcW w:w="1870" w:type="dxa"/>
            <w:vAlign w:val="center"/>
          </w:tcPr>
          <w:p w14:paraId="1B2A4CF5" w14:textId="08DB6206" w:rsidR="00801925" w:rsidRPr="007E5D84" w:rsidRDefault="00801925" w:rsidP="00382DAF">
            <w:pPr>
              <w:pStyle w:val="TableText0"/>
              <w:keepNext w:val="0"/>
              <w:widowControl w:val="0"/>
            </w:pPr>
            <w:r w:rsidRPr="007E5D84">
              <w:rPr>
                <w:i/>
              </w:rPr>
              <w:t>$</w:t>
            </w:r>
            <w:r w:rsidRPr="00382DAF">
              <w:rPr>
                <w:iCs/>
              </w:rPr>
              <w:t>6,145.10</w:t>
            </w:r>
            <w:r w:rsidRPr="007E5D84">
              <w:t xml:space="preserve"> </w:t>
            </w:r>
          </w:p>
        </w:tc>
        <w:tc>
          <w:tcPr>
            <w:tcW w:w="666" w:type="dxa"/>
          </w:tcPr>
          <w:p w14:paraId="40D71491" w14:textId="77777777" w:rsidR="00801925" w:rsidRPr="007E5D84" w:rsidRDefault="00801925" w:rsidP="005646F7">
            <w:pPr>
              <w:pStyle w:val="TableText0"/>
              <w:keepNext w:val="0"/>
              <w:widowControl w:val="0"/>
            </w:pPr>
            <w:r w:rsidRPr="007E5D84">
              <w:t>4</w:t>
            </w:r>
          </w:p>
        </w:tc>
        <w:tc>
          <w:tcPr>
            <w:tcW w:w="721" w:type="dxa"/>
          </w:tcPr>
          <w:p w14:paraId="163CD60C" w14:textId="77777777" w:rsidR="00801925" w:rsidRPr="007E5D84" w:rsidRDefault="00801925" w:rsidP="005646F7">
            <w:pPr>
              <w:pStyle w:val="TableText0"/>
              <w:keepNext w:val="0"/>
              <w:widowControl w:val="0"/>
            </w:pPr>
            <w:r w:rsidRPr="007E5D84">
              <w:t>1</w:t>
            </w:r>
          </w:p>
        </w:tc>
        <w:tc>
          <w:tcPr>
            <w:tcW w:w="722" w:type="dxa"/>
          </w:tcPr>
          <w:p w14:paraId="36EC35E5" w14:textId="77777777" w:rsidR="00801925" w:rsidRPr="007E5D84" w:rsidRDefault="00801925" w:rsidP="005646F7">
            <w:pPr>
              <w:pStyle w:val="TableText0"/>
              <w:keepNext w:val="0"/>
              <w:widowControl w:val="0"/>
            </w:pPr>
            <w:r w:rsidRPr="007E5D84">
              <w:t>0</w:t>
            </w:r>
          </w:p>
        </w:tc>
        <w:tc>
          <w:tcPr>
            <w:tcW w:w="2706" w:type="dxa"/>
            <w:vMerge/>
            <w:vAlign w:val="center"/>
          </w:tcPr>
          <w:p w14:paraId="1EDC5A20" w14:textId="77777777" w:rsidR="00801925" w:rsidRPr="007E5D84" w:rsidRDefault="00801925" w:rsidP="00AE6B73">
            <w:pPr>
              <w:pStyle w:val="TableText0"/>
              <w:widowControl w:val="0"/>
            </w:pPr>
          </w:p>
        </w:tc>
      </w:tr>
      <w:tr w:rsidR="00801925" w:rsidRPr="007E5D84" w:rsidDel="004E10DA" w14:paraId="1807EEF6" w14:textId="5A735ECD" w:rsidTr="002857DE">
        <w:trPr>
          <w:cantSplit/>
          <w:trHeight w:val="20"/>
        </w:trPr>
        <w:tc>
          <w:tcPr>
            <w:tcW w:w="2241" w:type="dxa"/>
          </w:tcPr>
          <w:p w14:paraId="1AE26B4A" w14:textId="607074FC" w:rsidR="00801925" w:rsidRPr="007E5D84" w:rsidDel="004E10DA" w:rsidRDefault="00801925" w:rsidP="005646F7">
            <w:pPr>
              <w:pStyle w:val="TableText0"/>
              <w:keepNext w:val="0"/>
              <w:widowControl w:val="0"/>
            </w:pPr>
            <w:r w:rsidRPr="007E5D84" w:rsidDel="004E10DA">
              <w:t>Secukinumab, 300 mg/</w:t>
            </w:r>
            <w:r w:rsidDel="004E10DA">
              <w:t>2</w:t>
            </w:r>
            <w:r w:rsidRPr="007E5D84" w:rsidDel="004E10DA">
              <w:t>mL injection, 2 mL pen device</w:t>
            </w:r>
            <w:r>
              <w:t xml:space="preserve"> OR syringe</w:t>
            </w:r>
          </w:p>
        </w:tc>
        <w:tc>
          <w:tcPr>
            <w:tcW w:w="1870" w:type="dxa"/>
            <w:vAlign w:val="center"/>
          </w:tcPr>
          <w:p w14:paraId="62F9C7ED" w14:textId="5763753F" w:rsidR="00801925" w:rsidRPr="007E5D84" w:rsidDel="004E10DA" w:rsidRDefault="00801925" w:rsidP="00382DAF">
            <w:pPr>
              <w:pStyle w:val="TableText0"/>
              <w:keepNext w:val="0"/>
              <w:widowControl w:val="0"/>
            </w:pPr>
            <w:r>
              <w:rPr>
                <w:i/>
              </w:rPr>
              <w:t>$</w:t>
            </w:r>
            <w:r w:rsidRPr="00382DAF">
              <w:rPr>
                <w:iCs/>
              </w:rPr>
              <w:t>1,634.73</w:t>
            </w:r>
            <w:r w:rsidRPr="007E5D84" w:rsidDel="004E10DA">
              <w:t xml:space="preserve"> </w:t>
            </w:r>
          </w:p>
        </w:tc>
        <w:tc>
          <w:tcPr>
            <w:tcW w:w="666" w:type="dxa"/>
          </w:tcPr>
          <w:p w14:paraId="1696A80B" w14:textId="45EECD3A" w:rsidR="00801925" w:rsidRPr="007E5D84" w:rsidDel="004E10DA" w:rsidRDefault="00801925" w:rsidP="005646F7">
            <w:pPr>
              <w:pStyle w:val="TableText0"/>
              <w:keepNext w:val="0"/>
              <w:widowControl w:val="0"/>
            </w:pPr>
            <w:r w:rsidRPr="007E5D84" w:rsidDel="004E10DA">
              <w:t>1</w:t>
            </w:r>
          </w:p>
        </w:tc>
        <w:tc>
          <w:tcPr>
            <w:tcW w:w="721" w:type="dxa"/>
          </w:tcPr>
          <w:p w14:paraId="2E615052" w14:textId="7543FE49" w:rsidR="00801925" w:rsidRPr="007E5D84" w:rsidDel="004E10DA" w:rsidRDefault="00801925" w:rsidP="005646F7">
            <w:pPr>
              <w:pStyle w:val="TableText0"/>
              <w:keepNext w:val="0"/>
              <w:widowControl w:val="0"/>
            </w:pPr>
            <w:r w:rsidRPr="007E5D84" w:rsidDel="004E10DA">
              <w:t>1</w:t>
            </w:r>
          </w:p>
        </w:tc>
        <w:tc>
          <w:tcPr>
            <w:tcW w:w="722" w:type="dxa"/>
          </w:tcPr>
          <w:p w14:paraId="2CB961C6" w14:textId="0C1609AF" w:rsidR="00801925" w:rsidRPr="007E5D84" w:rsidDel="004E10DA" w:rsidRDefault="00801925" w:rsidP="005646F7">
            <w:pPr>
              <w:pStyle w:val="TableText0"/>
              <w:keepNext w:val="0"/>
              <w:widowControl w:val="0"/>
            </w:pPr>
            <w:r w:rsidRPr="007E5D84" w:rsidDel="004E10DA">
              <w:t>2</w:t>
            </w:r>
          </w:p>
        </w:tc>
        <w:tc>
          <w:tcPr>
            <w:tcW w:w="2706" w:type="dxa"/>
            <w:vMerge/>
          </w:tcPr>
          <w:p w14:paraId="19DEEBC7" w14:textId="48549E17" w:rsidR="00801925" w:rsidRPr="007E5D84" w:rsidDel="004E10DA" w:rsidRDefault="00801925" w:rsidP="005646F7">
            <w:pPr>
              <w:pStyle w:val="TableText0"/>
              <w:keepNext w:val="0"/>
              <w:widowControl w:val="0"/>
            </w:pPr>
          </w:p>
        </w:tc>
      </w:tr>
      <w:tr w:rsidR="0008526F" w:rsidRPr="007E5D84" w14:paraId="680738CC" w14:textId="77777777" w:rsidTr="002857DE">
        <w:trPr>
          <w:cantSplit/>
          <w:trHeight w:val="20"/>
        </w:trPr>
        <w:tc>
          <w:tcPr>
            <w:tcW w:w="8926" w:type="dxa"/>
            <w:gridSpan w:val="6"/>
          </w:tcPr>
          <w:p w14:paraId="552E307E" w14:textId="77777777" w:rsidR="0008526F" w:rsidRPr="007E5D84" w:rsidRDefault="0008526F" w:rsidP="005646F7">
            <w:pPr>
              <w:pStyle w:val="TableText0"/>
              <w:keepNext w:val="0"/>
              <w:widowControl w:val="0"/>
            </w:pPr>
            <w:r w:rsidRPr="007E5D84">
              <w:t>Continuing treatment (continuing and grandfather)</w:t>
            </w:r>
          </w:p>
        </w:tc>
      </w:tr>
      <w:tr w:rsidR="00801925" w:rsidRPr="007E5D84" w14:paraId="0A795362" w14:textId="77777777" w:rsidTr="002857DE">
        <w:trPr>
          <w:cantSplit/>
          <w:trHeight w:val="20"/>
        </w:trPr>
        <w:tc>
          <w:tcPr>
            <w:tcW w:w="2241" w:type="dxa"/>
          </w:tcPr>
          <w:p w14:paraId="781AE0F1" w14:textId="7141B7D0" w:rsidR="00801925" w:rsidRPr="007E5D84" w:rsidRDefault="00801925" w:rsidP="005646F7">
            <w:pPr>
              <w:pStyle w:val="TableText0"/>
              <w:keepNext w:val="0"/>
              <w:widowControl w:val="0"/>
            </w:pPr>
            <w:r w:rsidRPr="007E5D84">
              <w:t>Secukinumab, 150 mg/mL injection, 2 ×1 mL pen devices</w:t>
            </w:r>
            <w:r>
              <w:t xml:space="preserve"> OR syringes</w:t>
            </w:r>
          </w:p>
        </w:tc>
        <w:tc>
          <w:tcPr>
            <w:tcW w:w="1870" w:type="dxa"/>
            <w:vAlign w:val="center"/>
          </w:tcPr>
          <w:p w14:paraId="0B41E16F" w14:textId="4F54801B" w:rsidR="00801925" w:rsidRPr="007E5D84" w:rsidRDefault="00801925" w:rsidP="00382DAF">
            <w:pPr>
              <w:pStyle w:val="TableText0"/>
              <w:keepNext w:val="0"/>
              <w:widowControl w:val="0"/>
            </w:pPr>
            <w:r>
              <w:rPr>
                <w:i/>
              </w:rPr>
              <w:t>$</w:t>
            </w:r>
            <w:r w:rsidRPr="00382DAF">
              <w:rPr>
                <w:iCs/>
              </w:rPr>
              <w:t>1,634.73</w:t>
            </w:r>
            <w:r w:rsidRPr="007E5D84" w:rsidDel="004E10DA">
              <w:t xml:space="preserve"> </w:t>
            </w:r>
          </w:p>
        </w:tc>
        <w:tc>
          <w:tcPr>
            <w:tcW w:w="666" w:type="dxa"/>
          </w:tcPr>
          <w:p w14:paraId="797205AF" w14:textId="77777777" w:rsidR="00801925" w:rsidRPr="007E5D84" w:rsidRDefault="00801925" w:rsidP="005646F7">
            <w:pPr>
              <w:pStyle w:val="TableText0"/>
              <w:keepNext w:val="0"/>
              <w:widowControl w:val="0"/>
            </w:pPr>
            <w:r w:rsidRPr="007E5D84">
              <w:t>1</w:t>
            </w:r>
          </w:p>
        </w:tc>
        <w:tc>
          <w:tcPr>
            <w:tcW w:w="721" w:type="dxa"/>
          </w:tcPr>
          <w:p w14:paraId="26510AC7" w14:textId="77777777" w:rsidR="00801925" w:rsidRPr="007E5D84" w:rsidRDefault="00801925" w:rsidP="005646F7">
            <w:pPr>
              <w:pStyle w:val="TableText0"/>
              <w:keepNext w:val="0"/>
              <w:widowControl w:val="0"/>
            </w:pPr>
            <w:r w:rsidRPr="007E5D84">
              <w:t>2</w:t>
            </w:r>
          </w:p>
        </w:tc>
        <w:tc>
          <w:tcPr>
            <w:tcW w:w="722" w:type="dxa"/>
          </w:tcPr>
          <w:p w14:paraId="0E17460B" w14:textId="77777777" w:rsidR="00801925" w:rsidRPr="007E5D84" w:rsidRDefault="00801925" w:rsidP="005646F7">
            <w:pPr>
              <w:pStyle w:val="TableText0"/>
              <w:keepNext w:val="0"/>
              <w:widowControl w:val="0"/>
            </w:pPr>
            <w:r w:rsidRPr="007E5D84">
              <w:t>5</w:t>
            </w:r>
          </w:p>
        </w:tc>
        <w:tc>
          <w:tcPr>
            <w:tcW w:w="2706" w:type="dxa"/>
            <w:vMerge w:val="restart"/>
            <w:vAlign w:val="center"/>
          </w:tcPr>
          <w:p w14:paraId="61628B00" w14:textId="77777777" w:rsidR="002E5074" w:rsidRDefault="00801925" w:rsidP="005646F7">
            <w:pPr>
              <w:pStyle w:val="TableText0"/>
              <w:keepNext w:val="0"/>
              <w:widowControl w:val="0"/>
            </w:pPr>
            <w:r w:rsidRPr="007E5D84">
              <w:t>Cosentyx</w:t>
            </w:r>
          </w:p>
          <w:p w14:paraId="2DE6CDFE" w14:textId="3E807703" w:rsidR="00801925" w:rsidRPr="007E5D84" w:rsidRDefault="00801925" w:rsidP="005646F7">
            <w:pPr>
              <w:pStyle w:val="TableText0"/>
              <w:keepNext w:val="0"/>
              <w:widowControl w:val="0"/>
            </w:pPr>
            <w:r w:rsidRPr="007E5D84">
              <w:t xml:space="preserve"> Novartis Pharmaceuticals</w:t>
            </w:r>
          </w:p>
        </w:tc>
      </w:tr>
      <w:tr w:rsidR="00801925" w:rsidRPr="007E5D84" w14:paraId="561946FC" w14:textId="77777777" w:rsidTr="002857DE">
        <w:trPr>
          <w:cantSplit/>
          <w:trHeight w:val="20"/>
        </w:trPr>
        <w:tc>
          <w:tcPr>
            <w:tcW w:w="2241" w:type="dxa"/>
          </w:tcPr>
          <w:p w14:paraId="7C05D606" w14:textId="01359024" w:rsidR="00801925" w:rsidRPr="007E5D84" w:rsidRDefault="00801925" w:rsidP="005646F7">
            <w:pPr>
              <w:pStyle w:val="TableText0"/>
              <w:keepNext w:val="0"/>
              <w:widowControl w:val="0"/>
            </w:pPr>
            <w:r w:rsidRPr="007E5D84">
              <w:t>Secukinumab, 300 mg/</w:t>
            </w:r>
            <w:r>
              <w:t>2</w:t>
            </w:r>
            <w:r w:rsidRPr="007E5D84">
              <w:t>mL injection, 2 mL pen device</w:t>
            </w:r>
            <w:r>
              <w:t xml:space="preserve"> OR syringes</w:t>
            </w:r>
          </w:p>
        </w:tc>
        <w:tc>
          <w:tcPr>
            <w:tcW w:w="1870" w:type="dxa"/>
            <w:vAlign w:val="center"/>
          </w:tcPr>
          <w:p w14:paraId="55417EFE" w14:textId="0036622D" w:rsidR="00801925" w:rsidRPr="007E5D84" w:rsidRDefault="00801925" w:rsidP="00382DAF">
            <w:pPr>
              <w:pStyle w:val="TableText0"/>
              <w:keepNext w:val="0"/>
              <w:widowControl w:val="0"/>
            </w:pPr>
            <w:r>
              <w:rPr>
                <w:i/>
              </w:rPr>
              <w:t>$</w:t>
            </w:r>
            <w:r w:rsidRPr="00382DAF">
              <w:rPr>
                <w:iCs/>
              </w:rPr>
              <w:t>1,634.73</w:t>
            </w:r>
            <w:r w:rsidRPr="007E5D84" w:rsidDel="004E10DA">
              <w:t xml:space="preserve"> </w:t>
            </w:r>
          </w:p>
        </w:tc>
        <w:tc>
          <w:tcPr>
            <w:tcW w:w="666" w:type="dxa"/>
          </w:tcPr>
          <w:p w14:paraId="4CB1A6E5" w14:textId="77777777" w:rsidR="00801925" w:rsidRPr="007E5D84" w:rsidRDefault="00801925" w:rsidP="005646F7">
            <w:pPr>
              <w:pStyle w:val="TableText0"/>
              <w:keepNext w:val="0"/>
              <w:widowControl w:val="0"/>
            </w:pPr>
            <w:r w:rsidRPr="007E5D84">
              <w:t>1</w:t>
            </w:r>
          </w:p>
        </w:tc>
        <w:tc>
          <w:tcPr>
            <w:tcW w:w="721" w:type="dxa"/>
          </w:tcPr>
          <w:p w14:paraId="565C8A1D" w14:textId="77777777" w:rsidR="00801925" w:rsidRPr="007E5D84" w:rsidRDefault="00801925" w:rsidP="005646F7">
            <w:pPr>
              <w:pStyle w:val="TableText0"/>
              <w:keepNext w:val="0"/>
              <w:widowControl w:val="0"/>
            </w:pPr>
            <w:r w:rsidRPr="007E5D84">
              <w:t>1</w:t>
            </w:r>
          </w:p>
        </w:tc>
        <w:tc>
          <w:tcPr>
            <w:tcW w:w="722" w:type="dxa"/>
          </w:tcPr>
          <w:p w14:paraId="372B5C18" w14:textId="77777777" w:rsidR="00801925" w:rsidRPr="007E5D84" w:rsidRDefault="00801925" w:rsidP="005646F7">
            <w:pPr>
              <w:pStyle w:val="TableText0"/>
              <w:keepNext w:val="0"/>
              <w:widowControl w:val="0"/>
            </w:pPr>
            <w:r w:rsidRPr="007E5D84">
              <w:t>5</w:t>
            </w:r>
          </w:p>
        </w:tc>
        <w:tc>
          <w:tcPr>
            <w:tcW w:w="2706" w:type="dxa"/>
            <w:vMerge/>
            <w:vAlign w:val="center"/>
          </w:tcPr>
          <w:p w14:paraId="1578CB3B" w14:textId="77777777" w:rsidR="00801925" w:rsidRPr="007E5D84" w:rsidRDefault="00801925" w:rsidP="005646F7">
            <w:pPr>
              <w:pStyle w:val="TableText0"/>
              <w:keepNext w:val="0"/>
              <w:widowControl w:val="0"/>
            </w:pPr>
          </w:p>
        </w:tc>
      </w:tr>
    </w:tbl>
    <w:p w14:paraId="2ADDCA9B" w14:textId="64673630" w:rsidR="00365590" w:rsidRDefault="00365590" w:rsidP="005646F7">
      <w:pPr>
        <w:pStyle w:val="TableFooter"/>
        <w:keepLines/>
        <w:widowControl w:val="0"/>
      </w:pPr>
      <w:r>
        <w:t xml:space="preserve">Source: Table 1.6, p35 </w:t>
      </w:r>
      <w:r w:rsidRPr="00D13A3E">
        <w:t>of</w:t>
      </w:r>
      <w:r>
        <w:t xml:space="preserve"> </w:t>
      </w:r>
      <w:r w:rsidRPr="00D13A3E">
        <w:t xml:space="preserve">the </w:t>
      </w:r>
      <w:r>
        <w:t>submission.</w:t>
      </w:r>
    </w:p>
    <w:p w14:paraId="57B05FD0" w14:textId="28CB70B7" w:rsidR="00C24526" w:rsidRDefault="00382DAF" w:rsidP="005646F7">
      <w:pPr>
        <w:pStyle w:val="TableFooter"/>
        <w:keepLines/>
        <w:widowControl w:val="0"/>
        <w:rPr>
          <w:iCs/>
        </w:rPr>
      </w:pPr>
      <w:r w:rsidRPr="005E2E87">
        <w:rPr>
          <w:iCs/>
        </w:rPr>
        <w:t xml:space="preserve">*The submission stated that should the PBAC recommend secukinumab for listing, the sponsor will work with the Department on the published and effective prices. All prices presented in the submission were calculated using the published price of adalimumab. </w:t>
      </w:r>
      <w:r w:rsidR="00C24526" w:rsidRPr="005E2E87">
        <w:rPr>
          <w:iCs/>
        </w:rPr>
        <w:t>Following the submission, the price of</w:t>
      </w:r>
      <w:r w:rsidRPr="005E2E87">
        <w:rPr>
          <w:iCs/>
        </w:rPr>
        <w:t xml:space="preserve"> </w:t>
      </w:r>
      <w:r w:rsidR="00C24526" w:rsidRPr="005E2E87">
        <w:rPr>
          <w:iCs/>
        </w:rPr>
        <w:t>adalimumab</w:t>
      </w:r>
      <w:r w:rsidRPr="005E2E87">
        <w:rPr>
          <w:iCs/>
        </w:rPr>
        <w:t xml:space="preserve"> </w:t>
      </w:r>
      <w:r w:rsidR="00C24526" w:rsidRPr="005E2E87">
        <w:rPr>
          <w:iCs/>
        </w:rPr>
        <w:t xml:space="preserve">reduced on 1 April 2023. Further discussion is presented in the economic analysis section. </w:t>
      </w:r>
    </w:p>
    <w:p w14:paraId="1FAFD4AE" w14:textId="77777777" w:rsidR="007E1C14" w:rsidRPr="005E2E87" w:rsidRDefault="007E1C14" w:rsidP="005646F7">
      <w:pPr>
        <w:pStyle w:val="TableFooter"/>
        <w:keepLines/>
        <w:widowControl w:val="0"/>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F014AA" w:rsidRPr="00046D64" w14:paraId="44477298" w14:textId="77777777" w:rsidTr="007E1C14">
        <w:trPr>
          <w:cantSplit/>
          <w:trHeight w:val="20"/>
        </w:trPr>
        <w:tc>
          <w:tcPr>
            <w:tcW w:w="5000" w:type="pct"/>
          </w:tcPr>
          <w:p w14:paraId="6D7F35FF" w14:textId="77777777" w:rsidR="00F014AA" w:rsidRPr="00046D64" w:rsidRDefault="00F014AA" w:rsidP="007E1C14">
            <w:pPr>
              <w:pStyle w:val="TableText0"/>
              <w:keepNext w:val="0"/>
            </w:pPr>
            <w:r w:rsidRPr="00046D64">
              <w:rPr>
                <w:b/>
              </w:rPr>
              <w:t xml:space="preserve">Category / Program: </w:t>
            </w:r>
            <w:r w:rsidRPr="007B77C7">
              <w:rPr>
                <w:rStyle w:val="PBACTableTextChar"/>
              </w:rPr>
              <w:t>General Schedule (Code GE)</w:t>
            </w:r>
          </w:p>
        </w:tc>
      </w:tr>
      <w:tr w:rsidR="00F014AA" w:rsidRPr="00046D64" w14:paraId="2A964B35" w14:textId="77777777" w:rsidTr="007E1C14">
        <w:trPr>
          <w:cantSplit/>
          <w:trHeight w:val="20"/>
        </w:trPr>
        <w:tc>
          <w:tcPr>
            <w:tcW w:w="5000" w:type="pct"/>
          </w:tcPr>
          <w:p w14:paraId="04040DE9" w14:textId="77777777" w:rsidR="00F014AA" w:rsidRPr="00046D64" w:rsidRDefault="00F014AA" w:rsidP="007E1C14">
            <w:pPr>
              <w:pStyle w:val="TableText0"/>
              <w:keepNext w:val="0"/>
              <w:rPr>
                <w:b/>
              </w:rPr>
            </w:pPr>
            <w:r w:rsidRPr="00046D64">
              <w:rPr>
                <w:b/>
              </w:rPr>
              <w:t xml:space="preserve">Prescriber type: </w:t>
            </w:r>
            <w:r w:rsidRPr="00F92E6E">
              <w:rPr>
                <w:color w:val="2B579A"/>
                <w:shd w:val="clear" w:color="auto" w:fill="E6E6E6"/>
              </w:rPr>
              <w:fldChar w:fldCharType="begin" w:fldLock="1">
                <w:ffData>
                  <w:name w:val="Check1"/>
                  <w:enabled/>
                  <w:calcOnExit w:val="0"/>
                  <w:checkBox>
                    <w:sizeAuto/>
                    <w:default w:val="0"/>
                  </w:checkBox>
                </w:ffData>
              </w:fldChar>
            </w:r>
            <w:r w:rsidRPr="00F92E6E">
              <w:instrText xml:space="preserve"> FORMCHECKBOX </w:instrText>
            </w:r>
            <w:r w:rsidR="000F75DF">
              <w:rPr>
                <w:color w:val="2B579A"/>
                <w:shd w:val="clear" w:color="auto" w:fill="E6E6E6"/>
              </w:rPr>
            </w:r>
            <w:r w:rsidR="000F75DF">
              <w:rPr>
                <w:color w:val="2B579A"/>
                <w:shd w:val="clear" w:color="auto" w:fill="E6E6E6"/>
              </w:rPr>
              <w:fldChar w:fldCharType="separate"/>
            </w:r>
            <w:r w:rsidRPr="00F92E6E">
              <w:rPr>
                <w:color w:val="2B579A"/>
                <w:shd w:val="clear" w:color="auto" w:fill="E6E6E6"/>
              </w:rPr>
              <w:fldChar w:fldCharType="end"/>
            </w:r>
            <w:r w:rsidRPr="00F92E6E">
              <w:t xml:space="preserve">Dental </w:t>
            </w:r>
            <w:r w:rsidRPr="00F92E6E">
              <w:rPr>
                <w:noProof/>
                <w:color w:val="2B579A"/>
                <w:shd w:val="clear" w:color="auto" w:fill="E6E6E6"/>
              </w:rPr>
              <w:drawing>
                <wp:inline distT="0" distB="0" distL="0" distR="0" wp14:anchorId="7825957D" wp14:editId="54E4DD96">
                  <wp:extent cx="135802" cy="12781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684" cy="134290"/>
                          </a:xfrm>
                          <a:prstGeom prst="rect">
                            <a:avLst/>
                          </a:prstGeom>
                        </pic:spPr>
                      </pic:pic>
                    </a:graphicData>
                  </a:graphic>
                </wp:inline>
              </w:drawing>
            </w:r>
            <w:r w:rsidRPr="00F92E6E">
              <w:t xml:space="preserve"> Medical Practitioners </w:t>
            </w:r>
            <w:r w:rsidRPr="00F92E6E">
              <w:rPr>
                <w:color w:val="2B579A"/>
                <w:shd w:val="clear" w:color="auto" w:fill="E6E6E6"/>
              </w:rPr>
              <w:fldChar w:fldCharType="begin" w:fldLock="1">
                <w:ffData>
                  <w:name w:val="Check3"/>
                  <w:enabled/>
                  <w:calcOnExit w:val="0"/>
                  <w:checkBox>
                    <w:sizeAuto/>
                    <w:default w:val="0"/>
                  </w:checkBox>
                </w:ffData>
              </w:fldChar>
            </w:r>
            <w:r w:rsidRPr="00F92E6E">
              <w:instrText xml:space="preserve"> FORMCHECKBOX </w:instrText>
            </w:r>
            <w:r w:rsidR="000F75DF">
              <w:rPr>
                <w:color w:val="2B579A"/>
                <w:shd w:val="clear" w:color="auto" w:fill="E6E6E6"/>
              </w:rPr>
            </w:r>
            <w:r w:rsidR="000F75DF">
              <w:rPr>
                <w:color w:val="2B579A"/>
                <w:shd w:val="clear" w:color="auto" w:fill="E6E6E6"/>
              </w:rPr>
              <w:fldChar w:fldCharType="separate"/>
            </w:r>
            <w:r w:rsidRPr="00F92E6E">
              <w:rPr>
                <w:color w:val="2B579A"/>
                <w:shd w:val="clear" w:color="auto" w:fill="E6E6E6"/>
              </w:rPr>
              <w:fldChar w:fldCharType="end"/>
            </w:r>
            <w:r w:rsidRPr="00F92E6E">
              <w:t xml:space="preserve">Nurse practitioners </w:t>
            </w:r>
            <w:r w:rsidRPr="00F92E6E">
              <w:rPr>
                <w:color w:val="2B579A"/>
                <w:shd w:val="clear" w:color="auto" w:fill="E6E6E6"/>
              </w:rPr>
              <w:fldChar w:fldCharType="begin" w:fldLock="1">
                <w:ffData>
                  <w:name w:val=""/>
                  <w:enabled/>
                  <w:calcOnExit w:val="0"/>
                  <w:checkBox>
                    <w:sizeAuto/>
                    <w:default w:val="0"/>
                  </w:checkBox>
                </w:ffData>
              </w:fldChar>
            </w:r>
            <w:r w:rsidRPr="00F92E6E">
              <w:instrText xml:space="preserve"> FORMCHECKBOX </w:instrText>
            </w:r>
            <w:r w:rsidR="000F75DF">
              <w:rPr>
                <w:color w:val="2B579A"/>
                <w:shd w:val="clear" w:color="auto" w:fill="E6E6E6"/>
              </w:rPr>
            </w:r>
            <w:r w:rsidR="000F75DF">
              <w:rPr>
                <w:color w:val="2B579A"/>
                <w:shd w:val="clear" w:color="auto" w:fill="E6E6E6"/>
              </w:rPr>
              <w:fldChar w:fldCharType="separate"/>
            </w:r>
            <w:r w:rsidRPr="00F92E6E">
              <w:rPr>
                <w:color w:val="2B579A"/>
                <w:shd w:val="clear" w:color="auto" w:fill="E6E6E6"/>
              </w:rPr>
              <w:fldChar w:fldCharType="end"/>
            </w:r>
            <w:r w:rsidRPr="00F92E6E">
              <w:t xml:space="preserve">Optometrists </w:t>
            </w:r>
            <w:r w:rsidRPr="00F92E6E">
              <w:rPr>
                <w:color w:val="2B579A"/>
                <w:shd w:val="clear" w:color="auto" w:fill="E6E6E6"/>
              </w:rPr>
              <w:fldChar w:fldCharType="begin" w:fldLock="1">
                <w:ffData>
                  <w:name w:val="Check5"/>
                  <w:enabled/>
                  <w:calcOnExit w:val="0"/>
                  <w:checkBox>
                    <w:sizeAuto/>
                    <w:default w:val="0"/>
                  </w:checkBox>
                </w:ffData>
              </w:fldChar>
            </w:r>
            <w:r w:rsidRPr="00F92E6E">
              <w:instrText xml:space="preserve"> FORMCHECKBOX </w:instrText>
            </w:r>
            <w:r w:rsidR="000F75DF">
              <w:rPr>
                <w:color w:val="2B579A"/>
                <w:shd w:val="clear" w:color="auto" w:fill="E6E6E6"/>
              </w:rPr>
            </w:r>
            <w:r w:rsidR="000F75DF">
              <w:rPr>
                <w:color w:val="2B579A"/>
                <w:shd w:val="clear" w:color="auto" w:fill="E6E6E6"/>
              </w:rPr>
              <w:fldChar w:fldCharType="separate"/>
            </w:r>
            <w:r w:rsidRPr="00F92E6E">
              <w:rPr>
                <w:color w:val="2B579A"/>
                <w:shd w:val="clear" w:color="auto" w:fill="E6E6E6"/>
              </w:rPr>
              <w:fldChar w:fldCharType="end"/>
            </w:r>
            <w:r w:rsidRPr="00F92E6E">
              <w:t>Midwives</w:t>
            </w:r>
          </w:p>
        </w:tc>
      </w:tr>
      <w:tr w:rsidR="00F014AA" w:rsidRPr="00046D64" w14:paraId="61961299" w14:textId="77777777" w:rsidTr="007E1C14">
        <w:trPr>
          <w:cantSplit/>
          <w:trHeight w:val="20"/>
        </w:trPr>
        <w:tc>
          <w:tcPr>
            <w:tcW w:w="5000" w:type="pct"/>
          </w:tcPr>
          <w:p w14:paraId="62D0067F" w14:textId="77777777" w:rsidR="00F014AA" w:rsidRPr="00046D64" w:rsidRDefault="00F014AA" w:rsidP="007E1C14">
            <w:pPr>
              <w:pStyle w:val="TableText0"/>
              <w:keepNext w:val="0"/>
              <w:rPr>
                <w:rFonts w:eastAsia="Times New Roman"/>
              </w:rPr>
            </w:pPr>
            <w:r w:rsidRPr="00046D64">
              <w:rPr>
                <w:b/>
              </w:rPr>
              <w:t>Restriction type:</w:t>
            </w:r>
            <w:r w:rsidRPr="00F92E6E">
              <w:rPr>
                <w:noProof/>
                <w:color w:val="2B579A"/>
                <w:shd w:val="clear" w:color="auto" w:fill="E6E6E6"/>
              </w:rPr>
              <w:t xml:space="preserve"> </w:t>
            </w:r>
            <w:r w:rsidRPr="00F92E6E">
              <w:rPr>
                <w:noProof/>
                <w:color w:val="2B579A"/>
                <w:shd w:val="clear" w:color="auto" w:fill="E6E6E6"/>
              </w:rPr>
              <w:drawing>
                <wp:inline distT="0" distB="0" distL="0" distR="0" wp14:anchorId="6B15A306" wp14:editId="381C0DB9">
                  <wp:extent cx="135802" cy="127813"/>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684" cy="134290"/>
                          </a:xfrm>
                          <a:prstGeom prst="rect">
                            <a:avLst/>
                          </a:prstGeom>
                        </pic:spPr>
                      </pic:pic>
                    </a:graphicData>
                  </a:graphic>
                </wp:inline>
              </w:drawing>
            </w:r>
            <w:r w:rsidRPr="00F92E6E">
              <w:t xml:space="preserve"> </w:t>
            </w:r>
            <w:r w:rsidRPr="00046D64">
              <w:rPr>
                <w:rFonts w:eastAsia="Times New Roman"/>
              </w:rPr>
              <w:t xml:space="preserve">Authority Required (in writing only via post/HPOS upload)  </w:t>
            </w:r>
          </w:p>
        </w:tc>
      </w:tr>
      <w:tr w:rsidR="00F014AA" w:rsidRPr="00046D64" w14:paraId="1F992457" w14:textId="77777777" w:rsidTr="007E1C14">
        <w:trPr>
          <w:cantSplit/>
          <w:trHeight w:val="20"/>
        </w:trPr>
        <w:tc>
          <w:tcPr>
            <w:tcW w:w="5000" w:type="pct"/>
            <w:vAlign w:val="center"/>
          </w:tcPr>
          <w:p w14:paraId="555456F7" w14:textId="77777777" w:rsidR="00F014AA" w:rsidRPr="00046D64" w:rsidRDefault="00F014AA" w:rsidP="007E1C14">
            <w:pPr>
              <w:pStyle w:val="TableText0"/>
              <w:keepNext w:val="0"/>
              <w:rPr>
                <w:b/>
              </w:rPr>
            </w:pPr>
            <w:r w:rsidRPr="00046D64">
              <w:rPr>
                <w:b/>
              </w:rPr>
              <w:t>Administrative Advice:</w:t>
            </w:r>
            <w:r>
              <w:rPr>
                <w:b/>
              </w:rPr>
              <w:t xml:space="preserve"> </w:t>
            </w:r>
            <w:r w:rsidRPr="007B77C7">
              <w:rPr>
                <w:rStyle w:val="PBACTableTextChar"/>
              </w:rPr>
              <w:t>Subcutaneous injection</w:t>
            </w:r>
          </w:p>
        </w:tc>
      </w:tr>
      <w:tr w:rsidR="00F014AA" w:rsidRPr="00046D64" w14:paraId="008261B8" w14:textId="77777777" w:rsidTr="007E1C14">
        <w:trPr>
          <w:cantSplit/>
          <w:trHeight w:val="20"/>
        </w:trPr>
        <w:tc>
          <w:tcPr>
            <w:tcW w:w="5000" w:type="pct"/>
            <w:vAlign w:val="center"/>
          </w:tcPr>
          <w:p w14:paraId="5113D294" w14:textId="77777777" w:rsidR="00F014AA" w:rsidRPr="00046D64" w:rsidRDefault="00F014AA" w:rsidP="007E1C14">
            <w:pPr>
              <w:pStyle w:val="TableText0"/>
              <w:keepNext w:val="0"/>
              <w:rPr>
                <w:b/>
              </w:rPr>
            </w:pPr>
            <w:r w:rsidRPr="00046D64">
              <w:rPr>
                <w:b/>
              </w:rPr>
              <w:t xml:space="preserve">Severity: </w:t>
            </w:r>
            <w:r w:rsidRPr="007B77C7">
              <w:rPr>
                <w:rStyle w:val="PBACTableTextChar"/>
              </w:rPr>
              <w:t>Moderate to severe</w:t>
            </w:r>
          </w:p>
        </w:tc>
      </w:tr>
      <w:tr w:rsidR="00F014AA" w:rsidRPr="00046D64" w14:paraId="792DFD10" w14:textId="77777777" w:rsidTr="007E1C14">
        <w:trPr>
          <w:cantSplit/>
          <w:trHeight w:val="20"/>
        </w:trPr>
        <w:tc>
          <w:tcPr>
            <w:tcW w:w="5000" w:type="pct"/>
            <w:vAlign w:val="center"/>
          </w:tcPr>
          <w:p w14:paraId="24EB7D2D" w14:textId="2C9E148E" w:rsidR="00F014AA" w:rsidRPr="00046D64" w:rsidRDefault="00F014AA" w:rsidP="007E1C14">
            <w:pPr>
              <w:pStyle w:val="TableText0"/>
              <w:keepNext w:val="0"/>
              <w:rPr>
                <w:b/>
              </w:rPr>
            </w:pPr>
            <w:r w:rsidRPr="00046D64">
              <w:rPr>
                <w:b/>
              </w:rPr>
              <w:t xml:space="preserve">Condition: </w:t>
            </w:r>
            <w:r w:rsidR="0040079A">
              <w:rPr>
                <w:rStyle w:val="PBACTableTextChar"/>
              </w:rPr>
              <w:t>Hidradenitis</w:t>
            </w:r>
            <w:r w:rsidRPr="007B77C7">
              <w:rPr>
                <w:rStyle w:val="PBACTableTextChar"/>
              </w:rPr>
              <w:t xml:space="preserve"> suppurativa</w:t>
            </w:r>
          </w:p>
        </w:tc>
      </w:tr>
      <w:tr w:rsidR="00F014AA" w:rsidRPr="00046D64" w14:paraId="153C67D7" w14:textId="77777777" w:rsidTr="007E1C14">
        <w:trPr>
          <w:cantSplit/>
          <w:trHeight w:val="20"/>
        </w:trPr>
        <w:tc>
          <w:tcPr>
            <w:tcW w:w="5000" w:type="pct"/>
            <w:vAlign w:val="center"/>
            <w:hideMark/>
          </w:tcPr>
          <w:p w14:paraId="745252B9" w14:textId="77777777" w:rsidR="00F014AA" w:rsidRPr="00046D64" w:rsidRDefault="00F014AA" w:rsidP="007E1C14">
            <w:pPr>
              <w:pStyle w:val="TableText0"/>
              <w:keepNext w:val="0"/>
            </w:pPr>
            <w:r w:rsidRPr="00046D64">
              <w:rPr>
                <w:b/>
              </w:rPr>
              <w:t>Treatment Phase:</w:t>
            </w:r>
            <w:r w:rsidRPr="00046D64">
              <w:t xml:space="preserve"> </w:t>
            </w:r>
            <w:r w:rsidRPr="007B77C7">
              <w:rPr>
                <w:rStyle w:val="PBACTableTextChar"/>
              </w:rPr>
              <w:t>Initial treatment 1, new patient</w:t>
            </w:r>
          </w:p>
        </w:tc>
      </w:tr>
      <w:tr w:rsidR="00F014AA" w:rsidRPr="00046D64" w14:paraId="427DE76C" w14:textId="77777777" w:rsidTr="007E1C14">
        <w:trPr>
          <w:cantSplit/>
          <w:trHeight w:val="20"/>
        </w:trPr>
        <w:tc>
          <w:tcPr>
            <w:tcW w:w="5000" w:type="pct"/>
            <w:vAlign w:val="center"/>
            <w:hideMark/>
          </w:tcPr>
          <w:p w14:paraId="4968547C" w14:textId="77777777" w:rsidR="00F014AA" w:rsidRPr="00046D64" w:rsidRDefault="00F014AA" w:rsidP="007E1C14">
            <w:pPr>
              <w:pStyle w:val="TableText0"/>
              <w:keepNext w:val="0"/>
            </w:pPr>
            <w:r w:rsidRPr="00046D64">
              <w:rPr>
                <w:b/>
              </w:rPr>
              <w:t>Clinical criteria:</w:t>
            </w:r>
          </w:p>
        </w:tc>
      </w:tr>
      <w:tr w:rsidR="00F014AA" w:rsidRPr="00046D64" w14:paraId="45518ED5" w14:textId="77777777" w:rsidTr="007E1C14">
        <w:trPr>
          <w:cantSplit/>
          <w:trHeight w:val="20"/>
        </w:trPr>
        <w:tc>
          <w:tcPr>
            <w:tcW w:w="5000" w:type="pct"/>
            <w:vAlign w:val="center"/>
            <w:hideMark/>
          </w:tcPr>
          <w:p w14:paraId="7323F3EC" w14:textId="77777777" w:rsidR="00F014AA" w:rsidRPr="008247D7" w:rsidRDefault="00F014AA" w:rsidP="007E1C14">
            <w:pPr>
              <w:pStyle w:val="PBACTableText"/>
              <w:spacing w:before="0" w:after="0"/>
              <w:rPr>
                <w:color w:val="0066FF"/>
              </w:rPr>
            </w:pPr>
            <w:r w:rsidRPr="008247D7">
              <w:t xml:space="preserve">Patient </w:t>
            </w:r>
            <w:proofErr w:type="gramStart"/>
            <w:r w:rsidRPr="008247D7">
              <w:t>must have,</w:t>
            </w:r>
            <w:proofErr w:type="gramEnd"/>
            <w:r w:rsidRPr="008247D7">
              <w:t xml:space="preserve"> at the time of application, a Hurley stage II or III grading with an abscess and inflammatory nodule (AN) count greater than or equal to 3, </w:t>
            </w:r>
          </w:p>
        </w:tc>
      </w:tr>
      <w:tr w:rsidR="00F014AA" w:rsidRPr="00046D64" w14:paraId="35A03791" w14:textId="77777777" w:rsidTr="007E1C14">
        <w:trPr>
          <w:cantSplit/>
          <w:trHeight w:val="20"/>
        </w:trPr>
        <w:tc>
          <w:tcPr>
            <w:tcW w:w="5000" w:type="pct"/>
            <w:vAlign w:val="center"/>
            <w:hideMark/>
          </w:tcPr>
          <w:p w14:paraId="64E16302" w14:textId="77777777" w:rsidR="00F014AA" w:rsidRPr="00046D64" w:rsidRDefault="00F014AA" w:rsidP="007E1C14">
            <w:pPr>
              <w:pStyle w:val="TableText0"/>
              <w:keepNext w:val="0"/>
            </w:pPr>
            <w:r w:rsidRPr="00046D64">
              <w:rPr>
                <w:b/>
              </w:rPr>
              <w:t>AND</w:t>
            </w:r>
          </w:p>
        </w:tc>
      </w:tr>
      <w:tr w:rsidR="00F014AA" w:rsidRPr="00046D64" w14:paraId="040058C9" w14:textId="77777777" w:rsidTr="007E1C14">
        <w:trPr>
          <w:cantSplit/>
          <w:trHeight w:val="20"/>
        </w:trPr>
        <w:tc>
          <w:tcPr>
            <w:tcW w:w="5000" w:type="pct"/>
            <w:vAlign w:val="center"/>
            <w:hideMark/>
          </w:tcPr>
          <w:p w14:paraId="5E808878" w14:textId="77777777" w:rsidR="00F014AA" w:rsidRPr="00046D64" w:rsidRDefault="00F014AA" w:rsidP="007E1C14">
            <w:pPr>
              <w:pStyle w:val="TableText0"/>
              <w:keepNext w:val="0"/>
            </w:pPr>
            <w:r w:rsidRPr="00046D64">
              <w:rPr>
                <w:b/>
              </w:rPr>
              <w:t>Clinical criteria:</w:t>
            </w:r>
          </w:p>
        </w:tc>
      </w:tr>
      <w:tr w:rsidR="00F014AA" w:rsidRPr="00046D64" w14:paraId="6295B61E" w14:textId="77777777" w:rsidTr="007E1C14">
        <w:trPr>
          <w:cantSplit/>
          <w:trHeight w:val="20"/>
        </w:trPr>
        <w:tc>
          <w:tcPr>
            <w:tcW w:w="5000" w:type="pct"/>
            <w:vAlign w:val="center"/>
            <w:hideMark/>
          </w:tcPr>
          <w:p w14:paraId="1C5ACDCB" w14:textId="77777777" w:rsidR="00F014AA" w:rsidRPr="007B77C7" w:rsidRDefault="00F014AA" w:rsidP="007E1C14">
            <w:pPr>
              <w:pStyle w:val="PBACTableText"/>
              <w:spacing w:before="0" w:after="0"/>
            </w:pPr>
            <w:r w:rsidRPr="007B77C7">
              <w:t xml:space="preserve">Patient must have failed to achieve an adequate response to 2 courses of different antibiotics each for 3 months prior to initiation of PBS subsidised treatment with this drug for this condition; OR </w:t>
            </w:r>
          </w:p>
        </w:tc>
      </w:tr>
      <w:tr w:rsidR="00F014AA" w:rsidRPr="00046D64" w14:paraId="3DF13101" w14:textId="77777777" w:rsidTr="007E1C14">
        <w:trPr>
          <w:cantSplit/>
          <w:trHeight w:val="20"/>
        </w:trPr>
        <w:tc>
          <w:tcPr>
            <w:tcW w:w="5000" w:type="pct"/>
            <w:vAlign w:val="center"/>
          </w:tcPr>
          <w:p w14:paraId="247880C8" w14:textId="77777777" w:rsidR="00F014AA" w:rsidRPr="007B77C7" w:rsidRDefault="00F014AA" w:rsidP="007E1C14">
            <w:pPr>
              <w:pStyle w:val="PBACTableText"/>
              <w:spacing w:before="0" w:after="0"/>
            </w:pPr>
            <w:r w:rsidRPr="007B77C7">
              <w:lastRenderedPageBreak/>
              <w:t xml:space="preserve">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 </w:t>
            </w:r>
          </w:p>
        </w:tc>
      </w:tr>
      <w:tr w:rsidR="00F014AA" w:rsidRPr="00046D64" w14:paraId="1D043077" w14:textId="77777777" w:rsidTr="007E1C14">
        <w:trPr>
          <w:cantSplit/>
          <w:trHeight w:val="20"/>
        </w:trPr>
        <w:tc>
          <w:tcPr>
            <w:tcW w:w="5000" w:type="pct"/>
            <w:vAlign w:val="center"/>
          </w:tcPr>
          <w:p w14:paraId="68F1BD9D" w14:textId="77777777" w:rsidR="00F014AA" w:rsidRPr="007B77C7" w:rsidRDefault="00F014AA" w:rsidP="007E1C14">
            <w:pPr>
              <w:pStyle w:val="PBACTableText"/>
              <w:spacing w:before="0" w:after="0"/>
            </w:pPr>
            <w:r w:rsidRPr="007B77C7">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w:t>
            </w:r>
          </w:p>
        </w:tc>
      </w:tr>
      <w:tr w:rsidR="00F014AA" w:rsidRPr="00046D64" w14:paraId="2F11B371" w14:textId="77777777" w:rsidTr="007E1C14">
        <w:trPr>
          <w:cantSplit/>
          <w:trHeight w:val="20"/>
        </w:trPr>
        <w:tc>
          <w:tcPr>
            <w:tcW w:w="5000" w:type="pct"/>
            <w:vAlign w:val="center"/>
          </w:tcPr>
          <w:p w14:paraId="44C40572" w14:textId="77777777" w:rsidR="00F014AA" w:rsidRPr="00812971" w:rsidRDefault="00F014AA" w:rsidP="007E1C14">
            <w:pPr>
              <w:pStyle w:val="TableText0"/>
              <w:keepNext w:val="0"/>
              <w:rPr>
                <w:b/>
                <w:bCs w:val="0"/>
              </w:rPr>
            </w:pPr>
            <w:r w:rsidRPr="00812971">
              <w:rPr>
                <w:b/>
                <w:bCs w:val="0"/>
              </w:rPr>
              <w:t>AND</w:t>
            </w:r>
          </w:p>
        </w:tc>
      </w:tr>
      <w:tr w:rsidR="00F014AA" w:rsidRPr="00046D64" w14:paraId="722AC19A" w14:textId="77777777" w:rsidTr="007E1C14">
        <w:trPr>
          <w:cantSplit/>
          <w:trHeight w:val="20"/>
        </w:trPr>
        <w:tc>
          <w:tcPr>
            <w:tcW w:w="5000" w:type="pct"/>
            <w:vAlign w:val="center"/>
          </w:tcPr>
          <w:p w14:paraId="551DC566" w14:textId="77777777" w:rsidR="00F014AA" w:rsidRPr="00D952C1" w:rsidRDefault="00F014AA" w:rsidP="007E1C14">
            <w:pPr>
              <w:pStyle w:val="TableText0"/>
              <w:keepNext w:val="0"/>
            </w:pPr>
            <w:r w:rsidRPr="00EB1759">
              <w:t>The treatment must be limited to a maximum duration of 16 weeks.</w:t>
            </w:r>
          </w:p>
        </w:tc>
      </w:tr>
      <w:tr w:rsidR="00F014AA" w:rsidRPr="00046D64" w14:paraId="055C8EBF" w14:textId="77777777" w:rsidTr="007E1C14">
        <w:trPr>
          <w:cantSplit/>
          <w:trHeight w:val="20"/>
        </w:trPr>
        <w:tc>
          <w:tcPr>
            <w:tcW w:w="5000" w:type="pct"/>
            <w:vAlign w:val="center"/>
            <w:hideMark/>
          </w:tcPr>
          <w:p w14:paraId="6D523232" w14:textId="77777777" w:rsidR="00F014AA" w:rsidRPr="00046D64" w:rsidRDefault="00F014AA" w:rsidP="007E1C14">
            <w:pPr>
              <w:pStyle w:val="TableText0"/>
              <w:keepNext w:val="0"/>
            </w:pPr>
            <w:r w:rsidRPr="00046D64">
              <w:rPr>
                <w:b/>
              </w:rPr>
              <w:t>Treatment criteria:</w:t>
            </w:r>
          </w:p>
        </w:tc>
      </w:tr>
      <w:tr w:rsidR="00F014AA" w:rsidRPr="00046D64" w14:paraId="15F58DF2" w14:textId="77777777" w:rsidTr="007E1C14">
        <w:trPr>
          <w:cantSplit/>
          <w:trHeight w:val="20"/>
        </w:trPr>
        <w:tc>
          <w:tcPr>
            <w:tcW w:w="5000" w:type="pct"/>
            <w:vAlign w:val="center"/>
            <w:hideMark/>
          </w:tcPr>
          <w:p w14:paraId="4ADCDC20" w14:textId="77777777" w:rsidR="00F014AA" w:rsidRPr="00046D64" w:rsidRDefault="00F014AA" w:rsidP="007E1C14">
            <w:pPr>
              <w:pStyle w:val="TableText0"/>
              <w:keepNext w:val="0"/>
              <w:rPr>
                <w:i/>
                <w:iCs/>
              </w:rPr>
            </w:pPr>
            <w:r w:rsidRPr="00B01D6A">
              <w:t>Must be treated by a dermatologist</w:t>
            </w:r>
          </w:p>
        </w:tc>
      </w:tr>
      <w:tr w:rsidR="00F014AA" w:rsidRPr="00046D64" w14:paraId="7BE42D71" w14:textId="77777777" w:rsidTr="007E1C14">
        <w:trPr>
          <w:cantSplit/>
          <w:trHeight w:val="20"/>
        </w:trPr>
        <w:tc>
          <w:tcPr>
            <w:tcW w:w="5000" w:type="pct"/>
            <w:vAlign w:val="center"/>
            <w:hideMark/>
          </w:tcPr>
          <w:p w14:paraId="085339FC" w14:textId="77777777" w:rsidR="00F014AA" w:rsidRPr="00EE76F8" w:rsidRDefault="00F014AA" w:rsidP="007E1C14">
            <w:pPr>
              <w:pStyle w:val="TableText0"/>
              <w:keepNext w:val="0"/>
            </w:pPr>
            <w:r w:rsidRPr="00EE76F8">
              <w:rPr>
                <w:b/>
              </w:rPr>
              <w:t>Population criteria:</w:t>
            </w:r>
          </w:p>
        </w:tc>
      </w:tr>
      <w:tr w:rsidR="00F014AA" w:rsidRPr="00046D64" w14:paraId="362F6795" w14:textId="77777777" w:rsidTr="007E1C14">
        <w:trPr>
          <w:cantSplit/>
          <w:trHeight w:val="20"/>
        </w:trPr>
        <w:tc>
          <w:tcPr>
            <w:tcW w:w="5000" w:type="pct"/>
            <w:vAlign w:val="center"/>
          </w:tcPr>
          <w:p w14:paraId="7BB05164" w14:textId="77777777" w:rsidR="00F014AA" w:rsidRPr="00EE76F8" w:rsidRDefault="00F014AA" w:rsidP="007E1C14">
            <w:pPr>
              <w:pStyle w:val="PBACTableText"/>
              <w:spacing w:before="0" w:after="0"/>
            </w:pPr>
            <w:r w:rsidRPr="00EE76F8">
              <w:t>Adult patients</w:t>
            </w:r>
          </w:p>
        </w:tc>
      </w:tr>
      <w:tr w:rsidR="00F014AA" w:rsidRPr="00046D64" w14:paraId="7C759F56" w14:textId="77777777" w:rsidTr="007E1C14">
        <w:trPr>
          <w:cantSplit/>
          <w:trHeight w:val="20"/>
        </w:trPr>
        <w:tc>
          <w:tcPr>
            <w:tcW w:w="5000" w:type="pct"/>
            <w:vAlign w:val="center"/>
            <w:hideMark/>
          </w:tcPr>
          <w:p w14:paraId="53A59B84" w14:textId="77777777" w:rsidR="00F014AA" w:rsidRPr="0041172B" w:rsidRDefault="00F014AA" w:rsidP="007E1C14">
            <w:pPr>
              <w:pStyle w:val="PBACTableText"/>
              <w:spacing w:before="0" w:after="0"/>
            </w:pPr>
            <w:r w:rsidRPr="00046D64">
              <w:rPr>
                <w:b/>
              </w:rPr>
              <w:t xml:space="preserve">Prescribing Instructions: </w:t>
            </w:r>
            <w:r w:rsidRPr="00F04C3B">
              <w:t>Assessment of disease severity must be no more than 1 month old at the time of application.</w:t>
            </w:r>
          </w:p>
          <w:p w14:paraId="134BEF5F" w14:textId="77777777" w:rsidR="00F014AA" w:rsidRPr="0041172B" w:rsidRDefault="00F014AA" w:rsidP="007E1C14">
            <w:pPr>
              <w:pStyle w:val="PBACTableText"/>
              <w:spacing w:before="0" w:after="0"/>
            </w:pPr>
            <w:r w:rsidRPr="00F04C3B">
              <w:t>An assessment of the patient</w:t>
            </w:r>
            <w:r>
              <w:t>’</w:t>
            </w:r>
            <w:r w:rsidRPr="00F04C3B">
              <w:t xml:space="preserve">s response to this recommencement course of treatment must be made following a minimum of 12 weeks of treatment. </w:t>
            </w:r>
          </w:p>
          <w:p w14:paraId="632ACFE0" w14:textId="77777777" w:rsidR="00F014AA" w:rsidRPr="00F04C3B" w:rsidRDefault="00F014AA" w:rsidP="007E1C14">
            <w:pPr>
              <w:pStyle w:val="PBACTableText"/>
              <w:spacing w:before="0" w:after="0"/>
            </w:pPr>
            <w:r w:rsidRPr="00F04C3B">
              <w:t xml:space="preserve">At the time of authority </w:t>
            </w:r>
            <w:proofErr w:type="gramStart"/>
            <w:r w:rsidRPr="00F04C3B">
              <w:t>application</w:t>
            </w:r>
            <w:proofErr w:type="gramEnd"/>
            <w:r w:rsidRPr="00F04C3B">
              <w:t xml:space="preserve"> the prescriber must request the first 4 weeks of treatment under this restriction; and weeks 5 to 16 of treatment under Initial treatment 1 </w:t>
            </w:r>
            <w:r>
              <w:t>–</w:t>
            </w:r>
            <w:r w:rsidRPr="00F04C3B">
              <w:t xml:space="preserve"> New patient or Initial treatment 2 </w:t>
            </w:r>
            <w:r>
              <w:t>–</w:t>
            </w:r>
            <w:r w:rsidRPr="00F04C3B">
              <w:t xml:space="preserve"> Recommencement of treatment </w:t>
            </w:r>
            <w:r>
              <w:t>–</w:t>
            </w:r>
            <w:r w:rsidRPr="00F04C3B">
              <w:t xml:space="preserve"> balance of supply</w:t>
            </w:r>
          </w:p>
        </w:tc>
      </w:tr>
    </w:tbl>
    <w:p w14:paraId="476E93B6" w14:textId="77777777" w:rsidR="00F014AA" w:rsidRDefault="00F014AA" w:rsidP="00A47884">
      <w:pPr>
        <w:pStyle w:val="FooterTableFigure"/>
        <w:keepNext/>
      </w:pPr>
      <w:r>
        <w:t xml:space="preserve">Source: Table 1.7, pp36-37 </w:t>
      </w:r>
      <w:r w:rsidRPr="00D13A3E">
        <w:t xml:space="preserve">of the </w:t>
      </w:r>
      <w: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F014AA" w:rsidRPr="00046D64" w14:paraId="0501E606" w14:textId="77777777">
        <w:trPr>
          <w:cantSplit/>
          <w:trHeight w:val="20"/>
        </w:trPr>
        <w:tc>
          <w:tcPr>
            <w:tcW w:w="5000" w:type="pct"/>
          </w:tcPr>
          <w:p w14:paraId="13FDA725" w14:textId="77777777" w:rsidR="00F014AA" w:rsidRPr="00046D64" w:rsidRDefault="00F014AA" w:rsidP="007E1C14">
            <w:pPr>
              <w:pStyle w:val="TableText0"/>
              <w:keepLines/>
            </w:pPr>
            <w:r w:rsidRPr="00046D64">
              <w:rPr>
                <w:b/>
              </w:rPr>
              <w:t xml:space="preserve">Category / Program: </w:t>
            </w:r>
            <w:r w:rsidRPr="007B77C7">
              <w:rPr>
                <w:rStyle w:val="PBACTableTextChar"/>
              </w:rPr>
              <w:t>General Schedule (Code GE)</w:t>
            </w:r>
          </w:p>
        </w:tc>
      </w:tr>
      <w:tr w:rsidR="00F014AA" w:rsidRPr="00046D64" w14:paraId="650F3312" w14:textId="77777777">
        <w:trPr>
          <w:cantSplit/>
          <w:trHeight w:val="20"/>
        </w:trPr>
        <w:tc>
          <w:tcPr>
            <w:tcW w:w="5000" w:type="pct"/>
          </w:tcPr>
          <w:p w14:paraId="34E234C5" w14:textId="77777777" w:rsidR="00F014AA" w:rsidRPr="00046D64" w:rsidRDefault="00F014AA" w:rsidP="007E1C14">
            <w:pPr>
              <w:pStyle w:val="TableText0"/>
              <w:keepLines/>
              <w:rPr>
                <w:b/>
              </w:rPr>
            </w:pPr>
            <w:r w:rsidRPr="00046D64">
              <w:rPr>
                <w:b/>
              </w:rPr>
              <w:t xml:space="preserve">Prescriber type: </w:t>
            </w:r>
            <w:r w:rsidRPr="00F92E6E">
              <w:rPr>
                <w:color w:val="2B579A"/>
                <w:shd w:val="clear" w:color="auto" w:fill="E6E6E6"/>
              </w:rPr>
              <w:fldChar w:fldCharType="begin" w:fldLock="1">
                <w:ffData>
                  <w:name w:val="Check1"/>
                  <w:enabled/>
                  <w:calcOnExit w:val="0"/>
                  <w:checkBox>
                    <w:sizeAuto/>
                    <w:default w:val="0"/>
                  </w:checkBox>
                </w:ffData>
              </w:fldChar>
            </w:r>
            <w:r w:rsidRPr="00F92E6E">
              <w:instrText xml:space="preserve"> FORMCHECKBOX </w:instrText>
            </w:r>
            <w:r w:rsidR="000F75DF">
              <w:rPr>
                <w:color w:val="2B579A"/>
                <w:shd w:val="clear" w:color="auto" w:fill="E6E6E6"/>
              </w:rPr>
            </w:r>
            <w:r w:rsidR="000F75DF">
              <w:rPr>
                <w:color w:val="2B579A"/>
                <w:shd w:val="clear" w:color="auto" w:fill="E6E6E6"/>
              </w:rPr>
              <w:fldChar w:fldCharType="separate"/>
            </w:r>
            <w:r w:rsidRPr="00F92E6E">
              <w:rPr>
                <w:color w:val="2B579A"/>
                <w:shd w:val="clear" w:color="auto" w:fill="E6E6E6"/>
              </w:rPr>
              <w:fldChar w:fldCharType="end"/>
            </w:r>
            <w:r w:rsidRPr="00F92E6E">
              <w:t xml:space="preserve">Dental </w:t>
            </w:r>
            <w:r w:rsidRPr="00F92E6E">
              <w:rPr>
                <w:noProof/>
                <w:color w:val="2B579A"/>
                <w:shd w:val="clear" w:color="auto" w:fill="E6E6E6"/>
              </w:rPr>
              <w:drawing>
                <wp:inline distT="0" distB="0" distL="0" distR="0" wp14:anchorId="5140CD7F" wp14:editId="3E1866F7">
                  <wp:extent cx="135802" cy="127813"/>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684" cy="134290"/>
                          </a:xfrm>
                          <a:prstGeom prst="rect">
                            <a:avLst/>
                          </a:prstGeom>
                        </pic:spPr>
                      </pic:pic>
                    </a:graphicData>
                  </a:graphic>
                </wp:inline>
              </w:drawing>
            </w:r>
            <w:r w:rsidRPr="00F92E6E">
              <w:t xml:space="preserve"> Medical Practitioners </w:t>
            </w:r>
            <w:r w:rsidRPr="00F92E6E">
              <w:rPr>
                <w:color w:val="2B579A"/>
                <w:shd w:val="clear" w:color="auto" w:fill="E6E6E6"/>
              </w:rPr>
              <w:fldChar w:fldCharType="begin" w:fldLock="1">
                <w:ffData>
                  <w:name w:val="Check3"/>
                  <w:enabled/>
                  <w:calcOnExit w:val="0"/>
                  <w:checkBox>
                    <w:sizeAuto/>
                    <w:default w:val="0"/>
                  </w:checkBox>
                </w:ffData>
              </w:fldChar>
            </w:r>
            <w:r w:rsidRPr="00F92E6E">
              <w:instrText xml:space="preserve"> FORMCHECKBOX </w:instrText>
            </w:r>
            <w:r w:rsidR="000F75DF">
              <w:rPr>
                <w:color w:val="2B579A"/>
                <w:shd w:val="clear" w:color="auto" w:fill="E6E6E6"/>
              </w:rPr>
            </w:r>
            <w:r w:rsidR="000F75DF">
              <w:rPr>
                <w:color w:val="2B579A"/>
                <w:shd w:val="clear" w:color="auto" w:fill="E6E6E6"/>
              </w:rPr>
              <w:fldChar w:fldCharType="separate"/>
            </w:r>
            <w:r w:rsidRPr="00F92E6E">
              <w:rPr>
                <w:color w:val="2B579A"/>
                <w:shd w:val="clear" w:color="auto" w:fill="E6E6E6"/>
              </w:rPr>
              <w:fldChar w:fldCharType="end"/>
            </w:r>
            <w:r w:rsidRPr="00F92E6E">
              <w:t xml:space="preserve">Nurse practitioners </w:t>
            </w:r>
            <w:r w:rsidRPr="00F92E6E">
              <w:rPr>
                <w:color w:val="2B579A"/>
                <w:shd w:val="clear" w:color="auto" w:fill="E6E6E6"/>
              </w:rPr>
              <w:fldChar w:fldCharType="begin" w:fldLock="1">
                <w:ffData>
                  <w:name w:val=""/>
                  <w:enabled/>
                  <w:calcOnExit w:val="0"/>
                  <w:checkBox>
                    <w:sizeAuto/>
                    <w:default w:val="0"/>
                  </w:checkBox>
                </w:ffData>
              </w:fldChar>
            </w:r>
            <w:r w:rsidRPr="00F92E6E">
              <w:instrText xml:space="preserve"> FORMCHECKBOX </w:instrText>
            </w:r>
            <w:r w:rsidR="000F75DF">
              <w:rPr>
                <w:color w:val="2B579A"/>
                <w:shd w:val="clear" w:color="auto" w:fill="E6E6E6"/>
              </w:rPr>
            </w:r>
            <w:r w:rsidR="000F75DF">
              <w:rPr>
                <w:color w:val="2B579A"/>
                <w:shd w:val="clear" w:color="auto" w:fill="E6E6E6"/>
              </w:rPr>
              <w:fldChar w:fldCharType="separate"/>
            </w:r>
            <w:r w:rsidRPr="00F92E6E">
              <w:rPr>
                <w:color w:val="2B579A"/>
                <w:shd w:val="clear" w:color="auto" w:fill="E6E6E6"/>
              </w:rPr>
              <w:fldChar w:fldCharType="end"/>
            </w:r>
            <w:r w:rsidRPr="00F92E6E">
              <w:t xml:space="preserve">Optometrists </w:t>
            </w:r>
            <w:r w:rsidRPr="00F92E6E">
              <w:rPr>
                <w:color w:val="2B579A"/>
                <w:shd w:val="clear" w:color="auto" w:fill="E6E6E6"/>
              </w:rPr>
              <w:fldChar w:fldCharType="begin" w:fldLock="1">
                <w:ffData>
                  <w:name w:val="Check5"/>
                  <w:enabled/>
                  <w:calcOnExit w:val="0"/>
                  <w:checkBox>
                    <w:sizeAuto/>
                    <w:default w:val="0"/>
                  </w:checkBox>
                </w:ffData>
              </w:fldChar>
            </w:r>
            <w:r w:rsidRPr="00F92E6E">
              <w:instrText xml:space="preserve"> FORMCHECKBOX </w:instrText>
            </w:r>
            <w:r w:rsidR="000F75DF">
              <w:rPr>
                <w:color w:val="2B579A"/>
                <w:shd w:val="clear" w:color="auto" w:fill="E6E6E6"/>
              </w:rPr>
            </w:r>
            <w:r w:rsidR="000F75DF">
              <w:rPr>
                <w:color w:val="2B579A"/>
                <w:shd w:val="clear" w:color="auto" w:fill="E6E6E6"/>
              </w:rPr>
              <w:fldChar w:fldCharType="separate"/>
            </w:r>
            <w:r w:rsidRPr="00F92E6E">
              <w:rPr>
                <w:color w:val="2B579A"/>
                <w:shd w:val="clear" w:color="auto" w:fill="E6E6E6"/>
              </w:rPr>
              <w:fldChar w:fldCharType="end"/>
            </w:r>
            <w:r w:rsidRPr="00F92E6E">
              <w:t>Midwives</w:t>
            </w:r>
          </w:p>
        </w:tc>
      </w:tr>
      <w:tr w:rsidR="00F014AA" w:rsidRPr="00046D64" w14:paraId="5E36155D" w14:textId="77777777">
        <w:trPr>
          <w:cantSplit/>
          <w:trHeight w:val="20"/>
        </w:trPr>
        <w:tc>
          <w:tcPr>
            <w:tcW w:w="5000" w:type="pct"/>
          </w:tcPr>
          <w:p w14:paraId="13271AA6" w14:textId="77777777" w:rsidR="00F014AA" w:rsidRPr="00046D64" w:rsidRDefault="00F014AA" w:rsidP="007E1C14">
            <w:pPr>
              <w:pStyle w:val="TableText0"/>
              <w:keepLines/>
              <w:rPr>
                <w:rFonts w:eastAsia="Times New Roman"/>
              </w:rPr>
            </w:pPr>
            <w:r w:rsidRPr="00046D64">
              <w:rPr>
                <w:b/>
              </w:rPr>
              <w:t xml:space="preserve">Restriction type: </w:t>
            </w:r>
            <w:r w:rsidRPr="00F92E6E">
              <w:rPr>
                <w:noProof/>
                <w:color w:val="2B579A"/>
                <w:shd w:val="clear" w:color="auto" w:fill="E6E6E6"/>
              </w:rPr>
              <w:drawing>
                <wp:inline distT="0" distB="0" distL="0" distR="0" wp14:anchorId="4932E5CD" wp14:editId="40A6BBAB">
                  <wp:extent cx="135802" cy="127813"/>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684" cy="134290"/>
                          </a:xfrm>
                          <a:prstGeom prst="rect">
                            <a:avLst/>
                          </a:prstGeom>
                        </pic:spPr>
                      </pic:pic>
                    </a:graphicData>
                  </a:graphic>
                </wp:inline>
              </w:drawing>
            </w:r>
            <w:r w:rsidRPr="00F92E6E">
              <w:t xml:space="preserve"> </w:t>
            </w:r>
            <w:r w:rsidRPr="007B77C7">
              <w:rPr>
                <w:rStyle w:val="PBACTableTextChar"/>
              </w:rPr>
              <w:t>Authority Required (in writing only via post/HPOS upload)</w:t>
            </w:r>
            <w:r w:rsidRPr="00046D64">
              <w:rPr>
                <w:rFonts w:eastAsia="Times New Roman"/>
              </w:rPr>
              <w:t xml:space="preserve">  </w:t>
            </w:r>
          </w:p>
        </w:tc>
      </w:tr>
      <w:tr w:rsidR="00F014AA" w:rsidRPr="00046D64" w14:paraId="01F1C82B" w14:textId="77777777">
        <w:trPr>
          <w:cantSplit/>
          <w:trHeight w:val="20"/>
        </w:trPr>
        <w:tc>
          <w:tcPr>
            <w:tcW w:w="5000" w:type="pct"/>
            <w:vAlign w:val="center"/>
          </w:tcPr>
          <w:p w14:paraId="5BDE806D" w14:textId="77777777" w:rsidR="00F014AA" w:rsidRPr="00046D64" w:rsidRDefault="00F014AA" w:rsidP="007E1C14">
            <w:pPr>
              <w:pStyle w:val="TableText0"/>
              <w:keepLines/>
              <w:rPr>
                <w:b/>
              </w:rPr>
            </w:pPr>
            <w:r w:rsidRPr="00046D64">
              <w:rPr>
                <w:b/>
              </w:rPr>
              <w:t>Administrative Advice:</w:t>
            </w:r>
            <w:r>
              <w:rPr>
                <w:b/>
              </w:rPr>
              <w:t xml:space="preserve"> </w:t>
            </w:r>
            <w:r w:rsidRPr="007B77C7">
              <w:rPr>
                <w:rStyle w:val="PBACTableTextChar"/>
              </w:rPr>
              <w:t>Subcutaneous injection</w:t>
            </w:r>
          </w:p>
        </w:tc>
      </w:tr>
      <w:tr w:rsidR="00F014AA" w:rsidRPr="00046D64" w14:paraId="06717BBD" w14:textId="77777777">
        <w:trPr>
          <w:cantSplit/>
          <w:trHeight w:val="20"/>
        </w:trPr>
        <w:tc>
          <w:tcPr>
            <w:tcW w:w="5000" w:type="pct"/>
            <w:vAlign w:val="center"/>
          </w:tcPr>
          <w:p w14:paraId="3398C2AF" w14:textId="77777777" w:rsidR="00F014AA" w:rsidRPr="00046D64" w:rsidRDefault="00F014AA" w:rsidP="007E1C14">
            <w:pPr>
              <w:pStyle w:val="TableText0"/>
              <w:keepLines/>
              <w:rPr>
                <w:b/>
              </w:rPr>
            </w:pPr>
            <w:r w:rsidRPr="00046D64">
              <w:rPr>
                <w:b/>
              </w:rPr>
              <w:t xml:space="preserve">Severity: </w:t>
            </w:r>
            <w:r w:rsidRPr="007B77C7">
              <w:rPr>
                <w:rStyle w:val="PBACTableTextChar"/>
              </w:rPr>
              <w:t>Moderate to severe</w:t>
            </w:r>
          </w:p>
        </w:tc>
      </w:tr>
      <w:tr w:rsidR="00F014AA" w:rsidRPr="00046D64" w14:paraId="2902B134" w14:textId="77777777">
        <w:trPr>
          <w:cantSplit/>
          <w:trHeight w:val="20"/>
        </w:trPr>
        <w:tc>
          <w:tcPr>
            <w:tcW w:w="5000" w:type="pct"/>
            <w:vAlign w:val="center"/>
          </w:tcPr>
          <w:p w14:paraId="4AA4A2B4" w14:textId="3CAE33B0" w:rsidR="00F014AA" w:rsidRPr="00046D64" w:rsidRDefault="00F014AA" w:rsidP="007E1C14">
            <w:pPr>
              <w:pStyle w:val="TableText0"/>
              <w:keepLines/>
              <w:rPr>
                <w:b/>
              </w:rPr>
            </w:pPr>
            <w:r w:rsidRPr="00046D64">
              <w:rPr>
                <w:b/>
              </w:rPr>
              <w:t xml:space="preserve">Condition: </w:t>
            </w:r>
            <w:r w:rsidR="0040079A">
              <w:rPr>
                <w:rStyle w:val="PBACTableTextChar"/>
              </w:rPr>
              <w:t>Hidradenitis</w:t>
            </w:r>
            <w:r w:rsidRPr="007B77C7">
              <w:rPr>
                <w:rStyle w:val="PBACTableTextChar"/>
              </w:rPr>
              <w:t xml:space="preserve"> suppurativa</w:t>
            </w:r>
          </w:p>
        </w:tc>
      </w:tr>
      <w:tr w:rsidR="00F014AA" w:rsidRPr="00046D64" w14:paraId="3D6C0B67" w14:textId="77777777">
        <w:trPr>
          <w:cantSplit/>
          <w:trHeight w:val="20"/>
        </w:trPr>
        <w:tc>
          <w:tcPr>
            <w:tcW w:w="5000" w:type="pct"/>
            <w:vAlign w:val="center"/>
            <w:hideMark/>
          </w:tcPr>
          <w:p w14:paraId="6754DB40" w14:textId="77777777" w:rsidR="00F014AA" w:rsidRPr="00046D64" w:rsidRDefault="00F014AA" w:rsidP="007E1C14">
            <w:pPr>
              <w:pStyle w:val="TableText0"/>
              <w:keepLines/>
            </w:pPr>
            <w:r w:rsidRPr="00046D64">
              <w:rPr>
                <w:b/>
              </w:rPr>
              <w:t>Treatment Phase:</w:t>
            </w:r>
            <w:r w:rsidRPr="00046D64">
              <w:t xml:space="preserve"> </w:t>
            </w:r>
            <w:r w:rsidRPr="007B77C7">
              <w:rPr>
                <w:rStyle w:val="PBACTableTextChar"/>
              </w:rPr>
              <w:t>Continuing treatment</w:t>
            </w:r>
          </w:p>
        </w:tc>
      </w:tr>
      <w:tr w:rsidR="00F014AA" w:rsidRPr="00046D64" w14:paraId="5B630F6C" w14:textId="77777777">
        <w:trPr>
          <w:cantSplit/>
          <w:trHeight w:val="20"/>
        </w:trPr>
        <w:tc>
          <w:tcPr>
            <w:tcW w:w="5000" w:type="pct"/>
            <w:vAlign w:val="center"/>
            <w:hideMark/>
          </w:tcPr>
          <w:p w14:paraId="74FE507F" w14:textId="77777777" w:rsidR="00F014AA" w:rsidRPr="00F305F2" w:rsidRDefault="00F014AA" w:rsidP="007E1C14">
            <w:pPr>
              <w:pStyle w:val="TableText0"/>
              <w:keepLines/>
            </w:pPr>
            <w:r w:rsidRPr="00F305F2">
              <w:rPr>
                <w:b/>
              </w:rPr>
              <w:t>Clinical criteria:</w:t>
            </w:r>
          </w:p>
        </w:tc>
      </w:tr>
      <w:tr w:rsidR="00F014AA" w:rsidRPr="00046D64" w14:paraId="58C8AB31" w14:textId="77777777">
        <w:trPr>
          <w:cantSplit/>
          <w:trHeight w:val="20"/>
        </w:trPr>
        <w:tc>
          <w:tcPr>
            <w:tcW w:w="5000" w:type="pct"/>
            <w:vAlign w:val="center"/>
            <w:hideMark/>
          </w:tcPr>
          <w:p w14:paraId="025382AC" w14:textId="77777777" w:rsidR="00F014AA" w:rsidRPr="00F305F2" w:rsidRDefault="00F014AA" w:rsidP="007E1C14">
            <w:pPr>
              <w:pStyle w:val="PBACTableText"/>
              <w:spacing w:before="0" w:after="0"/>
            </w:pPr>
            <w:r w:rsidRPr="009A04E3">
              <w:t>Patient must have previously received PBS-subsidised treatment with this drug for this condition,</w:t>
            </w:r>
          </w:p>
        </w:tc>
      </w:tr>
      <w:tr w:rsidR="00F014AA" w:rsidRPr="00046D64" w14:paraId="64A228D1" w14:textId="77777777">
        <w:trPr>
          <w:cantSplit/>
          <w:trHeight w:val="20"/>
        </w:trPr>
        <w:tc>
          <w:tcPr>
            <w:tcW w:w="5000" w:type="pct"/>
            <w:vAlign w:val="center"/>
            <w:hideMark/>
          </w:tcPr>
          <w:p w14:paraId="255C652D" w14:textId="77777777" w:rsidR="00F014AA" w:rsidRPr="00F305F2" w:rsidRDefault="00F014AA" w:rsidP="007E1C14">
            <w:pPr>
              <w:pStyle w:val="TableText0"/>
              <w:keepLines/>
            </w:pPr>
            <w:r w:rsidRPr="00F305F2">
              <w:rPr>
                <w:b/>
              </w:rPr>
              <w:t>AND</w:t>
            </w:r>
          </w:p>
        </w:tc>
      </w:tr>
      <w:tr w:rsidR="00F014AA" w:rsidRPr="00046D64" w14:paraId="1D45C2CC" w14:textId="77777777">
        <w:trPr>
          <w:cantSplit/>
          <w:trHeight w:val="20"/>
        </w:trPr>
        <w:tc>
          <w:tcPr>
            <w:tcW w:w="5000" w:type="pct"/>
            <w:vAlign w:val="center"/>
            <w:hideMark/>
          </w:tcPr>
          <w:p w14:paraId="3C04BFFB" w14:textId="77777777" w:rsidR="00F014AA" w:rsidRPr="00F305F2" w:rsidRDefault="00F014AA" w:rsidP="007E1C14">
            <w:pPr>
              <w:pStyle w:val="TableText0"/>
              <w:keepLines/>
            </w:pPr>
            <w:r w:rsidRPr="00F305F2">
              <w:rPr>
                <w:b/>
              </w:rPr>
              <w:t>Clinical criteria:</w:t>
            </w:r>
          </w:p>
        </w:tc>
      </w:tr>
      <w:tr w:rsidR="00F014AA" w:rsidRPr="00046D64" w14:paraId="22D8EF7B" w14:textId="77777777">
        <w:trPr>
          <w:cantSplit/>
          <w:trHeight w:val="20"/>
        </w:trPr>
        <w:tc>
          <w:tcPr>
            <w:tcW w:w="5000" w:type="pct"/>
            <w:vAlign w:val="center"/>
            <w:hideMark/>
          </w:tcPr>
          <w:p w14:paraId="184ED1F2" w14:textId="77777777" w:rsidR="00F014AA" w:rsidRPr="00F305F2" w:rsidRDefault="00F014AA" w:rsidP="007E1C14">
            <w:pPr>
              <w:pStyle w:val="PBACTableText"/>
              <w:spacing w:before="0" w:after="0"/>
            </w:pPr>
            <w:r w:rsidRPr="007A3D33">
              <w:t>Patient must have demonstrated a response to treatment with this drug for this condition.</w:t>
            </w:r>
          </w:p>
        </w:tc>
      </w:tr>
      <w:tr w:rsidR="00F014AA" w:rsidRPr="00046D64" w14:paraId="4D622FA3" w14:textId="77777777">
        <w:trPr>
          <w:cantSplit/>
          <w:trHeight w:val="20"/>
        </w:trPr>
        <w:tc>
          <w:tcPr>
            <w:tcW w:w="5000" w:type="pct"/>
            <w:vAlign w:val="center"/>
            <w:hideMark/>
          </w:tcPr>
          <w:p w14:paraId="77680EDB" w14:textId="77777777" w:rsidR="00F014AA" w:rsidRPr="00F305F2" w:rsidRDefault="00F014AA" w:rsidP="007E1C14">
            <w:pPr>
              <w:pStyle w:val="PBACTableText"/>
              <w:spacing w:before="0" w:after="0"/>
            </w:pPr>
            <w:r w:rsidRPr="00F305F2">
              <w:rPr>
                <w:b/>
              </w:rPr>
              <w:t xml:space="preserve">Prescribing Instructions: </w:t>
            </w:r>
            <w:r w:rsidRPr="00F305F2">
              <w:t xml:space="preserve">For the first application for continuing treatment a Hidradenitis Suppurativa Clinical Response (HiSCR) assessment must be made following a minimum of 12 weeks of treatment. For subsequent continuing treatment a HiSCR assessment must be made every 24 weeks. </w:t>
            </w:r>
          </w:p>
          <w:p w14:paraId="6E0EEB35" w14:textId="77777777" w:rsidR="00F014AA" w:rsidRPr="00F305F2" w:rsidRDefault="00F014AA" w:rsidP="007E1C14">
            <w:pPr>
              <w:pStyle w:val="PBACTableText"/>
              <w:spacing w:before="0" w:after="0"/>
            </w:pPr>
            <w:r w:rsidRPr="00F305F2">
              <w:t>The assessment of the patient</w:t>
            </w:r>
            <w:r>
              <w:t>’</w:t>
            </w:r>
            <w:r w:rsidRPr="00F305F2">
              <w:t>s response to a continuing course of therapy must be made within the 4 weeks prior to completion of that course and provided to the Department of Human Services no less than 2 weeks prior to the date the next dose is scheduled, in order to ensure continuity of treatment for those patients who meet the continuation criterion.</w:t>
            </w:r>
          </w:p>
        </w:tc>
      </w:tr>
    </w:tbl>
    <w:p w14:paraId="4ACA62E5" w14:textId="77777777" w:rsidR="00F014AA" w:rsidRDefault="00F014AA" w:rsidP="00F014AA">
      <w:pPr>
        <w:pStyle w:val="FooterTableFigure"/>
      </w:pPr>
      <w:r>
        <w:t xml:space="preserve">Source: Table 1.7, p38 </w:t>
      </w:r>
      <w:r w:rsidRPr="00D13A3E">
        <w:t xml:space="preserve">of the </w:t>
      </w:r>
      <w:r>
        <w:t>submission.</w:t>
      </w:r>
    </w:p>
    <w:p w14:paraId="711DCC82" w14:textId="7046E82E" w:rsidR="00D30D5B" w:rsidRPr="00A4098F" w:rsidRDefault="00013D97" w:rsidP="003D1CBD">
      <w:pPr>
        <w:pStyle w:val="ExecSumBodyText"/>
        <w:numPr>
          <w:ilvl w:val="1"/>
          <w:numId w:val="1"/>
        </w:numPr>
      </w:pPr>
      <w:r w:rsidRPr="00A4098F">
        <w:t xml:space="preserve">The submission noted secukinumab is currently subject to a Special Pricing Arrangement, with the current effective price based on the relative weightings across </w:t>
      </w:r>
      <w:r w:rsidR="00A4098F">
        <w:rPr>
          <w:iCs/>
        </w:rPr>
        <w:t>all PBS listed</w:t>
      </w:r>
      <w:r>
        <w:t xml:space="preserve"> </w:t>
      </w:r>
      <w:r w:rsidRPr="00A4098F">
        <w:t>indications.</w:t>
      </w:r>
      <w:r w:rsidR="00FD0815">
        <w:rPr>
          <w:iCs/>
        </w:rPr>
        <w:t xml:space="preserve"> </w:t>
      </w:r>
    </w:p>
    <w:p w14:paraId="1AB98C82" w14:textId="471405E9" w:rsidR="00EB4880" w:rsidRPr="005E2E87" w:rsidRDefault="00EB4880" w:rsidP="003D1CBD">
      <w:pPr>
        <w:pStyle w:val="ExecSumBodyText"/>
        <w:numPr>
          <w:ilvl w:val="1"/>
          <w:numId w:val="1"/>
        </w:numPr>
        <w:rPr>
          <w:iCs/>
        </w:rPr>
      </w:pPr>
      <w:r w:rsidRPr="00434A37">
        <w:rPr>
          <w:rFonts w:eastAsia="Calibri" w:cs="Calibri"/>
          <w:lang w:val="en-GB"/>
        </w:rPr>
        <w:t>The TGA Draft Product Information (PI) allows for 2 dose</w:t>
      </w:r>
      <w:r w:rsidR="009B4B20">
        <w:rPr>
          <w:rFonts w:eastAsia="Calibri" w:cs="Calibri"/>
          <w:lang w:val="en-GB"/>
        </w:rPr>
        <w:t xml:space="preserve"> regimens </w:t>
      </w:r>
      <w:r w:rsidRPr="00434A37">
        <w:rPr>
          <w:rFonts w:eastAsia="Calibri" w:cs="Calibri"/>
          <w:lang w:val="en-GB"/>
        </w:rPr>
        <w:t xml:space="preserve">in the </w:t>
      </w:r>
      <w:r>
        <w:rPr>
          <w:rFonts w:eastAsia="Calibri" w:cs="Calibri"/>
          <w:lang w:val="en-GB"/>
        </w:rPr>
        <w:t xml:space="preserve">maintenance phase of </w:t>
      </w:r>
      <w:r w:rsidRPr="00434A37">
        <w:rPr>
          <w:rFonts w:eastAsia="Calibri" w:cs="Calibri"/>
          <w:lang w:val="en-GB"/>
        </w:rPr>
        <w:t>treatment of HS: 300 mg</w:t>
      </w:r>
      <w:r w:rsidR="00A47884">
        <w:rPr>
          <w:rFonts w:eastAsia="Calibri" w:cs="Calibri"/>
          <w:lang w:val="en-GB"/>
        </w:rPr>
        <w:t xml:space="preserve"> once</w:t>
      </w:r>
      <w:r w:rsidRPr="00434A37">
        <w:rPr>
          <w:rFonts w:eastAsia="Calibri" w:cs="Calibri"/>
          <w:lang w:val="en-GB"/>
        </w:rPr>
        <w:t xml:space="preserve"> every 2 weeks </w:t>
      </w:r>
      <w:r>
        <w:rPr>
          <w:rFonts w:eastAsia="Calibri" w:cs="Calibri"/>
          <w:lang w:val="en-GB"/>
        </w:rPr>
        <w:t xml:space="preserve">(Q2W) </w:t>
      </w:r>
      <w:r w:rsidRPr="00434A37">
        <w:rPr>
          <w:rFonts w:eastAsia="Calibri" w:cs="Calibri"/>
          <w:lang w:val="en-GB"/>
        </w:rPr>
        <w:t xml:space="preserve">or 300 mg </w:t>
      </w:r>
      <w:r>
        <w:rPr>
          <w:rFonts w:eastAsia="Calibri" w:cs="Calibri"/>
          <w:lang w:val="en-GB"/>
        </w:rPr>
        <w:t xml:space="preserve">once </w:t>
      </w:r>
      <w:r w:rsidRPr="00434A37">
        <w:rPr>
          <w:rFonts w:eastAsia="Calibri" w:cs="Calibri"/>
          <w:lang w:val="en-GB"/>
        </w:rPr>
        <w:t xml:space="preserve">every </w:t>
      </w:r>
      <w:r w:rsidR="007E1C14" w:rsidRPr="00434A37">
        <w:rPr>
          <w:rFonts w:eastAsia="Calibri" w:cs="Calibri"/>
          <w:lang w:val="en-GB"/>
        </w:rPr>
        <w:t>4</w:t>
      </w:r>
      <w:r w:rsidR="007E1C14">
        <w:rPr>
          <w:rFonts w:eastAsia="Calibri" w:cs="Calibri"/>
          <w:lang w:val="en-GB"/>
        </w:rPr>
        <w:t> </w:t>
      </w:r>
      <w:r w:rsidRPr="00434A37">
        <w:rPr>
          <w:rFonts w:eastAsia="Calibri" w:cs="Calibri"/>
          <w:lang w:val="en-GB"/>
        </w:rPr>
        <w:t>weeks</w:t>
      </w:r>
      <w:r>
        <w:rPr>
          <w:rFonts w:eastAsia="Calibri" w:cs="Calibri"/>
          <w:lang w:val="en-GB"/>
        </w:rPr>
        <w:t xml:space="preserve"> (Q4W)</w:t>
      </w:r>
      <w:r w:rsidRPr="00434A37">
        <w:rPr>
          <w:rFonts w:eastAsia="Calibri" w:cs="Calibri"/>
          <w:lang w:val="en-GB"/>
        </w:rPr>
        <w:t>, stating that “Some patients may derive an additional benefit from receiving 30</w:t>
      </w:r>
      <w:r w:rsidR="00325DC6">
        <w:rPr>
          <w:rFonts w:eastAsia="Calibri" w:cs="Calibri"/>
          <w:lang w:val="en-GB"/>
        </w:rPr>
        <w:t>0 mg</w:t>
      </w:r>
      <w:r w:rsidRPr="00434A37">
        <w:rPr>
          <w:rFonts w:eastAsia="Calibri" w:cs="Calibri"/>
          <w:lang w:val="en-GB"/>
        </w:rPr>
        <w:t xml:space="preserve"> every 2 weeks”. </w:t>
      </w:r>
      <w:r w:rsidRPr="005E2E87">
        <w:rPr>
          <w:rFonts w:eastAsia="Calibri" w:cs="Calibri"/>
          <w:iCs/>
          <w:lang w:val="en-GB"/>
        </w:rPr>
        <w:t>The submission indicated the sponsor would like both doses to be used in Australia and no do</w:t>
      </w:r>
      <w:r w:rsidR="002C41C2" w:rsidRPr="005E2E87">
        <w:rPr>
          <w:rFonts w:eastAsia="Calibri" w:cs="Calibri"/>
          <w:iCs/>
          <w:lang w:val="en-GB"/>
        </w:rPr>
        <w:t>s</w:t>
      </w:r>
      <w:r w:rsidRPr="005E2E87">
        <w:rPr>
          <w:rFonts w:eastAsia="Calibri" w:cs="Calibri"/>
          <w:iCs/>
          <w:lang w:val="en-GB"/>
        </w:rPr>
        <w:t xml:space="preserve">ing restrictions were included in the proposed PBS restriction. It is unclear how patients who may benefit from </w:t>
      </w:r>
      <w:r w:rsidR="009D3395" w:rsidRPr="005E2E87">
        <w:rPr>
          <w:rFonts w:eastAsia="Calibri" w:cs="Calibri"/>
          <w:iCs/>
          <w:lang w:val="en-GB"/>
        </w:rPr>
        <w:t xml:space="preserve">the </w:t>
      </w:r>
      <w:r w:rsidR="0008087B" w:rsidRPr="005E2E87">
        <w:rPr>
          <w:rFonts w:eastAsia="Calibri" w:cs="Calibri"/>
          <w:iCs/>
          <w:lang w:val="en-GB"/>
        </w:rPr>
        <w:t xml:space="preserve">Q2W </w:t>
      </w:r>
      <w:r w:rsidR="0008087B" w:rsidRPr="005E2E87">
        <w:rPr>
          <w:rFonts w:eastAsia="Calibri" w:cs="Calibri"/>
          <w:iCs/>
          <w:lang w:val="en-GB"/>
        </w:rPr>
        <w:lastRenderedPageBreak/>
        <w:t>regimen</w:t>
      </w:r>
      <w:r w:rsidR="00EB697A">
        <w:rPr>
          <w:rFonts w:eastAsia="Calibri" w:cs="Calibri"/>
          <w:iCs/>
          <w:lang w:val="en-GB"/>
        </w:rPr>
        <w:t xml:space="preserve"> would be identified</w:t>
      </w:r>
      <w:r w:rsidRPr="005E2E87">
        <w:rPr>
          <w:rFonts w:eastAsia="Calibri" w:cs="Calibri"/>
          <w:iCs/>
          <w:lang w:val="en-GB"/>
        </w:rPr>
        <w:t xml:space="preserve">, noting it would require twice as </w:t>
      </w:r>
      <w:r w:rsidR="00F12623" w:rsidRPr="005E2E87">
        <w:rPr>
          <w:rFonts w:eastAsia="Calibri" w:cs="Calibri"/>
          <w:iCs/>
          <w:lang w:val="en-GB"/>
        </w:rPr>
        <w:t xml:space="preserve">many </w:t>
      </w:r>
      <w:r w:rsidRPr="005E2E87">
        <w:rPr>
          <w:rFonts w:eastAsia="Calibri" w:cs="Calibri"/>
          <w:iCs/>
          <w:lang w:val="en-GB"/>
        </w:rPr>
        <w:t xml:space="preserve">secukinumab </w:t>
      </w:r>
      <w:r w:rsidR="0047259F" w:rsidRPr="005E2E87">
        <w:rPr>
          <w:rFonts w:eastAsia="Calibri" w:cs="Calibri"/>
          <w:iCs/>
          <w:lang w:val="en-GB"/>
        </w:rPr>
        <w:t xml:space="preserve">doses </w:t>
      </w:r>
      <w:r w:rsidRPr="005E2E87">
        <w:rPr>
          <w:rFonts w:eastAsia="Calibri" w:cs="Calibri"/>
          <w:iCs/>
          <w:lang w:val="en-GB"/>
        </w:rPr>
        <w:t xml:space="preserve">compared to </w:t>
      </w:r>
      <w:r w:rsidR="009D3395" w:rsidRPr="005E2E87">
        <w:rPr>
          <w:rFonts w:eastAsia="Calibri" w:cs="Calibri"/>
          <w:iCs/>
          <w:lang w:val="en-GB"/>
        </w:rPr>
        <w:t>the</w:t>
      </w:r>
      <w:r w:rsidRPr="005E2E87">
        <w:rPr>
          <w:rFonts w:eastAsia="Calibri" w:cs="Calibri"/>
          <w:iCs/>
          <w:lang w:val="en-GB"/>
        </w:rPr>
        <w:t xml:space="preserve"> Q4W </w:t>
      </w:r>
      <w:r w:rsidR="009D3395" w:rsidRPr="005E2E87">
        <w:rPr>
          <w:rFonts w:eastAsia="Calibri" w:cs="Calibri"/>
          <w:iCs/>
          <w:lang w:val="en-GB"/>
        </w:rPr>
        <w:t>regimen</w:t>
      </w:r>
      <w:r w:rsidRPr="005E2E87">
        <w:rPr>
          <w:rFonts w:eastAsia="Calibri" w:cs="Calibri"/>
          <w:iCs/>
          <w:lang w:val="en-GB"/>
        </w:rPr>
        <w:t>.</w:t>
      </w:r>
      <w:r w:rsidR="00096ABE">
        <w:rPr>
          <w:rFonts w:eastAsia="Calibri" w:cs="Calibri"/>
          <w:iCs/>
          <w:lang w:val="en-GB"/>
        </w:rPr>
        <w:t xml:space="preserve"> </w:t>
      </w:r>
    </w:p>
    <w:p w14:paraId="09B2E615" w14:textId="2A6E7626" w:rsidR="00BC4B6C" w:rsidRPr="005E2E87" w:rsidRDefault="00B0318C" w:rsidP="007E1C14">
      <w:pPr>
        <w:pStyle w:val="3-BodyText"/>
        <w:rPr>
          <w:color w:val="0066FF"/>
        </w:rPr>
      </w:pPr>
      <w:r w:rsidRPr="005E2E87">
        <w:t xml:space="preserve">The requested restriction for secukinumab </w:t>
      </w:r>
      <w:r w:rsidR="000B7B5B" w:rsidRPr="005E2E87">
        <w:t>was</w:t>
      </w:r>
      <w:r w:rsidRPr="005E2E87">
        <w:t xml:space="preserve"> inconsistent with the </w:t>
      </w:r>
      <w:r w:rsidR="0008087B" w:rsidRPr="005E2E87">
        <w:t>populations studied in the key secukinumab trials, including Study 2301</w:t>
      </w:r>
      <w:r w:rsidRPr="005E2E87">
        <w:t xml:space="preserve"> </w:t>
      </w:r>
      <w:r w:rsidR="006B763B" w:rsidRPr="005E2E87">
        <w:t>(SUNSHINE)</w:t>
      </w:r>
      <w:r w:rsidRPr="005E2E87">
        <w:t xml:space="preserve"> and Study 2302</w:t>
      </w:r>
      <w:r w:rsidR="006B763B" w:rsidRPr="005E2E87">
        <w:t xml:space="preserve"> (SUNRISE)</w:t>
      </w:r>
      <w:r w:rsidR="0008087B" w:rsidRPr="005E2E87">
        <w:t>:</w:t>
      </w:r>
    </w:p>
    <w:p w14:paraId="0299D782" w14:textId="5150A628" w:rsidR="007E756C" w:rsidRPr="0094563D" w:rsidRDefault="003F0A95" w:rsidP="007E1C14">
      <w:pPr>
        <w:pStyle w:val="ListParagraph"/>
      </w:pPr>
      <w:r>
        <w:t xml:space="preserve">The key trials did not require patients to have failed to respond to prior antibiotics. </w:t>
      </w:r>
      <w:r w:rsidR="000C5C67">
        <w:t>However, t</w:t>
      </w:r>
      <w:r w:rsidR="0059224A">
        <w:t xml:space="preserve">he proposed restriction </w:t>
      </w:r>
      <w:r w:rsidR="0008087B">
        <w:t xml:space="preserve">requires patients </w:t>
      </w:r>
      <w:r w:rsidR="0059224A">
        <w:t>to have failed to achieve an adequate response to 2 different courses of antibiotics prior to initiation secukinumab.</w:t>
      </w:r>
      <w:r w:rsidR="000A3BFB">
        <w:t xml:space="preserve"> This is further discussed in paragraph </w:t>
      </w:r>
      <w:r w:rsidR="003A3E92">
        <w:fldChar w:fldCharType="begin" w:fldLock="1"/>
      </w:r>
      <w:r w:rsidR="003A3E92">
        <w:instrText xml:space="preserve"> REF _Ref134695877 \r \h </w:instrText>
      </w:r>
      <w:r w:rsidR="007E1C14">
        <w:instrText xml:space="preserve"> \* MERGEFORMAT </w:instrText>
      </w:r>
      <w:r w:rsidR="003A3E92">
        <w:fldChar w:fldCharType="separate"/>
      </w:r>
      <w:r w:rsidR="000F75DF">
        <w:t>6.13</w:t>
      </w:r>
      <w:r w:rsidR="003A3E92">
        <w:fldChar w:fldCharType="end"/>
      </w:r>
      <w:r w:rsidR="003A3E92">
        <w:t xml:space="preserve"> below.</w:t>
      </w:r>
    </w:p>
    <w:p w14:paraId="390F5145" w14:textId="27455BC9" w:rsidR="00705876" w:rsidRPr="0027589E" w:rsidRDefault="00A47884" w:rsidP="007E1C14">
      <w:pPr>
        <w:pStyle w:val="ListParagraph"/>
      </w:pPr>
      <w:r>
        <w:t>The key trials</w:t>
      </w:r>
      <w:r w:rsidR="00E97096" w:rsidRPr="0027589E">
        <w:t xml:space="preserve"> </w:t>
      </w:r>
      <w:r w:rsidR="00780971" w:rsidRPr="0027589E">
        <w:t xml:space="preserve">measured treatment response after </w:t>
      </w:r>
      <w:r w:rsidR="008D3786" w:rsidRPr="0027589E">
        <w:t>16 weeks</w:t>
      </w:r>
      <w:r w:rsidR="00FA60EF" w:rsidRPr="0027589E">
        <w:t xml:space="preserve">. The proposed restriction </w:t>
      </w:r>
      <w:r w:rsidR="00082205" w:rsidRPr="0027589E">
        <w:t xml:space="preserve">allows for </w:t>
      </w:r>
      <w:r w:rsidR="00833C0E" w:rsidRPr="0027589E">
        <w:t>treatment response measurement to occur between weeks 12 and 16 weeks.</w:t>
      </w:r>
      <w:r w:rsidR="00105370">
        <w:t xml:space="preserve"> </w:t>
      </w:r>
      <w:r w:rsidR="00105370" w:rsidRPr="005E2E87">
        <w:rPr>
          <w:iCs/>
        </w:rPr>
        <w:t>I</w:t>
      </w:r>
      <w:r w:rsidR="00105370" w:rsidRPr="005E2E87">
        <w:rPr>
          <w:iCs/>
          <w:color w:val="000000" w:themeColor="text1"/>
        </w:rPr>
        <w:t>f patients in Australian clinical practice are measured for response earlier than 16 weeks of treatment, then it is likely that fewer patients will be recorded as ‘responders’, and the efficacy described by the key trials may not be realised in practice</w:t>
      </w:r>
      <w:r w:rsidR="00705876" w:rsidRPr="005E2E87">
        <w:rPr>
          <w:iCs/>
          <w:color w:val="000000" w:themeColor="text1"/>
        </w:rPr>
        <w:t>; if the proposed restriction measured for response between weeks 16 and 20, this would ensure a minimum of 16 weeks treatment.</w:t>
      </w:r>
      <w:r w:rsidR="00922A99" w:rsidRPr="005E2E87">
        <w:rPr>
          <w:iCs/>
          <w:color w:val="000000" w:themeColor="text1"/>
        </w:rPr>
        <w:t xml:space="preserve"> Differing time periods to assess response to treatment for the purposes of continuing therapy are common among listings for biologic or targeted synthetic disease modifying anti-rheumatic drugs (bDMARDs/tsDMARDs) for other indications. </w:t>
      </w:r>
    </w:p>
    <w:p w14:paraId="557FA4BE" w14:textId="3A4A41A5" w:rsidR="00484D2A" w:rsidRPr="000F2F34" w:rsidRDefault="000F2F34" w:rsidP="007E1C14">
      <w:pPr>
        <w:pStyle w:val="ListParagraph"/>
      </w:pPr>
      <w:r>
        <w:t xml:space="preserve">The </w:t>
      </w:r>
      <w:r w:rsidRPr="000F2F34">
        <w:rPr>
          <w:rStyle w:val="cf01"/>
          <w:rFonts w:asciiTheme="minorHAnsi" w:hAnsiTheme="minorHAnsi" w:cs="Arial"/>
          <w:i w:val="0"/>
          <w:iCs w:val="0"/>
          <w:sz w:val="24"/>
          <w:szCs w:val="24"/>
        </w:rPr>
        <w:t>key trials enrolled patients with ≥5 total abscess and nodule count, located in ≥</w:t>
      </w:r>
      <w:r w:rsidR="007E1C14">
        <w:rPr>
          <w:rStyle w:val="cf01"/>
          <w:rFonts w:asciiTheme="minorHAnsi" w:hAnsiTheme="minorHAnsi" w:cs="Arial"/>
          <w:i w:val="0"/>
          <w:iCs w:val="0"/>
          <w:sz w:val="24"/>
          <w:szCs w:val="24"/>
        </w:rPr>
        <w:t> </w:t>
      </w:r>
      <w:r w:rsidRPr="000F2F34">
        <w:rPr>
          <w:rStyle w:val="cf01"/>
          <w:rFonts w:asciiTheme="minorHAnsi" w:hAnsiTheme="minorHAnsi" w:cs="Arial"/>
          <w:i w:val="0"/>
          <w:iCs w:val="0"/>
          <w:sz w:val="24"/>
          <w:szCs w:val="24"/>
        </w:rPr>
        <w:t>2 distinct anatomic areas.</w:t>
      </w:r>
      <w:r w:rsidR="009C4B15">
        <w:rPr>
          <w:rStyle w:val="cf01"/>
          <w:rFonts w:asciiTheme="minorHAnsi" w:hAnsiTheme="minorHAnsi" w:cs="Arial"/>
          <w:i w:val="0"/>
          <w:iCs w:val="0"/>
          <w:sz w:val="24"/>
          <w:szCs w:val="24"/>
        </w:rPr>
        <w:t xml:space="preserve"> The proposed restriction allows </w:t>
      </w:r>
      <w:r w:rsidR="00BE26A2">
        <w:rPr>
          <w:rStyle w:val="cf01"/>
          <w:rFonts w:asciiTheme="minorHAnsi" w:hAnsiTheme="minorHAnsi" w:cs="Arial"/>
          <w:i w:val="0"/>
          <w:iCs w:val="0"/>
          <w:sz w:val="24"/>
          <w:szCs w:val="24"/>
        </w:rPr>
        <w:t xml:space="preserve">secukinumab to be prescribed when there are </w:t>
      </w:r>
      <w:r w:rsidR="009C4B15" w:rsidRPr="000F2F34">
        <w:rPr>
          <w:rStyle w:val="cf01"/>
          <w:rFonts w:asciiTheme="minorHAnsi" w:hAnsiTheme="minorHAnsi" w:cs="Arial"/>
          <w:i w:val="0"/>
          <w:iCs w:val="0"/>
          <w:sz w:val="24"/>
          <w:szCs w:val="24"/>
        </w:rPr>
        <w:t>≥</w:t>
      </w:r>
      <w:r w:rsidR="00585D9E">
        <w:rPr>
          <w:rStyle w:val="cf01"/>
          <w:rFonts w:asciiTheme="minorHAnsi" w:hAnsiTheme="minorHAnsi" w:cs="Arial"/>
          <w:i w:val="0"/>
          <w:iCs w:val="0"/>
          <w:sz w:val="24"/>
          <w:szCs w:val="24"/>
        </w:rPr>
        <w:t> </w:t>
      </w:r>
      <w:r w:rsidR="009C4B15" w:rsidRPr="000F2F34">
        <w:rPr>
          <w:rStyle w:val="cf01"/>
          <w:rFonts w:asciiTheme="minorHAnsi" w:hAnsiTheme="minorHAnsi" w:cs="Arial"/>
          <w:i w:val="0"/>
          <w:iCs w:val="0"/>
          <w:sz w:val="24"/>
          <w:szCs w:val="24"/>
        </w:rPr>
        <w:t xml:space="preserve">3 </w:t>
      </w:r>
      <w:r w:rsidR="00F36397">
        <w:rPr>
          <w:rStyle w:val="cf01"/>
          <w:rFonts w:asciiTheme="minorHAnsi" w:hAnsiTheme="minorHAnsi" w:cs="Arial"/>
          <w:i w:val="0"/>
          <w:iCs w:val="0"/>
          <w:sz w:val="24"/>
          <w:szCs w:val="24"/>
        </w:rPr>
        <w:t xml:space="preserve">total </w:t>
      </w:r>
      <w:r w:rsidR="009C4B15" w:rsidRPr="000F2F34">
        <w:rPr>
          <w:rStyle w:val="cf01"/>
          <w:rFonts w:asciiTheme="minorHAnsi" w:hAnsiTheme="minorHAnsi" w:cs="Arial"/>
          <w:i w:val="0"/>
          <w:iCs w:val="0"/>
          <w:sz w:val="24"/>
          <w:szCs w:val="24"/>
        </w:rPr>
        <w:t>abscess or inflammatory no</w:t>
      </w:r>
      <w:r w:rsidR="00F36397">
        <w:rPr>
          <w:rStyle w:val="cf01"/>
          <w:rFonts w:asciiTheme="minorHAnsi" w:hAnsiTheme="minorHAnsi" w:cs="Arial"/>
          <w:i w:val="0"/>
          <w:iCs w:val="0"/>
          <w:sz w:val="24"/>
          <w:szCs w:val="24"/>
        </w:rPr>
        <w:t>dule count.</w:t>
      </w:r>
      <w:r w:rsidR="00324127">
        <w:rPr>
          <w:rStyle w:val="cf01"/>
          <w:rFonts w:asciiTheme="minorHAnsi" w:hAnsiTheme="minorHAnsi" w:cs="Arial"/>
          <w:i w:val="0"/>
          <w:iCs w:val="0"/>
          <w:sz w:val="24"/>
          <w:szCs w:val="24"/>
        </w:rPr>
        <w:t xml:space="preserve"> </w:t>
      </w:r>
    </w:p>
    <w:p w14:paraId="323CFD07" w14:textId="6633854C" w:rsidR="008F6591" w:rsidRPr="00A304A7" w:rsidRDefault="008F6591" w:rsidP="007E1C14">
      <w:pPr>
        <w:pStyle w:val="3-BodyText"/>
      </w:pPr>
      <w:r w:rsidRPr="00A304A7">
        <w:t xml:space="preserve">The Pre-Sub-Committee Response (PSCR) stated the pivotal adalimumab studies previously relied upon by the PBAC required patients to have an inadequate response to prior </w:t>
      </w:r>
      <w:proofErr w:type="gramStart"/>
      <w:r w:rsidRPr="00A304A7">
        <w:t>antibiotics, but</w:t>
      </w:r>
      <w:proofErr w:type="gramEnd"/>
      <w:r w:rsidRPr="00A304A7">
        <w:t xml:space="preserve"> did not specify a requirement for two different courses</w:t>
      </w:r>
      <w:r w:rsidR="002E5074" w:rsidRPr="00A304A7">
        <w:t>. The PSCR</w:t>
      </w:r>
      <w:r w:rsidRPr="00A304A7">
        <w:t xml:space="preserve"> also stated</w:t>
      </w:r>
      <w:r w:rsidR="00457975">
        <w:t xml:space="preserve"> that</w:t>
      </w:r>
      <w:r w:rsidRPr="00A304A7">
        <w:t xml:space="preserve"> data on the proportion with prior antibiotic use and reasons for discontinuation were not reported in the available material</w:t>
      </w:r>
      <w:r w:rsidR="002E5074" w:rsidRPr="00A304A7">
        <w:t xml:space="preserve"> and further</w:t>
      </w:r>
      <w:r w:rsidRPr="00A304A7">
        <w:t xml:space="preserve"> noted subgroup analyses based on two prior courses of antibiotics w</w:t>
      </w:r>
      <w:r w:rsidR="002E5074" w:rsidRPr="00A304A7">
        <w:t>ere</w:t>
      </w:r>
      <w:r w:rsidRPr="00A304A7">
        <w:t xml:space="preserve"> not presented in the adalimumab public summary documents</w:t>
      </w:r>
      <w:r w:rsidR="00585D9E">
        <w:t xml:space="preserve"> (PSDs)</w:t>
      </w:r>
      <w:r w:rsidRPr="00A304A7">
        <w:t>. On that basis, the PSCR argued it was reasonable to consider secukinumab on the same ground as adalimumab was recommended, with the same PBS listing; or to reduce the requirement in PBS listings for HS to one prior course of antibiotics.</w:t>
      </w:r>
    </w:p>
    <w:p w14:paraId="717651AE" w14:textId="1D530BD2" w:rsidR="00096ABE" w:rsidRDefault="00436037" w:rsidP="007E1C14">
      <w:pPr>
        <w:pStyle w:val="3-BodyText"/>
      </w:pPr>
      <w:r w:rsidRPr="004E408B">
        <w:t>The sponsor proposed a grandfather</w:t>
      </w:r>
      <w:r w:rsidR="00B61C92">
        <w:t>ing</w:t>
      </w:r>
      <w:r w:rsidRPr="004E408B">
        <w:t xml:space="preserve"> clause to allow trial patients as well as those enrolled in the patient familiarisation program and the compassionate use program to </w:t>
      </w:r>
      <w:r w:rsidR="009B4B20">
        <w:t xml:space="preserve">transition to </w:t>
      </w:r>
      <w:r w:rsidRPr="004E408B">
        <w:t xml:space="preserve">reimbursed secukinumab upon PBS listing. </w:t>
      </w:r>
    </w:p>
    <w:p w14:paraId="3041C17C" w14:textId="2A2EFF2F" w:rsidR="00A304A7" w:rsidRPr="0027589E" w:rsidRDefault="00A304A7" w:rsidP="00585D9E">
      <w:pPr>
        <w:ind w:firstLine="709"/>
      </w:pPr>
      <w:bookmarkStart w:id="7" w:name="_Hlk76375324"/>
      <w:r w:rsidRPr="00C33D30">
        <w:rPr>
          <w:rFonts w:asciiTheme="minorHAnsi" w:hAnsiTheme="minorHAnsi"/>
          <w:i/>
        </w:rPr>
        <w:t>For more detail on PBAC’s view, see section 7 PBAC outcome.</w:t>
      </w:r>
      <w:bookmarkEnd w:id="7"/>
    </w:p>
    <w:p w14:paraId="7075B85C" w14:textId="2B51BDC9" w:rsidR="00B50DB8" w:rsidRPr="00407F2D" w:rsidDel="00195452" w:rsidRDefault="00203181" w:rsidP="003D1CBD">
      <w:pPr>
        <w:pStyle w:val="2-SectionHeading"/>
      </w:pPr>
      <w:bookmarkStart w:id="8" w:name="_Toc135036630"/>
      <w:r w:rsidDel="00195452">
        <w:t xml:space="preserve">Population and </w:t>
      </w:r>
      <w:r w:rsidR="008E0D3C" w:rsidDel="00195452">
        <w:t>d</w:t>
      </w:r>
      <w:r w:rsidDel="00195452">
        <w:t>isease</w:t>
      </w:r>
      <w:bookmarkEnd w:id="8"/>
    </w:p>
    <w:p w14:paraId="21FDD135" w14:textId="537D741A" w:rsidR="00894489" w:rsidRPr="002E4F02" w:rsidDel="00195452" w:rsidRDefault="007040A7" w:rsidP="007E1C14">
      <w:pPr>
        <w:pStyle w:val="3-BodyText"/>
      </w:pPr>
      <w:r w:rsidRPr="007E144C">
        <w:t xml:space="preserve">Hidradenitis suppurativa is a painful, chronic, recurrent, and debilitating inflammatory </w:t>
      </w:r>
      <w:r w:rsidRPr="007E144C">
        <w:lastRenderedPageBreak/>
        <w:t xml:space="preserve">skin condition of the pilosebaceous follicle with an underlying immune system imbalance that occurs in genetically predisposed individuals. </w:t>
      </w:r>
      <w:r w:rsidR="003A29E7" w:rsidRPr="007E144C">
        <w:t xml:space="preserve">Hidradenitis suppurativa </w:t>
      </w:r>
      <w:r w:rsidRPr="007E144C">
        <w:t>typically presents with deep, inflammatory, painful lesions in apocrine gland-bearing parts of the body. The most common areas affected are the axillae, the groin, and the anogenital region (Fimmel and Zouboulis 2010, Jemec 2012).</w:t>
      </w:r>
      <w:r w:rsidR="007E144C" w:rsidRPr="007E144C">
        <w:t xml:space="preserve"> </w:t>
      </w:r>
      <w:r w:rsidRPr="007E144C">
        <w:t xml:space="preserve">The disease has a substantial negative effect on the quality of life and </w:t>
      </w:r>
      <w:r w:rsidR="003A29E7">
        <w:t>significant</w:t>
      </w:r>
      <w:r w:rsidR="003A29E7" w:rsidRPr="007E144C">
        <w:t xml:space="preserve"> </w:t>
      </w:r>
      <w:r w:rsidRPr="007E144C">
        <w:t>psychological effects, with multiple studies confirming the impact is greater than that seen with other dermatologic diseases (Deckers and Kimball 2016). Patients with HS also often suffer from depression, social isolation, impaired sexual health and difficulty performing work duties (Deckers et al 2014, Janse et al 2017)</w:t>
      </w:r>
      <w:r w:rsidR="007E144C">
        <w:t>.</w:t>
      </w:r>
    </w:p>
    <w:p w14:paraId="63A6DCEF" w14:textId="459F7124" w:rsidR="009F3E80" w:rsidRPr="009F3E80" w:rsidRDefault="00453130" w:rsidP="007E1C14">
      <w:pPr>
        <w:pStyle w:val="3-BodyText"/>
      </w:pPr>
      <w:r w:rsidRPr="00C04660">
        <w:rPr>
          <w:rFonts w:eastAsia="Calibri"/>
        </w:rPr>
        <w:t>The proposed treatment algorithm suggests</w:t>
      </w:r>
      <w:r w:rsidR="00EC0B93">
        <w:rPr>
          <w:rFonts w:eastAsia="Calibri"/>
        </w:rPr>
        <w:t xml:space="preserve"> either</w:t>
      </w:r>
      <w:r w:rsidRPr="00C04660">
        <w:rPr>
          <w:rFonts w:eastAsia="Calibri"/>
        </w:rPr>
        <w:t xml:space="preserve"> secukinumab and </w:t>
      </w:r>
      <w:r w:rsidR="005762D0">
        <w:rPr>
          <w:rFonts w:eastAsia="Calibri"/>
        </w:rPr>
        <w:t>adalimumab</w:t>
      </w:r>
      <w:r w:rsidRPr="00C04660">
        <w:rPr>
          <w:rFonts w:eastAsia="Calibri"/>
        </w:rPr>
        <w:t xml:space="preserve"> may be used in patients who fail at least 2 courses of different antibiotics, and if patients fail to achieve a response with one biologic immune inhibitor, they may try the other one. </w:t>
      </w:r>
      <w:r w:rsidRPr="005E2E87">
        <w:rPr>
          <w:rFonts w:eastAsia="Calibri"/>
          <w:iCs/>
        </w:rPr>
        <w:t>There is limited clinical evidence supporting the efficacy of a second biologic immune inhibitor in patients who failed to achieve a response to prior immune inhibitor therap</w:t>
      </w:r>
      <w:r w:rsidR="007879A9" w:rsidRPr="005E2E87">
        <w:rPr>
          <w:rFonts w:eastAsia="Calibri"/>
          <w:iCs/>
        </w:rPr>
        <w:t>y.</w:t>
      </w:r>
    </w:p>
    <w:p w14:paraId="79056632" w14:textId="26B2FA62" w:rsidR="00453130" w:rsidRPr="00A348CB" w:rsidDel="00195452" w:rsidRDefault="009F3E80" w:rsidP="007E1C14">
      <w:pPr>
        <w:pStyle w:val="3-BodyText"/>
      </w:pPr>
      <w:r w:rsidRPr="00A348CB">
        <w:t xml:space="preserve">The submission’s current treatment algorithm </w:t>
      </w:r>
      <w:r w:rsidR="005219C9">
        <w:t xml:space="preserve">did not consider the </w:t>
      </w:r>
      <w:r w:rsidRPr="00A348CB">
        <w:t>options available for patients who fail to achieve a response with adalimumab, which include a range of surgical interventions (from local incisions and deroof procedures to wide excision and grafting), short-term steroids (a</w:t>
      </w:r>
      <w:r w:rsidR="002E2150" w:rsidRPr="00A348CB">
        <w:t>n</w:t>
      </w:r>
      <w:r w:rsidRPr="00A348CB">
        <w:t xml:space="preserve"> effective treatment </w:t>
      </w:r>
      <w:r w:rsidR="002E2150" w:rsidRPr="00A348CB">
        <w:t>for</w:t>
      </w:r>
      <w:r w:rsidRPr="00A348CB">
        <w:t xml:space="preserve"> debilitating pain and acute flares), treatment of comorbidities and regular wound care.</w:t>
      </w:r>
      <w:r w:rsidR="004C78FF">
        <w:rPr>
          <w:rStyle w:val="FootnoteReference"/>
          <w:iCs/>
        </w:rPr>
        <w:footnoteReference w:id="2"/>
      </w:r>
    </w:p>
    <w:p w14:paraId="11FCAAEE" w14:textId="0756B30F" w:rsidR="007627BE" w:rsidRPr="00A304A7" w:rsidRDefault="00BC6C2C" w:rsidP="007E1C14">
      <w:pPr>
        <w:pStyle w:val="3-BodyText"/>
        <w:rPr>
          <w:color w:val="0066FF"/>
        </w:rPr>
      </w:pPr>
      <w:r>
        <w:t>S</w:t>
      </w:r>
      <w:r w:rsidR="00383ABA" w:rsidRPr="008A248B">
        <w:t>ecukinumab is a</w:t>
      </w:r>
      <w:r w:rsidR="00B62EE7">
        <w:t>n</w:t>
      </w:r>
      <w:r w:rsidR="00383ABA" w:rsidRPr="008A248B">
        <w:t xml:space="preserve"> </w:t>
      </w:r>
      <w:r w:rsidR="00105977" w:rsidRPr="008A248B">
        <w:rPr>
          <w:rFonts w:eastAsia="Arial Narrow"/>
        </w:rPr>
        <w:t>IL-17 inhibitor</w:t>
      </w:r>
      <w:r>
        <w:rPr>
          <w:rFonts w:eastAsia="Arial Narrow"/>
        </w:rPr>
        <w:t xml:space="preserve"> that</w:t>
      </w:r>
      <w:r w:rsidR="004473B5">
        <w:rPr>
          <w:rFonts w:eastAsia="Arial Narrow"/>
        </w:rPr>
        <w:t xml:space="preserve"> </w:t>
      </w:r>
      <w:r w:rsidR="00B62EE7">
        <w:rPr>
          <w:rFonts w:eastAsia="Arial Narrow"/>
        </w:rPr>
        <w:t>works by binding to</w:t>
      </w:r>
      <w:r w:rsidR="004473B5" w:rsidRPr="00574E39">
        <w:t xml:space="preserve"> human IL-17A and neutralises the bioactivity of this cytokine.</w:t>
      </w:r>
      <w:r w:rsidR="00FD4D95">
        <w:t xml:space="preserve"> IL-17A</w:t>
      </w:r>
      <w:r w:rsidR="00105977" w:rsidRPr="002E4F02" w:rsidDel="00195452">
        <w:rPr>
          <w:color w:val="0066FF"/>
        </w:rPr>
        <w:t xml:space="preserve"> </w:t>
      </w:r>
      <w:r w:rsidR="00FD4D95" w:rsidRPr="00574E39">
        <w:t>is recognised as one of the principal pro-inflammatory cytokines in immune mediated inflammatory diseases</w:t>
      </w:r>
      <w:r w:rsidR="009B4B20">
        <w:t>.</w:t>
      </w:r>
      <w:r w:rsidR="00B62EE7">
        <w:t xml:space="preserve"> </w:t>
      </w:r>
    </w:p>
    <w:p w14:paraId="4ED4F94D" w14:textId="79C10D3D" w:rsidR="00A304A7" w:rsidRPr="002E4F02" w:rsidDel="00195452" w:rsidRDefault="00A304A7" w:rsidP="00585D9E">
      <w:pPr>
        <w:ind w:firstLine="709"/>
      </w:pPr>
      <w:r w:rsidRPr="00C33D30">
        <w:rPr>
          <w:rFonts w:asciiTheme="minorHAnsi" w:hAnsiTheme="minorHAnsi"/>
          <w:i/>
        </w:rPr>
        <w:t>For more detail on PBAC’s view, see section 7 PBAC outcome.</w:t>
      </w:r>
    </w:p>
    <w:p w14:paraId="51E5AE96" w14:textId="136A63B1" w:rsidR="00B50DB8" w:rsidRPr="00407F2D" w:rsidRDefault="00B50DB8" w:rsidP="003D1CBD">
      <w:pPr>
        <w:pStyle w:val="2-SectionHeading"/>
      </w:pPr>
      <w:bookmarkStart w:id="9" w:name="_Toc135036631"/>
      <w:r w:rsidRPr="00407F2D">
        <w:t>Comparator</w:t>
      </w:r>
      <w:bookmarkEnd w:id="9"/>
    </w:p>
    <w:p w14:paraId="72C9CCEB" w14:textId="55E9342A" w:rsidR="00430C23" w:rsidRPr="005E2E87" w:rsidRDefault="00430C23" w:rsidP="007E1C14">
      <w:pPr>
        <w:pStyle w:val="3-BodyText"/>
        <w:rPr>
          <w:snapToGrid/>
          <w:lang w:val="en-US"/>
        </w:rPr>
      </w:pPr>
      <w:r w:rsidRPr="00430C23">
        <w:t xml:space="preserve">The submission nominated </w:t>
      </w:r>
      <w:r w:rsidR="005762D0">
        <w:t>adalimumab</w:t>
      </w:r>
      <w:r w:rsidRPr="00430C23">
        <w:t xml:space="preserve"> as the main comparator</w:t>
      </w:r>
      <w:r w:rsidR="004E657B">
        <w:t xml:space="preserve"> as it is </w:t>
      </w:r>
      <w:r w:rsidRPr="00430C23">
        <w:t xml:space="preserve">the only therapy currently PBS listed for treatment of moderate to severe HS. </w:t>
      </w:r>
    </w:p>
    <w:p w14:paraId="48BADE70" w14:textId="7E25E11B" w:rsidR="00A304A7" w:rsidRPr="005E2E87" w:rsidRDefault="00A304A7" w:rsidP="00585D9E">
      <w:pPr>
        <w:ind w:firstLine="709"/>
      </w:pPr>
      <w:r w:rsidRPr="00C33D30">
        <w:rPr>
          <w:rFonts w:asciiTheme="minorHAnsi" w:hAnsiTheme="minorHAnsi"/>
          <w:i/>
        </w:rPr>
        <w:t>For more detail on PBAC’s view, see section 7 PBAC outcome.</w:t>
      </w:r>
    </w:p>
    <w:p w14:paraId="7F9C27C8" w14:textId="77777777" w:rsidR="00223D5A" w:rsidRPr="00407F2D" w:rsidRDefault="00223D5A" w:rsidP="003D1CBD">
      <w:pPr>
        <w:pStyle w:val="2-SectionHeading"/>
      </w:pPr>
      <w:bookmarkStart w:id="10" w:name="_Toc135036632"/>
      <w:bookmarkStart w:id="11" w:name="_Toc22897640"/>
      <w:r>
        <w:t>C</w:t>
      </w:r>
      <w:r w:rsidRPr="00407F2D">
        <w:t>onsideration of the evidence</w:t>
      </w:r>
      <w:bookmarkEnd w:id="10"/>
    </w:p>
    <w:p w14:paraId="21041CEC" w14:textId="77777777" w:rsidR="00A304A7" w:rsidRPr="006E1229" w:rsidRDefault="00A304A7" w:rsidP="0071102F">
      <w:pPr>
        <w:pStyle w:val="3-SubsectionHeading"/>
        <w:outlineLvl w:val="1"/>
        <w:rPr>
          <w:lang w:eastAsia="en-AU"/>
        </w:rPr>
      </w:pPr>
      <w:bookmarkStart w:id="12" w:name="_Hlk76375935"/>
      <w:bookmarkStart w:id="13" w:name="_Toc135036633"/>
      <w:r w:rsidRPr="006E1229">
        <w:rPr>
          <w:lang w:eastAsia="en-AU"/>
        </w:rPr>
        <w:t>Sponsor hearing</w:t>
      </w:r>
    </w:p>
    <w:p w14:paraId="35D65A5C" w14:textId="0DA0A682" w:rsidR="00A304A7" w:rsidRPr="00836F75" w:rsidRDefault="005D717E" w:rsidP="003D1CBD">
      <w:pPr>
        <w:widowControl w:val="0"/>
        <w:numPr>
          <w:ilvl w:val="1"/>
          <w:numId w:val="1"/>
        </w:numPr>
        <w:spacing w:after="120"/>
        <w:rPr>
          <w:rFonts w:asciiTheme="minorHAnsi" w:hAnsiTheme="minorHAnsi"/>
          <w:bCs/>
          <w:snapToGrid w:val="0"/>
        </w:rPr>
      </w:pPr>
      <w:bookmarkStart w:id="14" w:name="_Hlk76382586"/>
      <w:r>
        <w:rPr>
          <w:rFonts w:asciiTheme="minorHAnsi" w:hAnsiTheme="minorHAnsi"/>
          <w:bCs/>
          <w:snapToGrid w:val="0"/>
        </w:rPr>
        <w:t>The Sponsor requested a hearing for this item. The clinician discussed the level of underdiagnosis of HS in clinical practice</w:t>
      </w:r>
      <w:r w:rsidR="00361D29">
        <w:rPr>
          <w:rFonts w:asciiTheme="minorHAnsi" w:hAnsiTheme="minorHAnsi"/>
          <w:bCs/>
          <w:snapToGrid w:val="0"/>
        </w:rPr>
        <w:t xml:space="preserve"> and noted</w:t>
      </w:r>
      <w:r>
        <w:rPr>
          <w:rFonts w:asciiTheme="minorHAnsi" w:hAnsiTheme="minorHAnsi"/>
          <w:bCs/>
          <w:snapToGrid w:val="0"/>
        </w:rPr>
        <w:t xml:space="preserve"> it is often mistaken for other dermatological conditions. The clinician also described the significant impact on </w:t>
      </w:r>
      <w:r>
        <w:rPr>
          <w:rFonts w:asciiTheme="minorHAnsi" w:hAnsiTheme="minorHAnsi"/>
          <w:bCs/>
          <w:snapToGrid w:val="0"/>
        </w:rPr>
        <w:lastRenderedPageBreak/>
        <w:t>patients’ quality of life, to the extent where some people with HS are unable to participate in society</w:t>
      </w:r>
      <w:r w:rsidR="00327D55">
        <w:rPr>
          <w:rFonts w:asciiTheme="minorHAnsi" w:hAnsiTheme="minorHAnsi"/>
          <w:bCs/>
          <w:snapToGrid w:val="0"/>
        </w:rPr>
        <w:t xml:space="preserve"> or</w:t>
      </w:r>
      <w:r>
        <w:rPr>
          <w:rFonts w:asciiTheme="minorHAnsi" w:hAnsiTheme="minorHAnsi"/>
          <w:bCs/>
          <w:snapToGrid w:val="0"/>
        </w:rPr>
        <w:t xml:space="preserve"> form</w:t>
      </w:r>
      <w:r w:rsidR="00327D55">
        <w:rPr>
          <w:rFonts w:asciiTheme="minorHAnsi" w:hAnsiTheme="minorHAnsi"/>
          <w:bCs/>
          <w:snapToGrid w:val="0"/>
        </w:rPr>
        <w:t xml:space="preserve"> personal</w:t>
      </w:r>
      <w:r>
        <w:rPr>
          <w:rFonts w:asciiTheme="minorHAnsi" w:hAnsiTheme="minorHAnsi"/>
          <w:bCs/>
          <w:snapToGrid w:val="0"/>
        </w:rPr>
        <w:t xml:space="preserve"> relationships because of the fear and impact of draining fistulae. The </w:t>
      </w:r>
      <w:r w:rsidR="00002890">
        <w:rPr>
          <w:rFonts w:asciiTheme="minorHAnsi" w:hAnsiTheme="minorHAnsi"/>
          <w:bCs/>
          <w:snapToGrid w:val="0"/>
        </w:rPr>
        <w:t xml:space="preserve">hearing also outlined the high need for alternatives as </w:t>
      </w:r>
      <w:r w:rsidR="00EC0B93">
        <w:rPr>
          <w:rFonts w:asciiTheme="minorHAnsi" w:hAnsiTheme="minorHAnsi"/>
          <w:bCs/>
          <w:snapToGrid w:val="0"/>
        </w:rPr>
        <w:t xml:space="preserve">adalimumab </w:t>
      </w:r>
      <w:r w:rsidR="00002890">
        <w:rPr>
          <w:rFonts w:asciiTheme="minorHAnsi" w:hAnsiTheme="minorHAnsi"/>
          <w:bCs/>
          <w:snapToGrid w:val="0"/>
        </w:rPr>
        <w:t xml:space="preserve">was currently the only available biologic for HS and some patients lose response to </w:t>
      </w:r>
      <w:r w:rsidR="00EC0B93">
        <w:rPr>
          <w:rFonts w:asciiTheme="minorHAnsi" w:hAnsiTheme="minorHAnsi"/>
          <w:bCs/>
          <w:snapToGrid w:val="0"/>
        </w:rPr>
        <w:t xml:space="preserve">adalimumab </w:t>
      </w:r>
      <w:r w:rsidR="00002890">
        <w:rPr>
          <w:rFonts w:asciiTheme="minorHAnsi" w:hAnsiTheme="minorHAnsi"/>
          <w:bCs/>
          <w:snapToGrid w:val="0"/>
        </w:rPr>
        <w:t xml:space="preserve">or are unable to use it due to contraindications or comorbidities. </w:t>
      </w:r>
    </w:p>
    <w:bookmarkEnd w:id="14"/>
    <w:p w14:paraId="0017790B" w14:textId="77777777" w:rsidR="00A304A7" w:rsidRPr="006E1229" w:rsidRDefault="00A304A7" w:rsidP="0071102F">
      <w:pPr>
        <w:pStyle w:val="3-SubsectionHeading"/>
        <w:outlineLvl w:val="1"/>
        <w:rPr>
          <w:lang w:eastAsia="en-AU"/>
        </w:rPr>
      </w:pPr>
      <w:r w:rsidRPr="006E1229">
        <w:rPr>
          <w:lang w:eastAsia="en-AU"/>
        </w:rPr>
        <w:t>Consumer comments</w:t>
      </w:r>
    </w:p>
    <w:p w14:paraId="1F8B5272" w14:textId="0E39C412" w:rsidR="00A304A7" w:rsidRPr="00836F75" w:rsidRDefault="00A304A7" w:rsidP="003D1CBD">
      <w:pPr>
        <w:widowControl w:val="0"/>
        <w:numPr>
          <w:ilvl w:val="1"/>
          <w:numId w:val="1"/>
        </w:numPr>
        <w:spacing w:after="120"/>
        <w:rPr>
          <w:rFonts w:asciiTheme="minorHAnsi" w:hAnsiTheme="minorHAnsi"/>
          <w:bCs/>
          <w:snapToGrid w:val="0"/>
        </w:rPr>
      </w:pPr>
      <w:bookmarkStart w:id="15" w:name="_Hlk76382618"/>
      <w:r w:rsidRPr="00836F75">
        <w:rPr>
          <w:rFonts w:asciiTheme="minorHAnsi" w:hAnsiTheme="minorHAnsi"/>
          <w:bCs/>
          <w:snapToGrid w:val="0"/>
        </w:rPr>
        <w:t>The PBAC noted and welcomed the input from individuals (</w:t>
      </w:r>
      <w:r w:rsidR="0040079A">
        <w:rPr>
          <w:rFonts w:asciiTheme="minorHAnsi" w:hAnsiTheme="minorHAnsi"/>
          <w:bCs/>
          <w:snapToGrid w:val="0"/>
        </w:rPr>
        <w:t>7</w:t>
      </w:r>
      <w:r w:rsidRPr="00836F75">
        <w:rPr>
          <w:rFonts w:asciiTheme="minorHAnsi" w:hAnsiTheme="minorHAnsi"/>
          <w:bCs/>
          <w:snapToGrid w:val="0"/>
        </w:rPr>
        <w:t>), health care professionals (7) and organisations (</w:t>
      </w:r>
      <w:r w:rsidR="00005D78">
        <w:rPr>
          <w:rFonts w:asciiTheme="minorHAnsi" w:hAnsiTheme="minorHAnsi"/>
          <w:bCs/>
          <w:snapToGrid w:val="0"/>
        </w:rPr>
        <w:t>2</w:t>
      </w:r>
      <w:r w:rsidRPr="00836F75">
        <w:rPr>
          <w:rFonts w:asciiTheme="minorHAnsi" w:hAnsiTheme="minorHAnsi"/>
          <w:bCs/>
          <w:snapToGrid w:val="0"/>
        </w:rPr>
        <w:t xml:space="preserve">) via the Consumer Comments facility on the PBS website. The comments </w:t>
      </w:r>
      <w:r w:rsidR="00005D78">
        <w:rPr>
          <w:rFonts w:asciiTheme="minorHAnsi" w:hAnsiTheme="minorHAnsi"/>
          <w:bCs/>
          <w:snapToGrid w:val="0"/>
        </w:rPr>
        <w:t xml:space="preserve">from healthcare professionals noted the need for additional treatment options, the loss of efficacy </w:t>
      </w:r>
      <w:r w:rsidR="00327D55">
        <w:rPr>
          <w:rFonts w:asciiTheme="minorHAnsi" w:hAnsiTheme="minorHAnsi"/>
          <w:bCs/>
          <w:snapToGrid w:val="0"/>
        </w:rPr>
        <w:t>with</w:t>
      </w:r>
      <w:r w:rsidR="00005D78">
        <w:rPr>
          <w:rFonts w:asciiTheme="minorHAnsi" w:hAnsiTheme="minorHAnsi"/>
          <w:bCs/>
          <w:snapToGrid w:val="0"/>
        </w:rPr>
        <w:t xml:space="preserve"> alternative treatments and the impact of HS on patients’ quality of life. The comments from patients who have tried </w:t>
      </w:r>
      <w:r w:rsidR="00814E3E">
        <w:rPr>
          <w:rFonts w:asciiTheme="minorHAnsi" w:hAnsiTheme="minorHAnsi"/>
          <w:bCs/>
          <w:snapToGrid w:val="0"/>
        </w:rPr>
        <w:t>secukinumab</w:t>
      </w:r>
      <w:r w:rsidR="007052FD">
        <w:rPr>
          <w:rFonts w:asciiTheme="minorHAnsi" w:hAnsiTheme="minorHAnsi"/>
          <w:bCs/>
          <w:snapToGrid w:val="0"/>
        </w:rPr>
        <w:t xml:space="preserve"> for HS and their parents or caregivers noted that while it has not completely eliminated their symptoms, there have been few side effects and treatment has reduced the severity of their disease, leading to reduced need for surgeries and improved quality of life. The comments from patients who wish to try </w:t>
      </w:r>
      <w:r w:rsidR="00814E3E">
        <w:rPr>
          <w:rFonts w:asciiTheme="minorHAnsi" w:hAnsiTheme="minorHAnsi"/>
          <w:bCs/>
          <w:snapToGrid w:val="0"/>
        </w:rPr>
        <w:t>secukinumab</w:t>
      </w:r>
      <w:r w:rsidR="007052FD">
        <w:rPr>
          <w:rFonts w:asciiTheme="minorHAnsi" w:hAnsiTheme="minorHAnsi"/>
          <w:bCs/>
          <w:snapToGrid w:val="0"/>
        </w:rPr>
        <w:t xml:space="preserve"> noted their current treatments have had limited effectiveness and outlined their hope treatment will improve their quality of life. </w:t>
      </w:r>
    </w:p>
    <w:p w14:paraId="3EE6A2C7" w14:textId="60F378EE" w:rsidR="00A304A7" w:rsidRDefault="007052FD" w:rsidP="003D1CBD">
      <w:pPr>
        <w:widowControl w:val="0"/>
        <w:numPr>
          <w:ilvl w:val="1"/>
          <w:numId w:val="1"/>
        </w:numPr>
        <w:spacing w:after="120"/>
        <w:rPr>
          <w:rFonts w:asciiTheme="minorHAnsi" w:hAnsiTheme="minorHAnsi"/>
          <w:bCs/>
          <w:snapToGrid w:val="0"/>
        </w:rPr>
      </w:pPr>
      <w:r>
        <w:rPr>
          <w:rFonts w:asciiTheme="minorHAnsi" w:hAnsiTheme="minorHAnsi"/>
          <w:bCs/>
          <w:snapToGrid w:val="0"/>
        </w:rPr>
        <w:t>The PBAC noted input from the Australasian College of Dermatologists supported the listing and highlighted the importance of an additional/alternative effective treatment for HS on the PBS.</w:t>
      </w:r>
    </w:p>
    <w:p w14:paraId="30FF78B9" w14:textId="0539311C" w:rsidR="00A304A7" w:rsidRPr="00836F75" w:rsidRDefault="007052FD" w:rsidP="003D1CBD">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also noted the input from the Centre for Community Driven Research (CCDR), which provided a decision-maker brief, including patient stories sharing their experience with HS and treatment with SEC. The PBAC noted the patient stories further highlighted the severe impact of HS on quality of life, including the pain and other unpleasant symptoms associated with draining fistulae, leading people to withdraw from society because of the fear, embarrassment and stigma associated with their disease. </w:t>
      </w:r>
    </w:p>
    <w:bookmarkEnd w:id="12"/>
    <w:bookmarkEnd w:id="15"/>
    <w:p w14:paraId="609C0765" w14:textId="486DCE7E" w:rsidR="00B60939" w:rsidRPr="00C9624D" w:rsidRDefault="00B60939" w:rsidP="002E4F02">
      <w:pPr>
        <w:pStyle w:val="4-SubsectionHeading"/>
      </w:pPr>
      <w:r w:rsidRPr="00C9624D">
        <w:t>Clinical trial</w:t>
      </w:r>
      <w:r w:rsidR="00CD786E">
        <w:t>s</w:t>
      </w:r>
      <w:bookmarkEnd w:id="11"/>
      <w:bookmarkEnd w:id="13"/>
    </w:p>
    <w:p w14:paraId="5704D259" w14:textId="7139AC73" w:rsidR="0040079A" w:rsidRPr="0040079A" w:rsidRDefault="001043A0" w:rsidP="007E1C14">
      <w:pPr>
        <w:pStyle w:val="3-BodyText"/>
        <w:rPr>
          <w:color w:val="0066FF"/>
        </w:rPr>
      </w:pPr>
      <w:r>
        <w:rPr>
          <w:snapToGrid/>
        </w:rPr>
        <w:t xml:space="preserve">The submission was based on two </w:t>
      </w:r>
      <w:r w:rsidR="00EF11EA">
        <w:rPr>
          <w:snapToGrid/>
        </w:rPr>
        <w:t>randomised</w:t>
      </w:r>
      <w:r>
        <w:rPr>
          <w:snapToGrid/>
        </w:rPr>
        <w:t xml:space="preserve"> trials comparing secukinumab to placebo (SUNSHINE, N=541 and SUNRISE, N=543) and four head-to-head trials comparing </w:t>
      </w:r>
      <w:r w:rsidR="005762D0">
        <w:rPr>
          <w:snapToGrid/>
        </w:rPr>
        <w:t>adalimumab</w:t>
      </w:r>
      <w:r>
        <w:rPr>
          <w:snapToGrid/>
        </w:rPr>
        <w:t xml:space="preserve"> to placebo (M10-467, N=1</w:t>
      </w:r>
      <w:r w:rsidR="005A03B1">
        <w:rPr>
          <w:snapToGrid/>
        </w:rPr>
        <w:t>54</w:t>
      </w:r>
      <w:r>
        <w:rPr>
          <w:snapToGrid/>
        </w:rPr>
        <w:t>; PIONEER I, N=307; PIONEER II, N</w:t>
      </w:r>
      <w:r w:rsidR="00FD7278">
        <w:rPr>
          <w:snapToGrid/>
        </w:rPr>
        <w:t>=</w:t>
      </w:r>
      <w:r>
        <w:rPr>
          <w:snapToGrid/>
        </w:rPr>
        <w:t xml:space="preserve">326; SHARPS, N=206). </w:t>
      </w:r>
      <w:r w:rsidR="00FE150F">
        <w:rPr>
          <w:snapToGrid/>
        </w:rPr>
        <w:t xml:space="preserve">The two </w:t>
      </w:r>
      <w:r>
        <w:rPr>
          <w:snapToGrid/>
        </w:rPr>
        <w:t xml:space="preserve">secukinumab trials </w:t>
      </w:r>
      <w:r w:rsidR="00FE150F">
        <w:rPr>
          <w:snapToGrid/>
        </w:rPr>
        <w:t xml:space="preserve">had </w:t>
      </w:r>
      <w:r>
        <w:rPr>
          <w:snapToGrid/>
        </w:rPr>
        <w:t xml:space="preserve">the same design and </w:t>
      </w:r>
      <w:r w:rsidR="00FE150F">
        <w:rPr>
          <w:snapToGrid/>
        </w:rPr>
        <w:t xml:space="preserve">patient </w:t>
      </w:r>
      <w:r>
        <w:rPr>
          <w:snapToGrid/>
        </w:rPr>
        <w:t>population.</w:t>
      </w:r>
    </w:p>
    <w:p w14:paraId="27D083AF" w14:textId="618DA3A7" w:rsidR="00DE5668" w:rsidRPr="00DE5668" w:rsidRDefault="001043A0" w:rsidP="007E1C14">
      <w:pPr>
        <w:pStyle w:val="3-BodyText"/>
        <w:rPr>
          <w:color w:val="0066FF"/>
        </w:rPr>
      </w:pPr>
      <w:r w:rsidRPr="005E2E87">
        <w:rPr>
          <w:snapToGrid/>
        </w:rPr>
        <w:t>The PBAC ha</w:t>
      </w:r>
      <w:r w:rsidR="00FE150F">
        <w:rPr>
          <w:snapToGrid/>
        </w:rPr>
        <w:t>s</w:t>
      </w:r>
      <w:r w:rsidRPr="005E2E87">
        <w:rPr>
          <w:snapToGrid/>
        </w:rPr>
        <w:t xml:space="preserve"> previously considered 3 of the </w:t>
      </w:r>
      <w:r w:rsidR="005762D0" w:rsidRPr="005E2E87">
        <w:rPr>
          <w:snapToGrid/>
        </w:rPr>
        <w:t>adalimumab</w:t>
      </w:r>
      <w:r w:rsidRPr="005E2E87">
        <w:rPr>
          <w:snapToGrid/>
        </w:rPr>
        <w:t xml:space="preserve"> trials</w:t>
      </w:r>
      <w:r w:rsidR="000F77FE" w:rsidRPr="005E2E87">
        <w:rPr>
          <w:snapToGrid/>
        </w:rPr>
        <w:t>:</w:t>
      </w:r>
      <w:r w:rsidRPr="005E2E87">
        <w:rPr>
          <w:snapToGrid/>
        </w:rPr>
        <w:t xml:space="preserve"> M10-467, and PIONEER I and II</w:t>
      </w:r>
      <w:r w:rsidR="008C7458" w:rsidRPr="005E2E87">
        <w:rPr>
          <w:snapToGrid/>
        </w:rPr>
        <w:t xml:space="preserve"> (</w:t>
      </w:r>
      <w:r w:rsidR="008C7458" w:rsidRPr="005E2E87">
        <w:t xml:space="preserve">adalimumab </w:t>
      </w:r>
      <w:r w:rsidR="00585D9E">
        <w:t>PSD</w:t>
      </w:r>
      <w:r w:rsidR="008C7458" w:rsidRPr="005E2E87">
        <w:t>, November 2016)</w:t>
      </w:r>
      <w:r w:rsidRPr="005E2E87">
        <w:rPr>
          <w:snapToGrid/>
        </w:rPr>
        <w:t xml:space="preserve">. The primary outcome </w:t>
      </w:r>
      <w:r w:rsidR="0060654F" w:rsidRPr="005E2E87">
        <w:rPr>
          <w:snapToGrid/>
        </w:rPr>
        <w:t xml:space="preserve">was </w:t>
      </w:r>
      <w:r w:rsidR="00AE0ABF" w:rsidRPr="005E2E87">
        <w:rPr>
          <w:snapToGrid/>
        </w:rPr>
        <w:t xml:space="preserve">defined as </w:t>
      </w:r>
      <w:r w:rsidR="0060654F" w:rsidRPr="005E2E87">
        <w:rPr>
          <w:snapToGrid/>
        </w:rPr>
        <w:t>a 50% reduction from baseline in the total abscess and inflammatory nodule count, with no increase in the abscess or draining fistula count</w:t>
      </w:r>
      <w:r w:rsidR="00783A95" w:rsidRPr="005E2E87">
        <w:rPr>
          <w:snapToGrid/>
        </w:rPr>
        <w:t xml:space="preserve">: </w:t>
      </w:r>
      <w:r w:rsidR="00393D64" w:rsidRPr="005E2E87">
        <w:rPr>
          <w:snapToGrid/>
        </w:rPr>
        <w:t>a</w:t>
      </w:r>
      <w:r w:rsidR="00783A95" w:rsidRPr="005E2E87">
        <w:rPr>
          <w:snapToGrid/>
        </w:rPr>
        <w:t xml:space="preserve"> </w:t>
      </w:r>
      <w:r w:rsidR="0095350C" w:rsidRPr="005E2E87">
        <w:t>hidradeni</w:t>
      </w:r>
      <w:r w:rsidR="00327D55">
        <w:t>t</w:t>
      </w:r>
      <w:r w:rsidR="0095350C" w:rsidRPr="005E2E87">
        <w:t>is suppurativa clinical response</w:t>
      </w:r>
      <w:r w:rsidRPr="005E2E87">
        <w:t xml:space="preserve"> of </w:t>
      </w:r>
      <w:r w:rsidR="0095350C" w:rsidRPr="005E2E87">
        <w:t>at least 50%</w:t>
      </w:r>
      <w:r w:rsidR="0095350C" w:rsidRPr="005E2E87">
        <w:rPr>
          <w:snapToGrid/>
        </w:rPr>
        <w:t xml:space="preserve"> </w:t>
      </w:r>
      <w:r w:rsidR="00A31F63" w:rsidRPr="005E2E87">
        <w:rPr>
          <w:snapToGrid/>
        </w:rPr>
        <w:t>(</w:t>
      </w:r>
      <w:r w:rsidRPr="005E2E87">
        <w:rPr>
          <w:snapToGrid/>
        </w:rPr>
        <w:t>HiSCR50</w:t>
      </w:r>
      <w:r w:rsidR="00A31F63" w:rsidRPr="005E2E87">
        <w:rPr>
          <w:snapToGrid/>
        </w:rPr>
        <w:t>)</w:t>
      </w:r>
      <w:r w:rsidR="00B51EB3" w:rsidRPr="005E2E87">
        <w:rPr>
          <w:snapToGrid/>
        </w:rPr>
        <w:t xml:space="preserve">. </w:t>
      </w:r>
      <w:r w:rsidR="00567683">
        <w:rPr>
          <w:snapToGrid/>
        </w:rPr>
        <w:t>The outcome</w:t>
      </w:r>
      <w:r w:rsidR="00567683" w:rsidRPr="005E2E87">
        <w:rPr>
          <w:snapToGrid/>
        </w:rPr>
        <w:t xml:space="preserve"> </w:t>
      </w:r>
      <w:r w:rsidRPr="005E2E87">
        <w:rPr>
          <w:snapToGrid/>
        </w:rPr>
        <w:t xml:space="preserve">was measured at Week 16 in the secukinumab and M10-467 </w:t>
      </w:r>
      <w:r w:rsidR="004C756C" w:rsidRPr="005E2E87">
        <w:rPr>
          <w:snapToGrid/>
        </w:rPr>
        <w:t>trials</w:t>
      </w:r>
      <w:r w:rsidRPr="005E2E87">
        <w:rPr>
          <w:snapToGrid/>
        </w:rPr>
        <w:t xml:space="preserve">, and </w:t>
      </w:r>
      <w:r w:rsidR="00567683">
        <w:rPr>
          <w:snapToGrid/>
        </w:rPr>
        <w:t xml:space="preserve">at </w:t>
      </w:r>
      <w:r w:rsidRPr="005E2E87">
        <w:rPr>
          <w:snapToGrid/>
        </w:rPr>
        <w:t xml:space="preserve">Week 12 in the PIONEER </w:t>
      </w:r>
      <w:r w:rsidRPr="005E2E87">
        <w:rPr>
          <w:snapToGrid/>
        </w:rPr>
        <w:lastRenderedPageBreak/>
        <w:t xml:space="preserve">and SHARPS </w:t>
      </w:r>
      <w:r w:rsidR="004C756C" w:rsidRPr="005E2E87">
        <w:rPr>
          <w:snapToGrid/>
        </w:rPr>
        <w:t>trials</w:t>
      </w:r>
      <w:r w:rsidRPr="005E2E87">
        <w:rPr>
          <w:snapToGrid/>
        </w:rPr>
        <w:t>.</w:t>
      </w:r>
      <w:r w:rsidRPr="002E4F02">
        <w:rPr>
          <w:color w:val="0066FF"/>
        </w:rPr>
        <w:t xml:space="preserve"> </w:t>
      </w:r>
    </w:p>
    <w:p w14:paraId="68151ADA" w14:textId="0D282511" w:rsidR="00FA25EA" w:rsidRPr="002E4F02" w:rsidRDefault="00FA25EA" w:rsidP="007E1C14">
      <w:pPr>
        <w:pStyle w:val="3-BodyText"/>
        <w:rPr>
          <w:color w:val="0066FF"/>
        </w:rPr>
      </w:pPr>
      <w:bookmarkStart w:id="16" w:name="_Ref142299721"/>
      <w:r>
        <w:t xml:space="preserve">SHARPS was a </w:t>
      </w:r>
      <w:r w:rsidRPr="00FA25EA">
        <w:t xml:space="preserve">Phase IV trial designed to evaluate the perioperative efficacy of </w:t>
      </w:r>
      <w:r w:rsidR="005762D0">
        <w:t>adalimumab</w:t>
      </w:r>
      <w:r w:rsidRPr="00FA25EA">
        <w:t xml:space="preserve"> in patients with moderate to severe HS who required radical surgery in an axillary or inguinal region, and had 2 other anatomical regions affected, with 1 or more regions at Hurley stage II or III.</w:t>
      </w:r>
      <w:r w:rsidR="001F111A">
        <w:t xml:space="preserve"> Patients had</w:t>
      </w:r>
      <w:r w:rsidR="00BD2595">
        <w:t xml:space="preserve"> efficacy</w:t>
      </w:r>
      <w:r w:rsidR="001F111A">
        <w:t xml:space="preserve"> evaluations performed at Week 12 (pre-operative) and Week 24 (post-operative).</w:t>
      </w:r>
      <w:bookmarkEnd w:id="16"/>
    </w:p>
    <w:p w14:paraId="2B59ABAC" w14:textId="27EEDB79" w:rsidR="00862502" w:rsidRPr="00B50DB8" w:rsidRDefault="00A73134" w:rsidP="007E1C14">
      <w:pPr>
        <w:pStyle w:val="3-BodyText"/>
      </w:pPr>
      <w:r>
        <w:rPr>
          <w:snapToGrid/>
        </w:rPr>
        <w:t>Details of the trials</w:t>
      </w:r>
      <w:r w:rsidR="00742DAD">
        <w:rPr>
          <w:snapToGrid/>
        </w:rPr>
        <w:t xml:space="preserve"> </w:t>
      </w:r>
      <w:r>
        <w:rPr>
          <w:snapToGrid/>
        </w:rPr>
        <w:t>presented in the submission are provided in</w:t>
      </w:r>
      <w:r w:rsidR="00E14C2D">
        <w:rPr>
          <w:snapToGrid/>
        </w:rPr>
        <w:t xml:space="preserve"> </w:t>
      </w:r>
      <w:r w:rsidR="00E14C2D">
        <w:rPr>
          <w:snapToGrid/>
        </w:rPr>
        <w:fldChar w:fldCharType="begin" w:fldLock="1"/>
      </w:r>
      <w:r w:rsidR="00E14C2D">
        <w:rPr>
          <w:snapToGrid/>
        </w:rPr>
        <w:instrText xml:space="preserve"> REF _Ref133930606 \h </w:instrText>
      </w:r>
      <w:r w:rsidR="00E14C2D">
        <w:rPr>
          <w:snapToGrid/>
        </w:rPr>
      </w:r>
      <w:r w:rsidR="00E14C2D">
        <w:rPr>
          <w:snapToGrid/>
        </w:rPr>
        <w:fldChar w:fldCharType="separate"/>
      </w:r>
      <w:r w:rsidR="000F75DF">
        <w:t xml:space="preserve">Table </w:t>
      </w:r>
      <w:r w:rsidR="000F75DF">
        <w:rPr>
          <w:noProof/>
        </w:rPr>
        <w:t>2</w:t>
      </w:r>
      <w:r w:rsidR="00E14C2D">
        <w:rPr>
          <w:snapToGrid/>
        </w:rPr>
        <w:fldChar w:fldCharType="end"/>
      </w:r>
      <w:r>
        <w:rPr>
          <w:snapToGrid/>
        </w:rPr>
        <w:t>.</w:t>
      </w:r>
    </w:p>
    <w:p w14:paraId="7DE3A286" w14:textId="338B664C" w:rsidR="008E0D3C" w:rsidRDefault="00E14C2D" w:rsidP="00366597">
      <w:pPr>
        <w:pStyle w:val="Caption"/>
        <w:rPr>
          <w:rStyle w:val="CommentReference"/>
          <w:b/>
          <w:szCs w:val="24"/>
        </w:rPr>
      </w:pPr>
      <w:bookmarkStart w:id="17" w:name="_Ref133930606"/>
      <w:r>
        <w:lastRenderedPageBreak/>
        <w:t xml:space="preserve">Table </w:t>
      </w:r>
      <w:r>
        <w:fldChar w:fldCharType="begin" w:fldLock="1"/>
      </w:r>
      <w:r>
        <w:instrText>SEQ Table \* ARABIC</w:instrText>
      </w:r>
      <w:r>
        <w:fldChar w:fldCharType="separate"/>
      </w:r>
      <w:r w:rsidR="000F75DF">
        <w:rPr>
          <w:noProof/>
        </w:rPr>
        <w:t>2</w:t>
      </w:r>
      <w:r>
        <w:fldChar w:fldCharType="end"/>
      </w:r>
      <w:bookmarkEnd w:id="17"/>
      <w:r w:rsidR="00696EF9">
        <w:t>:</w:t>
      </w:r>
      <w:r w:rsidR="00BC591F" w:rsidRPr="002E4F02">
        <w:rPr>
          <w:rStyle w:val="CommentReference"/>
          <w:b/>
          <w:szCs w:val="24"/>
        </w:rPr>
        <w:t xml:space="preserve"> </w:t>
      </w:r>
      <w:r w:rsidR="008E0D3C" w:rsidRPr="002E4F02">
        <w:rPr>
          <w:rStyle w:val="CommentReference"/>
          <w:b/>
          <w:szCs w:val="24"/>
        </w:rPr>
        <w:t>Trials and associated reports presented in the submission</w:t>
      </w:r>
    </w:p>
    <w:tbl>
      <w:tblPr>
        <w:tblpPr w:leftFromText="180" w:rightFromText="180" w:vertAnchor="text" w:tblpY="1"/>
        <w:tblOverlap w:val="neve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70"/>
        <w:gridCol w:w="5293"/>
        <w:gridCol w:w="2888"/>
      </w:tblGrid>
      <w:tr w:rsidR="00D64819" w:rsidRPr="00585D9E" w14:paraId="025F2AA7" w14:textId="77777777" w:rsidTr="00585D9E">
        <w:trPr>
          <w:trHeight w:val="170"/>
          <w:tblHeader/>
        </w:trPr>
        <w:tc>
          <w:tcPr>
            <w:tcW w:w="626" w:type="pct"/>
            <w:vAlign w:val="center"/>
          </w:tcPr>
          <w:p w14:paraId="13523D3E" w14:textId="77777777" w:rsidR="00D64819" w:rsidRPr="00585D9E" w:rsidRDefault="00D64819" w:rsidP="00585D9E">
            <w:pPr>
              <w:pStyle w:val="In-tableHeading"/>
              <w:rPr>
                <w:szCs w:val="20"/>
              </w:rPr>
            </w:pPr>
            <w:r w:rsidRPr="00585D9E">
              <w:rPr>
                <w:szCs w:val="20"/>
              </w:rPr>
              <w:t>Trial ID</w:t>
            </w:r>
          </w:p>
        </w:tc>
        <w:tc>
          <w:tcPr>
            <w:tcW w:w="2830" w:type="pct"/>
            <w:vAlign w:val="center"/>
          </w:tcPr>
          <w:p w14:paraId="550439A8" w14:textId="77777777" w:rsidR="00D64819" w:rsidRPr="00585D9E" w:rsidRDefault="00D64819" w:rsidP="00585D9E">
            <w:pPr>
              <w:pStyle w:val="In-tableHeading"/>
              <w:rPr>
                <w:szCs w:val="20"/>
              </w:rPr>
            </w:pPr>
            <w:r w:rsidRPr="00585D9E">
              <w:rPr>
                <w:szCs w:val="20"/>
              </w:rPr>
              <w:t>Protocol title/ Publication title</w:t>
            </w:r>
          </w:p>
        </w:tc>
        <w:tc>
          <w:tcPr>
            <w:tcW w:w="1544" w:type="pct"/>
            <w:tcBorders>
              <w:bottom w:val="single" w:sz="4" w:space="0" w:color="auto"/>
            </w:tcBorders>
            <w:vAlign w:val="center"/>
          </w:tcPr>
          <w:p w14:paraId="1E24BC79" w14:textId="77777777" w:rsidR="00D64819" w:rsidRPr="00585D9E" w:rsidRDefault="00D64819" w:rsidP="00585D9E">
            <w:pPr>
              <w:pStyle w:val="In-tableHeading"/>
              <w:rPr>
                <w:szCs w:val="20"/>
              </w:rPr>
            </w:pPr>
            <w:r w:rsidRPr="00585D9E">
              <w:rPr>
                <w:szCs w:val="20"/>
              </w:rPr>
              <w:t>Publication citation</w:t>
            </w:r>
          </w:p>
        </w:tc>
      </w:tr>
      <w:tr w:rsidR="00D64819" w:rsidRPr="00585D9E" w14:paraId="568C3600" w14:textId="77777777" w:rsidTr="00585D9E">
        <w:trPr>
          <w:trHeight w:val="170"/>
          <w:tblHeader/>
        </w:trPr>
        <w:tc>
          <w:tcPr>
            <w:tcW w:w="626" w:type="pct"/>
            <w:vMerge w:val="restart"/>
            <w:vAlign w:val="center"/>
          </w:tcPr>
          <w:p w14:paraId="17F40117" w14:textId="77777777" w:rsidR="00D64819" w:rsidRPr="00585D9E" w:rsidRDefault="00D64819" w:rsidP="00585D9E">
            <w:pPr>
              <w:pStyle w:val="TableText0"/>
              <w:rPr>
                <w:szCs w:val="20"/>
              </w:rPr>
            </w:pPr>
            <w:r w:rsidRPr="00585D9E">
              <w:rPr>
                <w:szCs w:val="20"/>
              </w:rPr>
              <w:t>2301 (SUNSHINE)</w:t>
            </w:r>
          </w:p>
        </w:tc>
        <w:tc>
          <w:tcPr>
            <w:tcW w:w="2830" w:type="pct"/>
            <w:tcBorders>
              <w:bottom w:val="nil"/>
            </w:tcBorders>
          </w:tcPr>
          <w:p w14:paraId="06DAA095" w14:textId="314A4686" w:rsidR="00D64819" w:rsidRPr="00585D9E" w:rsidRDefault="00D64819" w:rsidP="00585D9E">
            <w:pPr>
              <w:pStyle w:val="TableText0"/>
              <w:rPr>
                <w:szCs w:val="20"/>
              </w:rPr>
            </w:pPr>
            <w:r w:rsidRPr="00585D9E">
              <w:rPr>
                <w:szCs w:val="20"/>
              </w:rPr>
              <w:t xml:space="preserve">A randomized, double-blind, multicenter study assessing short (16 weeks) and long-term efficacy (up to 1 year), safety, and tolerability of 2 subcutaneous secukinumab dose regimens in adult patients with moderate to severe hidradenitis suppurativa (SUNSHINE) (NCT03713619) </w:t>
            </w:r>
            <w:hyperlink r:id="rId9" w:history="1">
              <w:r w:rsidRPr="00585D9E">
                <w:rPr>
                  <w:rStyle w:val="Hyperlink"/>
                  <w:szCs w:val="20"/>
                </w:rPr>
                <w:t>https://clinicaltrials.gov/ct2/show/NCT03713619</w:t>
              </w:r>
            </w:hyperlink>
          </w:p>
        </w:tc>
        <w:tc>
          <w:tcPr>
            <w:tcW w:w="1544" w:type="pct"/>
            <w:tcBorders>
              <w:bottom w:val="nil"/>
            </w:tcBorders>
          </w:tcPr>
          <w:p w14:paraId="0C4F3AB7" w14:textId="77777777" w:rsidR="00D64819" w:rsidRPr="00585D9E" w:rsidRDefault="00D64819" w:rsidP="00585D9E">
            <w:pPr>
              <w:pStyle w:val="TableText0"/>
              <w:rPr>
                <w:szCs w:val="20"/>
              </w:rPr>
            </w:pPr>
            <w:r w:rsidRPr="00585D9E">
              <w:rPr>
                <w:szCs w:val="20"/>
              </w:rPr>
              <w:t xml:space="preserve"> Jan 2023</w:t>
            </w:r>
          </w:p>
        </w:tc>
      </w:tr>
      <w:tr w:rsidR="00D64819" w:rsidRPr="00585D9E" w14:paraId="47F018A5" w14:textId="77777777" w:rsidTr="00585D9E">
        <w:trPr>
          <w:trHeight w:val="170"/>
          <w:tblHeader/>
        </w:trPr>
        <w:tc>
          <w:tcPr>
            <w:tcW w:w="626" w:type="pct"/>
            <w:vMerge/>
            <w:vAlign w:val="center"/>
          </w:tcPr>
          <w:p w14:paraId="5C008EB1" w14:textId="77777777" w:rsidR="00D64819" w:rsidRPr="00585D9E" w:rsidRDefault="00D64819" w:rsidP="00585D9E">
            <w:pPr>
              <w:pStyle w:val="TableText0"/>
              <w:rPr>
                <w:szCs w:val="20"/>
              </w:rPr>
            </w:pPr>
          </w:p>
        </w:tc>
        <w:tc>
          <w:tcPr>
            <w:tcW w:w="2830" w:type="pct"/>
            <w:tcBorders>
              <w:top w:val="nil"/>
            </w:tcBorders>
          </w:tcPr>
          <w:p w14:paraId="1C6EFD56" w14:textId="77777777" w:rsidR="00D64819" w:rsidRPr="00585D9E" w:rsidRDefault="00D64819" w:rsidP="00585D9E">
            <w:pPr>
              <w:pStyle w:val="TableText0"/>
              <w:rPr>
                <w:szCs w:val="20"/>
              </w:rPr>
            </w:pPr>
            <w:r w:rsidRPr="00585D9E">
              <w:rPr>
                <w:szCs w:val="20"/>
              </w:rPr>
              <w:t>Internal clinical study report (CAIN4572301)</w:t>
            </w:r>
          </w:p>
        </w:tc>
        <w:tc>
          <w:tcPr>
            <w:tcW w:w="1544" w:type="pct"/>
            <w:tcBorders>
              <w:top w:val="nil"/>
            </w:tcBorders>
          </w:tcPr>
          <w:p w14:paraId="68F98855" w14:textId="77777777" w:rsidR="00D64819" w:rsidRPr="00585D9E" w:rsidRDefault="00D64819" w:rsidP="00585D9E">
            <w:pPr>
              <w:pStyle w:val="TableText0"/>
              <w:rPr>
                <w:szCs w:val="20"/>
              </w:rPr>
            </w:pPr>
            <w:r w:rsidRPr="00585D9E">
              <w:rPr>
                <w:szCs w:val="20"/>
              </w:rPr>
              <w:t>Nov 2022</w:t>
            </w:r>
          </w:p>
        </w:tc>
      </w:tr>
      <w:tr w:rsidR="00D64819" w:rsidRPr="00585D9E" w14:paraId="53226097" w14:textId="77777777" w:rsidTr="00585D9E">
        <w:trPr>
          <w:trHeight w:val="170"/>
          <w:tblHeader/>
        </w:trPr>
        <w:tc>
          <w:tcPr>
            <w:tcW w:w="626" w:type="pct"/>
            <w:vMerge w:val="restart"/>
            <w:vAlign w:val="center"/>
          </w:tcPr>
          <w:p w14:paraId="60EE3DC4" w14:textId="77777777" w:rsidR="00D64819" w:rsidRPr="00585D9E" w:rsidRDefault="00D64819" w:rsidP="00585D9E">
            <w:pPr>
              <w:pStyle w:val="TableText0"/>
              <w:rPr>
                <w:szCs w:val="20"/>
              </w:rPr>
            </w:pPr>
            <w:r w:rsidRPr="00585D9E">
              <w:rPr>
                <w:szCs w:val="20"/>
              </w:rPr>
              <w:t>2302 (SUNRISE)</w:t>
            </w:r>
          </w:p>
        </w:tc>
        <w:tc>
          <w:tcPr>
            <w:tcW w:w="2830" w:type="pct"/>
            <w:tcBorders>
              <w:bottom w:val="nil"/>
            </w:tcBorders>
          </w:tcPr>
          <w:p w14:paraId="2EC48183" w14:textId="098043F2" w:rsidR="00D64819" w:rsidRPr="00585D9E" w:rsidRDefault="00D64819" w:rsidP="00585D9E">
            <w:pPr>
              <w:pStyle w:val="TableText0"/>
              <w:rPr>
                <w:szCs w:val="20"/>
              </w:rPr>
            </w:pPr>
            <w:r w:rsidRPr="00585D9E">
              <w:rPr>
                <w:szCs w:val="20"/>
              </w:rPr>
              <w:t xml:space="preserve">A randomized, double-blind, multicenter study assessing short (16 weeks) and long-term efficacy (up to 1 year), safety, and tolerability of 2 subcutaneous secukinumab dose regimens in adult patients with moderate to severe hidradenitis suppurativa (SUNRISE) (NCT03713632) </w:t>
            </w:r>
            <w:hyperlink r:id="rId10" w:history="1">
              <w:r w:rsidRPr="00585D9E">
                <w:rPr>
                  <w:rStyle w:val="Hyperlink"/>
                  <w:szCs w:val="20"/>
                </w:rPr>
                <w:t>https://clinicaltrials.gov/ct2/show/NCT03713632</w:t>
              </w:r>
            </w:hyperlink>
            <w:r w:rsidRPr="00585D9E">
              <w:rPr>
                <w:szCs w:val="20"/>
              </w:rPr>
              <w:t xml:space="preserve"> </w:t>
            </w:r>
          </w:p>
        </w:tc>
        <w:tc>
          <w:tcPr>
            <w:tcW w:w="1544" w:type="pct"/>
            <w:tcBorders>
              <w:top w:val="single" w:sz="4" w:space="0" w:color="auto"/>
              <w:bottom w:val="nil"/>
            </w:tcBorders>
          </w:tcPr>
          <w:p w14:paraId="43A95B5A" w14:textId="77777777" w:rsidR="00D64819" w:rsidRPr="00585D9E" w:rsidRDefault="00D64819" w:rsidP="00585D9E">
            <w:pPr>
              <w:pStyle w:val="TableText0"/>
              <w:rPr>
                <w:szCs w:val="20"/>
              </w:rPr>
            </w:pPr>
            <w:r w:rsidRPr="00585D9E">
              <w:rPr>
                <w:szCs w:val="20"/>
              </w:rPr>
              <w:t>Oct 2022</w:t>
            </w:r>
          </w:p>
        </w:tc>
      </w:tr>
      <w:tr w:rsidR="00D64819" w:rsidRPr="00585D9E" w14:paraId="6E6BCC31" w14:textId="77777777" w:rsidTr="00585D9E">
        <w:trPr>
          <w:trHeight w:val="170"/>
          <w:tblHeader/>
        </w:trPr>
        <w:tc>
          <w:tcPr>
            <w:tcW w:w="626" w:type="pct"/>
            <w:vMerge/>
            <w:vAlign w:val="center"/>
          </w:tcPr>
          <w:p w14:paraId="68E052FA" w14:textId="77777777" w:rsidR="00D64819" w:rsidRPr="00585D9E" w:rsidRDefault="00D64819" w:rsidP="00585D9E">
            <w:pPr>
              <w:pStyle w:val="TableText0"/>
              <w:rPr>
                <w:szCs w:val="20"/>
              </w:rPr>
            </w:pPr>
          </w:p>
        </w:tc>
        <w:tc>
          <w:tcPr>
            <w:tcW w:w="2830" w:type="pct"/>
            <w:tcBorders>
              <w:top w:val="nil"/>
              <w:bottom w:val="nil"/>
            </w:tcBorders>
          </w:tcPr>
          <w:p w14:paraId="00DC1DA9" w14:textId="77777777" w:rsidR="00D64819" w:rsidRPr="00585D9E" w:rsidRDefault="00D64819" w:rsidP="00585D9E">
            <w:pPr>
              <w:pStyle w:val="TableText0"/>
              <w:rPr>
                <w:szCs w:val="20"/>
              </w:rPr>
            </w:pPr>
            <w:r w:rsidRPr="00585D9E">
              <w:rPr>
                <w:szCs w:val="20"/>
              </w:rPr>
              <w:t>Internal clinical study report (CAIN4572302)</w:t>
            </w:r>
          </w:p>
        </w:tc>
        <w:tc>
          <w:tcPr>
            <w:tcW w:w="1544" w:type="pct"/>
            <w:tcBorders>
              <w:top w:val="nil"/>
              <w:bottom w:val="nil"/>
            </w:tcBorders>
          </w:tcPr>
          <w:p w14:paraId="176A91E5" w14:textId="77777777" w:rsidR="00D64819" w:rsidRPr="00585D9E" w:rsidRDefault="00D64819" w:rsidP="00585D9E">
            <w:pPr>
              <w:pStyle w:val="TableText0"/>
              <w:rPr>
                <w:szCs w:val="20"/>
              </w:rPr>
            </w:pPr>
            <w:r w:rsidRPr="00585D9E">
              <w:rPr>
                <w:szCs w:val="20"/>
              </w:rPr>
              <w:t>Dec 2022</w:t>
            </w:r>
          </w:p>
        </w:tc>
      </w:tr>
      <w:tr w:rsidR="00957A8A" w:rsidRPr="00585D9E" w14:paraId="496B4526" w14:textId="77777777" w:rsidTr="00585D9E">
        <w:trPr>
          <w:trHeight w:val="170"/>
          <w:tblHeader/>
        </w:trPr>
        <w:tc>
          <w:tcPr>
            <w:tcW w:w="626" w:type="pct"/>
            <w:vMerge/>
            <w:vAlign w:val="center"/>
          </w:tcPr>
          <w:p w14:paraId="38855C84" w14:textId="77777777" w:rsidR="00957A8A" w:rsidRPr="00585D9E" w:rsidRDefault="00957A8A" w:rsidP="00585D9E">
            <w:pPr>
              <w:pStyle w:val="TableText0"/>
              <w:rPr>
                <w:szCs w:val="20"/>
              </w:rPr>
            </w:pPr>
          </w:p>
        </w:tc>
        <w:tc>
          <w:tcPr>
            <w:tcW w:w="2830" w:type="pct"/>
            <w:tcBorders>
              <w:top w:val="nil"/>
            </w:tcBorders>
          </w:tcPr>
          <w:p w14:paraId="6F3AF49D" w14:textId="77777777" w:rsidR="00957A8A" w:rsidRPr="00585D9E" w:rsidRDefault="00957A8A" w:rsidP="00585D9E">
            <w:pPr>
              <w:pStyle w:val="TableText0"/>
              <w:rPr>
                <w:szCs w:val="20"/>
              </w:rPr>
            </w:pPr>
            <w:r w:rsidRPr="00585D9E">
              <w:rPr>
                <w:szCs w:val="20"/>
              </w:rPr>
              <w:t xml:space="preserve">Kimball A.B., et al. Study design and baseline characteristics of phase 3 studies of secukinumab (SUNSHINE and SUNRISE) in patients with moderate to severe hidradenitis suppurativa. </w:t>
            </w:r>
          </w:p>
        </w:tc>
        <w:tc>
          <w:tcPr>
            <w:tcW w:w="1544" w:type="pct"/>
            <w:tcBorders>
              <w:top w:val="nil"/>
            </w:tcBorders>
          </w:tcPr>
          <w:p w14:paraId="43C721DF" w14:textId="77777777" w:rsidR="00957A8A" w:rsidRPr="00585D9E" w:rsidRDefault="00957A8A" w:rsidP="00585D9E">
            <w:pPr>
              <w:pStyle w:val="TableText0"/>
              <w:rPr>
                <w:szCs w:val="20"/>
              </w:rPr>
            </w:pPr>
            <w:r w:rsidRPr="00585D9E">
              <w:rPr>
                <w:szCs w:val="20"/>
              </w:rPr>
              <w:t>5th Annual Symposium on Hidradenitis Suppurativa Advances. Virtual conference ePoster 2022</w:t>
            </w:r>
          </w:p>
        </w:tc>
      </w:tr>
      <w:tr w:rsidR="00D64819" w:rsidRPr="00585D9E" w14:paraId="186AA79A" w14:textId="77777777" w:rsidTr="00585D9E">
        <w:trPr>
          <w:trHeight w:val="170"/>
          <w:tblHeader/>
        </w:trPr>
        <w:tc>
          <w:tcPr>
            <w:tcW w:w="626" w:type="pct"/>
            <w:vAlign w:val="center"/>
          </w:tcPr>
          <w:p w14:paraId="27C39AB7" w14:textId="77777777" w:rsidR="00D64819" w:rsidRPr="00585D9E" w:rsidRDefault="00D64819" w:rsidP="00585D9E">
            <w:pPr>
              <w:pStyle w:val="TableText0"/>
              <w:rPr>
                <w:szCs w:val="20"/>
              </w:rPr>
            </w:pPr>
            <w:r w:rsidRPr="00585D9E">
              <w:rPr>
                <w:szCs w:val="20"/>
              </w:rPr>
              <w:t>SUNNY OLE</w:t>
            </w:r>
          </w:p>
          <w:p w14:paraId="161315B5" w14:textId="77777777" w:rsidR="00D64819" w:rsidRPr="00585D9E" w:rsidRDefault="00D64819" w:rsidP="00585D9E">
            <w:pPr>
              <w:pStyle w:val="TableText0"/>
              <w:rPr>
                <w:szCs w:val="20"/>
              </w:rPr>
            </w:pPr>
            <w:r w:rsidRPr="00585D9E">
              <w:rPr>
                <w:szCs w:val="20"/>
              </w:rPr>
              <w:t>(extension of 2301 and 2302)</w:t>
            </w:r>
          </w:p>
        </w:tc>
        <w:tc>
          <w:tcPr>
            <w:tcW w:w="2830" w:type="pct"/>
            <w:tcBorders>
              <w:top w:val="single" w:sz="4" w:space="0" w:color="auto"/>
            </w:tcBorders>
          </w:tcPr>
          <w:p w14:paraId="75346F35" w14:textId="18BB5669" w:rsidR="00D64819" w:rsidRPr="00585D9E" w:rsidRDefault="00D64819" w:rsidP="00585D9E">
            <w:pPr>
              <w:pStyle w:val="TableText0"/>
              <w:rPr>
                <w:szCs w:val="20"/>
              </w:rPr>
            </w:pPr>
            <w:r w:rsidRPr="00585D9E">
              <w:rPr>
                <w:szCs w:val="20"/>
              </w:rPr>
              <w:t xml:space="preserve">Extension Study to Assess Effects of Non-interrupted Versus Interrupted and </w:t>
            </w:r>
            <w:proofErr w:type="gramStart"/>
            <w:r w:rsidRPr="00585D9E">
              <w:rPr>
                <w:szCs w:val="20"/>
              </w:rPr>
              <w:t>Long Term</w:t>
            </w:r>
            <w:proofErr w:type="gramEnd"/>
            <w:r w:rsidRPr="00585D9E">
              <w:rPr>
                <w:szCs w:val="20"/>
              </w:rPr>
              <w:t xml:space="preserve"> Treatment of Two Dose Regimes of Secukinumab in Subjects With Hidradenitis Suppurativa (NCT014179175) </w:t>
            </w:r>
            <w:hyperlink r:id="rId11" w:history="1">
              <w:r w:rsidRPr="00585D9E">
                <w:rPr>
                  <w:rStyle w:val="Hyperlink"/>
                  <w:szCs w:val="20"/>
                </w:rPr>
                <w:t>https://clinicaltrials.gov/ct2/show/NCT04179175</w:t>
              </w:r>
            </w:hyperlink>
            <w:r w:rsidRPr="00585D9E">
              <w:rPr>
                <w:szCs w:val="20"/>
              </w:rPr>
              <w:t xml:space="preserve"> </w:t>
            </w:r>
          </w:p>
        </w:tc>
        <w:tc>
          <w:tcPr>
            <w:tcW w:w="1544" w:type="pct"/>
            <w:tcBorders>
              <w:top w:val="single" w:sz="4" w:space="0" w:color="auto"/>
              <w:bottom w:val="single" w:sz="4" w:space="0" w:color="auto"/>
            </w:tcBorders>
          </w:tcPr>
          <w:p w14:paraId="779B35C4" w14:textId="77777777" w:rsidR="00D64819" w:rsidRPr="00585D9E" w:rsidRDefault="00D64819" w:rsidP="00585D9E">
            <w:pPr>
              <w:pStyle w:val="TableText0"/>
              <w:rPr>
                <w:szCs w:val="20"/>
              </w:rPr>
            </w:pPr>
            <w:r w:rsidRPr="00585D9E">
              <w:rPr>
                <w:szCs w:val="20"/>
              </w:rPr>
              <w:t>Jul 2022</w:t>
            </w:r>
          </w:p>
        </w:tc>
      </w:tr>
      <w:tr w:rsidR="00D64819" w:rsidRPr="00585D9E" w14:paraId="76882F3A" w14:textId="77777777" w:rsidTr="00585D9E">
        <w:trPr>
          <w:trHeight w:val="170"/>
          <w:tblHeader/>
        </w:trPr>
        <w:tc>
          <w:tcPr>
            <w:tcW w:w="626" w:type="pct"/>
            <w:vMerge w:val="restart"/>
            <w:shd w:val="clear" w:color="auto" w:fill="auto"/>
            <w:vAlign w:val="center"/>
          </w:tcPr>
          <w:p w14:paraId="4EAC7B1D" w14:textId="77777777" w:rsidR="00D64819" w:rsidRPr="00585D9E" w:rsidRDefault="00D64819" w:rsidP="00585D9E">
            <w:pPr>
              <w:pStyle w:val="TableText0"/>
              <w:rPr>
                <w:szCs w:val="20"/>
              </w:rPr>
            </w:pPr>
            <w:r w:rsidRPr="00585D9E">
              <w:rPr>
                <w:szCs w:val="20"/>
              </w:rPr>
              <w:t>PIONEER I</w:t>
            </w:r>
          </w:p>
        </w:tc>
        <w:tc>
          <w:tcPr>
            <w:tcW w:w="2830" w:type="pct"/>
            <w:tcBorders>
              <w:bottom w:val="nil"/>
            </w:tcBorders>
            <w:shd w:val="clear" w:color="auto" w:fill="auto"/>
          </w:tcPr>
          <w:p w14:paraId="49FBDBE7" w14:textId="65EEB629" w:rsidR="00D64819" w:rsidRPr="00585D9E" w:rsidRDefault="00D64819" w:rsidP="00585D9E">
            <w:pPr>
              <w:pStyle w:val="TableText0"/>
              <w:rPr>
                <w:szCs w:val="20"/>
              </w:rPr>
            </w:pPr>
            <w:r w:rsidRPr="00585D9E">
              <w:rPr>
                <w:szCs w:val="20"/>
              </w:rPr>
              <w:t xml:space="preserve">Efficacy and Safety Study of Adalimumab in Treatment of Hidradenitis Suppurativa (NCT01468207) </w:t>
            </w:r>
            <w:hyperlink r:id="rId12" w:history="1">
              <w:r w:rsidRPr="00585D9E">
                <w:rPr>
                  <w:rStyle w:val="Hyperlink"/>
                  <w:szCs w:val="20"/>
                </w:rPr>
                <w:t>https://www.clinicaltrials.gov/ct2/show/NCT01468207</w:t>
              </w:r>
            </w:hyperlink>
            <w:r w:rsidRPr="00585D9E">
              <w:rPr>
                <w:szCs w:val="20"/>
              </w:rPr>
              <w:t xml:space="preserve"> </w:t>
            </w:r>
          </w:p>
        </w:tc>
        <w:tc>
          <w:tcPr>
            <w:tcW w:w="1544" w:type="pct"/>
            <w:tcBorders>
              <w:top w:val="single" w:sz="4" w:space="0" w:color="auto"/>
              <w:bottom w:val="nil"/>
            </w:tcBorders>
            <w:shd w:val="clear" w:color="auto" w:fill="auto"/>
          </w:tcPr>
          <w:p w14:paraId="5E301AFC" w14:textId="77777777" w:rsidR="00D64819" w:rsidRPr="00585D9E" w:rsidRDefault="00D64819" w:rsidP="00585D9E">
            <w:pPr>
              <w:pStyle w:val="TableText0"/>
              <w:rPr>
                <w:szCs w:val="20"/>
              </w:rPr>
            </w:pPr>
            <w:r w:rsidRPr="00585D9E">
              <w:rPr>
                <w:szCs w:val="20"/>
              </w:rPr>
              <w:t>Jul 2021</w:t>
            </w:r>
          </w:p>
        </w:tc>
      </w:tr>
      <w:tr w:rsidR="00D64819" w:rsidRPr="00585D9E" w14:paraId="78C5A93C" w14:textId="77777777" w:rsidTr="00585D9E">
        <w:trPr>
          <w:trHeight w:val="170"/>
          <w:tblHeader/>
        </w:trPr>
        <w:tc>
          <w:tcPr>
            <w:tcW w:w="626" w:type="pct"/>
            <w:vMerge/>
            <w:shd w:val="clear" w:color="auto" w:fill="auto"/>
            <w:vAlign w:val="center"/>
          </w:tcPr>
          <w:p w14:paraId="6188C3AC" w14:textId="77777777" w:rsidR="00D64819" w:rsidRPr="00585D9E" w:rsidRDefault="00D64819" w:rsidP="00585D9E">
            <w:pPr>
              <w:pStyle w:val="TableText0"/>
              <w:rPr>
                <w:szCs w:val="20"/>
              </w:rPr>
            </w:pPr>
          </w:p>
        </w:tc>
        <w:tc>
          <w:tcPr>
            <w:tcW w:w="2830" w:type="pct"/>
            <w:tcBorders>
              <w:top w:val="nil"/>
              <w:bottom w:val="nil"/>
              <w:right w:val="single" w:sz="4" w:space="0" w:color="auto"/>
            </w:tcBorders>
            <w:shd w:val="clear" w:color="auto" w:fill="auto"/>
          </w:tcPr>
          <w:p w14:paraId="56C78436" w14:textId="77777777" w:rsidR="00D64819" w:rsidRPr="00585D9E" w:rsidRDefault="00D64819" w:rsidP="00585D9E">
            <w:pPr>
              <w:pStyle w:val="TableText0"/>
              <w:rPr>
                <w:szCs w:val="20"/>
              </w:rPr>
            </w:pPr>
            <w:r w:rsidRPr="00585D9E">
              <w:rPr>
                <w:szCs w:val="20"/>
                <w:lang w:val="fr-FR"/>
              </w:rPr>
              <w:t xml:space="preserve">Kimball, A. B., et al. </w:t>
            </w:r>
            <w:r w:rsidRPr="00585D9E">
              <w:rPr>
                <w:szCs w:val="20"/>
              </w:rPr>
              <w:t xml:space="preserve">"Two phase 3 trials of adalimumab for hidradenitis suppurativa." </w:t>
            </w:r>
          </w:p>
        </w:tc>
        <w:tc>
          <w:tcPr>
            <w:tcW w:w="1544" w:type="pct"/>
            <w:tcBorders>
              <w:top w:val="nil"/>
              <w:left w:val="single" w:sz="4" w:space="0" w:color="auto"/>
              <w:bottom w:val="nil"/>
            </w:tcBorders>
            <w:shd w:val="clear" w:color="auto" w:fill="auto"/>
          </w:tcPr>
          <w:p w14:paraId="3F27E695" w14:textId="77777777" w:rsidR="00D64819" w:rsidRPr="00585D9E" w:rsidRDefault="00D64819" w:rsidP="00585D9E">
            <w:pPr>
              <w:pStyle w:val="TableText0"/>
              <w:rPr>
                <w:szCs w:val="20"/>
              </w:rPr>
            </w:pPr>
            <w:r w:rsidRPr="00585D9E">
              <w:rPr>
                <w:i/>
                <w:szCs w:val="20"/>
              </w:rPr>
              <w:t>New England Journal of Medicine</w:t>
            </w:r>
            <w:r w:rsidRPr="00585D9E">
              <w:rPr>
                <w:szCs w:val="20"/>
              </w:rPr>
              <w:t xml:space="preserve"> 2016; 375(5): 422-434.</w:t>
            </w:r>
          </w:p>
        </w:tc>
      </w:tr>
      <w:tr w:rsidR="00D64819" w:rsidRPr="00585D9E" w14:paraId="443A1BAC" w14:textId="77777777" w:rsidTr="00585D9E">
        <w:trPr>
          <w:trHeight w:val="170"/>
          <w:tblHeader/>
        </w:trPr>
        <w:tc>
          <w:tcPr>
            <w:tcW w:w="626" w:type="pct"/>
            <w:shd w:val="clear" w:color="auto" w:fill="auto"/>
            <w:vAlign w:val="center"/>
          </w:tcPr>
          <w:p w14:paraId="7ECC8A22" w14:textId="77777777" w:rsidR="00D64819" w:rsidRPr="00585D9E" w:rsidRDefault="00D64819" w:rsidP="00585D9E">
            <w:pPr>
              <w:pStyle w:val="TableText0"/>
              <w:rPr>
                <w:szCs w:val="20"/>
              </w:rPr>
            </w:pPr>
            <w:r w:rsidRPr="00585D9E">
              <w:rPr>
                <w:szCs w:val="20"/>
              </w:rPr>
              <w:t>PIONEER II</w:t>
            </w:r>
          </w:p>
        </w:tc>
        <w:tc>
          <w:tcPr>
            <w:tcW w:w="2830" w:type="pct"/>
            <w:tcBorders>
              <w:top w:val="single" w:sz="4" w:space="0" w:color="auto"/>
            </w:tcBorders>
            <w:shd w:val="clear" w:color="auto" w:fill="auto"/>
          </w:tcPr>
          <w:p w14:paraId="07DC3576" w14:textId="11CF2FB2" w:rsidR="00D64819" w:rsidRPr="00585D9E" w:rsidRDefault="00D64819" w:rsidP="00585D9E">
            <w:pPr>
              <w:pStyle w:val="TableText0"/>
              <w:rPr>
                <w:szCs w:val="20"/>
              </w:rPr>
            </w:pPr>
            <w:r w:rsidRPr="00585D9E">
              <w:rPr>
                <w:szCs w:val="20"/>
              </w:rPr>
              <w:t xml:space="preserve">Efficacy and Safety Study of Adalimumab in the Treatment of Hidradenitis Suppurativa (NCT01468233) </w:t>
            </w:r>
            <w:hyperlink r:id="rId13" w:history="1">
              <w:r w:rsidRPr="00585D9E">
                <w:rPr>
                  <w:rStyle w:val="Hyperlink"/>
                  <w:szCs w:val="20"/>
                </w:rPr>
                <w:t>https://www.clinicaltrials.gov/ct2/show/NCT01468233</w:t>
              </w:r>
            </w:hyperlink>
            <w:r w:rsidRPr="00585D9E">
              <w:rPr>
                <w:szCs w:val="20"/>
              </w:rPr>
              <w:t xml:space="preserve"> </w:t>
            </w:r>
          </w:p>
        </w:tc>
        <w:tc>
          <w:tcPr>
            <w:tcW w:w="1544" w:type="pct"/>
            <w:tcBorders>
              <w:top w:val="single" w:sz="4" w:space="0" w:color="auto"/>
              <w:bottom w:val="single" w:sz="4" w:space="0" w:color="auto"/>
            </w:tcBorders>
            <w:shd w:val="clear" w:color="auto" w:fill="auto"/>
          </w:tcPr>
          <w:p w14:paraId="25FBB421" w14:textId="77777777" w:rsidR="00D64819" w:rsidRPr="00585D9E" w:rsidRDefault="00D64819" w:rsidP="00585D9E">
            <w:pPr>
              <w:pStyle w:val="TableText0"/>
              <w:rPr>
                <w:szCs w:val="20"/>
              </w:rPr>
            </w:pPr>
            <w:r w:rsidRPr="00585D9E">
              <w:rPr>
                <w:szCs w:val="20"/>
              </w:rPr>
              <w:t>Jul 2021</w:t>
            </w:r>
          </w:p>
        </w:tc>
      </w:tr>
      <w:tr w:rsidR="00D64819" w:rsidRPr="00585D9E" w14:paraId="0A915885" w14:textId="77777777" w:rsidTr="00585D9E">
        <w:trPr>
          <w:trHeight w:val="170"/>
          <w:tblHeader/>
        </w:trPr>
        <w:tc>
          <w:tcPr>
            <w:tcW w:w="626" w:type="pct"/>
            <w:vMerge w:val="restart"/>
            <w:shd w:val="clear" w:color="auto" w:fill="auto"/>
            <w:vAlign w:val="center"/>
          </w:tcPr>
          <w:p w14:paraId="04446C7B" w14:textId="77777777" w:rsidR="00D64819" w:rsidRPr="00585D9E" w:rsidRDefault="00D64819" w:rsidP="00585D9E">
            <w:pPr>
              <w:pStyle w:val="TableText0"/>
              <w:rPr>
                <w:szCs w:val="20"/>
              </w:rPr>
            </w:pPr>
            <w:r w:rsidRPr="00585D9E">
              <w:rPr>
                <w:szCs w:val="20"/>
              </w:rPr>
              <w:t>PIONEER OLE</w:t>
            </w:r>
          </w:p>
        </w:tc>
        <w:tc>
          <w:tcPr>
            <w:tcW w:w="2830" w:type="pct"/>
            <w:tcBorders>
              <w:bottom w:val="nil"/>
            </w:tcBorders>
            <w:shd w:val="clear" w:color="auto" w:fill="auto"/>
          </w:tcPr>
          <w:p w14:paraId="500259BD" w14:textId="54656940" w:rsidR="00D64819" w:rsidRPr="00585D9E" w:rsidRDefault="00D64819" w:rsidP="00585D9E">
            <w:pPr>
              <w:pStyle w:val="TableText0"/>
              <w:rPr>
                <w:szCs w:val="20"/>
              </w:rPr>
            </w:pPr>
            <w:r w:rsidRPr="00585D9E">
              <w:rPr>
                <w:szCs w:val="20"/>
              </w:rPr>
              <w:t xml:space="preserve">Open-label Study of the Safety and Efficacy of Adalimumab in the Treatment of Hidradenitis Suppurativa (NCT01635764) </w:t>
            </w:r>
            <w:hyperlink r:id="rId14" w:history="1">
              <w:r w:rsidRPr="00585D9E">
                <w:rPr>
                  <w:rStyle w:val="Hyperlink"/>
                  <w:szCs w:val="20"/>
                </w:rPr>
                <w:t>https://clinicaltrials.gov/ct2/show/NCT01635764</w:t>
              </w:r>
            </w:hyperlink>
            <w:r w:rsidRPr="00585D9E">
              <w:rPr>
                <w:szCs w:val="20"/>
              </w:rPr>
              <w:t xml:space="preserve"> </w:t>
            </w:r>
          </w:p>
        </w:tc>
        <w:tc>
          <w:tcPr>
            <w:tcW w:w="1544" w:type="pct"/>
            <w:tcBorders>
              <w:top w:val="single" w:sz="4" w:space="0" w:color="auto"/>
              <w:bottom w:val="nil"/>
            </w:tcBorders>
            <w:shd w:val="clear" w:color="auto" w:fill="auto"/>
          </w:tcPr>
          <w:p w14:paraId="05398433" w14:textId="77777777" w:rsidR="00D64819" w:rsidRPr="00585D9E" w:rsidRDefault="00D64819" w:rsidP="00585D9E">
            <w:pPr>
              <w:pStyle w:val="TableText0"/>
              <w:rPr>
                <w:szCs w:val="20"/>
              </w:rPr>
            </w:pPr>
            <w:r w:rsidRPr="00585D9E">
              <w:rPr>
                <w:szCs w:val="20"/>
              </w:rPr>
              <w:t>Jan 2018</w:t>
            </w:r>
          </w:p>
        </w:tc>
      </w:tr>
      <w:tr w:rsidR="00D64819" w:rsidRPr="00585D9E" w14:paraId="22144123" w14:textId="77777777" w:rsidTr="00585D9E">
        <w:trPr>
          <w:trHeight w:val="170"/>
          <w:tblHeader/>
        </w:trPr>
        <w:tc>
          <w:tcPr>
            <w:tcW w:w="626" w:type="pct"/>
            <w:vMerge/>
            <w:shd w:val="clear" w:color="auto" w:fill="auto"/>
            <w:vAlign w:val="center"/>
          </w:tcPr>
          <w:p w14:paraId="04FD9E71" w14:textId="77777777" w:rsidR="00D64819" w:rsidRPr="00585D9E" w:rsidRDefault="00D64819" w:rsidP="00585D9E">
            <w:pPr>
              <w:pStyle w:val="TableText0"/>
              <w:rPr>
                <w:szCs w:val="20"/>
              </w:rPr>
            </w:pPr>
          </w:p>
        </w:tc>
        <w:tc>
          <w:tcPr>
            <w:tcW w:w="2830" w:type="pct"/>
            <w:tcBorders>
              <w:top w:val="nil"/>
            </w:tcBorders>
            <w:shd w:val="clear" w:color="auto" w:fill="auto"/>
          </w:tcPr>
          <w:p w14:paraId="10B40A67" w14:textId="77777777" w:rsidR="00D64819" w:rsidRPr="00585D9E" w:rsidRDefault="00D64819" w:rsidP="00585D9E">
            <w:pPr>
              <w:pStyle w:val="TableText0"/>
              <w:rPr>
                <w:szCs w:val="20"/>
              </w:rPr>
            </w:pPr>
            <w:r w:rsidRPr="00585D9E">
              <w:rPr>
                <w:szCs w:val="20"/>
                <w:lang w:val="fr-FR"/>
              </w:rPr>
              <w:t xml:space="preserve">Kimball, A. B., et al. </w:t>
            </w:r>
            <w:r w:rsidRPr="00585D9E">
              <w:rPr>
                <w:szCs w:val="20"/>
              </w:rPr>
              <w:t>"Two phase 3 trials of adalimumab for hidradenitis suppurativa."</w:t>
            </w:r>
          </w:p>
        </w:tc>
        <w:tc>
          <w:tcPr>
            <w:tcW w:w="1544" w:type="pct"/>
            <w:tcBorders>
              <w:top w:val="nil"/>
              <w:bottom w:val="single" w:sz="4" w:space="0" w:color="auto"/>
            </w:tcBorders>
            <w:shd w:val="clear" w:color="auto" w:fill="auto"/>
          </w:tcPr>
          <w:p w14:paraId="65FFD17B" w14:textId="77777777" w:rsidR="00D64819" w:rsidRPr="00585D9E" w:rsidRDefault="00D64819" w:rsidP="00585D9E">
            <w:pPr>
              <w:pStyle w:val="TableText0"/>
              <w:rPr>
                <w:szCs w:val="20"/>
              </w:rPr>
            </w:pPr>
            <w:r w:rsidRPr="00585D9E">
              <w:rPr>
                <w:i/>
                <w:szCs w:val="20"/>
              </w:rPr>
              <w:t>New England Journal of Medicine</w:t>
            </w:r>
            <w:r w:rsidRPr="00585D9E">
              <w:rPr>
                <w:szCs w:val="20"/>
              </w:rPr>
              <w:t xml:space="preserve"> 2016; 375(5): 422-434.</w:t>
            </w:r>
          </w:p>
        </w:tc>
      </w:tr>
      <w:tr w:rsidR="00D64819" w:rsidRPr="00585D9E" w14:paraId="1B7F514B" w14:textId="77777777" w:rsidTr="00585D9E">
        <w:trPr>
          <w:trHeight w:val="170"/>
          <w:tblHeader/>
        </w:trPr>
        <w:tc>
          <w:tcPr>
            <w:tcW w:w="626" w:type="pct"/>
            <w:vMerge w:val="restart"/>
            <w:shd w:val="clear" w:color="auto" w:fill="auto"/>
            <w:vAlign w:val="center"/>
          </w:tcPr>
          <w:p w14:paraId="7E13B34D" w14:textId="77777777" w:rsidR="00D64819" w:rsidRPr="00585D9E" w:rsidRDefault="00D64819" w:rsidP="00585D9E">
            <w:pPr>
              <w:pStyle w:val="TableText0"/>
              <w:rPr>
                <w:szCs w:val="20"/>
              </w:rPr>
            </w:pPr>
            <w:r w:rsidRPr="00585D9E">
              <w:rPr>
                <w:szCs w:val="20"/>
              </w:rPr>
              <w:t>M10-467</w:t>
            </w:r>
          </w:p>
        </w:tc>
        <w:tc>
          <w:tcPr>
            <w:tcW w:w="2830" w:type="pct"/>
            <w:tcBorders>
              <w:bottom w:val="nil"/>
            </w:tcBorders>
            <w:shd w:val="clear" w:color="auto" w:fill="auto"/>
          </w:tcPr>
          <w:p w14:paraId="54D29E23" w14:textId="51838ED2" w:rsidR="00D64819" w:rsidRPr="00585D9E" w:rsidRDefault="00D64819" w:rsidP="00585D9E">
            <w:pPr>
              <w:pStyle w:val="TableText0"/>
              <w:rPr>
                <w:szCs w:val="20"/>
              </w:rPr>
            </w:pPr>
            <w:r w:rsidRPr="00585D9E">
              <w:rPr>
                <w:szCs w:val="20"/>
              </w:rPr>
              <w:t xml:space="preserve">Study of adalimumab in subjects with moderate to severe chronic hidradenitis suppurativa (NCT00918255) </w:t>
            </w:r>
            <w:hyperlink r:id="rId15" w:history="1">
              <w:r w:rsidRPr="00585D9E">
                <w:rPr>
                  <w:rStyle w:val="Hyperlink"/>
                  <w:szCs w:val="20"/>
                </w:rPr>
                <w:t>https://clinicaltrials.gov/ct2/show/NCT00918255</w:t>
              </w:r>
            </w:hyperlink>
            <w:r w:rsidRPr="00585D9E">
              <w:rPr>
                <w:szCs w:val="20"/>
              </w:rPr>
              <w:t xml:space="preserve"> </w:t>
            </w:r>
          </w:p>
        </w:tc>
        <w:tc>
          <w:tcPr>
            <w:tcW w:w="1544" w:type="pct"/>
            <w:tcBorders>
              <w:top w:val="single" w:sz="4" w:space="0" w:color="auto"/>
              <w:bottom w:val="nil"/>
            </w:tcBorders>
            <w:shd w:val="clear" w:color="auto" w:fill="auto"/>
          </w:tcPr>
          <w:p w14:paraId="2F0986A6" w14:textId="77777777" w:rsidR="00D64819" w:rsidRPr="00585D9E" w:rsidRDefault="00D64819" w:rsidP="00585D9E">
            <w:pPr>
              <w:pStyle w:val="TableText0"/>
              <w:rPr>
                <w:szCs w:val="20"/>
              </w:rPr>
            </w:pPr>
            <w:r w:rsidRPr="00585D9E">
              <w:rPr>
                <w:szCs w:val="20"/>
              </w:rPr>
              <w:t>May 2011</w:t>
            </w:r>
          </w:p>
        </w:tc>
      </w:tr>
      <w:tr w:rsidR="00D64819" w:rsidRPr="00585D9E" w14:paraId="7FBEA05C" w14:textId="77777777" w:rsidTr="00585D9E">
        <w:trPr>
          <w:trHeight w:val="170"/>
          <w:tblHeader/>
        </w:trPr>
        <w:tc>
          <w:tcPr>
            <w:tcW w:w="626" w:type="pct"/>
            <w:vMerge/>
            <w:shd w:val="clear" w:color="auto" w:fill="auto"/>
            <w:vAlign w:val="center"/>
          </w:tcPr>
          <w:p w14:paraId="7E5E6C8E" w14:textId="77777777" w:rsidR="00D64819" w:rsidRPr="00585D9E" w:rsidRDefault="00D64819" w:rsidP="00585D9E">
            <w:pPr>
              <w:pStyle w:val="TableText0"/>
              <w:rPr>
                <w:szCs w:val="20"/>
              </w:rPr>
            </w:pPr>
          </w:p>
        </w:tc>
        <w:tc>
          <w:tcPr>
            <w:tcW w:w="2830" w:type="pct"/>
            <w:tcBorders>
              <w:top w:val="nil"/>
              <w:bottom w:val="nil"/>
            </w:tcBorders>
            <w:shd w:val="clear" w:color="auto" w:fill="auto"/>
          </w:tcPr>
          <w:p w14:paraId="07777A47" w14:textId="77777777" w:rsidR="00D64819" w:rsidRPr="00585D9E" w:rsidRDefault="00D64819" w:rsidP="00585D9E">
            <w:pPr>
              <w:pStyle w:val="TableText0"/>
              <w:rPr>
                <w:szCs w:val="20"/>
              </w:rPr>
            </w:pPr>
            <w:r w:rsidRPr="00585D9E">
              <w:rPr>
                <w:szCs w:val="20"/>
                <w:lang w:val="fr-FR"/>
              </w:rPr>
              <w:t xml:space="preserve">Kimball, A. B., et al. </w:t>
            </w:r>
            <w:r w:rsidRPr="00585D9E">
              <w:rPr>
                <w:szCs w:val="20"/>
              </w:rPr>
              <w:t xml:space="preserve">"Adalimumab for the treatment of moderate to severe hidradenitis suppurativa: A parallel randomized trial." </w:t>
            </w:r>
          </w:p>
        </w:tc>
        <w:tc>
          <w:tcPr>
            <w:tcW w:w="1544" w:type="pct"/>
            <w:tcBorders>
              <w:top w:val="nil"/>
              <w:bottom w:val="nil"/>
            </w:tcBorders>
            <w:shd w:val="clear" w:color="auto" w:fill="auto"/>
          </w:tcPr>
          <w:p w14:paraId="0D9A9E7C" w14:textId="77777777" w:rsidR="00D64819" w:rsidRPr="00585D9E" w:rsidRDefault="00D64819" w:rsidP="00585D9E">
            <w:pPr>
              <w:pStyle w:val="TableText0"/>
              <w:rPr>
                <w:szCs w:val="20"/>
              </w:rPr>
            </w:pPr>
            <w:r w:rsidRPr="00585D9E">
              <w:rPr>
                <w:i/>
                <w:szCs w:val="20"/>
              </w:rPr>
              <w:t>Annals of Internal Medicine</w:t>
            </w:r>
            <w:r w:rsidRPr="00585D9E">
              <w:rPr>
                <w:szCs w:val="20"/>
              </w:rPr>
              <w:t xml:space="preserve"> 2012; 157(12): 846-855.</w:t>
            </w:r>
          </w:p>
        </w:tc>
      </w:tr>
      <w:tr w:rsidR="00D64819" w:rsidRPr="00585D9E" w14:paraId="50801D3F" w14:textId="77777777" w:rsidTr="00585D9E">
        <w:trPr>
          <w:trHeight w:val="170"/>
          <w:tblHeader/>
        </w:trPr>
        <w:tc>
          <w:tcPr>
            <w:tcW w:w="626" w:type="pct"/>
            <w:vMerge/>
            <w:shd w:val="clear" w:color="auto" w:fill="C6D9F1" w:themeFill="text2" w:themeFillTint="33"/>
            <w:vAlign w:val="center"/>
          </w:tcPr>
          <w:p w14:paraId="4F1AD4CB" w14:textId="77777777" w:rsidR="00D64819" w:rsidRPr="00585D9E" w:rsidRDefault="00D64819" w:rsidP="00585D9E">
            <w:pPr>
              <w:pStyle w:val="TableText0"/>
              <w:rPr>
                <w:szCs w:val="20"/>
              </w:rPr>
            </w:pPr>
          </w:p>
        </w:tc>
        <w:tc>
          <w:tcPr>
            <w:tcW w:w="2830" w:type="pct"/>
            <w:tcBorders>
              <w:top w:val="nil"/>
              <w:bottom w:val="nil"/>
            </w:tcBorders>
            <w:shd w:val="clear" w:color="auto" w:fill="auto"/>
          </w:tcPr>
          <w:p w14:paraId="536254D3" w14:textId="6D0C3B48" w:rsidR="00D64819" w:rsidRPr="00585D9E" w:rsidRDefault="00D64819" w:rsidP="00585D9E">
            <w:pPr>
              <w:pStyle w:val="TableText0"/>
              <w:rPr>
                <w:szCs w:val="20"/>
                <w:lang w:val="en-US"/>
              </w:rPr>
            </w:pPr>
          </w:p>
        </w:tc>
        <w:tc>
          <w:tcPr>
            <w:tcW w:w="1544" w:type="pct"/>
            <w:tcBorders>
              <w:top w:val="nil"/>
              <w:bottom w:val="single" w:sz="4" w:space="0" w:color="auto"/>
            </w:tcBorders>
            <w:shd w:val="clear" w:color="auto" w:fill="auto"/>
          </w:tcPr>
          <w:p w14:paraId="7E5CFDC3" w14:textId="52CE3301" w:rsidR="00D64819" w:rsidRPr="00585D9E" w:rsidRDefault="00D64819" w:rsidP="00585D9E">
            <w:pPr>
              <w:pStyle w:val="TableText0"/>
              <w:rPr>
                <w:i/>
                <w:szCs w:val="20"/>
                <w:lang w:val="en-US"/>
              </w:rPr>
            </w:pPr>
          </w:p>
        </w:tc>
      </w:tr>
      <w:tr w:rsidR="00D64819" w:rsidRPr="00585D9E" w14:paraId="6D645BB3" w14:textId="77777777" w:rsidTr="00585D9E">
        <w:trPr>
          <w:trHeight w:val="170"/>
          <w:tblHeader/>
        </w:trPr>
        <w:tc>
          <w:tcPr>
            <w:tcW w:w="626" w:type="pct"/>
            <w:vMerge w:val="restart"/>
            <w:vAlign w:val="center"/>
          </w:tcPr>
          <w:p w14:paraId="4B145743" w14:textId="77777777" w:rsidR="00D64819" w:rsidRPr="00585D9E" w:rsidRDefault="00D64819" w:rsidP="00585D9E">
            <w:pPr>
              <w:pStyle w:val="TableText0"/>
              <w:rPr>
                <w:szCs w:val="20"/>
              </w:rPr>
            </w:pPr>
            <w:r w:rsidRPr="00585D9E">
              <w:rPr>
                <w:szCs w:val="20"/>
              </w:rPr>
              <w:t>SHARPS</w:t>
            </w:r>
          </w:p>
        </w:tc>
        <w:tc>
          <w:tcPr>
            <w:tcW w:w="2830" w:type="pct"/>
            <w:tcBorders>
              <w:bottom w:val="nil"/>
            </w:tcBorders>
          </w:tcPr>
          <w:p w14:paraId="6664730A" w14:textId="3F0AEE93" w:rsidR="00D64819" w:rsidRPr="00585D9E" w:rsidRDefault="00D64819" w:rsidP="00585D9E">
            <w:pPr>
              <w:pStyle w:val="TableText0"/>
              <w:rPr>
                <w:szCs w:val="20"/>
              </w:rPr>
            </w:pPr>
            <w:r w:rsidRPr="00585D9E">
              <w:rPr>
                <w:bCs w:val="0"/>
                <w:szCs w:val="20"/>
              </w:rPr>
              <w:t>Safety and Efficacy of Humira (Adalimumab) for Hidradenitis Suppurativa (HS) Peri-Surgically (SHARPS Study)</w:t>
            </w:r>
            <w:r w:rsidRPr="00585D9E">
              <w:rPr>
                <w:szCs w:val="20"/>
              </w:rPr>
              <w:t xml:space="preserve"> (NCT</w:t>
            </w:r>
            <w:r w:rsidRPr="00585D9E">
              <w:rPr>
                <w:bCs w:val="0"/>
                <w:szCs w:val="20"/>
              </w:rPr>
              <w:t>02808975</w:t>
            </w:r>
            <w:r w:rsidRPr="00585D9E">
              <w:rPr>
                <w:szCs w:val="20"/>
              </w:rPr>
              <w:t xml:space="preserve">) </w:t>
            </w:r>
            <w:hyperlink r:id="rId16" w:history="1">
              <w:r w:rsidRPr="00585D9E">
                <w:rPr>
                  <w:rStyle w:val="Hyperlink"/>
                  <w:szCs w:val="20"/>
                </w:rPr>
                <w:t>https://clinicaltrials.gov/ct2/show/NCT02808975</w:t>
              </w:r>
            </w:hyperlink>
            <w:r w:rsidRPr="00585D9E">
              <w:rPr>
                <w:szCs w:val="20"/>
              </w:rPr>
              <w:t xml:space="preserve"> </w:t>
            </w:r>
          </w:p>
        </w:tc>
        <w:tc>
          <w:tcPr>
            <w:tcW w:w="1544" w:type="pct"/>
            <w:tcBorders>
              <w:bottom w:val="nil"/>
            </w:tcBorders>
          </w:tcPr>
          <w:p w14:paraId="369E2E56" w14:textId="77777777" w:rsidR="00D64819" w:rsidRPr="00585D9E" w:rsidRDefault="00D64819" w:rsidP="00585D9E">
            <w:pPr>
              <w:pStyle w:val="TableText0"/>
              <w:rPr>
                <w:szCs w:val="20"/>
              </w:rPr>
            </w:pPr>
            <w:r w:rsidRPr="00585D9E">
              <w:rPr>
                <w:szCs w:val="20"/>
              </w:rPr>
              <w:t>May 2020</w:t>
            </w:r>
          </w:p>
        </w:tc>
      </w:tr>
      <w:tr w:rsidR="00D64819" w:rsidRPr="00585D9E" w14:paraId="074A0E80" w14:textId="77777777" w:rsidTr="00585D9E">
        <w:trPr>
          <w:trHeight w:val="170"/>
          <w:tblHeader/>
        </w:trPr>
        <w:tc>
          <w:tcPr>
            <w:tcW w:w="626" w:type="pct"/>
            <w:vMerge/>
            <w:vAlign w:val="center"/>
          </w:tcPr>
          <w:p w14:paraId="3E1EE6A7" w14:textId="77777777" w:rsidR="00D64819" w:rsidRPr="00585D9E" w:rsidRDefault="00D64819" w:rsidP="00585D9E">
            <w:pPr>
              <w:pStyle w:val="TableText0"/>
              <w:rPr>
                <w:szCs w:val="20"/>
              </w:rPr>
            </w:pPr>
          </w:p>
        </w:tc>
        <w:tc>
          <w:tcPr>
            <w:tcW w:w="2830" w:type="pct"/>
            <w:tcBorders>
              <w:top w:val="nil"/>
              <w:bottom w:val="single" w:sz="4" w:space="0" w:color="auto"/>
            </w:tcBorders>
          </w:tcPr>
          <w:p w14:paraId="42835BA0" w14:textId="77777777" w:rsidR="00D64819" w:rsidRPr="00585D9E" w:rsidRDefault="00D64819" w:rsidP="00585D9E">
            <w:pPr>
              <w:pStyle w:val="TableText0"/>
              <w:rPr>
                <w:szCs w:val="20"/>
              </w:rPr>
            </w:pPr>
            <w:r w:rsidRPr="00585D9E">
              <w:rPr>
                <w:szCs w:val="20"/>
                <w:lang w:val="es-CL"/>
              </w:rPr>
              <w:t xml:space="preserve">Bechara, F. G., et al. </w:t>
            </w:r>
            <w:r w:rsidRPr="00585D9E">
              <w:rPr>
                <w:szCs w:val="20"/>
              </w:rPr>
              <w:t>"Efficacy and Safety of Adalimumab in Conjunction With Surgery in Moderate to Severe Hidradenitis Suppurativa: the SHARPS Randomized Clinical Trial."</w:t>
            </w:r>
          </w:p>
        </w:tc>
        <w:tc>
          <w:tcPr>
            <w:tcW w:w="1544" w:type="pct"/>
            <w:tcBorders>
              <w:top w:val="nil"/>
              <w:bottom w:val="single" w:sz="4" w:space="0" w:color="auto"/>
            </w:tcBorders>
          </w:tcPr>
          <w:p w14:paraId="445EE37D" w14:textId="77777777" w:rsidR="00D64819" w:rsidRPr="00585D9E" w:rsidRDefault="00D64819" w:rsidP="00585D9E">
            <w:pPr>
              <w:pStyle w:val="TableText0"/>
              <w:rPr>
                <w:szCs w:val="20"/>
              </w:rPr>
            </w:pPr>
            <w:r w:rsidRPr="00585D9E">
              <w:rPr>
                <w:i/>
                <w:szCs w:val="20"/>
              </w:rPr>
              <w:t>JAMA Surgery</w:t>
            </w:r>
            <w:r w:rsidRPr="00585D9E">
              <w:rPr>
                <w:szCs w:val="20"/>
              </w:rPr>
              <w:t xml:space="preserve"> 2021; 156(11): 1001</w:t>
            </w:r>
            <w:r w:rsidRPr="00585D9E">
              <w:rPr>
                <w:rFonts w:ascii="Cambria Math" w:hAnsi="Cambria Math" w:cs="Cambria Math"/>
                <w:szCs w:val="20"/>
              </w:rPr>
              <w:t>‐</w:t>
            </w:r>
            <w:r w:rsidRPr="00585D9E">
              <w:rPr>
                <w:szCs w:val="20"/>
              </w:rPr>
              <w:t>1009.</w:t>
            </w:r>
          </w:p>
        </w:tc>
      </w:tr>
    </w:tbl>
    <w:p w14:paraId="38602D77" w14:textId="2E2F76F7" w:rsidR="008E0D3C" w:rsidRPr="00585D9E" w:rsidRDefault="008E0D3C" w:rsidP="00366597">
      <w:pPr>
        <w:pStyle w:val="FooterTableFigure"/>
        <w:keepNext/>
        <w:rPr>
          <w:szCs w:val="18"/>
        </w:rPr>
      </w:pPr>
      <w:r w:rsidRPr="00585D9E">
        <w:rPr>
          <w:szCs w:val="18"/>
        </w:rPr>
        <w:t xml:space="preserve">Source: </w:t>
      </w:r>
      <w:r w:rsidR="003E4865" w:rsidRPr="00585D9E">
        <w:rPr>
          <w:szCs w:val="18"/>
        </w:rPr>
        <w:t>Table 2.10, pp 49-54 of the submission.</w:t>
      </w:r>
    </w:p>
    <w:p w14:paraId="264D0B2B" w14:textId="4C99B9ED" w:rsidR="008D4B18" w:rsidRPr="00B1011F" w:rsidRDefault="0053512C" w:rsidP="00585D9E">
      <w:pPr>
        <w:pStyle w:val="FooterTableFigure"/>
        <w:rPr>
          <w:sz w:val="20"/>
        </w:rPr>
      </w:pPr>
      <w:r w:rsidRPr="00585D9E">
        <w:rPr>
          <w:rStyle w:val="CommentReference"/>
          <w:b w:val="0"/>
          <w:bCs/>
          <w:sz w:val="18"/>
          <w:szCs w:val="18"/>
        </w:rPr>
        <w:t>For brevity reasons, only the pivotal trial publication is shown for the adalimumab studies above. Further information on publications associated with the adalimumab trials is available in the adalimumab PSD for severe HS (July 2016).</w:t>
      </w:r>
    </w:p>
    <w:p w14:paraId="1DD06D7D" w14:textId="4EB89FC8" w:rsidR="007F1017" w:rsidRPr="00EC5836" w:rsidRDefault="008F120A" w:rsidP="007E1C14">
      <w:pPr>
        <w:pStyle w:val="3-BodyText"/>
        <w:rPr>
          <w:color w:val="0066FF"/>
        </w:rPr>
      </w:pPr>
      <w:r w:rsidRPr="00B50DB8">
        <w:t>The key features of the direct randomised trial</w:t>
      </w:r>
      <w:r w:rsidR="00930B64">
        <w:t xml:space="preserve">s </w:t>
      </w:r>
      <w:r w:rsidRPr="00B50DB8">
        <w:t>are summarised in</w:t>
      </w:r>
      <w:r w:rsidR="00DA0055">
        <w:t xml:space="preserve"> </w:t>
      </w:r>
      <w:r w:rsidR="00DA0055">
        <w:fldChar w:fldCharType="begin" w:fldLock="1"/>
      </w:r>
      <w:r w:rsidR="00DA0055">
        <w:instrText xml:space="preserve"> REF _Ref133930932 \h </w:instrText>
      </w:r>
      <w:r w:rsidR="00DA0055">
        <w:fldChar w:fldCharType="separate"/>
      </w:r>
      <w:r w:rsidR="000F75DF">
        <w:rPr>
          <w:rFonts w:eastAsiaTheme="majorEastAsia"/>
        </w:rPr>
        <w:t xml:space="preserve">Table </w:t>
      </w:r>
      <w:r w:rsidR="000F75DF">
        <w:rPr>
          <w:rFonts w:eastAsiaTheme="majorEastAsia"/>
          <w:noProof/>
        </w:rPr>
        <w:t>3</w:t>
      </w:r>
      <w:r w:rsidR="00DA0055">
        <w:fldChar w:fldCharType="end"/>
      </w:r>
      <w:r w:rsidRPr="00B50DB8">
        <w:t>.</w:t>
      </w:r>
      <w:r w:rsidR="00930B64">
        <w:t xml:space="preserve"> </w:t>
      </w:r>
    </w:p>
    <w:p w14:paraId="355E2F15" w14:textId="6D022555" w:rsidR="007F1017" w:rsidRPr="00D6076E" w:rsidRDefault="00DA0055" w:rsidP="00DA0055">
      <w:pPr>
        <w:pStyle w:val="Caption"/>
        <w:rPr>
          <w:rStyle w:val="CommentReference"/>
          <w:rFonts w:eastAsiaTheme="majorEastAsia" w:cstheme="majorBidi"/>
          <w:b/>
          <w:szCs w:val="24"/>
        </w:rPr>
      </w:pPr>
      <w:bookmarkStart w:id="18" w:name="_Ref133930932"/>
      <w:r>
        <w:rPr>
          <w:rFonts w:eastAsiaTheme="majorEastAsia"/>
        </w:rPr>
        <w:lastRenderedPageBreak/>
        <w:t xml:space="preserve">Table </w:t>
      </w:r>
      <w:r>
        <w:rPr>
          <w:rFonts w:eastAsiaTheme="majorEastAsia"/>
        </w:rPr>
        <w:fldChar w:fldCharType="begin" w:fldLock="1"/>
      </w:r>
      <w:r>
        <w:rPr>
          <w:rFonts w:eastAsiaTheme="majorEastAsia"/>
        </w:rPr>
        <w:instrText xml:space="preserve"> SEQ Table \* ARABIC </w:instrText>
      </w:r>
      <w:r>
        <w:rPr>
          <w:rFonts w:eastAsiaTheme="majorEastAsia"/>
        </w:rPr>
        <w:fldChar w:fldCharType="separate"/>
      </w:r>
      <w:r w:rsidR="000F75DF">
        <w:rPr>
          <w:rFonts w:eastAsiaTheme="majorEastAsia"/>
          <w:noProof/>
        </w:rPr>
        <w:t>3</w:t>
      </w:r>
      <w:r>
        <w:rPr>
          <w:rFonts w:eastAsiaTheme="majorEastAsia"/>
        </w:rPr>
        <w:fldChar w:fldCharType="end"/>
      </w:r>
      <w:bookmarkEnd w:id="18"/>
      <w:r w:rsidR="00D6076E" w:rsidRPr="00D6076E">
        <w:rPr>
          <w:rStyle w:val="CommentReference"/>
          <w:rFonts w:eastAsiaTheme="majorEastAsia" w:cstheme="majorBidi"/>
          <w:b/>
          <w:szCs w:val="24"/>
        </w:rPr>
        <w:t xml:space="preserve">: </w:t>
      </w:r>
      <w:r w:rsidR="007F1017" w:rsidRPr="00D6076E">
        <w:rPr>
          <w:rStyle w:val="CommentReference"/>
          <w:rFonts w:eastAsiaTheme="majorEastAsia" w:cstheme="majorBidi"/>
          <w:b/>
          <w:szCs w:val="24"/>
        </w:rPr>
        <w:t>Key features of the included evidence</w:t>
      </w:r>
      <w:r w:rsidR="000A2E96">
        <w:rPr>
          <w:rStyle w:val="CommentReference"/>
          <w:rFonts w:eastAsiaTheme="majorEastAsia" w:cstheme="majorBidi"/>
          <w:b/>
          <w:szCs w:val="24"/>
        </w:rPr>
        <w:t xml:space="preserv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8"/>
        <w:gridCol w:w="840"/>
        <w:gridCol w:w="1410"/>
        <w:gridCol w:w="1120"/>
        <w:gridCol w:w="1859"/>
        <w:gridCol w:w="2500"/>
      </w:tblGrid>
      <w:tr w:rsidR="003A6019" w:rsidRPr="00A304A7" w14:paraId="53DD7CC6" w14:textId="77777777" w:rsidTr="000A2E96">
        <w:trPr>
          <w:cantSplit/>
          <w:tblHeader/>
        </w:trPr>
        <w:tc>
          <w:tcPr>
            <w:tcW w:w="714" w:type="pct"/>
            <w:shd w:val="clear" w:color="auto" w:fill="auto"/>
            <w:vAlign w:val="center"/>
          </w:tcPr>
          <w:p w14:paraId="794116BC" w14:textId="77777777" w:rsidR="007C7750" w:rsidRPr="00A304A7" w:rsidRDefault="007C7750" w:rsidP="001E34DF">
            <w:pPr>
              <w:pStyle w:val="In-tableHeading"/>
            </w:pPr>
            <w:r w:rsidRPr="00A304A7">
              <w:t>Trial</w:t>
            </w:r>
          </w:p>
        </w:tc>
        <w:tc>
          <w:tcPr>
            <w:tcW w:w="466" w:type="pct"/>
            <w:shd w:val="clear" w:color="auto" w:fill="auto"/>
            <w:vAlign w:val="center"/>
          </w:tcPr>
          <w:p w14:paraId="51122FE5" w14:textId="77777777" w:rsidR="007C7750" w:rsidRPr="00A304A7" w:rsidRDefault="007C7750" w:rsidP="00EC5836">
            <w:pPr>
              <w:pStyle w:val="In-tableHeading"/>
              <w:jc w:val="center"/>
            </w:pPr>
            <w:r w:rsidRPr="00A304A7">
              <w:t>N</w:t>
            </w:r>
          </w:p>
        </w:tc>
        <w:tc>
          <w:tcPr>
            <w:tcW w:w="782" w:type="pct"/>
            <w:shd w:val="clear" w:color="auto" w:fill="auto"/>
            <w:vAlign w:val="center"/>
          </w:tcPr>
          <w:p w14:paraId="41C438EF" w14:textId="77777777" w:rsidR="007C7750" w:rsidRPr="00A304A7" w:rsidRDefault="007C7750" w:rsidP="00EC5836">
            <w:pPr>
              <w:pStyle w:val="In-tableHeading"/>
              <w:jc w:val="center"/>
            </w:pPr>
            <w:r w:rsidRPr="00A304A7">
              <w:t>Design/ duration</w:t>
            </w:r>
          </w:p>
        </w:tc>
        <w:tc>
          <w:tcPr>
            <w:tcW w:w="621" w:type="pct"/>
            <w:shd w:val="clear" w:color="auto" w:fill="auto"/>
            <w:vAlign w:val="center"/>
          </w:tcPr>
          <w:p w14:paraId="1FC91360" w14:textId="77777777" w:rsidR="007C7750" w:rsidRPr="00A304A7" w:rsidRDefault="007C7750" w:rsidP="00EC5836">
            <w:pPr>
              <w:pStyle w:val="In-tableHeading"/>
              <w:jc w:val="center"/>
            </w:pPr>
            <w:r w:rsidRPr="00A304A7">
              <w:t>Risk of bias</w:t>
            </w:r>
          </w:p>
        </w:tc>
        <w:tc>
          <w:tcPr>
            <w:tcW w:w="1031" w:type="pct"/>
            <w:shd w:val="clear" w:color="auto" w:fill="auto"/>
            <w:vAlign w:val="center"/>
          </w:tcPr>
          <w:p w14:paraId="7FF90896" w14:textId="77777777" w:rsidR="007C7750" w:rsidRPr="00A304A7" w:rsidRDefault="007C7750" w:rsidP="00EC5836">
            <w:pPr>
              <w:pStyle w:val="In-tableHeading"/>
              <w:jc w:val="center"/>
            </w:pPr>
            <w:r w:rsidRPr="00A304A7">
              <w:t>Patient population</w:t>
            </w:r>
          </w:p>
        </w:tc>
        <w:tc>
          <w:tcPr>
            <w:tcW w:w="1387" w:type="pct"/>
            <w:shd w:val="clear" w:color="auto" w:fill="auto"/>
            <w:vAlign w:val="center"/>
          </w:tcPr>
          <w:p w14:paraId="08C6F624" w14:textId="5B9ED1EA" w:rsidR="007C7750" w:rsidRPr="00A304A7" w:rsidRDefault="007C7750" w:rsidP="00EC5836">
            <w:pPr>
              <w:pStyle w:val="In-tableHeading"/>
              <w:jc w:val="center"/>
            </w:pPr>
            <w:r w:rsidRPr="00A304A7">
              <w:t>Outcomes</w:t>
            </w:r>
          </w:p>
        </w:tc>
      </w:tr>
      <w:tr w:rsidR="007F1017" w:rsidRPr="00A304A7" w14:paraId="2A03CD4B" w14:textId="77777777" w:rsidTr="00682BA6">
        <w:trPr>
          <w:cantSplit/>
        </w:trPr>
        <w:tc>
          <w:tcPr>
            <w:tcW w:w="5000" w:type="pct"/>
            <w:gridSpan w:val="6"/>
            <w:shd w:val="clear" w:color="auto" w:fill="auto"/>
            <w:vAlign w:val="center"/>
          </w:tcPr>
          <w:p w14:paraId="73088C85" w14:textId="11DB21BC" w:rsidR="007F1017" w:rsidRPr="00A304A7" w:rsidRDefault="000A2E96" w:rsidP="00EC5836">
            <w:pPr>
              <w:pStyle w:val="In-tableHeading"/>
            </w:pPr>
            <w:r w:rsidRPr="00A304A7">
              <w:t>Secukinumab versus placebo</w:t>
            </w:r>
          </w:p>
        </w:tc>
      </w:tr>
      <w:tr w:rsidR="003A6019" w:rsidRPr="00A304A7" w14:paraId="4EE88DCB" w14:textId="77777777" w:rsidTr="000A2E96">
        <w:trPr>
          <w:cantSplit/>
        </w:trPr>
        <w:tc>
          <w:tcPr>
            <w:tcW w:w="714" w:type="pct"/>
            <w:shd w:val="clear" w:color="auto" w:fill="auto"/>
            <w:vAlign w:val="center"/>
          </w:tcPr>
          <w:p w14:paraId="6EE77D33" w14:textId="51591C7D" w:rsidR="007C7750" w:rsidRPr="00A304A7" w:rsidRDefault="007C7750" w:rsidP="00EC5836">
            <w:pPr>
              <w:pStyle w:val="TableText0"/>
              <w:rPr>
                <w:lang w:val="en-US"/>
              </w:rPr>
            </w:pPr>
            <w:r w:rsidRPr="00A304A7">
              <w:rPr>
                <w:lang w:val="en-US"/>
              </w:rPr>
              <w:t>SUNSHINE</w:t>
            </w:r>
          </w:p>
        </w:tc>
        <w:tc>
          <w:tcPr>
            <w:tcW w:w="466" w:type="pct"/>
            <w:shd w:val="clear" w:color="auto" w:fill="auto"/>
            <w:vAlign w:val="center"/>
          </w:tcPr>
          <w:p w14:paraId="41BB0E41" w14:textId="7CD5CEB4" w:rsidR="007C7750" w:rsidRPr="00A304A7" w:rsidRDefault="007C7750" w:rsidP="00EC5836">
            <w:pPr>
              <w:pStyle w:val="TableText0"/>
              <w:jc w:val="center"/>
              <w:rPr>
                <w:lang w:val="en-US"/>
              </w:rPr>
            </w:pPr>
            <w:r w:rsidRPr="00A304A7">
              <w:rPr>
                <w:lang w:val="en-US"/>
              </w:rPr>
              <w:t>541</w:t>
            </w:r>
          </w:p>
        </w:tc>
        <w:tc>
          <w:tcPr>
            <w:tcW w:w="782" w:type="pct"/>
            <w:shd w:val="clear" w:color="auto" w:fill="auto"/>
            <w:vAlign w:val="center"/>
          </w:tcPr>
          <w:p w14:paraId="401EAFDA" w14:textId="3232AA86" w:rsidR="007C7750" w:rsidRPr="00A304A7" w:rsidRDefault="007C7750" w:rsidP="00EC5836">
            <w:pPr>
              <w:pStyle w:val="TableText0"/>
              <w:jc w:val="center"/>
              <w:rPr>
                <w:lang w:val="en-US"/>
              </w:rPr>
            </w:pPr>
            <w:r w:rsidRPr="00A304A7">
              <w:rPr>
                <w:lang w:val="en-US"/>
              </w:rPr>
              <w:t>R, DB</w:t>
            </w:r>
          </w:p>
          <w:p w14:paraId="744D08AC" w14:textId="652F08E8" w:rsidR="007C7750" w:rsidRPr="00A304A7" w:rsidRDefault="007C7750" w:rsidP="00EC5836">
            <w:pPr>
              <w:pStyle w:val="TableText0"/>
              <w:jc w:val="center"/>
              <w:rPr>
                <w:lang w:val="en-US"/>
              </w:rPr>
            </w:pPr>
            <w:r w:rsidRPr="00A304A7">
              <w:rPr>
                <w:lang w:val="en-US"/>
              </w:rPr>
              <w:t xml:space="preserve">16 weeks </w:t>
            </w:r>
            <w:r w:rsidR="00F7661F" w:rsidRPr="00A304A7">
              <w:rPr>
                <w:lang w:val="en-US"/>
              </w:rPr>
              <w:t>with OLE up to</w:t>
            </w:r>
            <w:r w:rsidR="004472EC" w:rsidRPr="00A304A7">
              <w:rPr>
                <w:lang w:val="en-US"/>
              </w:rPr>
              <w:t xml:space="preserve"> Week</w:t>
            </w:r>
            <w:r w:rsidR="00F7661F" w:rsidRPr="00A304A7">
              <w:rPr>
                <w:lang w:val="en-US"/>
              </w:rPr>
              <w:t xml:space="preserve"> 52</w:t>
            </w:r>
          </w:p>
        </w:tc>
        <w:tc>
          <w:tcPr>
            <w:tcW w:w="621" w:type="pct"/>
            <w:shd w:val="clear" w:color="auto" w:fill="auto"/>
            <w:vAlign w:val="center"/>
          </w:tcPr>
          <w:p w14:paraId="4A529D74" w14:textId="2D6ECCE1" w:rsidR="007C7750" w:rsidRPr="00A304A7" w:rsidRDefault="006E5D0E" w:rsidP="00EC5836">
            <w:pPr>
              <w:pStyle w:val="TableText0"/>
              <w:jc w:val="center"/>
              <w:rPr>
                <w:lang w:val="en-US"/>
              </w:rPr>
            </w:pPr>
            <w:proofErr w:type="gramStart"/>
            <w:r w:rsidRPr="00A304A7">
              <w:rPr>
                <w:lang w:val="en-US"/>
              </w:rPr>
              <w:t>Some</w:t>
            </w:r>
            <w:proofErr w:type="gramEnd"/>
            <w:r w:rsidRPr="00A304A7">
              <w:rPr>
                <w:lang w:val="en-US"/>
              </w:rPr>
              <w:t xml:space="preserve"> </w:t>
            </w:r>
            <w:r w:rsidR="00363D84" w:rsidRPr="00A304A7">
              <w:rPr>
                <w:lang w:val="en-US"/>
              </w:rPr>
              <w:t>c</w:t>
            </w:r>
            <w:r w:rsidRPr="00A304A7">
              <w:rPr>
                <w:lang w:val="en-US"/>
              </w:rPr>
              <w:t>oncerns</w:t>
            </w:r>
          </w:p>
        </w:tc>
        <w:tc>
          <w:tcPr>
            <w:tcW w:w="1031" w:type="pct"/>
            <w:shd w:val="clear" w:color="auto" w:fill="auto"/>
            <w:vAlign w:val="center"/>
          </w:tcPr>
          <w:p w14:paraId="5E6F456D" w14:textId="1B66C0AE" w:rsidR="007C7750" w:rsidRPr="00A304A7" w:rsidRDefault="007C7750" w:rsidP="00EC5836">
            <w:pPr>
              <w:pStyle w:val="TableText0"/>
              <w:jc w:val="center"/>
              <w:rPr>
                <w:lang w:val="en-US"/>
              </w:rPr>
            </w:pPr>
            <w:r w:rsidRPr="00A304A7">
              <w:rPr>
                <w:lang w:val="en-US"/>
              </w:rPr>
              <w:t>Hurley Stage II and III</w:t>
            </w:r>
          </w:p>
        </w:tc>
        <w:tc>
          <w:tcPr>
            <w:tcW w:w="1387" w:type="pct"/>
            <w:shd w:val="clear" w:color="auto" w:fill="auto"/>
            <w:vAlign w:val="center"/>
          </w:tcPr>
          <w:p w14:paraId="0ED80667" w14:textId="77777777" w:rsidR="007C7750" w:rsidRPr="00A304A7" w:rsidRDefault="007C7750" w:rsidP="00EC5836">
            <w:pPr>
              <w:pStyle w:val="TableText0"/>
              <w:jc w:val="center"/>
              <w:rPr>
                <w:lang w:val="en-US"/>
              </w:rPr>
            </w:pPr>
            <w:r w:rsidRPr="00A304A7">
              <w:rPr>
                <w:lang w:val="en-US"/>
              </w:rPr>
              <w:t>HiSCR</w:t>
            </w:r>
            <w:r w:rsidR="001269E4" w:rsidRPr="00A304A7">
              <w:rPr>
                <w:lang w:val="en-US"/>
              </w:rPr>
              <w:t>50</w:t>
            </w:r>
            <w:r w:rsidRPr="00A304A7">
              <w:rPr>
                <w:lang w:val="en-US"/>
              </w:rPr>
              <w:t xml:space="preserve"> at Week 1</w:t>
            </w:r>
            <w:r w:rsidR="00DC1145" w:rsidRPr="00A304A7">
              <w:rPr>
                <w:lang w:val="en-US"/>
              </w:rPr>
              <w:t>6</w:t>
            </w:r>
          </w:p>
          <w:p w14:paraId="20BCAA0D" w14:textId="2B63AB01" w:rsidR="00B94E9B" w:rsidRPr="00A304A7" w:rsidRDefault="009E608B" w:rsidP="00EC5836">
            <w:pPr>
              <w:pStyle w:val="TableText0"/>
              <w:jc w:val="center"/>
              <w:rPr>
                <w:lang w:val="en-US"/>
              </w:rPr>
            </w:pPr>
            <w:r w:rsidRPr="00A304A7">
              <w:rPr>
                <w:lang w:val="en-US"/>
              </w:rPr>
              <w:t>Disease f</w:t>
            </w:r>
            <w:r w:rsidR="00B94E9B" w:rsidRPr="00A304A7">
              <w:rPr>
                <w:lang w:val="en-US"/>
              </w:rPr>
              <w:t>lares</w:t>
            </w:r>
          </w:p>
          <w:p w14:paraId="66B93017" w14:textId="77777777" w:rsidR="00B94E9B" w:rsidRPr="00A304A7" w:rsidRDefault="00B94E9B" w:rsidP="00EC5836">
            <w:pPr>
              <w:pStyle w:val="TableText0"/>
              <w:jc w:val="center"/>
              <w:rPr>
                <w:lang w:val="en-US"/>
              </w:rPr>
            </w:pPr>
            <w:r w:rsidRPr="00A304A7">
              <w:rPr>
                <w:lang w:val="en-US"/>
              </w:rPr>
              <w:t>AN change from baseline</w:t>
            </w:r>
          </w:p>
          <w:p w14:paraId="47D60A0D" w14:textId="77777777" w:rsidR="00B94E9B" w:rsidRPr="00A304A7" w:rsidRDefault="00B94E9B" w:rsidP="00EC5836">
            <w:pPr>
              <w:pStyle w:val="TableText0"/>
              <w:jc w:val="center"/>
              <w:rPr>
                <w:lang w:val="fr-FR"/>
              </w:rPr>
            </w:pPr>
            <w:r w:rsidRPr="00A304A7">
              <w:rPr>
                <w:lang w:val="fr-FR"/>
              </w:rPr>
              <w:t>NRS30</w:t>
            </w:r>
          </w:p>
          <w:p w14:paraId="150A804C" w14:textId="1C97D4A6" w:rsidR="00AB4264" w:rsidRPr="00A304A7" w:rsidRDefault="00AB4264" w:rsidP="00511890">
            <w:pPr>
              <w:pStyle w:val="TableText0"/>
              <w:jc w:val="center"/>
              <w:rPr>
                <w:lang w:val="fr-FR"/>
              </w:rPr>
            </w:pPr>
            <w:r w:rsidRPr="00A304A7">
              <w:rPr>
                <w:lang w:val="en-US"/>
              </w:rPr>
              <w:t>DLQI</w:t>
            </w:r>
          </w:p>
        </w:tc>
      </w:tr>
      <w:tr w:rsidR="003A6019" w:rsidRPr="00A304A7" w14:paraId="13A6895C" w14:textId="77777777" w:rsidTr="000A2E96">
        <w:trPr>
          <w:cantSplit/>
        </w:trPr>
        <w:tc>
          <w:tcPr>
            <w:tcW w:w="714" w:type="pct"/>
            <w:shd w:val="clear" w:color="auto" w:fill="auto"/>
            <w:vAlign w:val="center"/>
          </w:tcPr>
          <w:p w14:paraId="4A9488B3" w14:textId="0D10BEE4" w:rsidR="007C7750" w:rsidRPr="00A304A7" w:rsidRDefault="007C7750" w:rsidP="00EC5836">
            <w:pPr>
              <w:pStyle w:val="TableText0"/>
              <w:rPr>
                <w:lang w:val="en-US"/>
              </w:rPr>
            </w:pPr>
            <w:r w:rsidRPr="00A304A7">
              <w:rPr>
                <w:lang w:val="en-US"/>
              </w:rPr>
              <w:t>SUNRISE</w:t>
            </w:r>
          </w:p>
        </w:tc>
        <w:tc>
          <w:tcPr>
            <w:tcW w:w="466" w:type="pct"/>
            <w:shd w:val="clear" w:color="auto" w:fill="auto"/>
            <w:vAlign w:val="center"/>
          </w:tcPr>
          <w:p w14:paraId="3F4D20B5" w14:textId="45A3EF7B" w:rsidR="007C7750" w:rsidRPr="00A304A7" w:rsidRDefault="007C7750" w:rsidP="00EC5836">
            <w:pPr>
              <w:pStyle w:val="TableText0"/>
              <w:jc w:val="center"/>
              <w:rPr>
                <w:lang w:val="en-US"/>
              </w:rPr>
            </w:pPr>
            <w:r w:rsidRPr="00A304A7">
              <w:rPr>
                <w:lang w:val="en-US"/>
              </w:rPr>
              <w:t>543</w:t>
            </w:r>
          </w:p>
        </w:tc>
        <w:tc>
          <w:tcPr>
            <w:tcW w:w="782" w:type="pct"/>
            <w:shd w:val="clear" w:color="auto" w:fill="auto"/>
            <w:vAlign w:val="center"/>
          </w:tcPr>
          <w:p w14:paraId="0CEC85E4" w14:textId="3C0397E4" w:rsidR="007C7750" w:rsidRPr="00A304A7" w:rsidRDefault="007C7750" w:rsidP="00EC5836">
            <w:pPr>
              <w:pStyle w:val="TableText0"/>
              <w:jc w:val="center"/>
              <w:rPr>
                <w:lang w:val="en-US"/>
              </w:rPr>
            </w:pPr>
            <w:r w:rsidRPr="00A304A7">
              <w:rPr>
                <w:lang w:val="en-US"/>
              </w:rPr>
              <w:t>R, DB</w:t>
            </w:r>
          </w:p>
          <w:p w14:paraId="68D92FE7" w14:textId="4CF84C6F" w:rsidR="007C7750" w:rsidRPr="00A304A7" w:rsidRDefault="007C7750" w:rsidP="00EC5836">
            <w:pPr>
              <w:pStyle w:val="TableText0"/>
              <w:jc w:val="center"/>
              <w:rPr>
                <w:lang w:val="en-US"/>
              </w:rPr>
            </w:pPr>
            <w:r w:rsidRPr="00A304A7">
              <w:rPr>
                <w:lang w:val="en-US"/>
              </w:rPr>
              <w:t>16 weeks</w:t>
            </w:r>
            <w:r w:rsidR="00F7661F" w:rsidRPr="00A304A7">
              <w:rPr>
                <w:lang w:val="en-US"/>
              </w:rPr>
              <w:t xml:space="preserve"> with OLE up to </w:t>
            </w:r>
            <w:r w:rsidR="004472EC" w:rsidRPr="00A304A7">
              <w:rPr>
                <w:lang w:val="en-US"/>
              </w:rPr>
              <w:t xml:space="preserve">Week </w:t>
            </w:r>
            <w:r w:rsidR="00F7661F" w:rsidRPr="00A304A7">
              <w:rPr>
                <w:lang w:val="en-US"/>
              </w:rPr>
              <w:t>52</w:t>
            </w:r>
          </w:p>
        </w:tc>
        <w:tc>
          <w:tcPr>
            <w:tcW w:w="621" w:type="pct"/>
            <w:shd w:val="clear" w:color="auto" w:fill="auto"/>
            <w:vAlign w:val="center"/>
          </w:tcPr>
          <w:p w14:paraId="6F0F93F8" w14:textId="5A8D588A" w:rsidR="007C7750" w:rsidRPr="00A304A7" w:rsidRDefault="00363D84" w:rsidP="00EC5836">
            <w:pPr>
              <w:pStyle w:val="TableText0"/>
              <w:jc w:val="center"/>
              <w:rPr>
                <w:lang w:val="en-US"/>
              </w:rPr>
            </w:pPr>
            <w:proofErr w:type="gramStart"/>
            <w:r w:rsidRPr="00A304A7">
              <w:rPr>
                <w:lang w:val="en-US"/>
              </w:rPr>
              <w:t>Some</w:t>
            </w:r>
            <w:proofErr w:type="gramEnd"/>
            <w:r w:rsidRPr="00A304A7">
              <w:rPr>
                <w:lang w:val="en-US"/>
              </w:rPr>
              <w:t xml:space="preserve"> concerns</w:t>
            </w:r>
          </w:p>
        </w:tc>
        <w:tc>
          <w:tcPr>
            <w:tcW w:w="1031" w:type="pct"/>
            <w:shd w:val="clear" w:color="auto" w:fill="auto"/>
            <w:vAlign w:val="center"/>
          </w:tcPr>
          <w:p w14:paraId="43AC963E" w14:textId="0ADDC1A4" w:rsidR="007C7750" w:rsidRPr="00A304A7" w:rsidRDefault="007C7750" w:rsidP="00EC5836">
            <w:pPr>
              <w:pStyle w:val="TableText0"/>
              <w:jc w:val="center"/>
              <w:rPr>
                <w:lang w:val="en-US"/>
              </w:rPr>
            </w:pPr>
            <w:r w:rsidRPr="00A304A7">
              <w:rPr>
                <w:lang w:val="en-US"/>
              </w:rPr>
              <w:t>Hurley Stage II and III</w:t>
            </w:r>
          </w:p>
        </w:tc>
        <w:tc>
          <w:tcPr>
            <w:tcW w:w="1387" w:type="pct"/>
            <w:shd w:val="clear" w:color="auto" w:fill="auto"/>
            <w:vAlign w:val="center"/>
          </w:tcPr>
          <w:p w14:paraId="0A011EFF" w14:textId="77777777" w:rsidR="007C7750" w:rsidRPr="00A304A7" w:rsidRDefault="007C7750" w:rsidP="00EC5836">
            <w:pPr>
              <w:pStyle w:val="TableText0"/>
              <w:jc w:val="center"/>
              <w:rPr>
                <w:lang w:val="en-US"/>
              </w:rPr>
            </w:pPr>
            <w:r w:rsidRPr="00A304A7">
              <w:rPr>
                <w:lang w:val="en-US"/>
              </w:rPr>
              <w:t>HiSCR</w:t>
            </w:r>
            <w:r w:rsidR="001269E4" w:rsidRPr="00A304A7">
              <w:rPr>
                <w:lang w:val="en-US"/>
              </w:rPr>
              <w:t>50</w:t>
            </w:r>
            <w:r w:rsidRPr="00A304A7">
              <w:rPr>
                <w:lang w:val="en-US"/>
              </w:rPr>
              <w:t xml:space="preserve"> at Week 1</w:t>
            </w:r>
            <w:r w:rsidR="00DC1145" w:rsidRPr="00A304A7">
              <w:rPr>
                <w:lang w:val="en-US"/>
              </w:rPr>
              <w:t>6</w:t>
            </w:r>
          </w:p>
          <w:p w14:paraId="06AB17BF" w14:textId="5B334E18" w:rsidR="00B94E9B" w:rsidRPr="00A304A7" w:rsidRDefault="009E608B" w:rsidP="00B94E9B">
            <w:pPr>
              <w:pStyle w:val="TableText0"/>
              <w:jc w:val="center"/>
              <w:rPr>
                <w:lang w:val="en-US"/>
              </w:rPr>
            </w:pPr>
            <w:r w:rsidRPr="00A304A7">
              <w:rPr>
                <w:lang w:val="en-US"/>
              </w:rPr>
              <w:t>Disease f</w:t>
            </w:r>
            <w:r w:rsidR="00B94E9B" w:rsidRPr="00A304A7">
              <w:rPr>
                <w:lang w:val="en-US"/>
              </w:rPr>
              <w:t>lares</w:t>
            </w:r>
          </w:p>
          <w:p w14:paraId="6CBA9C67" w14:textId="77777777" w:rsidR="00B94E9B" w:rsidRPr="00A304A7" w:rsidRDefault="00B94E9B" w:rsidP="00B94E9B">
            <w:pPr>
              <w:pStyle w:val="TableText0"/>
              <w:jc w:val="center"/>
              <w:rPr>
                <w:lang w:val="en-US"/>
              </w:rPr>
            </w:pPr>
            <w:r w:rsidRPr="00A304A7">
              <w:rPr>
                <w:lang w:val="en-US"/>
              </w:rPr>
              <w:t>AN change from baseline</w:t>
            </w:r>
          </w:p>
          <w:p w14:paraId="756962DC" w14:textId="77777777" w:rsidR="00B94E9B" w:rsidRPr="00A304A7" w:rsidRDefault="00B94E9B" w:rsidP="00B94E9B">
            <w:pPr>
              <w:pStyle w:val="TableText0"/>
              <w:jc w:val="center"/>
              <w:rPr>
                <w:lang w:val="fr-FR"/>
              </w:rPr>
            </w:pPr>
            <w:r w:rsidRPr="00A304A7">
              <w:rPr>
                <w:lang w:val="fr-FR"/>
              </w:rPr>
              <w:t>NRS30</w:t>
            </w:r>
          </w:p>
          <w:p w14:paraId="3175EA34" w14:textId="10372FF4" w:rsidR="00AB4264" w:rsidRPr="00A304A7" w:rsidRDefault="00AB4264" w:rsidP="00511890">
            <w:pPr>
              <w:pStyle w:val="TableText0"/>
              <w:jc w:val="center"/>
              <w:rPr>
                <w:lang w:val="fr-FR"/>
              </w:rPr>
            </w:pPr>
            <w:r w:rsidRPr="00A304A7">
              <w:rPr>
                <w:lang w:val="en-US"/>
              </w:rPr>
              <w:t>DLQI</w:t>
            </w:r>
          </w:p>
        </w:tc>
      </w:tr>
      <w:tr w:rsidR="000A2E96" w:rsidRPr="00A304A7" w14:paraId="5638CD10" w14:textId="77777777" w:rsidTr="000A2E96">
        <w:trPr>
          <w:cantSplit/>
        </w:trPr>
        <w:tc>
          <w:tcPr>
            <w:tcW w:w="5000" w:type="pct"/>
            <w:gridSpan w:val="6"/>
            <w:shd w:val="clear" w:color="auto" w:fill="auto"/>
            <w:vAlign w:val="center"/>
          </w:tcPr>
          <w:p w14:paraId="6B1315D0" w14:textId="75F8CDD6" w:rsidR="000A2E96" w:rsidRPr="00A304A7" w:rsidRDefault="005762D0" w:rsidP="000A2E96">
            <w:pPr>
              <w:pStyle w:val="TableText0"/>
              <w:rPr>
                <w:b/>
                <w:bCs w:val="0"/>
                <w:lang w:val="en-US"/>
              </w:rPr>
            </w:pPr>
            <w:r w:rsidRPr="00A304A7">
              <w:rPr>
                <w:b/>
                <w:bCs w:val="0"/>
                <w:lang w:val="en-US"/>
              </w:rPr>
              <w:t>Adalimumab</w:t>
            </w:r>
            <w:r w:rsidR="000A2E96" w:rsidRPr="00A304A7">
              <w:rPr>
                <w:b/>
                <w:bCs w:val="0"/>
                <w:lang w:val="en-US"/>
              </w:rPr>
              <w:t xml:space="preserve"> versus placebo</w:t>
            </w:r>
          </w:p>
        </w:tc>
      </w:tr>
      <w:tr w:rsidR="003A6019" w:rsidRPr="00A304A7" w14:paraId="6DAFAEAF" w14:textId="77777777" w:rsidTr="00EC0B93">
        <w:trPr>
          <w:cantSplit/>
        </w:trPr>
        <w:tc>
          <w:tcPr>
            <w:tcW w:w="714" w:type="pct"/>
            <w:shd w:val="clear" w:color="auto" w:fill="auto"/>
            <w:vAlign w:val="center"/>
          </w:tcPr>
          <w:p w14:paraId="76F0584C" w14:textId="6210DC5E" w:rsidR="007C7750" w:rsidRPr="00A304A7" w:rsidRDefault="007C7750" w:rsidP="00EC5836">
            <w:pPr>
              <w:pStyle w:val="TableText0"/>
              <w:rPr>
                <w:lang w:val="en-US"/>
              </w:rPr>
            </w:pPr>
            <w:r w:rsidRPr="00A304A7">
              <w:t>M10-467</w:t>
            </w:r>
          </w:p>
        </w:tc>
        <w:tc>
          <w:tcPr>
            <w:tcW w:w="466" w:type="pct"/>
            <w:shd w:val="clear" w:color="auto" w:fill="auto"/>
            <w:vAlign w:val="center"/>
          </w:tcPr>
          <w:p w14:paraId="7D785F8E" w14:textId="6476D9F3" w:rsidR="007C7750" w:rsidRPr="00A304A7" w:rsidRDefault="007C7750" w:rsidP="00EC5836">
            <w:pPr>
              <w:pStyle w:val="TableText0"/>
              <w:jc w:val="center"/>
              <w:rPr>
                <w:lang w:val="en-US"/>
              </w:rPr>
            </w:pPr>
            <w:r w:rsidRPr="00A304A7">
              <w:rPr>
                <w:lang w:val="en-US"/>
              </w:rPr>
              <w:t>154</w:t>
            </w:r>
          </w:p>
        </w:tc>
        <w:tc>
          <w:tcPr>
            <w:tcW w:w="782" w:type="pct"/>
            <w:shd w:val="clear" w:color="auto" w:fill="auto"/>
            <w:vAlign w:val="center"/>
          </w:tcPr>
          <w:p w14:paraId="27403C3A" w14:textId="5959602B" w:rsidR="007C7750" w:rsidRPr="00A304A7" w:rsidRDefault="007C7750" w:rsidP="00D106D9">
            <w:pPr>
              <w:pStyle w:val="TableText0"/>
              <w:jc w:val="center"/>
              <w:rPr>
                <w:lang w:val="en-US"/>
              </w:rPr>
            </w:pPr>
            <w:r w:rsidRPr="00A304A7">
              <w:rPr>
                <w:lang w:val="en-US"/>
              </w:rPr>
              <w:t>R, DB</w:t>
            </w:r>
          </w:p>
          <w:p w14:paraId="4F10C1AA" w14:textId="2A0FE06C" w:rsidR="007C7750" w:rsidRPr="00A304A7" w:rsidRDefault="007C7750" w:rsidP="00D106D9">
            <w:pPr>
              <w:pStyle w:val="TableText0"/>
              <w:jc w:val="center"/>
              <w:rPr>
                <w:lang w:val="en-US"/>
              </w:rPr>
            </w:pPr>
            <w:r w:rsidRPr="00A304A7">
              <w:rPr>
                <w:lang w:val="en-US"/>
              </w:rPr>
              <w:t>16 weeks</w:t>
            </w:r>
            <w:r w:rsidR="004472EC" w:rsidRPr="00A304A7">
              <w:rPr>
                <w:lang w:val="en-US"/>
              </w:rPr>
              <w:t xml:space="preserve"> with OLE up to 52 weeks</w:t>
            </w:r>
          </w:p>
        </w:tc>
        <w:tc>
          <w:tcPr>
            <w:tcW w:w="621" w:type="pct"/>
            <w:shd w:val="clear" w:color="auto" w:fill="auto"/>
            <w:vAlign w:val="center"/>
          </w:tcPr>
          <w:p w14:paraId="50E27A90" w14:textId="77777777" w:rsidR="007C7750" w:rsidRPr="00A304A7" w:rsidRDefault="007C7750" w:rsidP="00EC5836">
            <w:pPr>
              <w:pStyle w:val="TableText0"/>
              <w:jc w:val="center"/>
              <w:rPr>
                <w:lang w:val="en-US"/>
              </w:rPr>
            </w:pPr>
            <w:r w:rsidRPr="00A304A7">
              <w:rPr>
                <w:lang w:val="en-US"/>
              </w:rPr>
              <w:t>Low</w:t>
            </w:r>
          </w:p>
        </w:tc>
        <w:tc>
          <w:tcPr>
            <w:tcW w:w="1031" w:type="pct"/>
            <w:shd w:val="clear" w:color="auto" w:fill="auto"/>
            <w:vAlign w:val="center"/>
          </w:tcPr>
          <w:p w14:paraId="1B84BE0E" w14:textId="57FBC4B7" w:rsidR="007C7750" w:rsidRPr="00A304A7" w:rsidRDefault="007C7750" w:rsidP="00EC5836">
            <w:pPr>
              <w:pStyle w:val="TableText0"/>
              <w:jc w:val="center"/>
              <w:rPr>
                <w:lang w:val="en-US"/>
              </w:rPr>
            </w:pPr>
            <w:r w:rsidRPr="00A304A7">
              <w:rPr>
                <w:lang w:val="en-US"/>
              </w:rPr>
              <w:t>Hurley Stage I, II and III</w:t>
            </w:r>
          </w:p>
        </w:tc>
        <w:tc>
          <w:tcPr>
            <w:tcW w:w="1387" w:type="pct"/>
            <w:shd w:val="clear" w:color="auto" w:fill="auto"/>
            <w:vAlign w:val="center"/>
          </w:tcPr>
          <w:p w14:paraId="0351A18F" w14:textId="65B64287" w:rsidR="007C7750" w:rsidRPr="00A304A7" w:rsidRDefault="007C7750" w:rsidP="00EC5836">
            <w:pPr>
              <w:pStyle w:val="TableText0"/>
              <w:jc w:val="center"/>
              <w:rPr>
                <w:lang w:val="en-US"/>
              </w:rPr>
            </w:pPr>
            <w:r w:rsidRPr="00A304A7">
              <w:rPr>
                <w:lang w:val="en-US"/>
              </w:rPr>
              <w:t>HS-PGA score at Week 16</w:t>
            </w:r>
          </w:p>
        </w:tc>
      </w:tr>
      <w:tr w:rsidR="003A6019" w:rsidRPr="00A304A7" w14:paraId="5B752B1B" w14:textId="77777777" w:rsidTr="00EC0B93">
        <w:trPr>
          <w:cantSplit/>
        </w:trPr>
        <w:tc>
          <w:tcPr>
            <w:tcW w:w="714" w:type="pct"/>
            <w:shd w:val="clear" w:color="auto" w:fill="auto"/>
            <w:vAlign w:val="center"/>
          </w:tcPr>
          <w:p w14:paraId="4445435C" w14:textId="511406D6" w:rsidR="007C7750" w:rsidRPr="00A304A7" w:rsidRDefault="007C7750" w:rsidP="00EC5836">
            <w:pPr>
              <w:pStyle w:val="TableText0"/>
            </w:pPr>
            <w:r w:rsidRPr="00A304A7">
              <w:t>PIONEER I</w:t>
            </w:r>
          </w:p>
        </w:tc>
        <w:tc>
          <w:tcPr>
            <w:tcW w:w="466" w:type="pct"/>
            <w:shd w:val="clear" w:color="auto" w:fill="auto"/>
            <w:vAlign w:val="center"/>
          </w:tcPr>
          <w:p w14:paraId="3035FB63" w14:textId="588D254C" w:rsidR="007C7750" w:rsidRPr="00A304A7" w:rsidRDefault="007C7750" w:rsidP="00EC5836">
            <w:pPr>
              <w:pStyle w:val="TableText0"/>
              <w:jc w:val="center"/>
              <w:rPr>
                <w:lang w:val="en-US"/>
              </w:rPr>
            </w:pPr>
            <w:r w:rsidRPr="00A304A7">
              <w:rPr>
                <w:lang w:val="en-US"/>
              </w:rPr>
              <w:t>307</w:t>
            </w:r>
          </w:p>
        </w:tc>
        <w:tc>
          <w:tcPr>
            <w:tcW w:w="782" w:type="pct"/>
            <w:shd w:val="clear" w:color="auto" w:fill="auto"/>
            <w:vAlign w:val="center"/>
          </w:tcPr>
          <w:p w14:paraId="7BBD999F" w14:textId="77777777" w:rsidR="007C7750" w:rsidRPr="00A304A7" w:rsidRDefault="007C7750" w:rsidP="00D16BC4">
            <w:pPr>
              <w:pStyle w:val="TableText0"/>
              <w:jc w:val="center"/>
              <w:rPr>
                <w:lang w:val="en-US"/>
              </w:rPr>
            </w:pPr>
            <w:r w:rsidRPr="00A304A7">
              <w:rPr>
                <w:lang w:val="en-US"/>
              </w:rPr>
              <w:t>R, DB</w:t>
            </w:r>
          </w:p>
          <w:p w14:paraId="21F9CC13" w14:textId="04A8C1BB" w:rsidR="007C7750" w:rsidRPr="00A304A7" w:rsidRDefault="004472EC" w:rsidP="00D16BC4">
            <w:pPr>
              <w:pStyle w:val="TableText0"/>
              <w:jc w:val="center"/>
              <w:rPr>
                <w:lang w:val="en-US"/>
              </w:rPr>
            </w:pPr>
            <w:r w:rsidRPr="00A304A7">
              <w:rPr>
                <w:lang w:val="en-US"/>
              </w:rPr>
              <w:t>36</w:t>
            </w:r>
            <w:r w:rsidR="007C7750" w:rsidRPr="00A304A7">
              <w:rPr>
                <w:lang w:val="en-US"/>
              </w:rPr>
              <w:t xml:space="preserve"> weeks</w:t>
            </w:r>
            <w:r w:rsidR="00980BD2" w:rsidRPr="00A304A7">
              <w:rPr>
                <w:lang w:val="en-US"/>
              </w:rPr>
              <w:t xml:space="preserve"> with OLE up to</w:t>
            </w:r>
            <w:r w:rsidRPr="00A304A7">
              <w:rPr>
                <w:lang w:val="en-US"/>
              </w:rPr>
              <w:t xml:space="preserve"> Week</w:t>
            </w:r>
            <w:r w:rsidR="00980BD2" w:rsidRPr="00A304A7">
              <w:rPr>
                <w:lang w:val="en-US"/>
              </w:rPr>
              <w:t xml:space="preserve"> </w:t>
            </w:r>
            <w:r w:rsidRPr="00A304A7">
              <w:rPr>
                <w:lang w:val="en-US"/>
              </w:rPr>
              <w:t>108</w:t>
            </w:r>
            <w:r w:rsidR="00980BD2" w:rsidRPr="00A304A7">
              <w:rPr>
                <w:lang w:val="en-US"/>
              </w:rPr>
              <w:t xml:space="preserve"> </w:t>
            </w:r>
          </w:p>
        </w:tc>
        <w:tc>
          <w:tcPr>
            <w:tcW w:w="621" w:type="pct"/>
            <w:shd w:val="clear" w:color="auto" w:fill="auto"/>
            <w:vAlign w:val="center"/>
          </w:tcPr>
          <w:p w14:paraId="0716B6D8" w14:textId="63ADFD8E" w:rsidR="007C7750" w:rsidRPr="00A304A7" w:rsidRDefault="007C7750" w:rsidP="00EC5836">
            <w:pPr>
              <w:pStyle w:val="TableText0"/>
              <w:jc w:val="center"/>
              <w:rPr>
                <w:lang w:val="en-US"/>
              </w:rPr>
            </w:pPr>
            <w:r w:rsidRPr="00A304A7">
              <w:rPr>
                <w:lang w:val="en-US"/>
              </w:rPr>
              <w:t>Low</w:t>
            </w:r>
          </w:p>
        </w:tc>
        <w:tc>
          <w:tcPr>
            <w:tcW w:w="1031" w:type="pct"/>
            <w:shd w:val="clear" w:color="auto" w:fill="auto"/>
            <w:vAlign w:val="center"/>
          </w:tcPr>
          <w:p w14:paraId="0D7129F4" w14:textId="66B08CF9" w:rsidR="007C7750" w:rsidRPr="00A304A7" w:rsidRDefault="007C7750" w:rsidP="00EC5836">
            <w:pPr>
              <w:pStyle w:val="TableText0"/>
              <w:jc w:val="center"/>
              <w:rPr>
                <w:lang w:val="en-US"/>
              </w:rPr>
            </w:pPr>
            <w:r w:rsidRPr="00A304A7">
              <w:rPr>
                <w:lang w:val="en-US"/>
              </w:rPr>
              <w:t>Hurley Stage II and III</w:t>
            </w:r>
          </w:p>
        </w:tc>
        <w:tc>
          <w:tcPr>
            <w:tcW w:w="1387" w:type="pct"/>
            <w:shd w:val="clear" w:color="auto" w:fill="auto"/>
            <w:vAlign w:val="center"/>
          </w:tcPr>
          <w:p w14:paraId="7DA5C4A0" w14:textId="22087B4C" w:rsidR="007C7750" w:rsidRPr="00A304A7" w:rsidRDefault="007C7750" w:rsidP="00EC5836">
            <w:pPr>
              <w:pStyle w:val="TableText0"/>
              <w:jc w:val="center"/>
              <w:rPr>
                <w:lang w:val="en-US"/>
              </w:rPr>
            </w:pPr>
            <w:r w:rsidRPr="00A304A7">
              <w:rPr>
                <w:lang w:val="en-US"/>
              </w:rPr>
              <w:t>HiSCR</w:t>
            </w:r>
            <w:r w:rsidR="001269E4" w:rsidRPr="00A304A7">
              <w:rPr>
                <w:lang w:val="en-US"/>
              </w:rPr>
              <w:t>50</w:t>
            </w:r>
            <w:r w:rsidRPr="00A304A7">
              <w:rPr>
                <w:lang w:val="en-US"/>
              </w:rPr>
              <w:t xml:space="preserve"> at Week 1</w:t>
            </w:r>
            <w:r w:rsidR="00DC1145" w:rsidRPr="00A304A7">
              <w:rPr>
                <w:lang w:val="en-US"/>
              </w:rPr>
              <w:t>2</w:t>
            </w:r>
          </w:p>
        </w:tc>
      </w:tr>
      <w:tr w:rsidR="003A6019" w:rsidRPr="00A304A7" w14:paraId="7BE479DE" w14:textId="77777777" w:rsidTr="00EC0B93">
        <w:trPr>
          <w:cantSplit/>
        </w:trPr>
        <w:tc>
          <w:tcPr>
            <w:tcW w:w="714" w:type="pct"/>
            <w:shd w:val="clear" w:color="auto" w:fill="auto"/>
            <w:vAlign w:val="center"/>
          </w:tcPr>
          <w:p w14:paraId="446AF8FF" w14:textId="7B6315A6" w:rsidR="007C7750" w:rsidRPr="00A304A7" w:rsidRDefault="007C7750" w:rsidP="00EC5836">
            <w:pPr>
              <w:pStyle w:val="TableText0"/>
            </w:pPr>
            <w:r w:rsidRPr="00A304A7">
              <w:t>PIONEER II</w:t>
            </w:r>
          </w:p>
        </w:tc>
        <w:tc>
          <w:tcPr>
            <w:tcW w:w="466" w:type="pct"/>
            <w:shd w:val="clear" w:color="auto" w:fill="auto"/>
            <w:vAlign w:val="center"/>
          </w:tcPr>
          <w:p w14:paraId="56DF17D7" w14:textId="12335522" w:rsidR="007C7750" w:rsidRPr="00A304A7" w:rsidRDefault="007C7750" w:rsidP="00EC5836">
            <w:pPr>
              <w:pStyle w:val="TableText0"/>
              <w:jc w:val="center"/>
              <w:rPr>
                <w:lang w:val="en-US"/>
              </w:rPr>
            </w:pPr>
            <w:r w:rsidRPr="00A304A7">
              <w:rPr>
                <w:lang w:val="en-US"/>
              </w:rPr>
              <w:t>326</w:t>
            </w:r>
          </w:p>
        </w:tc>
        <w:tc>
          <w:tcPr>
            <w:tcW w:w="782" w:type="pct"/>
            <w:shd w:val="clear" w:color="auto" w:fill="auto"/>
            <w:vAlign w:val="center"/>
          </w:tcPr>
          <w:p w14:paraId="014CBF2D" w14:textId="77777777" w:rsidR="007C7750" w:rsidRPr="00A304A7" w:rsidRDefault="007C7750" w:rsidP="00D16BC4">
            <w:pPr>
              <w:pStyle w:val="TableText0"/>
              <w:jc w:val="center"/>
              <w:rPr>
                <w:lang w:val="en-US"/>
              </w:rPr>
            </w:pPr>
            <w:r w:rsidRPr="00A304A7">
              <w:rPr>
                <w:lang w:val="en-US"/>
              </w:rPr>
              <w:t>R, DB</w:t>
            </w:r>
          </w:p>
          <w:p w14:paraId="47A27EB4" w14:textId="6B7ED609" w:rsidR="007C7750" w:rsidRPr="00A304A7" w:rsidRDefault="004472EC" w:rsidP="00D16BC4">
            <w:pPr>
              <w:pStyle w:val="TableText0"/>
              <w:jc w:val="center"/>
              <w:rPr>
                <w:lang w:val="en-US"/>
              </w:rPr>
            </w:pPr>
            <w:r w:rsidRPr="00A304A7">
              <w:rPr>
                <w:lang w:val="en-US"/>
              </w:rPr>
              <w:t>36</w:t>
            </w:r>
            <w:r w:rsidR="007C7750" w:rsidRPr="00A304A7">
              <w:rPr>
                <w:lang w:val="en-US"/>
              </w:rPr>
              <w:t xml:space="preserve"> weeks</w:t>
            </w:r>
            <w:r w:rsidR="00980BD2" w:rsidRPr="00A304A7">
              <w:rPr>
                <w:lang w:val="en-US"/>
              </w:rPr>
              <w:t xml:space="preserve"> with OLE up to</w:t>
            </w:r>
            <w:r w:rsidRPr="00A304A7">
              <w:rPr>
                <w:lang w:val="en-US"/>
              </w:rPr>
              <w:t xml:space="preserve"> Week</w:t>
            </w:r>
            <w:r w:rsidR="00980BD2" w:rsidRPr="00A304A7">
              <w:rPr>
                <w:lang w:val="en-US"/>
              </w:rPr>
              <w:t xml:space="preserve"> </w:t>
            </w:r>
            <w:r w:rsidRPr="00A304A7">
              <w:rPr>
                <w:lang w:val="en-US"/>
              </w:rPr>
              <w:t>108</w:t>
            </w:r>
            <w:r w:rsidR="00980BD2" w:rsidRPr="00A304A7">
              <w:rPr>
                <w:lang w:val="en-US"/>
              </w:rPr>
              <w:t xml:space="preserve"> </w:t>
            </w:r>
          </w:p>
        </w:tc>
        <w:tc>
          <w:tcPr>
            <w:tcW w:w="621" w:type="pct"/>
            <w:shd w:val="clear" w:color="auto" w:fill="auto"/>
            <w:vAlign w:val="center"/>
          </w:tcPr>
          <w:p w14:paraId="3FE392F0" w14:textId="517C8057" w:rsidR="007C7750" w:rsidRPr="00A304A7" w:rsidRDefault="007C7750" w:rsidP="00EC5836">
            <w:pPr>
              <w:pStyle w:val="TableText0"/>
              <w:jc w:val="center"/>
              <w:rPr>
                <w:lang w:val="en-US"/>
              </w:rPr>
            </w:pPr>
            <w:r w:rsidRPr="00A304A7">
              <w:rPr>
                <w:lang w:val="en-US"/>
              </w:rPr>
              <w:t>Low</w:t>
            </w:r>
          </w:p>
        </w:tc>
        <w:tc>
          <w:tcPr>
            <w:tcW w:w="1031" w:type="pct"/>
            <w:shd w:val="clear" w:color="auto" w:fill="auto"/>
            <w:vAlign w:val="center"/>
          </w:tcPr>
          <w:p w14:paraId="1888C8F9" w14:textId="1AC6B13B" w:rsidR="007C7750" w:rsidRPr="00A304A7" w:rsidRDefault="007C7750" w:rsidP="00EC5836">
            <w:pPr>
              <w:pStyle w:val="TableText0"/>
              <w:jc w:val="center"/>
              <w:rPr>
                <w:lang w:val="en-US"/>
              </w:rPr>
            </w:pPr>
            <w:r w:rsidRPr="00A304A7">
              <w:rPr>
                <w:lang w:val="en-US"/>
              </w:rPr>
              <w:t>Hurley Stage II and III</w:t>
            </w:r>
          </w:p>
        </w:tc>
        <w:tc>
          <w:tcPr>
            <w:tcW w:w="1387" w:type="pct"/>
            <w:shd w:val="clear" w:color="auto" w:fill="auto"/>
            <w:vAlign w:val="center"/>
          </w:tcPr>
          <w:p w14:paraId="5FEC00B8" w14:textId="5CAA42E1" w:rsidR="007C7750" w:rsidRPr="00A304A7" w:rsidRDefault="007C7750" w:rsidP="00EC5836">
            <w:pPr>
              <w:pStyle w:val="TableText0"/>
              <w:jc w:val="center"/>
              <w:rPr>
                <w:lang w:val="en-US"/>
              </w:rPr>
            </w:pPr>
            <w:r w:rsidRPr="00A304A7">
              <w:rPr>
                <w:lang w:val="en-US"/>
              </w:rPr>
              <w:t>HiSCR</w:t>
            </w:r>
            <w:r w:rsidR="001269E4" w:rsidRPr="00A304A7">
              <w:rPr>
                <w:lang w:val="en-US"/>
              </w:rPr>
              <w:t>50</w:t>
            </w:r>
            <w:r w:rsidRPr="00A304A7">
              <w:rPr>
                <w:lang w:val="en-US"/>
              </w:rPr>
              <w:t xml:space="preserve"> at Week 1</w:t>
            </w:r>
            <w:r w:rsidR="00DC1145" w:rsidRPr="00A304A7">
              <w:rPr>
                <w:lang w:val="en-US"/>
              </w:rPr>
              <w:t>2</w:t>
            </w:r>
          </w:p>
        </w:tc>
      </w:tr>
      <w:tr w:rsidR="003A6019" w:rsidRPr="00A304A7" w14:paraId="238DF5C4" w14:textId="77777777" w:rsidTr="000A2E96">
        <w:trPr>
          <w:cantSplit/>
        </w:trPr>
        <w:tc>
          <w:tcPr>
            <w:tcW w:w="714" w:type="pct"/>
            <w:shd w:val="clear" w:color="auto" w:fill="auto"/>
            <w:vAlign w:val="center"/>
          </w:tcPr>
          <w:p w14:paraId="22456ADA" w14:textId="0E84C01B" w:rsidR="007C7750" w:rsidRPr="00A304A7" w:rsidRDefault="007C7750" w:rsidP="00EC5836">
            <w:pPr>
              <w:pStyle w:val="TableText0"/>
            </w:pPr>
            <w:r w:rsidRPr="00A304A7">
              <w:t>SHARPS</w:t>
            </w:r>
          </w:p>
        </w:tc>
        <w:tc>
          <w:tcPr>
            <w:tcW w:w="466" w:type="pct"/>
            <w:shd w:val="clear" w:color="auto" w:fill="auto"/>
            <w:vAlign w:val="center"/>
          </w:tcPr>
          <w:p w14:paraId="5C20EE88" w14:textId="733BEF57" w:rsidR="007C7750" w:rsidRPr="00A304A7" w:rsidRDefault="007C7750" w:rsidP="00EC5836">
            <w:pPr>
              <w:pStyle w:val="TableText0"/>
              <w:jc w:val="center"/>
              <w:rPr>
                <w:lang w:val="en-US"/>
              </w:rPr>
            </w:pPr>
            <w:r w:rsidRPr="00A304A7">
              <w:rPr>
                <w:lang w:val="en-US"/>
              </w:rPr>
              <w:t>206</w:t>
            </w:r>
          </w:p>
        </w:tc>
        <w:tc>
          <w:tcPr>
            <w:tcW w:w="782" w:type="pct"/>
            <w:shd w:val="clear" w:color="auto" w:fill="auto"/>
            <w:vAlign w:val="center"/>
          </w:tcPr>
          <w:p w14:paraId="2BC95CBA" w14:textId="77777777" w:rsidR="007C7750" w:rsidRPr="00A304A7" w:rsidRDefault="007C7750" w:rsidP="00D16BC4">
            <w:pPr>
              <w:pStyle w:val="TableText0"/>
              <w:jc w:val="center"/>
              <w:rPr>
                <w:lang w:val="en-US"/>
              </w:rPr>
            </w:pPr>
            <w:r w:rsidRPr="00A304A7">
              <w:rPr>
                <w:lang w:val="en-US"/>
              </w:rPr>
              <w:t>R, DB</w:t>
            </w:r>
          </w:p>
          <w:p w14:paraId="766BC03A" w14:textId="6117D3B0" w:rsidR="007C7750" w:rsidRPr="00A304A7" w:rsidRDefault="007C7750" w:rsidP="00D16BC4">
            <w:pPr>
              <w:pStyle w:val="TableText0"/>
              <w:jc w:val="center"/>
              <w:rPr>
                <w:lang w:val="en-US"/>
              </w:rPr>
            </w:pPr>
            <w:r w:rsidRPr="00A304A7">
              <w:rPr>
                <w:lang w:val="en-US"/>
              </w:rPr>
              <w:t>12 weeks</w:t>
            </w:r>
            <w:r w:rsidR="00B2374A" w:rsidRPr="00A304A7">
              <w:rPr>
                <w:lang w:val="en-US"/>
              </w:rPr>
              <w:t xml:space="preserve"> with</w:t>
            </w:r>
            <w:r w:rsidR="004472EC" w:rsidRPr="00A304A7">
              <w:rPr>
                <w:lang w:val="en-US"/>
              </w:rPr>
              <w:t xml:space="preserve"> post-surgery </w:t>
            </w:r>
            <w:r w:rsidR="00CE1610" w:rsidRPr="00A304A7">
              <w:rPr>
                <w:lang w:val="en-US"/>
              </w:rPr>
              <w:t>period up to Week 24</w:t>
            </w:r>
            <w:r w:rsidR="00B2374A" w:rsidRPr="00A304A7">
              <w:rPr>
                <w:lang w:val="en-US"/>
              </w:rPr>
              <w:t xml:space="preserve"> </w:t>
            </w:r>
          </w:p>
        </w:tc>
        <w:tc>
          <w:tcPr>
            <w:tcW w:w="621" w:type="pct"/>
            <w:shd w:val="clear" w:color="auto" w:fill="auto"/>
            <w:vAlign w:val="center"/>
          </w:tcPr>
          <w:p w14:paraId="1EBA75B2" w14:textId="584F9D06" w:rsidR="007C7750" w:rsidRPr="00A304A7" w:rsidRDefault="007C7750" w:rsidP="00EC5836">
            <w:pPr>
              <w:pStyle w:val="TableText0"/>
              <w:jc w:val="center"/>
              <w:rPr>
                <w:lang w:val="en-US"/>
              </w:rPr>
            </w:pPr>
            <w:r w:rsidRPr="00A304A7">
              <w:rPr>
                <w:lang w:val="en-US"/>
              </w:rPr>
              <w:t>Low</w:t>
            </w:r>
          </w:p>
        </w:tc>
        <w:tc>
          <w:tcPr>
            <w:tcW w:w="1031" w:type="pct"/>
            <w:shd w:val="clear" w:color="auto" w:fill="auto"/>
            <w:vAlign w:val="center"/>
          </w:tcPr>
          <w:p w14:paraId="7241F49E" w14:textId="2CB246E4" w:rsidR="007C7750" w:rsidRPr="00A304A7" w:rsidRDefault="007C7750" w:rsidP="00EC5836">
            <w:pPr>
              <w:pStyle w:val="TableText0"/>
              <w:jc w:val="center"/>
              <w:rPr>
                <w:lang w:val="en-US"/>
              </w:rPr>
            </w:pPr>
            <w:r w:rsidRPr="00A304A7">
              <w:rPr>
                <w:lang w:val="en-US"/>
              </w:rPr>
              <w:t>Hurley Stage II and III</w:t>
            </w:r>
          </w:p>
        </w:tc>
        <w:tc>
          <w:tcPr>
            <w:tcW w:w="1387" w:type="pct"/>
            <w:shd w:val="clear" w:color="auto" w:fill="auto"/>
            <w:vAlign w:val="center"/>
          </w:tcPr>
          <w:p w14:paraId="5C2571DC" w14:textId="58009234" w:rsidR="007C7750" w:rsidRPr="00A304A7" w:rsidRDefault="007C7750" w:rsidP="00EC5836">
            <w:pPr>
              <w:pStyle w:val="TableText0"/>
              <w:jc w:val="center"/>
              <w:rPr>
                <w:lang w:val="en-US"/>
              </w:rPr>
            </w:pPr>
            <w:r w:rsidRPr="00A304A7">
              <w:rPr>
                <w:lang w:val="en-US"/>
              </w:rPr>
              <w:t>HiSCR</w:t>
            </w:r>
            <w:r w:rsidR="001269E4" w:rsidRPr="00A304A7">
              <w:rPr>
                <w:lang w:val="en-US"/>
              </w:rPr>
              <w:t>50</w:t>
            </w:r>
            <w:r w:rsidRPr="00A304A7">
              <w:rPr>
                <w:lang w:val="en-US"/>
              </w:rPr>
              <w:t xml:space="preserve"> at Week 1</w:t>
            </w:r>
            <w:r w:rsidR="00DC1145" w:rsidRPr="00A304A7">
              <w:rPr>
                <w:lang w:val="en-US"/>
              </w:rPr>
              <w:t>2</w:t>
            </w:r>
          </w:p>
        </w:tc>
      </w:tr>
    </w:tbl>
    <w:p w14:paraId="560080D2" w14:textId="6F70CDC8" w:rsidR="00045017" w:rsidRDefault="00045017" w:rsidP="00EC5836">
      <w:pPr>
        <w:pStyle w:val="FooterTableFigure"/>
      </w:pPr>
      <w:r>
        <w:t xml:space="preserve">Source: </w:t>
      </w:r>
      <w:r w:rsidR="00B02022">
        <w:t>Table 2.13, p 61 of the submission</w:t>
      </w:r>
      <w:r>
        <w:t>.</w:t>
      </w:r>
    </w:p>
    <w:p w14:paraId="1095487C" w14:textId="3C7B87DA" w:rsidR="00D00D49" w:rsidRPr="00D00D49" w:rsidRDefault="009F3E80" w:rsidP="00D00D49">
      <w:pPr>
        <w:pStyle w:val="FooterTableFigure"/>
      </w:pPr>
      <w:r w:rsidRPr="00C0430A">
        <w:t>AN</w:t>
      </w:r>
      <w:r>
        <w:t>=</w:t>
      </w:r>
      <w:r w:rsidRPr="00C0430A">
        <w:t xml:space="preserve"> abscess and inflammatory nodule; </w:t>
      </w:r>
      <w:r w:rsidR="00620C25" w:rsidRPr="0072416F">
        <w:t>DB</w:t>
      </w:r>
      <w:r w:rsidR="00620C25">
        <w:t xml:space="preserve"> </w:t>
      </w:r>
      <w:r w:rsidR="00620C25" w:rsidRPr="0072416F">
        <w:t>=</w:t>
      </w:r>
      <w:r w:rsidR="00620C25">
        <w:t xml:space="preserve"> </w:t>
      </w:r>
      <w:r w:rsidR="00620C25" w:rsidRPr="0072416F">
        <w:t xml:space="preserve">double blind; </w:t>
      </w:r>
      <w:r w:rsidR="00634EF7">
        <w:t xml:space="preserve">DLQI = Dermatology Life Quality Index; </w:t>
      </w:r>
      <w:r w:rsidR="00B02022" w:rsidRPr="00C0430A">
        <w:t>HiSCR</w:t>
      </w:r>
      <w:r w:rsidR="00B02022">
        <w:t>50 =</w:t>
      </w:r>
      <w:r w:rsidR="00B02022" w:rsidRPr="00C0430A">
        <w:t xml:space="preserve"> hidradenitis suppurativa clinical response</w:t>
      </w:r>
      <w:r w:rsidR="00B02022">
        <w:t xml:space="preserve"> of at least 50%</w:t>
      </w:r>
      <w:r w:rsidR="00B02022" w:rsidRPr="00C0430A">
        <w:t xml:space="preserve">; </w:t>
      </w:r>
      <w:r>
        <w:t xml:space="preserve">HS-PGA = </w:t>
      </w:r>
      <w:r w:rsidRPr="009F3E80">
        <w:t>hidradenitis suppurativa Physician Global Assessment</w:t>
      </w:r>
      <w:r>
        <w:t xml:space="preserve">; </w:t>
      </w:r>
      <w:r w:rsidRPr="00C0430A">
        <w:t>NRS</w:t>
      </w:r>
      <w:r>
        <w:t>=</w:t>
      </w:r>
      <w:r w:rsidRPr="00C0430A">
        <w:t xml:space="preserve"> numeric rating scale; </w:t>
      </w:r>
      <w:r w:rsidR="00620C25" w:rsidRPr="0072416F">
        <w:t>OL</w:t>
      </w:r>
      <w:r w:rsidR="000560C8">
        <w:t>E</w:t>
      </w:r>
      <w:r w:rsidR="00620C25">
        <w:t xml:space="preserve"> </w:t>
      </w:r>
      <w:r w:rsidR="00620C25" w:rsidRPr="0072416F">
        <w:t>=</w:t>
      </w:r>
      <w:r w:rsidR="00620C25">
        <w:t xml:space="preserve"> </w:t>
      </w:r>
      <w:r w:rsidR="00620C25" w:rsidRPr="0072416F">
        <w:t>open label</w:t>
      </w:r>
      <w:r w:rsidR="000560C8">
        <w:t xml:space="preserve"> extension</w:t>
      </w:r>
      <w:r w:rsidR="00620C25" w:rsidRPr="0072416F">
        <w:t>; R</w:t>
      </w:r>
      <w:r w:rsidR="00620C25">
        <w:t xml:space="preserve"> </w:t>
      </w:r>
      <w:r w:rsidR="00620C25" w:rsidRPr="0072416F">
        <w:t>=</w:t>
      </w:r>
      <w:r w:rsidR="00620C25">
        <w:t xml:space="preserve"> </w:t>
      </w:r>
      <w:r w:rsidR="00620C25" w:rsidRPr="0072416F">
        <w:t>randomised.</w:t>
      </w:r>
    </w:p>
    <w:p w14:paraId="02734275" w14:textId="407EA691" w:rsidR="00262018" w:rsidRPr="005E2E87" w:rsidRDefault="00262018" w:rsidP="007E1C14">
      <w:pPr>
        <w:pStyle w:val="3-BodyText"/>
        <w:rPr>
          <w:color w:val="0066FF"/>
        </w:rPr>
      </w:pPr>
      <w:r w:rsidRPr="005E2E87">
        <w:t xml:space="preserve">The two key secukinumab trials were considered to have a risk of </w:t>
      </w:r>
      <w:r w:rsidR="001269E4" w:rsidRPr="005E2E87">
        <w:t xml:space="preserve">attrition </w:t>
      </w:r>
      <w:r w:rsidRPr="005E2E87">
        <w:t xml:space="preserve">bias, due to </w:t>
      </w:r>
      <w:r w:rsidR="001D4BEF" w:rsidRPr="005E2E87">
        <w:t>their handling of</w:t>
      </w:r>
      <w:r w:rsidRPr="005E2E87">
        <w:t xml:space="preserve"> incomplete outcome data. At the evaluation for primary outcome </w:t>
      </w:r>
      <w:r w:rsidR="00CA7F1F" w:rsidRPr="005E2E87">
        <w:t>(</w:t>
      </w:r>
      <w:r w:rsidRPr="005E2E87">
        <w:t>Week 16</w:t>
      </w:r>
      <w:r w:rsidR="00CA7F1F" w:rsidRPr="005E2E87">
        <w:t>)</w:t>
      </w:r>
      <w:r w:rsidRPr="005E2E87">
        <w:t xml:space="preserve">, there were differences </w:t>
      </w:r>
      <w:r w:rsidR="00C432BE" w:rsidRPr="005E2E87">
        <w:t xml:space="preserve">in </w:t>
      </w:r>
      <w:r w:rsidR="002F6DD8" w:rsidRPr="005E2E87">
        <w:t xml:space="preserve">missing data </w:t>
      </w:r>
      <w:r w:rsidRPr="005E2E87">
        <w:t xml:space="preserve">between </w:t>
      </w:r>
      <w:r w:rsidR="00754204" w:rsidRPr="005E2E87">
        <w:t>secukinumab</w:t>
      </w:r>
      <w:r w:rsidRPr="005E2E87">
        <w:t xml:space="preserve"> and placebo arms (</w:t>
      </w:r>
      <w:r w:rsidR="002F6DD8" w:rsidRPr="005E2E87">
        <w:t>8</w:t>
      </w:r>
      <w:r w:rsidRPr="005E2E87">
        <w:t xml:space="preserve">% versus </w:t>
      </w:r>
      <w:r w:rsidR="002F6DD8" w:rsidRPr="005E2E87">
        <w:t>1</w:t>
      </w:r>
      <w:r w:rsidRPr="005E2E87">
        <w:t xml:space="preserve">5% respectively). The </w:t>
      </w:r>
      <w:r w:rsidR="00312EF9" w:rsidRPr="005E2E87">
        <w:t>key trials</w:t>
      </w:r>
      <w:r w:rsidRPr="005E2E87">
        <w:t xml:space="preserve"> used a mixed effects logistic regression with multiple imputations (including corresponding baseline values, geographical region, Hurley stage, use of antibiotics and body weight as covariates) to adjust the observed </w:t>
      </w:r>
      <w:proofErr w:type="gramStart"/>
      <w:r w:rsidRPr="005E2E87">
        <w:t>results, and</w:t>
      </w:r>
      <w:proofErr w:type="gramEnd"/>
      <w:r w:rsidRPr="005E2E87">
        <w:t xml:space="preserve"> did not </w:t>
      </w:r>
      <w:r w:rsidR="00410C56" w:rsidRPr="005E2E87">
        <w:t>perform sensitivity analyses considering</w:t>
      </w:r>
      <w:r w:rsidRPr="005E2E87">
        <w:t xml:space="preserve"> last observation carried forward </w:t>
      </w:r>
      <w:r w:rsidR="00832C9D" w:rsidRPr="005E2E87">
        <w:t>or non-responder imputations</w:t>
      </w:r>
      <w:r w:rsidRPr="005E2E87">
        <w:t xml:space="preserve">. Compared to the observed data, this approach favoured secukinumab in three out of the four </w:t>
      </w:r>
      <w:r w:rsidR="00535C76" w:rsidRPr="005E2E87">
        <w:t xml:space="preserve">treatment arms </w:t>
      </w:r>
      <w:r w:rsidRPr="005E2E87">
        <w:t xml:space="preserve">of the key trials. In contrast, the </w:t>
      </w:r>
      <w:r w:rsidR="005762D0" w:rsidRPr="005E2E87">
        <w:t>adalimumab</w:t>
      </w:r>
      <w:r w:rsidRPr="005E2E87">
        <w:t xml:space="preserve"> trials recorded primary outcomes on the intention-to-treat (ITT) population</w:t>
      </w:r>
      <w:r w:rsidR="009429DF" w:rsidRPr="005E2E87">
        <w:t>s</w:t>
      </w:r>
      <w:r w:rsidRPr="005E2E87">
        <w:t>, where unevaluated patients were recorded as non-responders</w:t>
      </w:r>
      <w:r w:rsidR="00DB460D" w:rsidRPr="005E2E87">
        <w:t xml:space="preserve">, with </w:t>
      </w:r>
      <w:r w:rsidR="007A3AB9" w:rsidRPr="005E2E87">
        <w:t>multiple</w:t>
      </w:r>
      <w:r w:rsidR="00DB460D" w:rsidRPr="005E2E87">
        <w:t xml:space="preserve"> sensitivity analyses </w:t>
      </w:r>
      <w:r w:rsidR="00580F19" w:rsidRPr="005E2E87">
        <w:t>performed</w:t>
      </w:r>
      <w:r w:rsidR="00AE322B" w:rsidRPr="005E2E87">
        <w:t xml:space="preserve"> in the PIONEER studies</w:t>
      </w:r>
      <w:r w:rsidRPr="005E2E87">
        <w:t>.</w:t>
      </w:r>
    </w:p>
    <w:p w14:paraId="1CA6615D" w14:textId="77777777" w:rsidR="0053512C" w:rsidRDefault="00B60939" w:rsidP="005646F7">
      <w:pPr>
        <w:pStyle w:val="4-SubsectionHeading"/>
      </w:pPr>
      <w:bookmarkStart w:id="19" w:name="_Toc22897641"/>
      <w:bookmarkStart w:id="20" w:name="_Toc135036634"/>
      <w:r w:rsidRPr="00C9624D">
        <w:lastRenderedPageBreak/>
        <w:t>Comparative effectiveness</w:t>
      </w:r>
      <w:bookmarkEnd w:id="19"/>
      <w:bookmarkEnd w:id="20"/>
    </w:p>
    <w:p w14:paraId="7F1C2303" w14:textId="6850D1BC" w:rsidR="00BF4E08" w:rsidRPr="00A6415B" w:rsidRDefault="00BF4E08" w:rsidP="007E1C14">
      <w:pPr>
        <w:pStyle w:val="3-BodyText"/>
      </w:pPr>
      <w:r>
        <w:t>Key results from the SUNSHINE and SUNRISE trials are presented in the table below.</w:t>
      </w:r>
    </w:p>
    <w:p w14:paraId="312F0965" w14:textId="35172134" w:rsidR="005D26B4" w:rsidRPr="00EC5836" w:rsidRDefault="005712B3" w:rsidP="005712B3">
      <w:pPr>
        <w:pStyle w:val="Caption"/>
        <w:rPr>
          <w:rStyle w:val="CommentReference"/>
          <w:b/>
          <w:szCs w:val="24"/>
        </w:rPr>
      </w:pPr>
      <w:bookmarkStart w:id="21" w:name="_Ref134106209"/>
      <w:r>
        <w:t xml:space="preserve">Table </w:t>
      </w:r>
      <w:r>
        <w:fldChar w:fldCharType="begin" w:fldLock="1"/>
      </w:r>
      <w:r>
        <w:instrText>SEQ Table \* ARABIC</w:instrText>
      </w:r>
      <w:r>
        <w:fldChar w:fldCharType="separate"/>
      </w:r>
      <w:r w:rsidR="000F75DF">
        <w:rPr>
          <w:noProof/>
        </w:rPr>
        <w:t>4</w:t>
      </w:r>
      <w:r>
        <w:fldChar w:fldCharType="end"/>
      </w:r>
      <w:bookmarkEnd w:id="21"/>
      <w:r w:rsidR="00D6076E">
        <w:t>:</w:t>
      </w:r>
      <w:r w:rsidR="005D26B4" w:rsidRPr="00EC5836">
        <w:rPr>
          <w:rStyle w:val="CommentReference"/>
          <w:b/>
          <w:szCs w:val="24"/>
        </w:rPr>
        <w:t xml:space="preserve"> </w:t>
      </w:r>
      <w:r w:rsidR="0016418E">
        <w:rPr>
          <w:rStyle w:val="CommentReference"/>
          <w:b/>
          <w:szCs w:val="24"/>
        </w:rPr>
        <w:t xml:space="preserve">Primary and </w:t>
      </w:r>
      <w:r w:rsidR="00937D69">
        <w:rPr>
          <w:rStyle w:val="CommentReference"/>
          <w:b/>
          <w:szCs w:val="24"/>
        </w:rPr>
        <w:t>s</w:t>
      </w:r>
      <w:r w:rsidR="0016418E">
        <w:rPr>
          <w:rStyle w:val="CommentReference"/>
          <w:b/>
          <w:szCs w:val="24"/>
        </w:rPr>
        <w:t>econdary r</w:t>
      </w:r>
      <w:r w:rsidR="005D26B4" w:rsidRPr="00EC5836">
        <w:rPr>
          <w:rStyle w:val="CommentReference"/>
          <w:b/>
          <w:szCs w:val="24"/>
        </w:rPr>
        <w:t xml:space="preserve">esults of </w:t>
      </w:r>
      <w:r>
        <w:rPr>
          <w:rStyle w:val="CommentReference"/>
          <w:b/>
          <w:szCs w:val="24"/>
        </w:rPr>
        <w:t>the key secukinumab trials</w:t>
      </w:r>
      <w:r w:rsidR="006A0304">
        <w:rPr>
          <w:rStyle w:val="CommentReference"/>
          <w:b/>
          <w:szCs w:val="24"/>
        </w:rPr>
        <w:t>, Week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141"/>
        <w:gridCol w:w="1987"/>
        <w:gridCol w:w="2294"/>
      </w:tblGrid>
      <w:tr w:rsidR="00DC42C6" w:rsidRPr="00E6052E" w14:paraId="2C6BC2A7" w14:textId="77777777" w:rsidTr="0039454D">
        <w:trPr>
          <w:cantSplit/>
          <w:tblHeader/>
        </w:trPr>
        <w:tc>
          <w:tcPr>
            <w:tcW w:w="1439" w:type="pct"/>
            <w:vAlign w:val="center"/>
          </w:tcPr>
          <w:p w14:paraId="38B4F48D" w14:textId="77777777" w:rsidR="00DC42C6" w:rsidRPr="00E6052E" w:rsidRDefault="00DC42C6" w:rsidP="001E34DF">
            <w:pPr>
              <w:pStyle w:val="In-tableHeading"/>
            </w:pPr>
            <w:r w:rsidRPr="00E6052E">
              <w:t>Trial ID</w:t>
            </w:r>
          </w:p>
        </w:tc>
        <w:tc>
          <w:tcPr>
            <w:tcW w:w="1187" w:type="pct"/>
            <w:vAlign w:val="center"/>
          </w:tcPr>
          <w:p w14:paraId="708FBF86" w14:textId="6A307EB5" w:rsidR="00DC42C6" w:rsidRPr="00E6052E" w:rsidRDefault="00DC42C6" w:rsidP="00D86231">
            <w:pPr>
              <w:pStyle w:val="In-tableHeading"/>
              <w:jc w:val="center"/>
            </w:pPr>
            <w:r w:rsidRPr="00E6052E">
              <w:t>Secukinumab</w:t>
            </w:r>
          </w:p>
          <w:p w14:paraId="111690D4" w14:textId="3ABC7477" w:rsidR="00DC42C6" w:rsidRPr="00E6052E" w:rsidRDefault="00DC42C6" w:rsidP="00D86231">
            <w:pPr>
              <w:pStyle w:val="In-tableHeading"/>
              <w:jc w:val="center"/>
            </w:pPr>
            <w:r w:rsidRPr="00E6052E">
              <w:t>n/m (%)</w:t>
            </w:r>
          </w:p>
        </w:tc>
        <w:tc>
          <w:tcPr>
            <w:tcW w:w="1102" w:type="pct"/>
            <w:vAlign w:val="center"/>
          </w:tcPr>
          <w:p w14:paraId="735290C2" w14:textId="6FCCCA2A" w:rsidR="00DC42C6" w:rsidRPr="00E6052E" w:rsidRDefault="00DC42C6" w:rsidP="00D86231">
            <w:pPr>
              <w:pStyle w:val="In-tableHeading"/>
              <w:jc w:val="center"/>
              <w:rPr>
                <w:vertAlign w:val="superscript"/>
              </w:rPr>
            </w:pPr>
            <w:r w:rsidRPr="00E6052E">
              <w:t>Placebo</w:t>
            </w:r>
            <w:r w:rsidR="000E6D1B" w:rsidRPr="00E6052E">
              <w:rPr>
                <w:b w:val="0"/>
                <w:bCs/>
                <w:vertAlign w:val="superscript"/>
              </w:rPr>
              <w:t>a</w:t>
            </w:r>
          </w:p>
          <w:p w14:paraId="29BED30F" w14:textId="4F262712" w:rsidR="00DC42C6" w:rsidRPr="00E6052E" w:rsidRDefault="00DC42C6" w:rsidP="00D86231">
            <w:pPr>
              <w:pStyle w:val="In-tableHeading"/>
              <w:jc w:val="center"/>
            </w:pPr>
            <w:r w:rsidRPr="00E6052E">
              <w:t>n/m (%)</w:t>
            </w:r>
          </w:p>
        </w:tc>
        <w:tc>
          <w:tcPr>
            <w:tcW w:w="1272" w:type="pct"/>
            <w:vAlign w:val="center"/>
          </w:tcPr>
          <w:p w14:paraId="18B3A937" w14:textId="00F62597" w:rsidR="00DC42C6" w:rsidRPr="00E6052E" w:rsidRDefault="00DC42C6" w:rsidP="00D86231">
            <w:pPr>
              <w:pStyle w:val="In-tableHeading"/>
              <w:jc w:val="center"/>
            </w:pPr>
            <w:r w:rsidRPr="00E6052E">
              <w:t>Odds ratio (95% CI)</w:t>
            </w:r>
          </w:p>
        </w:tc>
      </w:tr>
      <w:tr w:rsidR="00324AAC" w:rsidRPr="00E6052E" w14:paraId="646EF63F" w14:textId="77777777" w:rsidTr="0039454D">
        <w:trPr>
          <w:cantSplit/>
          <w:tblHeader/>
        </w:trPr>
        <w:tc>
          <w:tcPr>
            <w:tcW w:w="5000" w:type="pct"/>
            <w:gridSpan w:val="4"/>
            <w:vAlign w:val="center"/>
          </w:tcPr>
          <w:p w14:paraId="16F231D8" w14:textId="11B477A6" w:rsidR="00324AAC" w:rsidRPr="00E6052E" w:rsidRDefault="00324AAC" w:rsidP="00324AAC">
            <w:pPr>
              <w:pStyle w:val="In-tableHeading"/>
            </w:pPr>
            <w:r w:rsidRPr="00E6052E">
              <w:t>SUNSHINE</w:t>
            </w:r>
          </w:p>
        </w:tc>
      </w:tr>
      <w:tr w:rsidR="002564D6" w:rsidRPr="00E6052E" w14:paraId="5367331F" w14:textId="77777777" w:rsidTr="0039454D">
        <w:trPr>
          <w:cantSplit/>
          <w:tblHeader/>
        </w:trPr>
        <w:tc>
          <w:tcPr>
            <w:tcW w:w="5000" w:type="pct"/>
            <w:gridSpan w:val="4"/>
            <w:vAlign w:val="center"/>
          </w:tcPr>
          <w:p w14:paraId="37C31E1E" w14:textId="1E943896" w:rsidR="002564D6" w:rsidRPr="00E6052E" w:rsidRDefault="002564D6" w:rsidP="002564D6">
            <w:pPr>
              <w:pStyle w:val="In-tableHeading"/>
            </w:pPr>
            <w:r w:rsidRPr="00E6052E">
              <w:t>HiSCR50</w:t>
            </w:r>
          </w:p>
        </w:tc>
      </w:tr>
      <w:tr w:rsidR="00DC42C6" w:rsidRPr="00E6052E" w14:paraId="214AA93C" w14:textId="77777777" w:rsidTr="0039454D">
        <w:trPr>
          <w:cantSplit/>
        </w:trPr>
        <w:tc>
          <w:tcPr>
            <w:tcW w:w="1439" w:type="pct"/>
            <w:vAlign w:val="center"/>
          </w:tcPr>
          <w:p w14:paraId="3C33E47E" w14:textId="346E278C" w:rsidR="00DC42C6" w:rsidRPr="00E6052E" w:rsidRDefault="00066D4B" w:rsidP="00D86231">
            <w:pPr>
              <w:pStyle w:val="TableText0"/>
            </w:pPr>
            <w:r w:rsidRPr="00E6052E">
              <w:t>Secukinumab</w:t>
            </w:r>
            <w:r w:rsidR="00DC42C6" w:rsidRPr="00E6052E">
              <w:t xml:space="preserve"> Q2W </w:t>
            </w:r>
          </w:p>
          <w:p w14:paraId="3D174E98" w14:textId="70878C6F" w:rsidR="00DC42C6" w:rsidRPr="00E6052E" w:rsidRDefault="00066D4B" w:rsidP="00D86231">
            <w:pPr>
              <w:pStyle w:val="TableText0"/>
            </w:pPr>
            <w:r w:rsidRPr="00E6052E">
              <w:t>Secukinumab</w:t>
            </w:r>
            <w:r w:rsidR="00DC42C6" w:rsidRPr="00E6052E">
              <w:t xml:space="preserve"> Q4W</w:t>
            </w:r>
          </w:p>
        </w:tc>
        <w:tc>
          <w:tcPr>
            <w:tcW w:w="1187" w:type="pct"/>
            <w:vAlign w:val="center"/>
          </w:tcPr>
          <w:p w14:paraId="3B61B2F1" w14:textId="5F607A19" w:rsidR="00DC42C6" w:rsidRPr="00E6052E" w:rsidRDefault="00DC42C6" w:rsidP="00641FB3">
            <w:pPr>
              <w:pStyle w:val="TableText0"/>
              <w:jc w:val="center"/>
            </w:pPr>
            <w:r w:rsidRPr="00E6052E">
              <w:t>81.5/181 (45.0)</w:t>
            </w:r>
          </w:p>
          <w:p w14:paraId="422EF376" w14:textId="4FC9C865" w:rsidR="00DC42C6" w:rsidRPr="00E6052E" w:rsidRDefault="00DC42C6" w:rsidP="00641FB3">
            <w:pPr>
              <w:pStyle w:val="TableText0"/>
              <w:jc w:val="center"/>
            </w:pPr>
            <w:r w:rsidRPr="00E6052E">
              <w:t>75.2/180 (41.8)</w:t>
            </w:r>
          </w:p>
        </w:tc>
        <w:tc>
          <w:tcPr>
            <w:tcW w:w="1102" w:type="pct"/>
            <w:vAlign w:val="center"/>
          </w:tcPr>
          <w:p w14:paraId="0DD36945" w14:textId="77777777" w:rsidR="00DC42C6" w:rsidRPr="00E6052E" w:rsidRDefault="00DC42C6" w:rsidP="00FF19FE">
            <w:pPr>
              <w:pStyle w:val="TableText0"/>
              <w:jc w:val="center"/>
            </w:pPr>
            <w:r w:rsidRPr="00E6052E">
              <w:t>60.7/180 (33.7)</w:t>
            </w:r>
          </w:p>
          <w:p w14:paraId="1E3ED255" w14:textId="22D894D5" w:rsidR="00DC42C6" w:rsidRPr="00E6052E" w:rsidRDefault="00DC42C6" w:rsidP="00FD29FA">
            <w:pPr>
              <w:pStyle w:val="TableText0"/>
              <w:jc w:val="center"/>
            </w:pPr>
            <w:r w:rsidRPr="00E6052E">
              <w:t>60.7/180 (33.7)</w:t>
            </w:r>
          </w:p>
        </w:tc>
        <w:tc>
          <w:tcPr>
            <w:tcW w:w="1272" w:type="pct"/>
            <w:vAlign w:val="center"/>
          </w:tcPr>
          <w:p w14:paraId="0F19F373" w14:textId="77777777" w:rsidR="00DC42C6" w:rsidRPr="00E6052E" w:rsidRDefault="00DC42C6" w:rsidP="00D86231">
            <w:pPr>
              <w:pStyle w:val="TableText0"/>
              <w:jc w:val="center"/>
              <w:rPr>
                <w:b/>
                <w:bCs w:val="0"/>
              </w:rPr>
            </w:pPr>
            <w:r w:rsidRPr="00E6052E">
              <w:rPr>
                <w:b/>
                <w:bCs w:val="0"/>
              </w:rPr>
              <w:t>1.75 (1.12, 2.73)</w:t>
            </w:r>
          </w:p>
          <w:p w14:paraId="6B17BFE6" w14:textId="5D7E36AE" w:rsidR="00DC42C6" w:rsidRPr="00E6052E" w:rsidRDefault="00DC42C6" w:rsidP="00D86231">
            <w:pPr>
              <w:pStyle w:val="TableText0"/>
              <w:jc w:val="center"/>
            </w:pPr>
            <w:r w:rsidRPr="00E6052E">
              <w:t xml:space="preserve">1.48 (0.95, </w:t>
            </w:r>
            <w:proofErr w:type="gramStart"/>
            <w:r w:rsidRPr="00E6052E">
              <w:t>2.32)</w:t>
            </w:r>
            <w:r w:rsidR="00EC57BE" w:rsidRPr="00E6052E">
              <w:rPr>
                <w:vertAlign w:val="superscript"/>
              </w:rPr>
              <w:t>d</w:t>
            </w:r>
            <w:proofErr w:type="gramEnd"/>
          </w:p>
        </w:tc>
      </w:tr>
      <w:tr w:rsidR="00066D4B" w:rsidRPr="00E6052E" w14:paraId="02DD244F" w14:textId="77777777" w:rsidTr="0039454D">
        <w:trPr>
          <w:cantSplit/>
        </w:trPr>
        <w:tc>
          <w:tcPr>
            <w:tcW w:w="5000" w:type="pct"/>
            <w:gridSpan w:val="4"/>
            <w:vAlign w:val="center"/>
          </w:tcPr>
          <w:p w14:paraId="57E838F0" w14:textId="7CE4B39C" w:rsidR="00066D4B" w:rsidRPr="00E6052E" w:rsidRDefault="00066D4B" w:rsidP="00066D4B">
            <w:pPr>
              <w:pStyle w:val="TableText0"/>
              <w:rPr>
                <w:b/>
                <w:bCs w:val="0"/>
              </w:rPr>
            </w:pPr>
            <w:r w:rsidRPr="00E6052E">
              <w:rPr>
                <w:b/>
                <w:bCs w:val="0"/>
              </w:rPr>
              <w:t>Flares</w:t>
            </w:r>
          </w:p>
        </w:tc>
      </w:tr>
      <w:tr w:rsidR="00066D4B" w:rsidRPr="00E6052E" w14:paraId="0B7EFB9E" w14:textId="77777777" w:rsidTr="0039454D">
        <w:trPr>
          <w:cantSplit/>
        </w:trPr>
        <w:tc>
          <w:tcPr>
            <w:tcW w:w="1439" w:type="pct"/>
            <w:vAlign w:val="center"/>
          </w:tcPr>
          <w:p w14:paraId="6EEEF97A" w14:textId="5E43F714" w:rsidR="00066D4B" w:rsidRPr="00E6052E" w:rsidRDefault="00066D4B" w:rsidP="00066D4B">
            <w:pPr>
              <w:pStyle w:val="TableText0"/>
            </w:pPr>
            <w:r w:rsidRPr="00E6052E">
              <w:t>Secukinumab Q2W Secukinumab Q4W</w:t>
            </w:r>
          </w:p>
        </w:tc>
        <w:tc>
          <w:tcPr>
            <w:tcW w:w="1187" w:type="pct"/>
            <w:vAlign w:val="center"/>
          </w:tcPr>
          <w:p w14:paraId="7E27DA2B" w14:textId="77777777" w:rsidR="00066D4B" w:rsidRPr="00E6052E" w:rsidRDefault="00066D4B" w:rsidP="00066D4B">
            <w:pPr>
              <w:pStyle w:val="TableText0"/>
              <w:jc w:val="center"/>
            </w:pPr>
            <w:r w:rsidRPr="00E6052E">
              <w:t>27.8/181 (15.4)</w:t>
            </w:r>
          </w:p>
          <w:p w14:paraId="60E5A35F" w14:textId="59E9A3E6" w:rsidR="00066D4B" w:rsidRPr="00E6052E" w:rsidRDefault="00066D4B" w:rsidP="00066D4B">
            <w:pPr>
              <w:pStyle w:val="TableText0"/>
              <w:jc w:val="center"/>
            </w:pPr>
            <w:r w:rsidRPr="00E6052E">
              <w:t>41.7/180 (23.2)</w:t>
            </w:r>
          </w:p>
        </w:tc>
        <w:tc>
          <w:tcPr>
            <w:tcW w:w="1102" w:type="pct"/>
            <w:vAlign w:val="center"/>
          </w:tcPr>
          <w:p w14:paraId="3B9FC243" w14:textId="77777777" w:rsidR="008276D6" w:rsidRPr="00E6052E" w:rsidRDefault="008276D6" w:rsidP="008276D6">
            <w:pPr>
              <w:pStyle w:val="TableText0"/>
              <w:jc w:val="center"/>
            </w:pPr>
            <w:r w:rsidRPr="00E6052E">
              <w:t>52.2/180 (29.0)</w:t>
            </w:r>
          </w:p>
          <w:p w14:paraId="64B96806" w14:textId="5BC552F1" w:rsidR="00066D4B" w:rsidRPr="00E6052E" w:rsidRDefault="008276D6" w:rsidP="00066D4B">
            <w:pPr>
              <w:pStyle w:val="TableText0"/>
              <w:jc w:val="center"/>
            </w:pPr>
            <w:r w:rsidRPr="00E6052E">
              <w:t>52.2/180 (29.0)</w:t>
            </w:r>
          </w:p>
        </w:tc>
        <w:tc>
          <w:tcPr>
            <w:tcW w:w="1272" w:type="pct"/>
            <w:vAlign w:val="center"/>
          </w:tcPr>
          <w:p w14:paraId="19C69D2A" w14:textId="77777777" w:rsidR="00164DC7" w:rsidRPr="00E6052E" w:rsidRDefault="00164DC7" w:rsidP="00066D4B">
            <w:pPr>
              <w:pStyle w:val="TableText0"/>
              <w:jc w:val="center"/>
              <w:rPr>
                <w:b/>
                <w:bCs w:val="0"/>
              </w:rPr>
            </w:pPr>
            <w:r w:rsidRPr="00E6052E">
              <w:rPr>
                <w:b/>
                <w:bCs w:val="0"/>
              </w:rPr>
              <w:t>0.42 (0.25, 0.73)</w:t>
            </w:r>
          </w:p>
          <w:p w14:paraId="37D89954" w14:textId="3DB8F40B" w:rsidR="00066D4B" w:rsidRPr="00E6052E" w:rsidRDefault="00164DC7" w:rsidP="00066D4B">
            <w:pPr>
              <w:pStyle w:val="TableText0"/>
              <w:jc w:val="center"/>
            </w:pPr>
            <w:r w:rsidRPr="00E6052E">
              <w:t>0.71 (0.43, 1.17)</w:t>
            </w:r>
          </w:p>
        </w:tc>
      </w:tr>
      <w:tr w:rsidR="00C53B97" w:rsidRPr="00E6052E" w14:paraId="412BCE8A" w14:textId="77777777" w:rsidTr="0039454D">
        <w:trPr>
          <w:cantSplit/>
        </w:trPr>
        <w:tc>
          <w:tcPr>
            <w:tcW w:w="1439" w:type="pct"/>
            <w:vAlign w:val="center"/>
          </w:tcPr>
          <w:p w14:paraId="1D01F2F7" w14:textId="7347DFA8" w:rsidR="00C53B97" w:rsidRPr="00E6052E" w:rsidRDefault="00C53B97" w:rsidP="00C53B97">
            <w:pPr>
              <w:pStyle w:val="TableText0"/>
              <w:rPr>
                <w:b/>
                <w:vertAlign w:val="superscript"/>
              </w:rPr>
            </w:pPr>
            <w:r w:rsidRPr="00E6052E">
              <w:rPr>
                <w:b/>
                <w:bCs w:val="0"/>
              </w:rPr>
              <w:t xml:space="preserve">AN </w:t>
            </w:r>
            <w:r w:rsidR="00B94E9B" w:rsidRPr="00E6052E">
              <w:rPr>
                <w:b/>
                <w:bCs w:val="0"/>
              </w:rPr>
              <w:t>c</w:t>
            </w:r>
            <w:r w:rsidR="00B85F38" w:rsidRPr="00E6052E">
              <w:rPr>
                <w:b/>
                <w:bCs w:val="0"/>
              </w:rPr>
              <w:t>hange from baseline</w:t>
            </w:r>
          </w:p>
        </w:tc>
        <w:tc>
          <w:tcPr>
            <w:tcW w:w="1187" w:type="pct"/>
            <w:vAlign w:val="center"/>
          </w:tcPr>
          <w:p w14:paraId="6ED2AED7" w14:textId="57C07E6F" w:rsidR="00C53B97" w:rsidRPr="00E6052E" w:rsidRDefault="00C53B97" w:rsidP="00C53B97">
            <w:pPr>
              <w:pStyle w:val="TableText0"/>
              <w:jc w:val="center"/>
              <w:rPr>
                <w:b/>
              </w:rPr>
            </w:pPr>
            <w:r w:rsidRPr="00E6052E">
              <w:rPr>
                <w:b/>
              </w:rPr>
              <w:t>Mean (SE)</w:t>
            </w:r>
            <w:r w:rsidR="000E6D1B" w:rsidRPr="00E6052E">
              <w:rPr>
                <w:b/>
                <w:vertAlign w:val="superscript"/>
              </w:rPr>
              <w:t>b</w:t>
            </w:r>
          </w:p>
        </w:tc>
        <w:tc>
          <w:tcPr>
            <w:tcW w:w="1102" w:type="pct"/>
            <w:vAlign w:val="center"/>
          </w:tcPr>
          <w:p w14:paraId="238A6864" w14:textId="5DAA10C7" w:rsidR="00C53B97" w:rsidRPr="00E6052E" w:rsidRDefault="00C53B97" w:rsidP="00C53B97">
            <w:pPr>
              <w:pStyle w:val="TableText0"/>
              <w:jc w:val="center"/>
              <w:rPr>
                <w:b/>
              </w:rPr>
            </w:pPr>
            <w:r w:rsidRPr="00E6052E">
              <w:rPr>
                <w:b/>
              </w:rPr>
              <w:t>Mean (SE)</w:t>
            </w:r>
            <w:r w:rsidR="000E6D1B" w:rsidRPr="00E6052E">
              <w:rPr>
                <w:b/>
                <w:vertAlign w:val="superscript"/>
              </w:rPr>
              <w:t>b</w:t>
            </w:r>
          </w:p>
        </w:tc>
        <w:tc>
          <w:tcPr>
            <w:tcW w:w="1272" w:type="pct"/>
            <w:vAlign w:val="center"/>
          </w:tcPr>
          <w:p w14:paraId="0FD38897" w14:textId="5928C23C" w:rsidR="00C53B97" w:rsidRPr="00E6052E" w:rsidRDefault="00C53B97" w:rsidP="00C53B97">
            <w:pPr>
              <w:pStyle w:val="TableText0"/>
              <w:jc w:val="center"/>
              <w:rPr>
                <w:b/>
                <w:bCs w:val="0"/>
              </w:rPr>
            </w:pPr>
            <w:r w:rsidRPr="00E6052E">
              <w:rPr>
                <w:b/>
              </w:rPr>
              <w:t xml:space="preserve">LSM difference (95% </w:t>
            </w:r>
            <w:proofErr w:type="gramStart"/>
            <w:r w:rsidRPr="00E6052E">
              <w:rPr>
                <w:b/>
              </w:rPr>
              <w:t>CI)</w:t>
            </w:r>
            <w:r w:rsidR="000E6D1B" w:rsidRPr="00E6052E">
              <w:rPr>
                <w:b/>
                <w:vertAlign w:val="superscript"/>
              </w:rPr>
              <w:t>b</w:t>
            </w:r>
            <w:proofErr w:type="gramEnd"/>
          </w:p>
        </w:tc>
      </w:tr>
      <w:tr w:rsidR="00C53B97" w:rsidRPr="00E6052E" w14:paraId="17A808A9" w14:textId="77777777" w:rsidTr="0039454D">
        <w:trPr>
          <w:cantSplit/>
        </w:trPr>
        <w:tc>
          <w:tcPr>
            <w:tcW w:w="1439" w:type="pct"/>
            <w:vAlign w:val="center"/>
          </w:tcPr>
          <w:p w14:paraId="6505025D" w14:textId="0A53B1AC" w:rsidR="00C53B97" w:rsidRPr="00E6052E" w:rsidRDefault="00C53B97" w:rsidP="00C53B97">
            <w:pPr>
              <w:pStyle w:val="TableText0"/>
            </w:pPr>
            <w:r w:rsidRPr="00E6052E">
              <w:t xml:space="preserve">Secukinumab Q2W </w:t>
            </w:r>
          </w:p>
          <w:p w14:paraId="4CB34647" w14:textId="1EE02B45" w:rsidR="00C53B97" w:rsidRPr="00E6052E" w:rsidRDefault="00C53B97" w:rsidP="00C53B97">
            <w:pPr>
              <w:pStyle w:val="TableText0"/>
            </w:pPr>
            <w:r w:rsidRPr="00E6052E">
              <w:t>Secukinumab Q4W</w:t>
            </w:r>
          </w:p>
        </w:tc>
        <w:tc>
          <w:tcPr>
            <w:tcW w:w="1187" w:type="pct"/>
            <w:vAlign w:val="center"/>
          </w:tcPr>
          <w:p w14:paraId="1C5464CD" w14:textId="77777777" w:rsidR="00C53B97" w:rsidRPr="00E6052E" w:rsidRDefault="00C53B97" w:rsidP="00C53B97">
            <w:pPr>
              <w:pStyle w:val="TableText0"/>
              <w:jc w:val="center"/>
            </w:pPr>
            <w:r w:rsidRPr="00E6052E">
              <w:t>-46.8 (3.33)</w:t>
            </w:r>
          </w:p>
          <w:p w14:paraId="149BFE71" w14:textId="6CABCF88" w:rsidR="00C53B97" w:rsidRPr="00E6052E" w:rsidRDefault="00C53B97" w:rsidP="00C53B97">
            <w:pPr>
              <w:pStyle w:val="TableText0"/>
              <w:jc w:val="center"/>
            </w:pPr>
            <w:r w:rsidRPr="00E6052E">
              <w:t>-42.4 (4.01)</w:t>
            </w:r>
          </w:p>
        </w:tc>
        <w:tc>
          <w:tcPr>
            <w:tcW w:w="1102" w:type="pct"/>
            <w:vAlign w:val="center"/>
          </w:tcPr>
          <w:p w14:paraId="1360DEB0" w14:textId="77777777" w:rsidR="00C53B97" w:rsidRPr="00E6052E" w:rsidRDefault="00C53B97" w:rsidP="00C53B97">
            <w:pPr>
              <w:pStyle w:val="TableText0"/>
              <w:jc w:val="center"/>
            </w:pPr>
            <w:r w:rsidRPr="00E6052E">
              <w:t>-24.3 (4.33)</w:t>
            </w:r>
          </w:p>
          <w:p w14:paraId="3F7CF710" w14:textId="43A7B3A6" w:rsidR="00C53B97" w:rsidRPr="00E6052E" w:rsidRDefault="00C53B97" w:rsidP="00C53B97">
            <w:pPr>
              <w:pStyle w:val="TableText0"/>
              <w:jc w:val="center"/>
            </w:pPr>
            <w:r w:rsidRPr="00E6052E">
              <w:t>-24.3 (4.33)</w:t>
            </w:r>
          </w:p>
        </w:tc>
        <w:tc>
          <w:tcPr>
            <w:tcW w:w="1272" w:type="pct"/>
            <w:vAlign w:val="center"/>
          </w:tcPr>
          <w:p w14:paraId="47372A08" w14:textId="77777777" w:rsidR="00C53B97" w:rsidRPr="00E6052E" w:rsidRDefault="00C53B97" w:rsidP="00C53B97">
            <w:pPr>
              <w:pStyle w:val="TableText0"/>
              <w:jc w:val="center"/>
              <w:rPr>
                <w:b/>
                <w:bCs w:val="0"/>
              </w:rPr>
            </w:pPr>
            <w:r w:rsidRPr="00E6052E">
              <w:rPr>
                <w:b/>
                <w:bCs w:val="0"/>
              </w:rPr>
              <w:t>-23.05 (−33.90, −12.21)</w:t>
            </w:r>
          </w:p>
          <w:p w14:paraId="381EFBA0" w14:textId="6EA11BA1" w:rsidR="00C53B97" w:rsidRPr="00E6052E" w:rsidRDefault="00C53B97" w:rsidP="00C53B97">
            <w:pPr>
              <w:pStyle w:val="TableText0"/>
              <w:jc w:val="center"/>
            </w:pPr>
            <w:r w:rsidRPr="00E6052E">
              <w:t>−18.46 (−29.32, −7.60)</w:t>
            </w:r>
          </w:p>
        </w:tc>
      </w:tr>
      <w:tr w:rsidR="00C53B97" w:rsidRPr="00E6052E" w14:paraId="03774283" w14:textId="77777777" w:rsidTr="0039454D">
        <w:trPr>
          <w:cantSplit/>
        </w:trPr>
        <w:tc>
          <w:tcPr>
            <w:tcW w:w="5000" w:type="pct"/>
            <w:gridSpan w:val="4"/>
            <w:vAlign w:val="center"/>
          </w:tcPr>
          <w:p w14:paraId="2CBDABDF" w14:textId="6152B00D" w:rsidR="00C53B97" w:rsidRPr="00E6052E" w:rsidRDefault="00C53B97" w:rsidP="00C53B97">
            <w:pPr>
              <w:pStyle w:val="TableText0"/>
              <w:rPr>
                <w:b/>
                <w:bCs w:val="0"/>
              </w:rPr>
            </w:pPr>
            <w:r w:rsidRPr="00E6052E">
              <w:rPr>
                <w:b/>
                <w:bCs w:val="0"/>
              </w:rPr>
              <w:t>SUNRISE</w:t>
            </w:r>
          </w:p>
        </w:tc>
      </w:tr>
      <w:tr w:rsidR="00C53B97" w:rsidRPr="00E6052E" w14:paraId="1D2CE827" w14:textId="77777777" w:rsidTr="0039454D">
        <w:trPr>
          <w:cantSplit/>
        </w:trPr>
        <w:tc>
          <w:tcPr>
            <w:tcW w:w="5000" w:type="pct"/>
            <w:gridSpan w:val="4"/>
            <w:vAlign w:val="center"/>
          </w:tcPr>
          <w:p w14:paraId="10AB7825" w14:textId="0EC94EF2" w:rsidR="00C53B97" w:rsidRPr="00E6052E" w:rsidRDefault="00C53B97" w:rsidP="00C53B97">
            <w:pPr>
              <w:pStyle w:val="TableText0"/>
              <w:rPr>
                <w:b/>
                <w:bCs w:val="0"/>
              </w:rPr>
            </w:pPr>
            <w:r w:rsidRPr="00E6052E">
              <w:rPr>
                <w:b/>
                <w:bCs w:val="0"/>
              </w:rPr>
              <w:t>HiSCR50</w:t>
            </w:r>
          </w:p>
        </w:tc>
      </w:tr>
      <w:tr w:rsidR="00C53B97" w:rsidRPr="00E6052E" w14:paraId="1F1D7F90" w14:textId="77777777" w:rsidTr="0039454D">
        <w:trPr>
          <w:cantSplit/>
        </w:trPr>
        <w:tc>
          <w:tcPr>
            <w:tcW w:w="1439" w:type="pct"/>
            <w:vAlign w:val="center"/>
          </w:tcPr>
          <w:p w14:paraId="4DC0978C" w14:textId="544CA2BE" w:rsidR="00C53B97" w:rsidRPr="00E6052E" w:rsidRDefault="00C53B97" w:rsidP="00C53B97">
            <w:pPr>
              <w:pStyle w:val="TableText0"/>
            </w:pPr>
            <w:r w:rsidRPr="00E6052E">
              <w:t xml:space="preserve">Secukinumab Q2W </w:t>
            </w:r>
          </w:p>
          <w:p w14:paraId="6EC67865" w14:textId="725DBE6F" w:rsidR="00C53B97" w:rsidRPr="00E6052E" w:rsidRDefault="00C53B97" w:rsidP="00C53B97">
            <w:pPr>
              <w:pStyle w:val="TableText0"/>
            </w:pPr>
            <w:r w:rsidRPr="00E6052E">
              <w:t>Secukinumab Q4W</w:t>
            </w:r>
          </w:p>
        </w:tc>
        <w:tc>
          <w:tcPr>
            <w:tcW w:w="1187" w:type="pct"/>
            <w:vAlign w:val="center"/>
          </w:tcPr>
          <w:p w14:paraId="4B04E403" w14:textId="649FD984" w:rsidR="00C53B97" w:rsidRPr="00E6052E" w:rsidRDefault="00C53B97" w:rsidP="00C53B97">
            <w:pPr>
              <w:pStyle w:val="TableText0"/>
              <w:jc w:val="center"/>
            </w:pPr>
            <w:r w:rsidRPr="00E6052E">
              <w:t>76.2/180 (42.3)</w:t>
            </w:r>
          </w:p>
          <w:p w14:paraId="4F05A7C9" w14:textId="31EAEA55" w:rsidR="00C53B97" w:rsidRPr="00E6052E" w:rsidRDefault="00C53B97" w:rsidP="00C53B97">
            <w:pPr>
              <w:pStyle w:val="TableText0"/>
              <w:jc w:val="center"/>
            </w:pPr>
            <w:r w:rsidRPr="00E6052E">
              <w:t>83.1/180 (46.1)</w:t>
            </w:r>
          </w:p>
        </w:tc>
        <w:tc>
          <w:tcPr>
            <w:tcW w:w="1102" w:type="pct"/>
            <w:vAlign w:val="center"/>
          </w:tcPr>
          <w:p w14:paraId="114D1243" w14:textId="54C259B9" w:rsidR="00C53B97" w:rsidRPr="00E6052E" w:rsidRDefault="00C53B97" w:rsidP="00C53B97">
            <w:pPr>
              <w:pStyle w:val="TableText0"/>
              <w:jc w:val="center"/>
            </w:pPr>
            <w:r w:rsidRPr="00E6052E">
              <w:t>57.1/183 (31.2)</w:t>
            </w:r>
          </w:p>
          <w:p w14:paraId="2702B5D8" w14:textId="6F1018D6" w:rsidR="00C53B97" w:rsidRPr="00E6052E" w:rsidRDefault="00C53B97" w:rsidP="00C53B97">
            <w:pPr>
              <w:pStyle w:val="TableText0"/>
              <w:jc w:val="center"/>
            </w:pPr>
            <w:r w:rsidRPr="00E6052E">
              <w:t>57.1/183 (31.2)</w:t>
            </w:r>
          </w:p>
        </w:tc>
        <w:tc>
          <w:tcPr>
            <w:tcW w:w="1272" w:type="pct"/>
            <w:vAlign w:val="center"/>
          </w:tcPr>
          <w:p w14:paraId="3611A329" w14:textId="77777777" w:rsidR="00C53B97" w:rsidRPr="00E6052E" w:rsidRDefault="00C53B97" w:rsidP="00C53B97">
            <w:pPr>
              <w:pStyle w:val="TableText0"/>
              <w:jc w:val="center"/>
              <w:rPr>
                <w:b/>
                <w:bCs w:val="0"/>
              </w:rPr>
            </w:pPr>
            <w:r w:rsidRPr="00E6052E">
              <w:rPr>
                <w:b/>
                <w:bCs w:val="0"/>
              </w:rPr>
              <w:t>1.64 (1.05, 2.55)</w:t>
            </w:r>
          </w:p>
          <w:p w14:paraId="2E06E18F" w14:textId="09ED1F5F" w:rsidR="00C53B97" w:rsidRPr="00E6052E" w:rsidRDefault="00C53B97" w:rsidP="00C53B97">
            <w:pPr>
              <w:pStyle w:val="TableText0"/>
              <w:jc w:val="center"/>
            </w:pPr>
            <w:r w:rsidRPr="00E6052E">
              <w:rPr>
                <w:b/>
                <w:bCs w:val="0"/>
              </w:rPr>
              <w:t>1.90 (1.22, 2.96)</w:t>
            </w:r>
          </w:p>
        </w:tc>
      </w:tr>
      <w:tr w:rsidR="00C53B97" w:rsidRPr="00E6052E" w14:paraId="122EF937" w14:textId="77777777" w:rsidTr="0039454D">
        <w:trPr>
          <w:cantSplit/>
        </w:trPr>
        <w:tc>
          <w:tcPr>
            <w:tcW w:w="5000" w:type="pct"/>
            <w:gridSpan w:val="4"/>
            <w:vAlign w:val="center"/>
          </w:tcPr>
          <w:p w14:paraId="0387F782" w14:textId="5B9F03F4" w:rsidR="00C53B97" w:rsidRPr="00E6052E" w:rsidRDefault="00C53B97" w:rsidP="00C53B97">
            <w:pPr>
              <w:pStyle w:val="TableText0"/>
              <w:rPr>
                <w:b/>
                <w:bCs w:val="0"/>
              </w:rPr>
            </w:pPr>
            <w:r w:rsidRPr="00E6052E">
              <w:rPr>
                <w:b/>
                <w:bCs w:val="0"/>
              </w:rPr>
              <w:t>Flares</w:t>
            </w:r>
          </w:p>
        </w:tc>
      </w:tr>
      <w:tr w:rsidR="00C53B97" w:rsidRPr="00E6052E" w14:paraId="01C29E40" w14:textId="77777777" w:rsidTr="0039454D">
        <w:trPr>
          <w:cantSplit/>
        </w:trPr>
        <w:tc>
          <w:tcPr>
            <w:tcW w:w="1439" w:type="pct"/>
            <w:vAlign w:val="center"/>
          </w:tcPr>
          <w:p w14:paraId="66C2F9E8" w14:textId="77777777" w:rsidR="00C53B97" w:rsidRPr="00E6052E" w:rsidRDefault="00C53B97" w:rsidP="00C53B97">
            <w:pPr>
              <w:pStyle w:val="TableText0"/>
            </w:pPr>
            <w:r w:rsidRPr="00E6052E">
              <w:t xml:space="preserve">Secukinumab Q2W </w:t>
            </w:r>
          </w:p>
          <w:p w14:paraId="76D66E46" w14:textId="60FA3463" w:rsidR="00C53B97" w:rsidRPr="00E6052E" w:rsidRDefault="00C53B97" w:rsidP="00C53B97">
            <w:pPr>
              <w:pStyle w:val="TableText0"/>
            </w:pPr>
            <w:r w:rsidRPr="00E6052E">
              <w:t>Secukinumab Q4W</w:t>
            </w:r>
          </w:p>
        </w:tc>
        <w:tc>
          <w:tcPr>
            <w:tcW w:w="1187" w:type="pct"/>
            <w:vAlign w:val="center"/>
          </w:tcPr>
          <w:p w14:paraId="79B8A482" w14:textId="6C43031B" w:rsidR="00C53B97" w:rsidRPr="00E6052E" w:rsidRDefault="00C53B97" w:rsidP="00C53B97">
            <w:pPr>
              <w:pStyle w:val="TableText0"/>
              <w:jc w:val="center"/>
            </w:pPr>
            <w:r w:rsidRPr="00E6052E">
              <w:t>36.1/180 (20.1)</w:t>
            </w:r>
          </w:p>
          <w:p w14:paraId="1B5160AD" w14:textId="05DAF838" w:rsidR="00C53B97" w:rsidRPr="00E6052E" w:rsidRDefault="00C53B97" w:rsidP="00C53B97">
            <w:pPr>
              <w:pStyle w:val="TableText0"/>
              <w:jc w:val="center"/>
            </w:pPr>
            <w:r w:rsidRPr="00E6052E">
              <w:t>28.0/180 (15.6)</w:t>
            </w:r>
          </w:p>
        </w:tc>
        <w:tc>
          <w:tcPr>
            <w:tcW w:w="1102" w:type="pct"/>
            <w:vAlign w:val="center"/>
          </w:tcPr>
          <w:p w14:paraId="5ABBDF12" w14:textId="77777777" w:rsidR="00C53B97" w:rsidRPr="00E6052E" w:rsidRDefault="00C53B97" w:rsidP="00C53B97">
            <w:pPr>
              <w:pStyle w:val="TableText0"/>
              <w:jc w:val="center"/>
            </w:pPr>
            <w:r w:rsidRPr="00E6052E">
              <w:t>49.5/183 (27.0)</w:t>
            </w:r>
          </w:p>
          <w:p w14:paraId="1BF6A065" w14:textId="74699691" w:rsidR="00C53B97" w:rsidRPr="00E6052E" w:rsidRDefault="00C53B97" w:rsidP="00C53B97">
            <w:pPr>
              <w:pStyle w:val="TableText0"/>
              <w:jc w:val="center"/>
            </w:pPr>
            <w:r w:rsidRPr="00E6052E">
              <w:t>49.5/183 (27.0)</w:t>
            </w:r>
          </w:p>
        </w:tc>
        <w:tc>
          <w:tcPr>
            <w:tcW w:w="1272" w:type="pct"/>
            <w:vAlign w:val="center"/>
          </w:tcPr>
          <w:p w14:paraId="3A4F576B" w14:textId="77777777" w:rsidR="00C53B97" w:rsidRPr="00E6052E" w:rsidRDefault="00C53B97" w:rsidP="00C53B97">
            <w:pPr>
              <w:pStyle w:val="TableText0"/>
              <w:jc w:val="center"/>
            </w:pPr>
            <w:r w:rsidRPr="00E6052E">
              <w:t>0.68 (0.41, 1.14)</w:t>
            </w:r>
          </w:p>
          <w:p w14:paraId="5F740A79" w14:textId="57FC861F" w:rsidR="00C53B97" w:rsidRPr="00E6052E" w:rsidRDefault="00C53B97" w:rsidP="00C53B97">
            <w:pPr>
              <w:pStyle w:val="TableText0"/>
              <w:jc w:val="center"/>
              <w:rPr>
                <w:b/>
                <w:bCs w:val="0"/>
                <w:vertAlign w:val="superscript"/>
              </w:rPr>
            </w:pPr>
            <w:r w:rsidRPr="00E6052E">
              <w:rPr>
                <w:b/>
                <w:bCs w:val="0"/>
              </w:rPr>
              <w:t xml:space="preserve">0.49 (0.29, </w:t>
            </w:r>
            <w:proofErr w:type="gramStart"/>
            <w:r w:rsidR="00F33F1A" w:rsidRPr="00E6052E">
              <w:rPr>
                <w:b/>
                <w:bCs w:val="0"/>
              </w:rPr>
              <w:t>0.84</w:t>
            </w:r>
            <w:r w:rsidRPr="00E6052E">
              <w:rPr>
                <w:b/>
                <w:bCs w:val="0"/>
              </w:rPr>
              <w:t>)</w:t>
            </w:r>
            <w:r w:rsidR="00F33F1A" w:rsidRPr="00E6052E">
              <w:rPr>
                <w:b/>
                <w:bCs w:val="0"/>
                <w:vertAlign w:val="superscript"/>
              </w:rPr>
              <w:t>e</w:t>
            </w:r>
            <w:proofErr w:type="gramEnd"/>
          </w:p>
        </w:tc>
      </w:tr>
      <w:tr w:rsidR="00C53B97" w:rsidRPr="00E6052E" w14:paraId="02DB3276" w14:textId="77777777" w:rsidTr="0039454D">
        <w:trPr>
          <w:cantSplit/>
        </w:trPr>
        <w:tc>
          <w:tcPr>
            <w:tcW w:w="1439" w:type="pct"/>
            <w:vAlign w:val="center"/>
          </w:tcPr>
          <w:p w14:paraId="11D42E0D" w14:textId="275C21D9" w:rsidR="00C53B97" w:rsidRPr="00E6052E" w:rsidRDefault="00C53B97" w:rsidP="00C53B97">
            <w:pPr>
              <w:pStyle w:val="TableText0"/>
              <w:rPr>
                <w:b/>
                <w:vertAlign w:val="subscript"/>
              </w:rPr>
            </w:pPr>
            <w:r w:rsidRPr="00E6052E">
              <w:rPr>
                <w:b/>
                <w:bCs w:val="0"/>
              </w:rPr>
              <w:t xml:space="preserve">AN </w:t>
            </w:r>
            <w:r w:rsidR="00B94E9B" w:rsidRPr="00E6052E">
              <w:rPr>
                <w:b/>
                <w:bCs w:val="0"/>
              </w:rPr>
              <w:t>c</w:t>
            </w:r>
            <w:r w:rsidR="00B85F38" w:rsidRPr="00E6052E">
              <w:rPr>
                <w:b/>
                <w:bCs w:val="0"/>
              </w:rPr>
              <w:t>hange from baseline</w:t>
            </w:r>
          </w:p>
        </w:tc>
        <w:tc>
          <w:tcPr>
            <w:tcW w:w="1187" w:type="pct"/>
            <w:vAlign w:val="center"/>
          </w:tcPr>
          <w:p w14:paraId="13F768B7" w14:textId="0966274B" w:rsidR="00C53B97" w:rsidRPr="00E6052E" w:rsidRDefault="00C53B97" w:rsidP="00C53B97">
            <w:pPr>
              <w:pStyle w:val="TableText0"/>
              <w:jc w:val="center"/>
              <w:rPr>
                <w:b/>
              </w:rPr>
            </w:pPr>
            <w:r w:rsidRPr="00E6052E">
              <w:rPr>
                <w:b/>
              </w:rPr>
              <w:t>Mean (SE)</w:t>
            </w:r>
            <w:r w:rsidR="000E6D1B" w:rsidRPr="00E6052E">
              <w:rPr>
                <w:b/>
                <w:vertAlign w:val="superscript"/>
              </w:rPr>
              <w:t>b</w:t>
            </w:r>
          </w:p>
        </w:tc>
        <w:tc>
          <w:tcPr>
            <w:tcW w:w="1102" w:type="pct"/>
            <w:vAlign w:val="center"/>
          </w:tcPr>
          <w:p w14:paraId="1578EC9B" w14:textId="631BD52A" w:rsidR="00C53B97" w:rsidRPr="00E6052E" w:rsidRDefault="00C53B97" w:rsidP="00C53B97">
            <w:pPr>
              <w:pStyle w:val="TableText0"/>
              <w:jc w:val="center"/>
              <w:rPr>
                <w:b/>
              </w:rPr>
            </w:pPr>
            <w:r w:rsidRPr="00E6052E">
              <w:rPr>
                <w:b/>
              </w:rPr>
              <w:t>Mean (SE)</w:t>
            </w:r>
            <w:r w:rsidR="000E6D1B" w:rsidRPr="00E6052E">
              <w:rPr>
                <w:b/>
                <w:vertAlign w:val="superscript"/>
              </w:rPr>
              <w:t>b</w:t>
            </w:r>
          </w:p>
        </w:tc>
        <w:tc>
          <w:tcPr>
            <w:tcW w:w="1272" w:type="pct"/>
            <w:vAlign w:val="center"/>
          </w:tcPr>
          <w:p w14:paraId="5B19ABA8" w14:textId="1461336F" w:rsidR="00C53B97" w:rsidRPr="00E6052E" w:rsidRDefault="00C53B97" w:rsidP="00C53B97">
            <w:pPr>
              <w:pStyle w:val="TableText0"/>
              <w:jc w:val="center"/>
              <w:rPr>
                <w:b/>
              </w:rPr>
            </w:pPr>
            <w:r w:rsidRPr="00E6052E">
              <w:rPr>
                <w:b/>
              </w:rPr>
              <w:t xml:space="preserve">LSM difference (95% </w:t>
            </w:r>
            <w:proofErr w:type="gramStart"/>
            <w:r w:rsidRPr="00E6052E">
              <w:rPr>
                <w:b/>
              </w:rPr>
              <w:t>CI)</w:t>
            </w:r>
            <w:r w:rsidR="000E6D1B" w:rsidRPr="00E6052E">
              <w:rPr>
                <w:b/>
                <w:vertAlign w:val="superscript"/>
              </w:rPr>
              <w:t>b</w:t>
            </w:r>
            <w:proofErr w:type="gramEnd"/>
          </w:p>
        </w:tc>
      </w:tr>
      <w:tr w:rsidR="00C53B97" w:rsidRPr="00E6052E" w14:paraId="26B12CB2" w14:textId="77777777" w:rsidTr="0039454D">
        <w:trPr>
          <w:cantSplit/>
        </w:trPr>
        <w:tc>
          <w:tcPr>
            <w:tcW w:w="1439" w:type="pct"/>
            <w:vAlign w:val="center"/>
          </w:tcPr>
          <w:p w14:paraId="3AF9ED97" w14:textId="77777777" w:rsidR="00C53B97" w:rsidRPr="00E6052E" w:rsidRDefault="00C53B97" w:rsidP="00C53B97">
            <w:pPr>
              <w:pStyle w:val="TableText0"/>
            </w:pPr>
            <w:r w:rsidRPr="00E6052E">
              <w:t xml:space="preserve">Secukinumab Q2W </w:t>
            </w:r>
          </w:p>
          <w:p w14:paraId="484B2662" w14:textId="211C9C77" w:rsidR="00C53B97" w:rsidRPr="00E6052E" w:rsidRDefault="00C53B97" w:rsidP="00C53B97">
            <w:pPr>
              <w:pStyle w:val="TableText0"/>
            </w:pPr>
            <w:r w:rsidRPr="00E6052E">
              <w:t>Secukinumab Q4W</w:t>
            </w:r>
          </w:p>
        </w:tc>
        <w:tc>
          <w:tcPr>
            <w:tcW w:w="1187" w:type="pct"/>
            <w:vAlign w:val="center"/>
          </w:tcPr>
          <w:p w14:paraId="7D5F0457" w14:textId="77777777" w:rsidR="009D79B1" w:rsidRPr="00E6052E" w:rsidRDefault="009D79B1" w:rsidP="00C53B97">
            <w:pPr>
              <w:pStyle w:val="TableText0"/>
              <w:jc w:val="center"/>
            </w:pPr>
            <w:r w:rsidRPr="00E6052E">
              <w:t>-39.3 (4.43)</w:t>
            </w:r>
          </w:p>
          <w:p w14:paraId="060C514D" w14:textId="2114B851" w:rsidR="00C53B97" w:rsidRPr="00E6052E" w:rsidRDefault="009D79B1" w:rsidP="00C53B97">
            <w:pPr>
              <w:pStyle w:val="TableText0"/>
              <w:jc w:val="center"/>
            </w:pPr>
            <w:r w:rsidRPr="00E6052E">
              <w:t>-45.5 (4.08)</w:t>
            </w:r>
          </w:p>
        </w:tc>
        <w:tc>
          <w:tcPr>
            <w:tcW w:w="1102" w:type="pct"/>
            <w:vAlign w:val="center"/>
          </w:tcPr>
          <w:p w14:paraId="69D7A7B2" w14:textId="77777777" w:rsidR="009D79B1" w:rsidRPr="00E6052E" w:rsidRDefault="009D79B1" w:rsidP="00C53B97">
            <w:pPr>
              <w:pStyle w:val="TableText0"/>
              <w:jc w:val="center"/>
            </w:pPr>
            <w:r w:rsidRPr="00E6052E">
              <w:t>-22.4 (4.84)</w:t>
            </w:r>
          </w:p>
          <w:p w14:paraId="2197A654" w14:textId="4716F5EA" w:rsidR="00C53B97" w:rsidRPr="00E6052E" w:rsidRDefault="009D79B1" w:rsidP="009D79B1">
            <w:pPr>
              <w:pStyle w:val="TableText0"/>
              <w:jc w:val="center"/>
            </w:pPr>
            <w:r w:rsidRPr="00E6052E">
              <w:t>-22.4 (4.84)</w:t>
            </w:r>
          </w:p>
        </w:tc>
        <w:tc>
          <w:tcPr>
            <w:tcW w:w="1272" w:type="pct"/>
            <w:vAlign w:val="center"/>
          </w:tcPr>
          <w:p w14:paraId="0050FE9A" w14:textId="5E158269" w:rsidR="00C53B97" w:rsidRPr="00E6052E" w:rsidRDefault="009D79B1" w:rsidP="00C53B97">
            <w:pPr>
              <w:pStyle w:val="TableText0"/>
              <w:jc w:val="center"/>
              <w:rPr>
                <w:b/>
                <w:bCs w:val="0"/>
              </w:rPr>
            </w:pPr>
            <w:r w:rsidRPr="00E6052E">
              <w:rPr>
                <w:b/>
                <w:bCs w:val="0"/>
              </w:rPr>
              <w:t>−16.33 (−28.79, −3.88)</w:t>
            </w:r>
          </w:p>
          <w:p w14:paraId="51D4B690" w14:textId="30EE1036" w:rsidR="00C53B97" w:rsidRPr="00E6052E" w:rsidRDefault="009D79B1" w:rsidP="00C53B97">
            <w:pPr>
              <w:pStyle w:val="TableText0"/>
              <w:jc w:val="center"/>
              <w:rPr>
                <w:b/>
                <w:bCs w:val="0"/>
              </w:rPr>
            </w:pPr>
            <w:r w:rsidRPr="00E6052E">
              <w:rPr>
                <w:b/>
                <w:bCs w:val="0"/>
              </w:rPr>
              <w:t>−22.94 (−35.24, −10.63)</w:t>
            </w:r>
          </w:p>
        </w:tc>
      </w:tr>
      <w:tr w:rsidR="00FB3D28" w:rsidRPr="00E6052E" w14:paraId="7DAEC9C8" w14:textId="77777777" w:rsidTr="0039454D">
        <w:trPr>
          <w:cantSplit/>
        </w:trPr>
        <w:tc>
          <w:tcPr>
            <w:tcW w:w="5000" w:type="pct"/>
            <w:gridSpan w:val="4"/>
            <w:vAlign w:val="center"/>
          </w:tcPr>
          <w:p w14:paraId="46066072" w14:textId="148B5861" w:rsidR="00FB3D28" w:rsidRPr="00E6052E" w:rsidRDefault="0039454D" w:rsidP="00FB3D28">
            <w:pPr>
              <w:pStyle w:val="TableText0"/>
              <w:rPr>
                <w:b/>
                <w:bCs w:val="0"/>
              </w:rPr>
            </w:pPr>
            <w:r w:rsidRPr="00E6052E">
              <w:rPr>
                <w:b/>
                <w:bCs w:val="0"/>
              </w:rPr>
              <w:t>SUNRISE and SUNSHINE</w:t>
            </w:r>
          </w:p>
        </w:tc>
      </w:tr>
      <w:tr w:rsidR="00FB3D28" w:rsidRPr="00E6052E" w14:paraId="6168C91E" w14:textId="77777777" w:rsidTr="0039454D">
        <w:trPr>
          <w:cantSplit/>
        </w:trPr>
        <w:tc>
          <w:tcPr>
            <w:tcW w:w="5000" w:type="pct"/>
            <w:gridSpan w:val="4"/>
            <w:vAlign w:val="center"/>
          </w:tcPr>
          <w:p w14:paraId="613FA34E" w14:textId="3EEDE3AE" w:rsidR="00FB3D28" w:rsidRPr="00E6052E" w:rsidRDefault="00FB3D28" w:rsidP="00FB3D28">
            <w:pPr>
              <w:pStyle w:val="TableText0"/>
              <w:rPr>
                <w:b/>
                <w:bCs w:val="0"/>
              </w:rPr>
            </w:pPr>
            <w:r w:rsidRPr="00E6052E">
              <w:rPr>
                <w:b/>
                <w:bCs w:val="0"/>
              </w:rPr>
              <w:t>NRS30</w:t>
            </w:r>
            <w:r w:rsidR="000E6D1B" w:rsidRPr="00E6052E">
              <w:rPr>
                <w:vertAlign w:val="superscript"/>
              </w:rPr>
              <w:t>c</w:t>
            </w:r>
          </w:p>
        </w:tc>
      </w:tr>
      <w:tr w:rsidR="00FB3D28" w:rsidRPr="00E6052E" w14:paraId="77240072" w14:textId="77777777" w:rsidTr="0039454D">
        <w:trPr>
          <w:cantSplit/>
        </w:trPr>
        <w:tc>
          <w:tcPr>
            <w:tcW w:w="1439" w:type="pct"/>
            <w:vAlign w:val="center"/>
          </w:tcPr>
          <w:p w14:paraId="755C5454" w14:textId="64EFA30C" w:rsidR="00FB3D28" w:rsidRPr="00E6052E" w:rsidRDefault="00FB3D28" w:rsidP="00FB3D28">
            <w:pPr>
              <w:pStyle w:val="TableText0"/>
            </w:pPr>
            <w:r w:rsidRPr="00E6052E">
              <w:t>Secukinumab Q2W Secukinumab Q4W</w:t>
            </w:r>
          </w:p>
        </w:tc>
        <w:tc>
          <w:tcPr>
            <w:tcW w:w="1187" w:type="pct"/>
            <w:vAlign w:val="center"/>
          </w:tcPr>
          <w:p w14:paraId="584EE30B" w14:textId="77777777" w:rsidR="00FB3D28" w:rsidRPr="00E6052E" w:rsidRDefault="00FB3D28" w:rsidP="00FB3D28">
            <w:pPr>
              <w:pStyle w:val="TableText0"/>
              <w:jc w:val="center"/>
            </w:pPr>
            <w:r w:rsidRPr="00E6052E">
              <w:t>90.8/233 (38.9)</w:t>
            </w:r>
          </w:p>
          <w:p w14:paraId="721C22A8" w14:textId="6568F51C" w:rsidR="00FB3D28" w:rsidRPr="00E6052E" w:rsidRDefault="00FB3D28" w:rsidP="00FB3D28">
            <w:pPr>
              <w:pStyle w:val="TableText0"/>
              <w:jc w:val="center"/>
            </w:pPr>
            <w:r w:rsidRPr="00E6052E">
              <w:t>79.4/222 (35.8)</w:t>
            </w:r>
          </w:p>
        </w:tc>
        <w:tc>
          <w:tcPr>
            <w:tcW w:w="1102" w:type="pct"/>
            <w:vAlign w:val="center"/>
          </w:tcPr>
          <w:p w14:paraId="06902464" w14:textId="77777777" w:rsidR="00FB3D28" w:rsidRPr="00E6052E" w:rsidRDefault="00FB3D28" w:rsidP="00FB3D28">
            <w:pPr>
              <w:pStyle w:val="TableText0"/>
              <w:jc w:val="center"/>
            </w:pPr>
            <w:r w:rsidRPr="00E6052E">
              <w:t>61.9/230 (26.9)</w:t>
            </w:r>
          </w:p>
          <w:p w14:paraId="3C6A88E2" w14:textId="62D0D569" w:rsidR="00FB3D28" w:rsidRPr="00E6052E" w:rsidRDefault="00FB3D28" w:rsidP="00FB3D28">
            <w:pPr>
              <w:pStyle w:val="TableText0"/>
              <w:jc w:val="center"/>
            </w:pPr>
            <w:r w:rsidRPr="00E6052E">
              <w:t>61.9/230 (26.9)</w:t>
            </w:r>
          </w:p>
        </w:tc>
        <w:tc>
          <w:tcPr>
            <w:tcW w:w="1272" w:type="pct"/>
            <w:vAlign w:val="center"/>
          </w:tcPr>
          <w:p w14:paraId="0098091F" w14:textId="77777777" w:rsidR="00FB3D28" w:rsidRPr="00E6052E" w:rsidRDefault="00FB3D28" w:rsidP="00FB3D28">
            <w:pPr>
              <w:pStyle w:val="TableText0"/>
              <w:jc w:val="center"/>
              <w:rPr>
                <w:b/>
                <w:bCs w:val="0"/>
              </w:rPr>
            </w:pPr>
            <w:r w:rsidRPr="00E6052E">
              <w:rPr>
                <w:b/>
                <w:bCs w:val="0"/>
              </w:rPr>
              <w:t>1.80 (1.18, 2.74)</w:t>
            </w:r>
          </w:p>
          <w:p w14:paraId="5E1217B2" w14:textId="63A293EC" w:rsidR="00FB3D28" w:rsidRPr="00E6052E" w:rsidRDefault="00FB3D28" w:rsidP="00FB3D28">
            <w:pPr>
              <w:pStyle w:val="TableText0"/>
              <w:jc w:val="center"/>
              <w:rPr>
                <w:b/>
                <w:bCs w:val="0"/>
              </w:rPr>
            </w:pPr>
            <w:r w:rsidRPr="00E6052E">
              <w:t>1.54 (1.00, 2.38)</w:t>
            </w:r>
          </w:p>
        </w:tc>
      </w:tr>
    </w:tbl>
    <w:p w14:paraId="0068522A" w14:textId="3E827A83" w:rsidR="00CE08B8" w:rsidRDefault="00760C4E" w:rsidP="00CE08B8">
      <w:pPr>
        <w:pStyle w:val="FooterTableFigure"/>
      </w:pPr>
      <w:r>
        <w:t xml:space="preserve">Source: </w:t>
      </w:r>
      <w:r w:rsidR="00CE08B8">
        <w:rPr>
          <w:iCs/>
        </w:rPr>
        <w:t>Table 2.30, p 92 of the submission</w:t>
      </w:r>
      <w:r>
        <w:t>.</w:t>
      </w:r>
    </w:p>
    <w:p w14:paraId="3DCC19DA" w14:textId="6EF3E17B" w:rsidR="00CE08B8" w:rsidRPr="002C6DCC" w:rsidRDefault="00CE08B8" w:rsidP="00CE08B8">
      <w:pPr>
        <w:pStyle w:val="FooterTableFigure"/>
        <w:rPr>
          <w:iCs/>
        </w:rPr>
      </w:pPr>
      <w:r w:rsidRPr="00C0430A">
        <w:t>AN</w:t>
      </w:r>
      <w:r>
        <w:t>=</w:t>
      </w:r>
      <w:r w:rsidRPr="00C0430A">
        <w:t xml:space="preserve"> abscess and inflammatory nodule; CI</w:t>
      </w:r>
      <w:r>
        <w:t>=</w:t>
      </w:r>
      <w:r w:rsidRPr="00C0430A">
        <w:t xml:space="preserve"> confidence interval; HiSCR</w:t>
      </w:r>
      <w:r>
        <w:t>50 =</w:t>
      </w:r>
      <w:r w:rsidRPr="00C0430A">
        <w:t xml:space="preserve"> hidradenitis suppurativa clinical response</w:t>
      </w:r>
      <w:r>
        <w:t xml:space="preserve"> of at least 50%</w:t>
      </w:r>
      <w:r w:rsidRPr="00C0430A">
        <w:t>; LSM</w:t>
      </w:r>
      <w:r>
        <w:t>=</w:t>
      </w:r>
      <w:r w:rsidRPr="00C0430A">
        <w:t xml:space="preserve"> least squares mean; </w:t>
      </w:r>
      <w:r>
        <w:t>m= number of subjects evaluable</w:t>
      </w:r>
      <w:r w:rsidR="00C66FEB">
        <w:t xml:space="preserve"> through multiple imputations</w:t>
      </w:r>
      <w:r>
        <w:t>; n=</w:t>
      </w:r>
      <w:r w:rsidRPr="00C0430A">
        <w:t xml:space="preserve"> number of </w:t>
      </w:r>
      <w:r>
        <w:t>subject</w:t>
      </w:r>
      <w:r w:rsidRPr="00C0430A">
        <w:t>s in group; NRS</w:t>
      </w:r>
      <w:r>
        <w:t>=</w:t>
      </w:r>
      <w:r w:rsidRPr="00C0430A">
        <w:t xml:space="preserve"> numeric rating scale; OR</w:t>
      </w:r>
      <w:r>
        <w:t>=</w:t>
      </w:r>
      <w:r w:rsidRPr="00C0430A">
        <w:t xml:space="preserve"> odds ratio; </w:t>
      </w:r>
      <w:r>
        <w:t>Q2W =</w:t>
      </w:r>
      <w:r w:rsidRPr="00C0430A">
        <w:t xml:space="preserve"> </w:t>
      </w:r>
      <w:r>
        <w:t>once</w:t>
      </w:r>
      <w:r w:rsidRPr="00C0430A">
        <w:t xml:space="preserve"> every 2 weeks; </w:t>
      </w:r>
      <w:r>
        <w:t>Q4W =</w:t>
      </w:r>
      <w:r w:rsidRPr="00C0430A">
        <w:t xml:space="preserve"> </w:t>
      </w:r>
      <w:r>
        <w:t>once</w:t>
      </w:r>
      <w:r w:rsidRPr="00C0430A">
        <w:t xml:space="preserve"> every 4 weeks; </w:t>
      </w:r>
      <w:r>
        <w:t>SE=standard error</w:t>
      </w:r>
      <w:r w:rsidRPr="002C6DCC">
        <w:rPr>
          <w:rFonts w:cs="Calibri"/>
        </w:rPr>
        <w:t>.</w:t>
      </w:r>
    </w:p>
    <w:p w14:paraId="74F44B3E" w14:textId="77777777" w:rsidR="000E6D1B" w:rsidRPr="00DB6641" w:rsidRDefault="000E6D1B" w:rsidP="000E6D1B">
      <w:pPr>
        <w:pStyle w:val="FooterTableFigure"/>
      </w:pPr>
      <w:r w:rsidRPr="000E6D1B">
        <w:rPr>
          <w:vertAlign w:val="superscript"/>
        </w:rPr>
        <w:t>a</w:t>
      </w:r>
      <w:r>
        <w:t xml:space="preserve"> Placebo Q2W and Q4W arms were pooled together for the primary analyses.</w:t>
      </w:r>
    </w:p>
    <w:p w14:paraId="687385B2" w14:textId="4703B99B" w:rsidR="00CE08B8" w:rsidRDefault="000E6D1B" w:rsidP="00D86231">
      <w:pPr>
        <w:pStyle w:val="FooterTableFigure"/>
      </w:pPr>
      <w:r w:rsidRPr="000E6D1B">
        <w:rPr>
          <w:rFonts w:eastAsia="Calibri"/>
          <w:vertAlign w:val="superscript"/>
        </w:rPr>
        <w:t>b</w:t>
      </w:r>
      <w:r w:rsidR="00CE08B8">
        <w:rPr>
          <w:rFonts w:eastAsia="Calibri"/>
        </w:rPr>
        <w:t xml:space="preserve"> </w:t>
      </w:r>
      <w:r w:rsidR="00FB3D28">
        <w:t>The m</w:t>
      </w:r>
      <w:r w:rsidR="00FB3D28" w:rsidRPr="008E083C">
        <w:t>ean is the pooled mean over 100 imputations. SE is the pooled standard error over 100 imputations</w:t>
      </w:r>
      <w:r w:rsidR="00FB3D28">
        <w:t>. Covariates included in the model: treatment group, geographical region, Hurley stage, use of antibiotic, baseline body weight and baseline AN count.</w:t>
      </w:r>
    </w:p>
    <w:p w14:paraId="70B5B53E" w14:textId="48DACF2C" w:rsidR="00634EF7" w:rsidRDefault="000E6D1B" w:rsidP="00D86231">
      <w:pPr>
        <w:pStyle w:val="FooterTableFigure"/>
      </w:pPr>
      <w:r w:rsidRPr="000E6D1B">
        <w:rPr>
          <w:vertAlign w:val="superscript"/>
        </w:rPr>
        <w:t>c</w:t>
      </w:r>
      <w:r w:rsidR="00F005A5">
        <w:t xml:space="preserve"> </w:t>
      </w:r>
      <w:r w:rsidR="00FB3D28">
        <w:rPr>
          <w:rFonts w:eastAsia="Calibri"/>
        </w:rPr>
        <w:t xml:space="preserve">NRS30 </w:t>
      </w:r>
      <w:r w:rsidR="00FB3D28" w:rsidRPr="00C0430A">
        <w:t>data pooled from both SUNSHINE and SUNRISE</w:t>
      </w:r>
      <w:r w:rsidR="00FB3D28">
        <w:t xml:space="preserve">, defined as at least 30% reduction and at least </w:t>
      </w:r>
      <w:proofErr w:type="gramStart"/>
      <w:r w:rsidR="00FB3D28">
        <w:t>2 unit</w:t>
      </w:r>
      <w:proofErr w:type="gramEnd"/>
      <w:r w:rsidR="00FB3D28">
        <w:t xml:space="preserve"> reduction from baseline</w:t>
      </w:r>
      <w:r w:rsidR="00634EF7">
        <w:t>.</w:t>
      </w:r>
    </w:p>
    <w:p w14:paraId="124F724F" w14:textId="419E5087" w:rsidR="00EC57BE" w:rsidRDefault="00EC57BE" w:rsidP="00D86231">
      <w:pPr>
        <w:pStyle w:val="FooterTableFigure"/>
      </w:pPr>
      <w:r>
        <w:rPr>
          <w:vertAlign w:val="superscript"/>
        </w:rPr>
        <w:t>d</w:t>
      </w:r>
      <w:r>
        <w:t xml:space="preserve"> This result had a p = </w:t>
      </w:r>
      <w:r w:rsidRPr="00EC57BE">
        <w:t>0.0418</w:t>
      </w:r>
      <w:r>
        <w:t>, which was not significant due to the hierarchical design of the trial.</w:t>
      </w:r>
    </w:p>
    <w:p w14:paraId="0C1C5D57" w14:textId="18D17AAB" w:rsidR="00614B68" w:rsidRDefault="004647B1" w:rsidP="00585D9E">
      <w:pPr>
        <w:pStyle w:val="FooterTableFigure"/>
      </w:pPr>
      <w:r w:rsidRPr="0021576F">
        <w:rPr>
          <w:b/>
          <w:bCs/>
        </w:rPr>
        <w:t>Bold</w:t>
      </w:r>
      <w:r>
        <w:t xml:space="preserve"> indicates </w:t>
      </w:r>
      <w:r w:rsidR="0021576F">
        <w:t>a statistically significant result.</w:t>
      </w:r>
    </w:p>
    <w:p w14:paraId="568F9A90" w14:textId="53653F50" w:rsidR="00A90DE1" w:rsidRPr="00A90DE1" w:rsidRDefault="00A90DE1" w:rsidP="007E1C14">
      <w:pPr>
        <w:pStyle w:val="3-BodyText"/>
      </w:pPr>
      <w:r w:rsidRPr="00A700C2">
        <w:t xml:space="preserve">In the SUNSHINE trial, the </w:t>
      </w:r>
      <w:r>
        <w:t>secukinumab</w:t>
      </w:r>
      <w:r w:rsidRPr="00A700C2">
        <w:t xml:space="preserve"> Q2W arm achieved a statistically significant difference compared to placebo in terms of HiSCR50, AN count and flares, with the Q4W arm demonstrating a numeric superiority which did not reach statistical significance. In SUNRISE, both arms achieved a statistically significant difference compared to placebo in terms of HiSCR50 and AN count, but only the Q4W arm demonstrated a statistically significant difference in terms of flares. Improvements in the NRS30 included data pooled from both SUNSHINE and </w:t>
      </w:r>
      <w:proofErr w:type="gramStart"/>
      <w:r w:rsidRPr="00A700C2">
        <w:t>SUNRISE, and</w:t>
      </w:r>
      <w:proofErr w:type="gramEnd"/>
      <w:r w:rsidRPr="00A700C2">
        <w:t xml:space="preserve"> was only statistically significant in the Q2W arm.</w:t>
      </w:r>
    </w:p>
    <w:p w14:paraId="2517FD9A" w14:textId="300B7A88" w:rsidR="006C6284" w:rsidRDefault="006C6284" w:rsidP="007E1C14">
      <w:pPr>
        <w:pStyle w:val="3-BodyText"/>
      </w:pPr>
      <w:bookmarkStart w:id="22" w:name="_Ref134695877"/>
      <w:r w:rsidRPr="005E2E87">
        <w:t xml:space="preserve">The SUNRISE and SUNSHINE trials did not record how many different antibiotics were used, nor whether patients had a successful response to prior antibiotics or biologic </w:t>
      </w:r>
      <w:r w:rsidRPr="005E2E87">
        <w:lastRenderedPageBreak/>
        <w:t xml:space="preserve">therapies (such as </w:t>
      </w:r>
      <w:r w:rsidR="005762D0" w:rsidRPr="005E2E87">
        <w:t>adalimumab</w:t>
      </w:r>
      <w:r w:rsidRPr="005E2E87">
        <w:t xml:space="preserve"> or infliximab), which may confound the efficacy data. In the key</w:t>
      </w:r>
      <w:r w:rsidR="008276D6">
        <w:t xml:space="preserve"> secukinumab</w:t>
      </w:r>
      <w:r w:rsidRPr="005E2E87">
        <w:t xml:space="preserve"> trials, patients were stratified by whether they had at least one course of prior antibiotics </w:t>
      </w:r>
      <w:r w:rsidR="00EC2C60" w:rsidRPr="005E2E87">
        <w:t>(</w:t>
      </w:r>
      <w:r w:rsidRPr="005E2E87">
        <w:t>regardless of response</w:t>
      </w:r>
      <w:r w:rsidR="00EC2C60" w:rsidRPr="005E2E87">
        <w:t>)</w:t>
      </w:r>
      <w:r w:rsidRPr="005E2E87">
        <w:t xml:space="preserve">; approximately 81% to 84% had at least one prior antibiotic course, and 20% to 26% had prior biologic therapies. These confounders may explain some of the heterogeneity observed </w:t>
      </w:r>
      <w:r w:rsidR="005F2EF3" w:rsidRPr="005E2E87">
        <w:t xml:space="preserve">between </w:t>
      </w:r>
      <w:r w:rsidRPr="005E2E87">
        <w:t xml:space="preserve">the key </w:t>
      </w:r>
      <w:r w:rsidR="008D4883" w:rsidRPr="005E2E87">
        <w:t>secukinumab</w:t>
      </w:r>
      <w:r w:rsidRPr="005E2E87">
        <w:t xml:space="preserve"> trials, where HiSCR50 response rates in the </w:t>
      </w:r>
      <w:r w:rsidR="00576EED">
        <w:t>individual trial</w:t>
      </w:r>
      <w:r w:rsidR="00143745" w:rsidRPr="005E2E87">
        <w:t xml:space="preserve"> </w:t>
      </w:r>
      <w:r w:rsidRPr="005E2E87">
        <w:t xml:space="preserve">placebo arms varied from 30.4% to 37.2%, compared to the </w:t>
      </w:r>
      <w:r w:rsidR="00936966" w:rsidRPr="005E2E87">
        <w:t xml:space="preserve">more homogenous population of the </w:t>
      </w:r>
      <w:r w:rsidR="005762D0" w:rsidRPr="005E2E87">
        <w:t>adalimumab</w:t>
      </w:r>
      <w:r w:rsidRPr="005E2E87">
        <w:t xml:space="preserve"> M10-467 and PIONEER trials, where </w:t>
      </w:r>
      <w:r w:rsidR="001B6CF0" w:rsidRPr="005E2E87">
        <w:t xml:space="preserve">inter-trial </w:t>
      </w:r>
      <w:r w:rsidRPr="005E2E87">
        <w:t xml:space="preserve">placebo response rates </w:t>
      </w:r>
      <w:r w:rsidR="00BB73CE" w:rsidRPr="005E2E87">
        <w:t xml:space="preserve">only </w:t>
      </w:r>
      <w:r w:rsidRPr="005E2E87">
        <w:t>varied from 25.6% to 27.6%.</w:t>
      </w:r>
      <w:bookmarkEnd w:id="22"/>
      <w:r w:rsidR="00E5159D">
        <w:t xml:space="preserve"> </w:t>
      </w:r>
    </w:p>
    <w:p w14:paraId="3CED6745" w14:textId="5EC85B39" w:rsidR="008276D6" w:rsidRPr="00A304A7" w:rsidRDefault="00E5159D" w:rsidP="007E1C14">
      <w:pPr>
        <w:pStyle w:val="3-BodyText"/>
      </w:pPr>
      <w:bookmarkStart w:id="23" w:name="_Ref141946360"/>
      <w:r w:rsidRPr="00A304A7">
        <w:t xml:space="preserve">The PSCR acknowledged prior failure of antibiotics was not a requirement to enter the pivotal secukinumab studies, however stated it was expected </w:t>
      </w:r>
      <w:proofErr w:type="gramStart"/>
      <w:r w:rsidRPr="00A304A7">
        <w:t>the majority of</w:t>
      </w:r>
      <w:proofErr w:type="gramEnd"/>
      <w:r w:rsidRPr="00A304A7">
        <w:t xml:space="preserve"> patients entering the study would have previously received systemic antibiotics at least during the period since diagnosis (</w:t>
      </w:r>
      <w:r w:rsidRPr="00A304A7">
        <w:rPr>
          <w:rFonts w:cstheme="minorHAnsi"/>
        </w:rPr>
        <w:t>≥</w:t>
      </w:r>
      <w:r w:rsidR="00585D9E">
        <w:rPr>
          <w:rFonts w:cstheme="minorHAnsi"/>
        </w:rPr>
        <w:t> </w:t>
      </w:r>
      <w:r w:rsidRPr="00A304A7">
        <w:t>1 year). The PSCR also stated more than 80% of the studied population had prior exposure to systemic antibiotics, with ~60% discontinuing due to lack of efficacy, and ~10-13% due to lack of tolerability; in terms of prior biologic use, the PSCR reiterated 20</w:t>
      </w:r>
      <w:r w:rsidRPr="00A304A7">
        <w:noBreakHyphen/>
        <w:t>26% of patients in the pivotal studies had prior biologic therapy. The ESC considered this clarification was informative and provided some confidence</w:t>
      </w:r>
      <w:r w:rsidR="00F33F1A" w:rsidRPr="00A304A7">
        <w:t xml:space="preserve"> the secukinumab trial</w:t>
      </w:r>
      <w:r w:rsidRPr="00A304A7">
        <w:t xml:space="preserve"> </w:t>
      </w:r>
      <w:r w:rsidR="00F33F1A" w:rsidRPr="00A304A7">
        <w:t>population(s) may be generalisable to the PBS population, and therefore the observed trial results (versus placebo) may be applicable to the requested listing.</w:t>
      </w:r>
      <w:bookmarkEnd w:id="23"/>
      <w:r w:rsidR="00F33F1A" w:rsidRPr="00A304A7">
        <w:t xml:space="preserve"> </w:t>
      </w:r>
    </w:p>
    <w:p w14:paraId="5E5A1371" w14:textId="1C589C95" w:rsidR="00760462" w:rsidRPr="00760462" w:rsidRDefault="501CF2E9" w:rsidP="007E1C14">
      <w:pPr>
        <w:pStyle w:val="3-BodyText"/>
      </w:pPr>
      <w:r w:rsidRPr="00F43524">
        <w:t xml:space="preserve">The HiSCR50 response </w:t>
      </w:r>
      <w:r w:rsidR="00C933FE" w:rsidRPr="00F43524">
        <w:t>rates were</w:t>
      </w:r>
      <w:r w:rsidR="769910CF" w:rsidRPr="00F43524">
        <w:t xml:space="preserve"> </w:t>
      </w:r>
      <w:r w:rsidR="00E06C15">
        <w:t>presented for</w:t>
      </w:r>
      <w:r w:rsidR="769910CF" w:rsidRPr="00F43524">
        <w:t xml:space="preserve"> the open label extension (OLE) up to Week 52</w:t>
      </w:r>
      <w:r w:rsidR="00C933FE" w:rsidRPr="00F43524">
        <w:t>.</w:t>
      </w:r>
      <w:r w:rsidR="00C933FE">
        <w:rPr>
          <w:i/>
          <w:iCs/>
        </w:rPr>
        <w:t xml:space="preserve"> </w:t>
      </w:r>
      <w:r w:rsidR="00C933FE" w:rsidRPr="00A80FE8">
        <w:t xml:space="preserve">The submission claimed </w:t>
      </w:r>
      <w:r w:rsidR="007833A7" w:rsidRPr="00A80FE8">
        <w:t xml:space="preserve">that approximately 75% to 80% of patients </w:t>
      </w:r>
      <w:r w:rsidR="00DD0D4C" w:rsidRPr="00A80FE8">
        <w:t>who</w:t>
      </w:r>
      <w:r w:rsidR="007833A7" w:rsidRPr="00A80FE8">
        <w:t xml:space="preserve"> </w:t>
      </w:r>
      <w:r w:rsidR="00A80FE8" w:rsidRPr="00A80FE8">
        <w:t>achieved a HiSCR50 response at Week 16 maintained the response at Week 52.</w:t>
      </w:r>
      <w:r w:rsidR="00A80FE8" w:rsidRPr="005E2E87">
        <w:rPr>
          <w:iCs/>
        </w:rPr>
        <w:t xml:space="preserve"> This </w:t>
      </w:r>
      <w:r w:rsidR="00F03E35" w:rsidRPr="005E2E87">
        <w:rPr>
          <w:iCs/>
        </w:rPr>
        <w:t xml:space="preserve">interpretation was </w:t>
      </w:r>
      <w:r w:rsidR="005E2EA3" w:rsidRPr="005E2E87">
        <w:rPr>
          <w:iCs/>
        </w:rPr>
        <w:t>vulnerable to</w:t>
      </w:r>
      <w:r w:rsidR="00F03E35" w:rsidRPr="005E2E87">
        <w:rPr>
          <w:iCs/>
        </w:rPr>
        <w:t xml:space="preserve"> survivorship bias</w:t>
      </w:r>
      <w:r w:rsidR="0053512C" w:rsidRPr="005E2E87">
        <w:rPr>
          <w:rStyle w:val="FootnoteReference"/>
          <w:iCs/>
        </w:rPr>
        <w:footnoteReference w:id="3"/>
      </w:r>
      <w:r w:rsidR="00F03E35" w:rsidRPr="005E2E87">
        <w:rPr>
          <w:iCs/>
        </w:rPr>
        <w:t xml:space="preserve">, as it </w:t>
      </w:r>
      <w:r w:rsidR="00760462" w:rsidRPr="005E2E87">
        <w:rPr>
          <w:iCs/>
        </w:rPr>
        <w:t>examined</w:t>
      </w:r>
      <w:r w:rsidR="00F03E35" w:rsidRPr="005E2E87">
        <w:rPr>
          <w:iCs/>
        </w:rPr>
        <w:t xml:space="preserve"> only the subset of the Week 16 responders who continued treatment up to Week 52</w:t>
      </w:r>
      <w:r w:rsidR="00760462" w:rsidRPr="005E2E87">
        <w:rPr>
          <w:iCs/>
        </w:rPr>
        <w:t xml:space="preserve">, demonstrated in </w:t>
      </w:r>
      <w:r w:rsidR="002A328D" w:rsidRPr="005E2E87">
        <w:rPr>
          <w:iCs/>
        </w:rPr>
        <w:fldChar w:fldCharType="begin" w:fldLock="1"/>
      </w:r>
      <w:r w:rsidR="002A328D" w:rsidRPr="005E2E87">
        <w:rPr>
          <w:iCs/>
        </w:rPr>
        <w:instrText xml:space="preserve"> REF _Ref134446184 \h  \* MERGEFORMAT </w:instrText>
      </w:r>
      <w:r w:rsidR="002A328D" w:rsidRPr="005E2E87">
        <w:rPr>
          <w:iCs/>
        </w:rPr>
      </w:r>
      <w:r w:rsidR="002A328D" w:rsidRPr="005E2E87">
        <w:rPr>
          <w:iCs/>
        </w:rPr>
        <w:fldChar w:fldCharType="separate"/>
      </w:r>
      <w:r w:rsidR="000F75DF" w:rsidRPr="000F75DF">
        <w:rPr>
          <w:iCs/>
        </w:rPr>
        <w:t xml:space="preserve">Table </w:t>
      </w:r>
      <w:r w:rsidR="000F75DF" w:rsidRPr="000F75DF">
        <w:rPr>
          <w:iCs/>
          <w:noProof/>
        </w:rPr>
        <w:t>5</w:t>
      </w:r>
      <w:r w:rsidR="002A328D" w:rsidRPr="005E2E87">
        <w:rPr>
          <w:iCs/>
        </w:rPr>
        <w:fldChar w:fldCharType="end"/>
      </w:r>
      <w:r w:rsidR="002A328D" w:rsidRPr="005E2E87">
        <w:rPr>
          <w:iCs/>
        </w:rPr>
        <w:t xml:space="preserve"> </w:t>
      </w:r>
      <w:r w:rsidR="00760462" w:rsidRPr="005E2E87">
        <w:rPr>
          <w:iCs/>
        </w:rPr>
        <w:t>below.</w:t>
      </w:r>
      <w:r w:rsidR="008E2DEC" w:rsidRPr="005E2E87">
        <w:rPr>
          <w:iCs/>
        </w:rPr>
        <w:t xml:space="preserve"> A more appropriate inter</w:t>
      </w:r>
      <w:r w:rsidR="00CD50E3" w:rsidRPr="005E2E87">
        <w:rPr>
          <w:iCs/>
        </w:rPr>
        <w:t xml:space="preserve">pretation is to consider the proportion of </w:t>
      </w:r>
      <w:r w:rsidR="00D5622C" w:rsidRPr="005E2E87">
        <w:rPr>
          <w:iCs/>
        </w:rPr>
        <w:t>responders at Week 5</w:t>
      </w:r>
      <w:r w:rsidR="00365ECC" w:rsidRPr="005E2E87">
        <w:rPr>
          <w:iCs/>
        </w:rPr>
        <w:t>2</w:t>
      </w:r>
      <w:r w:rsidR="00D5622C" w:rsidRPr="005E2E87">
        <w:rPr>
          <w:iCs/>
        </w:rPr>
        <w:t xml:space="preserve"> </w:t>
      </w:r>
      <w:r w:rsidR="00EA4681" w:rsidRPr="005E2E87">
        <w:rPr>
          <w:iCs/>
        </w:rPr>
        <w:t>as a subset of patients who demonstrated a response at Week 16 (bottom two rows of the table</w:t>
      </w:r>
      <w:r w:rsidR="00AE6E43" w:rsidRPr="005E2E87">
        <w:rPr>
          <w:iCs/>
        </w:rPr>
        <w:t xml:space="preserve"> below</w:t>
      </w:r>
      <w:r w:rsidR="00EA4681" w:rsidRPr="005E2E87">
        <w:rPr>
          <w:iCs/>
        </w:rPr>
        <w:t>).</w:t>
      </w:r>
      <w:r w:rsidR="008949A8" w:rsidRPr="005E2E87">
        <w:rPr>
          <w:iCs/>
        </w:rPr>
        <w:t xml:space="preserve"> </w:t>
      </w:r>
      <w:r w:rsidR="00A2583A" w:rsidRPr="005E2E87">
        <w:rPr>
          <w:iCs/>
        </w:rPr>
        <w:t>Further, the results indicate a HiSCR50 response at two discrete time points, and do not consider how many patients may have transiently lost their HiSCR50 response and regained it by Week 52</w:t>
      </w:r>
      <w:r w:rsidR="007A4BC6" w:rsidRPr="005E2E87">
        <w:rPr>
          <w:iCs/>
        </w:rPr>
        <w:t>; under the proposed PBS restriction, if patients lose the</w:t>
      </w:r>
      <w:r w:rsidR="005B304C" w:rsidRPr="005E2E87">
        <w:rPr>
          <w:iCs/>
        </w:rPr>
        <w:t>ir</w:t>
      </w:r>
      <w:r w:rsidR="007A4BC6" w:rsidRPr="005E2E87">
        <w:rPr>
          <w:iCs/>
        </w:rPr>
        <w:t xml:space="preserve"> HiSCR50 response, </w:t>
      </w:r>
      <w:r w:rsidR="00057D6E" w:rsidRPr="005E2E87">
        <w:rPr>
          <w:iCs/>
        </w:rPr>
        <w:t>secukinumab</w:t>
      </w:r>
      <w:r w:rsidR="007A4BC6" w:rsidRPr="005E2E87">
        <w:rPr>
          <w:iCs/>
        </w:rPr>
        <w:t xml:space="preserve"> </w:t>
      </w:r>
      <w:r w:rsidR="00F36FA6" w:rsidRPr="005E2E87">
        <w:rPr>
          <w:iCs/>
        </w:rPr>
        <w:t xml:space="preserve">therapy would be </w:t>
      </w:r>
      <w:r w:rsidR="00433DC9" w:rsidRPr="005E2E87">
        <w:rPr>
          <w:iCs/>
        </w:rPr>
        <w:t>dis</w:t>
      </w:r>
      <w:r w:rsidR="00F36FA6" w:rsidRPr="005E2E87">
        <w:rPr>
          <w:iCs/>
        </w:rPr>
        <w:t>continued</w:t>
      </w:r>
      <w:r w:rsidR="007A4BC6" w:rsidRPr="005E2E87">
        <w:rPr>
          <w:iCs/>
        </w:rPr>
        <w:t>.</w:t>
      </w:r>
    </w:p>
    <w:p w14:paraId="63A4CFED" w14:textId="44C4E28A" w:rsidR="00760462" w:rsidRDefault="002A328D" w:rsidP="005646F7">
      <w:pPr>
        <w:pStyle w:val="Caption"/>
      </w:pPr>
      <w:bookmarkStart w:id="24" w:name="_Ref134446184"/>
      <w:r>
        <w:lastRenderedPageBreak/>
        <w:t xml:space="preserve">Table </w:t>
      </w:r>
      <w:r>
        <w:fldChar w:fldCharType="begin" w:fldLock="1"/>
      </w:r>
      <w:r>
        <w:instrText>SEQ Table \* ARABIC</w:instrText>
      </w:r>
      <w:r>
        <w:fldChar w:fldCharType="separate"/>
      </w:r>
      <w:r w:rsidR="000F75DF">
        <w:rPr>
          <w:noProof/>
        </w:rPr>
        <w:t>5</w:t>
      </w:r>
      <w:r>
        <w:fldChar w:fldCharType="end"/>
      </w:r>
      <w:bookmarkEnd w:id="24"/>
      <w:r>
        <w:t xml:space="preserve">: </w:t>
      </w:r>
      <w:r w:rsidRPr="009E6D66">
        <w:t>Percentage of Week 16 HiSCR50 responders who were in response at Week 52</w:t>
      </w:r>
    </w:p>
    <w:tbl>
      <w:tblPr>
        <w:tblStyle w:val="TableGrid"/>
        <w:tblW w:w="5000" w:type="pct"/>
        <w:tblLook w:val="04A0" w:firstRow="1" w:lastRow="0" w:firstColumn="1" w:lastColumn="0" w:noHBand="0" w:noVBand="1"/>
      </w:tblPr>
      <w:tblGrid>
        <w:gridCol w:w="2148"/>
        <w:gridCol w:w="3434"/>
        <w:gridCol w:w="3435"/>
      </w:tblGrid>
      <w:tr w:rsidR="00760462" w:rsidRPr="005E2E87" w14:paraId="162D7E52" w14:textId="77777777" w:rsidTr="000D0489">
        <w:trPr>
          <w:trHeight w:val="170"/>
        </w:trPr>
        <w:tc>
          <w:tcPr>
            <w:tcW w:w="1191" w:type="pct"/>
          </w:tcPr>
          <w:p w14:paraId="06F03BCF" w14:textId="77777777" w:rsidR="00760462" w:rsidRPr="005E2E87" w:rsidRDefault="00760462" w:rsidP="005646F7">
            <w:pPr>
              <w:pStyle w:val="PBACTableText"/>
              <w:keepNext/>
              <w:spacing w:before="0" w:after="0"/>
              <w:rPr>
                <w:b/>
              </w:rPr>
            </w:pPr>
          </w:p>
        </w:tc>
        <w:tc>
          <w:tcPr>
            <w:tcW w:w="1904" w:type="pct"/>
            <w:vAlign w:val="center"/>
          </w:tcPr>
          <w:p w14:paraId="49332AAC" w14:textId="27861E20" w:rsidR="00760462" w:rsidRPr="005E2E87" w:rsidRDefault="0034496B" w:rsidP="005646F7">
            <w:pPr>
              <w:pStyle w:val="PBACTableText"/>
              <w:keepNext/>
              <w:spacing w:before="0" w:after="0"/>
              <w:jc w:val="center"/>
              <w:rPr>
                <w:b/>
              </w:rPr>
            </w:pPr>
            <w:r w:rsidRPr="005E2E87">
              <w:rPr>
                <w:b/>
              </w:rPr>
              <w:t>S</w:t>
            </w:r>
            <w:r w:rsidR="008D4883" w:rsidRPr="005E2E87">
              <w:rPr>
                <w:b/>
              </w:rPr>
              <w:t>ecukinumab</w:t>
            </w:r>
            <w:r w:rsidR="00760462" w:rsidRPr="005E2E87">
              <w:rPr>
                <w:b/>
              </w:rPr>
              <w:t xml:space="preserve"> Q2W</w:t>
            </w:r>
          </w:p>
          <w:p w14:paraId="495CF855" w14:textId="261A5939" w:rsidR="00760462" w:rsidRPr="005E2E87" w:rsidRDefault="00760462" w:rsidP="005646F7">
            <w:pPr>
              <w:pStyle w:val="PBACTableText"/>
              <w:keepNext/>
              <w:spacing w:before="0" w:after="0"/>
              <w:jc w:val="center"/>
              <w:rPr>
                <w:b/>
              </w:rPr>
            </w:pPr>
            <w:r w:rsidRPr="005E2E87">
              <w:rPr>
                <w:b/>
              </w:rPr>
              <w:t>n/M (%)</w:t>
            </w:r>
          </w:p>
        </w:tc>
        <w:tc>
          <w:tcPr>
            <w:tcW w:w="1904" w:type="pct"/>
            <w:vAlign w:val="center"/>
          </w:tcPr>
          <w:p w14:paraId="0EAFB218" w14:textId="5BDDB9D8" w:rsidR="00760462" w:rsidRPr="005E2E87" w:rsidRDefault="0034496B" w:rsidP="005646F7">
            <w:pPr>
              <w:pStyle w:val="PBACTableText"/>
              <w:keepNext/>
              <w:spacing w:before="0" w:after="0"/>
              <w:jc w:val="center"/>
              <w:rPr>
                <w:b/>
              </w:rPr>
            </w:pPr>
            <w:r w:rsidRPr="005E2E87">
              <w:rPr>
                <w:b/>
              </w:rPr>
              <w:t>S</w:t>
            </w:r>
            <w:r w:rsidR="008D4883" w:rsidRPr="005E2E87">
              <w:rPr>
                <w:b/>
              </w:rPr>
              <w:t>ecukinumab</w:t>
            </w:r>
            <w:r w:rsidR="00760462" w:rsidRPr="005E2E87">
              <w:rPr>
                <w:b/>
              </w:rPr>
              <w:t xml:space="preserve"> Q4W</w:t>
            </w:r>
          </w:p>
          <w:p w14:paraId="676B306C" w14:textId="660C7C25" w:rsidR="00760462" w:rsidRPr="005E2E87" w:rsidRDefault="00760462" w:rsidP="005646F7">
            <w:pPr>
              <w:pStyle w:val="PBACTableText"/>
              <w:keepNext/>
              <w:spacing w:before="0" w:after="0"/>
              <w:jc w:val="center"/>
              <w:rPr>
                <w:b/>
              </w:rPr>
            </w:pPr>
            <w:r w:rsidRPr="005E2E87">
              <w:rPr>
                <w:b/>
              </w:rPr>
              <w:t>n/M (%)</w:t>
            </w:r>
          </w:p>
        </w:tc>
      </w:tr>
      <w:tr w:rsidR="00760462" w:rsidRPr="005E2E87" w14:paraId="2D599824" w14:textId="77777777" w:rsidTr="000D0489">
        <w:trPr>
          <w:trHeight w:val="170"/>
        </w:trPr>
        <w:tc>
          <w:tcPr>
            <w:tcW w:w="5000" w:type="pct"/>
            <w:gridSpan w:val="3"/>
          </w:tcPr>
          <w:p w14:paraId="6A53D685" w14:textId="2208DD2A" w:rsidR="00760462" w:rsidRPr="005E2E87" w:rsidRDefault="00F9600D" w:rsidP="005646F7">
            <w:pPr>
              <w:pStyle w:val="PBACTableText"/>
              <w:keepNext/>
              <w:spacing w:before="0" w:after="0"/>
              <w:rPr>
                <w:b/>
                <w:bCs/>
              </w:rPr>
            </w:pPr>
            <w:r w:rsidRPr="005E2E87">
              <w:rPr>
                <w:b/>
              </w:rPr>
              <w:t xml:space="preserve">Week 52 HiSCR50 responses as </w:t>
            </w:r>
            <w:r w:rsidR="001C0D59" w:rsidRPr="005E2E87">
              <w:rPr>
                <w:b/>
              </w:rPr>
              <w:t xml:space="preserve">a proportion </w:t>
            </w:r>
            <w:r w:rsidR="000275F3" w:rsidRPr="005E2E87">
              <w:rPr>
                <w:b/>
              </w:rPr>
              <w:t xml:space="preserve">of </w:t>
            </w:r>
            <w:r w:rsidR="001C0D59" w:rsidRPr="005E2E87">
              <w:rPr>
                <w:b/>
              </w:rPr>
              <w:t xml:space="preserve">the </w:t>
            </w:r>
            <w:r w:rsidR="000275F3" w:rsidRPr="005E2E87">
              <w:rPr>
                <w:b/>
              </w:rPr>
              <w:t xml:space="preserve">patients who continued </w:t>
            </w:r>
            <w:r w:rsidR="001C0D59" w:rsidRPr="005E2E87">
              <w:rPr>
                <w:b/>
              </w:rPr>
              <w:t>treatment</w:t>
            </w:r>
            <w:r w:rsidR="000275F3" w:rsidRPr="005E2E87">
              <w:rPr>
                <w:b/>
              </w:rPr>
              <w:t xml:space="preserve"> up to Week 52</w:t>
            </w:r>
          </w:p>
        </w:tc>
      </w:tr>
      <w:tr w:rsidR="00760462" w:rsidRPr="005E2E87" w14:paraId="7B2ED5E9" w14:textId="77777777" w:rsidTr="000D0489">
        <w:trPr>
          <w:trHeight w:val="170"/>
        </w:trPr>
        <w:tc>
          <w:tcPr>
            <w:tcW w:w="1191" w:type="pct"/>
          </w:tcPr>
          <w:p w14:paraId="612E5F2A" w14:textId="77777777" w:rsidR="00760462" w:rsidRPr="005E2E87" w:rsidRDefault="00760462" w:rsidP="005646F7">
            <w:pPr>
              <w:pStyle w:val="PBACTableText"/>
              <w:keepNext/>
              <w:spacing w:before="0" w:after="0"/>
            </w:pPr>
            <w:r w:rsidRPr="005E2E87">
              <w:t>SUNSHINE</w:t>
            </w:r>
          </w:p>
        </w:tc>
        <w:tc>
          <w:tcPr>
            <w:tcW w:w="1904" w:type="pct"/>
          </w:tcPr>
          <w:p w14:paraId="4B05B00A" w14:textId="77777777" w:rsidR="00760462" w:rsidRPr="005E2E87" w:rsidRDefault="00760462" w:rsidP="005646F7">
            <w:pPr>
              <w:pStyle w:val="PBACTableText"/>
              <w:keepNext/>
              <w:spacing w:before="0" w:after="0"/>
              <w:jc w:val="center"/>
            </w:pPr>
            <w:r w:rsidRPr="005E2E87">
              <w:t>44/58 (75.9)</w:t>
            </w:r>
          </w:p>
        </w:tc>
        <w:tc>
          <w:tcPr>
            <w:tcW w:w="1904" w:type="pct"/>
          </w:tcPr>
          <w:p w14:paraId="343F4B0C" w14:textId="77777777" w:rsidR="00760462" w:rsidRPr="005E2E87" w:rsidRDefault="00760462" w:rsidP="005646F7">
            <w:pPr>
              <w:pStyle w:val="PBACTableText"/>
              <w:keepNext/>
              <w:spacing w:before="0" w:after="0"/>
              <w:jc w:val="center"/>
            </w:pPr>
            <w:r w:rsidRPr="005E2E87">
              <w:t>42/52 (80.8)</w:t>
            </w:r>
          </w:p>
        </w:tc>
      </w:tr>
      <w:tr w:rsidR="00760462" w:rsidRPr="005E2E87" w14:paraId="2C1626D8" w14:textId="77777777" w:rsidTr="000D0489">
        <w:trPr>
          <w:trHeight w:val="170"/>
        </w:trPr>
        <w:tc>
          <w:tcPr>
            <w:tcW w:w="1191" w:type="pct"/>
          </w:tcPr>
          <w:p w14:paraId="4ED14195" w14:textId="77777777" w:rsidR="00760462" w:rsidRPr="005E2E87" w:rsidRDefault="00760462" w:rsidP="005646F7">
            <w:pPr>
              <w:pStyle w:val="PBACTableText"/>
              <w:keepNext/>
              <w:spacing w:before="0" w:after="0"/>
            </w:pPr>
            <w:r w:rsidRPr="005E2E87">
              <w:t>SUNRISE</w:t>
            </w:r>
          </w:p>
        </w:tc>
        <w:tc>
          <w:tcPr>
            <w:tcW w:w="1904" w:type="pct"/>
          </w:tcPr>
          <w:p w14:paraId="4CCDC75F" w14:textId="77777777" w:rsidR="00760462" w:rsidRPr="005E2E87" w:rsidRDefault="00760462" w:rsidP="005646F7">
            <w:pPr>
              <w:pStyle w:val="PBACTableText"/>
              <w:keepNext/>
              <w:spacing w:before="0" w:after="0"/>
              <w:jc w:val="center"/>
            </w:pPr>
            <w:r w:rsidRPr="005E2E87">
              <w:t>51/61 (83.6)</w:t>
            </w:r>
          </w:p>
        </w:tc>
        <w:tc>
          <w:tcPr>
            <w:tcW w:w="1904" w:type="pct"/>
          </w:tcPr>
          <w:p w14:paraId="0D6663FA" w14:textId="77777777" w:rsidR="00760462" w:rsidRPr="005E2E87" w:rsidRDefault="00760462" w:rsidP="005646F7">
            <w:pPr>
              <w:pStyle w:val="PBACTableText"/>
              <w:keepNext/>
              <w:spacing w:before="0" w:after="0"/>
              <w:jc w:val="center"/>
            </w:pPr>
            <w:r w:rsidRPr="005E2E87">
              <w:t>50/65 (76.9)</w:t>
            </w:r>
          </w:p>
        </w:tc>
      </w:tr>
      <w:tr w:rsidR="00760462" w:rsidRPr="005E2E87" w14:paraId="7DD86974" w14:textId="77777777" w:rsidTr="000D0489">
        <w:trPr>
          <w:trHeight w:val="170"/>
        </w:trPr>
        <w:tc>
          <w:tcPr>
            <w:tcW w:w="5000" w:type="pct"/>
            <w:gridSpan w:val="3"/>
          </w:tcPr>
          <w:p w14:paraId="68DCE8B5" w14:textId="77777777" w:rsidR="00760462" w:rsidRPr="005E2E87" w:rsidRDefault="00760462" w:rsidP="005646F7">
            <w:pPr>
              <w:pStyle w:val="PBACTableText"/>
              <w:keepNext/>
              <w:spacing w:before="0" w:after="0"/>
              <w:rPr>
                <w:b/>
                <w:bCs/>
              </w:rPr>
            </w:pPr>
            <w:r w:rsidRPr="005E2E87">
              <w:rPr>
                <w:b/>
              </w:rPr>
              <w:t>Week 52 HiSCR50 responses as a proportion of Week 16 responders</w:t>
            </w:r>
          </w:p>
        </w:tc>
      </w:tr>
      <w:tr w:rsidR="00760462" w:rsidRPr="005E2E87" w14:paraId="421547C0" w14:textId="77777777" w:rsidTr="000D0489">
        <w:trPr>
          <w:trHeight w:val="170"/>
        </w:trPr>
        <w:tc>
          <w:tcPr>
            <w:tcW w:w="1191" w:type="pct"/>
          </w:tcPr>
          <w:p w14:paraId="72527116" w14:textId="77777777" w:rsidR="00760462" w:rsidRPr="005E2E87" w:rsidRDefault="00760462" w:rsidP="005646F7">
            <w:pPr>
              <w:pStyle w:val="PBACTableText"/>
              <w:keepNext/>
              <w:spacing w:before="0" w:after="0"/>
            </w:pPr>
            <w:r w:rsidRPr="005E2E87">
              <w:t>SUNSHINE</w:t>
            </w:r>
          </w:p>
        </w:tc>
        <w:tc>
          <w:tcPr>
            <w:tcW w:w="1904" w:type="pct"/>
          </w:tcPr>
          <w:p w14:paraId="5FC95333" w14:textId="77777777" w:rsidR="00760462" w:rsidRPr="005E2E87" w:rsidRDefault="00760462" w:rsidP="005646F7">
            <w:pPr>
              <w:pStyle w:val="PBACTableText"/>
              <w:keepNext/>
              <w:spacing w:before="0" w:after="0"/>
              <w:jc w:val="center"/>
            </w:pPr>
            <w:r w:rsidRPr="005E2E87">
              <w:t>44/78 (56.4)</w:t>
            </w:r>
          </w:p>
        </w:tc>
        <w:tc>
          <w:tcPr>
            <w:tcW w:w="1904" w:type="pct"/>
          </w:tcPr>
          <w:p w14:paraId="4989AF42" w14:textId="77777777" w:rsidR="00760462" w:rsidRPr="005E2E87" w:rsidRDefault="00760462" w:rsidP="005646F7">
            <w:pPr>
              <w:pStyle w:val="PBACTableText"/>
              <w:keepNext/>
              <w:spacing w:before="0" w:after="0"/>
              <w:jc w:val="center"/>
            </w:pPr>
            <w:r w:rsidRPr="005E2E87">
              <w:t>42/69 (60.9)</w:t>
            </w:r>
          </w:p>
        </w:tc>
      </w:tr>
      <w:tr w:rsidR="00760462" w:rsidRPr="005E2E87" w14:paraId="1FD994AE" w14:textId="77777777" w:rsidTr="000D0489">
        <w:trPr>
          <w:trHeight w:val="170"/>
        </w:trPr>
        <w:tc>
          <w:tcPr>
            <w:tcW w:w="1191" w:type="pct"/>
          </w:tcPr>
          <w:p w14:paraId="456E633F" w14:textId="77777777" w:rsidR="00760462" w:rsidRPr="005E2E87" w:rsidRDefault="00760462" w:rsidP="005646F7">
            <w:pPr>
              <w:pStyle w:val="PBACTableText"/>
              <w:keepNext/>
              <w:spacing w:before="0" w:after="0"/>
            </w:pPr>
            <w:r w:rsidRPr="005E2E87">
              <w:t>SUNRISE</w:t>
            </w:r>
          </w:p>
        </w:tc>
        <w:tc>
          <w:tcPr>
            <w:tcW w:w="1904" w:type="pct"/>
          </w:tcPr>
          <w:p w14:paraId="36E24134" w14:textId="77777777" w:rsidR="00760462" w:rsidRPr="005E2E87" w:rsidRDefault="00760462" w:rsidP="005646F7">
            <w:pPr>
              <w:pStyle w:val="PBACTableText"/>
              <w:keepNext/>
              <w:spacing w:before="0" w:after="0"/>
              <w:jc w:val="center"/>
            </w:pPr>
            <w:r w:rsidRPr="005E2E87">
              <w:t>51/71 (71.8)</w:t>
            </w:r>
          </w:p>
        </w:tc>
        <w:tc>
          <w:tcPr>
            <w:tcW w:w="1904" w:type="pct"/>
          </w:tcPr>
          <w:p w14:paraId="20EC2F26" w14:textId="77777777" w:rsidR="00760462" w:rsidRPr="005E2E87" w:rsidRDefault="00760462" w:rsidP="005646F7">
            <w:pPr>
              <w:pStyle w:val="PBACTableText"/>
              <w:keepNext/>
              <w:spacing w:before="0" w:after="0"/>
              <w:jc w:val="center"/>
            </w:pPr>
            <w:r w:rsidRPr="005E2E87">
              <w:t>50/79 (63.2)</w:t>
            </w:r>
          </w:p>
        </w:tc>
      </w:tr>
    </w:tbl>
    <w:p w14:paraId="0E67A3AF" w14:textId="77777777" w:rsidR="00B03718" w:rsidRDefault="00B03718" w:rsidP="005646F7">
      <w:pPr>
        <w:pStyle w:val="FooterTableFigure"/>
        <w:keepNext/>
      </w:pPr>
      <w:r>
        <w:t xml:space="preserve">Source: Data extracted from Table 11-6, p 79 of </w:t>
      </w:r>
      <w:r w:rsidRPr="00C1406E">
        <w:t>Attachment 6_CSR2301-52wk.pdf</w:t>
      </w:r>
      <w:r>
        <w:t xml:space="preserve"> and Table 11-6, p 77 of </w:t>
      </w:r>
      <w:r w:rsidRPr="00195AFB">
        <w:t>Attachment 6_CSR2302-52wk.pdf</w:t>
      </w:r>
      <w:r>
        <w:t>.</w:t>
      </w:r>
    </w:p>
    <w:p w14:paraId="38FF1B95" w14:textId="210D00D2" w:rsidR="00B03718" w:rsidRPr="00060678" w:rsidRDefault="00B03718" w:rsidP="00585D9E">
      <w:pPr>
        <w:pStyle w:val="FooterTableFigure"/>
      </w:pPr>
      <w:r w:rsidRPr="00C0430A">
        <w:t>HiSCR</w:t>
      </w:r>
      <w:r>
        <w:t>50 =</w:t>
      </w:r>
      <w:r w:rsidRPr="00C0430A">
        <w:t xml:space="preserve"> hidradenitis suppurativa clinical response</w:t>
      </w:r>
      <w:r>
        <w:t xml:space="preserve"> of at least 50%; M = number of subjects evaluable</w:t>
      </w:r>
      <w:r w:rsidR="00185C8A">
        <w:t xml:space="preserve"> at</w:t>
      </w:r>
      <w:r w:rsidR="002269CC">
        <w:t xml:space="preserve"> respective timepoints</w:t>
      </w:r>
      <w:r>
        <w:t xml:space="preserve">; n = number of subjects with observed response; </w:t>
      </w:r>
      <w:r w:rsidRPr="009847D8">
        <w:t>Q2W</w:t>
      </w:r>
      <w:r>
        <w:t xml:space="preserve"> </w:t>
      </w:r>
      <w:r w:rsidRPr="009847D8">
        <w:t>= every 2 weeks; Q4W</w:t>
      </w:r>
      <w:r>
        <w:t xml:space="preserve"> </w:t>
      </w:r>
      <w:r w:rsidRPr="009847D8">
        <w:t>= every 4 weeks</w:t>
      </w:r>
      <w:r>
        <w:t>.</w:t>
      </w:r>
    </w:p>
    <w:p w14:paraId="0E6330E5" w14:textId="118F2E9B" w:rsidR="00455382" w:rsidRPr="005E2E87" w:rsidRDefault="0042676F" w:rsidP="007E1C14">
      <w:pPr>
        <w:pStyle w:val="3-BodyText"/>
      </w:pPr>
      <w:r w:rsidRPr="005E2E87">
        <w:t xml:space="preserve">The submission proposed that </w:t>
      </w:r>
      <w:r w:rsidR="008D4883" w:rsidRPr="005E2E87">
        <w:t>secukinumab</w:t>
      </w:r>
      <w:r w:rsidRPr="005E2E87">
        <w:t xml:space="preserve"> may be used </w:t>
      </w:r>
      <w:r w:rsidR="003F2D9B" w:rsidRPr="005E2E87">
        <w:t xml:space="preserve">prior to, or after, </w:t>
      </w:r>
      <w:r w:rsidR="005762D0" w:rsidRPr="005E2E87">
        <w:t>adalimumab</w:t>
      </w:r>
      <w:r w:rsidR="003F2D9B" w:rsidRPr="005E2E87">
        <w:t xml:space="preserve">. </w:t>
      </w:r>
      <w:r w:rsidR="005F1F96" w:rsidRPr="005E2E87">
        <w:t xml:space="preserve">Subgroup data </w:t>
      </w:r>
      <w:r w:rsidR="00CB2EEA" w:rsidRPr="005E2E87">
        <w:t>of patients who had prior biologic therapy</w:t>
      </w:r>
      <w:r w:rsidR="005F1F96" w:rsidRPr="005E2E87" w:rsidDel="00843BF4">
        <w:t xml:space="preserve"> </w:t>
      </w:r>
      <w:r w:rsidR="00ED0902" w:rsidRPr="005E2E87">
        <w:t xml:space="preserve">showed </w:t>
      </w:r>
      <w:r w:rsidR="0060154A" w:rsidRPr="005E2E87">
        <w:t>little difference in response rates</w:t>
      </w:r>
      <w:r w:rsidR="00F4597F" w:rsidRPr="005E2E87">
        <w:t xml:space="preserve"> (at Week 16)</w:t>
      </w:r>
      <w:r w:rsidR="0060154A" w:rsidRPr="005E2E87">
        <w:t xml:space="preserve"> between the </w:t>
      </w:r>
      <w:r w:rsidR="008D4883" w:rsidRPr="005E2E87">
        <w:t>secukinumab</w:t>
      </w:r>
      <w:r w:rsidR="0060154A" w:rsidRPr="005E2E87">
        <w:t xml:space="preserve"> and placebo arms of the SUNSHINE trial</w:t>
      </w:r>
      <w:r w:rsidR="003463F6" w:rsidRPr="005E2E87">
        <w:t xml:space="preserve"> (</w:t>
      </w:r>
      <w:r w:rsidR="003463F6" w:rsidRPr="005E2E87">
        <w:fldChar w:fldCharType="begin" w:fldLock="1"/>
      </w:r>
      <w:r w:rsidR="003463F6" w:rsidRPr="005E2E87">
        <w:instrText xml:space="preserve"> REF _Ref134088242 \h  \* MERGEFORMAT </w:instrText>
      </w:r>
      <w:r w:rsidR="003463F6" w:rsidRPr="005E2E87">
        <w:fldChar w:fldCharType="separate"/>
      </w:r>
      <w:r w:rsidR="000F75DF">
        <w:t xml:space="preserve">Table </w:t>
      </w:r>
      <w:r w:rsidR="000F75DF">
        <w:rPr>
          <w:noProof/>
        </w:rPr>
        <w:t>6</w:t>
      </w:r>
      <w:r w:rsidR="003463F6" w:rsidRPr="005E2E87">
        <w:fldChar w:fldCharType="end"/>
      </w:r>
      <w:r w:rsidR="003463F6" w:rsidRPr="005E2E87">
        <w:t>)</w:t>
      </w:r>
      <w:r w:rsidR="0060154A" w:rsidRPr="005E2E87">
        <w:t xml:space="preserve">, </w:t>
      </w:r>
      <w:r w:rsidR="00275925" w:rsidRPr="005E2E87">
        <w:t>with</w:t>
      </w:r>
      <w:r w:rsidR="0060154A" w:rsidRPr="005E2E87">
        <w:t xml:space="preserve"> a </w:t>
      </w:r>
      <w:r w:rsidR="00B0283F" w:rsidRPr="005E2E87">
        <w:t xml:space="preserve">numeric </w:t>
      </w:r>
      <w:r w:rsidR="00FD5EB8" w:rsidRPr="005E2E87">
        <w:t xml:space="preserve">trend for greater benefit in the </w:t>
      </w:r>
      <w:r w:rsidR="008D4883" w:rsidRPr="005E2E87">
        <w:t>secukinumab</w:t>
      </w:r>
      <w:r w:rsidR="00FD5EB8" w:rsidRPr="005E2E87">
        <w:t xml:space="preserve"> arm compared to placebo in SUNRISE, noting </w:t>
      </w:r>
      <w:r w:rsidR="00986591" w:rsidRPr="005E2E87">
        <w:t>that numbers were low in th</w:t>
      </w:r>
      <w:r w:rsidR="00F437C2" w:rsidRPr="005E2E87">
        <w:t>ese</w:t>
      </w:r>
      <w:r w:rsidR="00986591" w:rsidRPr="005E2E87">
        <w:t xml:space="preserve"> unstratified subgroup</w:t>
      </w:r>
      <w:r w:rsidR="00F437C2" w:rsidRPr="005E2E87">
        <w:t>s which were not powered to detect a difference</w:t>
      </w:r>
      <w:r w:rsidR="00986591" w:rsidRPr="005E2E87">
        <w:t>.</w:t>
      </w:r>
    </w:p>
    <w:p w14:paraId="58F832D7" w14:textId="2B1DAC68" w:rsidR="003463F6" w:rsidRDefault="003463F6" w:rsidP="003463F6">
      <w:pPr>
        <w:pStyle w:val="Caption"/>
      </w:pPr>
      <w:bookmarkStart w:id="25" w:name="_Ref134088242"/>
      <w:r>
        <w:t xml:space="preserve">Table </w:t>
      </w:r>
      <w:r>
        <w:fldChar w:fldCharType="begin" w:fldLock="1"/>
      </w:r>
      <w:r>
        <w:instrText>SEQ Table \* ARABIC</w:instrText>
      </w:r>
      <w:r>
        <w:fldChar w:fldCharType="separate"/>
      </w:r>
      <w:r w:rsidR="000F75DF">
        <w:rPr>
          <w:noProof/>
        </w:rPr>
        <w:t>6</w:t>
      </w:r>
      <w:r>
        <w:fldChar w:fldCharType="end"/>
      </w:r>
      <w:bookmarkEnd w:id="25"/>
      <w:r>
        <w:t xml:space="preserve">: </w:t>
      </w:r>
      <w:r w:rsidR="0042270E">
        <w:t>HiSCR50 responses</w:t>
      </w:r>
      <w:r>
        <w:t xml:space="preserve"> in patients with prior biologic therapy in the key secukinumab trials</w:t>
      </w:r>
      <w:r w:rsidR="00464B29">
        <w:t>, Week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141"/>
        <w:gridCol w:w="1987"/>
        <w:gridCol w:w="2294"/>
      </w:tblGrid>
      <w:tr w:rsidR="00F437C2" w:rsidRPr="00B84117" w14:paraId="54906BB7" w14:textId="77777777" w:rsidTr="002327D9">
        <w:trPr>
          <w:cantSplit/>
          <w:tblHeader/>
        </w:trPr>
        <w:tc>
          <w:tcPr>
            <w:tcW w:w="1439" w:type="pct"/>
            <w:vAlign w:val="center"/>
          </w:tcPr>
          <w:p w14:paraId="03D41D7E" w14:textId="7E15B284" w:rsidR="00F437C2" w:rsidRPr="00B84117" w:rsidRDefault="00F437C2">
            <w:pPr>
              <w:pStyle w:val="In-tableHeading"/>
            </w:pPr>
          </w:p>
        </w:tc>
        <w:tc>
          <w:tcPr>
            <w:tcW w:w="1187" w:type="pct"/>
            <w:vAlign w:val="center"/>
          </w:tcPr>
          <w:p w14:paraId="7B7C2E0E" w14:textId="77777777" w:rsidR="00F437C2" w:rsidRDefault="00F437C2">
            <w:pPr>
              <w:pStyle w:val="In-tableHeading"/>
              <w:jc w:val="center"/>
            </w:pPr>
            <w:r>
              <w:t>Secukinumab</w:t>
            </w:r>
          </w:p>
          <w:p w14:paraId="65FFD3A2" w14:textId="345F602B" w:rsidR="00F437C2" w:rsidRPr="00B84117" w:rsidRDefault="00F437C2">
            <w:pPr>
              <w:pStyle w:val="In-tableHeading"/>
              <w:jc w:val="center"/>
            </w:pPr>
            <w:r>
              <w:t>n/</w:t>
            </w:r>
            <w:r w:rsidR="00A2304B">
              <w:t>M</w:t>
            </w:r>
            <w:r>
              <w:t xml:space="preserve"> (%)</w:t>
            </w:r>
          </w:p>
        </w:tc>
        <w:tc>
          <w:tcPr>
            <w:tcW w:w="1102" w:type="pct"/>
            <w:vAlign w:val="center"/>
          </w:tcPr>
          <w:p w14:paraId="2266D421" w14:textId="2A27AFF5" w:rsidR="00F437C2" w:rsidRDefault="00F437C2">
            <w:pPr>
              <w:pStyle w:val="In-tableHeading"/>
              <w:jc w:val="center"/>
            </w:pPr>
            <w:r>
              <w:t>Placebo</w:t>
            </w:r>
            <w:r w:rsidR="00AD1D32" w:rsidRPr="00AD1D32">
              <w:rPr>
                <w:b w:val="0"/>
                <w:bCs/>
                <w:vertAlign w:val="superscript"/>
              </w:rPr>
              <w:t>a</w:t>
            </w:r>
          </w:p>
          <w:p w14:paraId="5DE4CD81" w14:textId="75A0AF93" w:rsidR="00F437C2" w:rsidRPr="00B84117" w:rsidRDefault="00F437C2">
            <w:pPr>
              <w:pStyle w:val="In-tableHeading"/>
              <w:jc w:val="center"/>
            </w:pPr>
            <w:r>
              <w:t>n/</w:t>
            </w:r>
            <w:r w:rsidR="00A2304B">
              <w:t>M</w:t>
            </w:r>
            <w:r>
              <w:t xml:space="preserve"> (%)</w:t>
            </w:r>
          </w:p>
        </w:tc>
        <w:tc>
          <w:tcPr>
            <w:tcW w:w="1272" w:type="pct"/>
            <w:vAlign w:val="center"/>
          </w:tcPr>
          <w:p w14:paraId="2DACADB3" w14:textId="77777777" w:rsidR="00F437C2" w:rsidRPr="00B84117" w:rsidRDefault="00F437C2">
            <w:pPr>
              <w:pStyle w:val="In-tableHeading"/>
              <w:jc w:val="center"/>
            </w:pPr>
            <w:r>
              <w:t xml:space="preserve">Odds ratio </w:t>
            </w:r>
            <w:r w:rsidRPr="00B84117">
              <w:t>(95% CI)</w:t>
            </w:r>
          </w:p>
        </w:tc>
      </w:tr>
      <w:tr w:rsidR="00F437C2" w:rsidRPr="00B84117" w14:paraId="4EC63256" w14:textId="77777777" w:rsidTr="002327D9">
        <w:trPr>
          <w:cantSplit/>
          <w:tblHeader/>
        </w:trPr>
        <w:tc>
          <w:tcPr>
            <w:tcW w:w="5000" w:type="pct"/>
            <w:gridSpan w:val="4"/>
            <w:vAlign w:val="center"/>
          </w:tcPr>
          <w:p w14:paraId="43813475" w14:textId="77777777" w:rsidR="00F437C2" w:rsidRDefault="00F437C2">
            <w:pPr>
              <w:pStyle w:val="In-tableHeading"/>
            </w:pPr>
            <w:r>
              <w:t>SUNSHINE</w:t>
            </w:r>
          </w:p>
        </w:tc>
      </w:tr>
      <w:tr w:rsidR="00F437C2" w:rsidRPr="00B1011F" w14:paraId="5312563B" w14:textId="77777777" w:rsidTr="002327D9">
        <w:trPr>
          <w:cantSplit/>
        </w:trPr>
        <w:tc>
          <w:tcPr>
            <w:tcW w:w="1439" w:type="pct"/>
            <w:vAlign w:val="center"/>
          </w:tcPr>
          <w:p w14:paraId="03C08506" w14:textId="52B3B39E" w:rsidR="00F437C2" w:rsidRPr="00B1011F" w:rsidRDefault="00F437C2">
            <w:pPr>
              <w:pStyle w:val="TableText0"/>
            </w:pPr>
            <w:r>
              <w:t xml:space="preserve">Secukinumab Q2W </w:t>
            </w:r>
          </w:p>
        </w:tc>
        <w:tc>
          <w:tcPr>
            <w:tcW w:w="1187" w:type="pct"/>
            <w:vAlign w:val="center"/>
          </w:tcPr>
          <w:p w14:paraId="436AFD99" w14:textId="5A2ED715" w:rsidR="00F437C2" w:rsidRPr="00B1011F" w:rsidRDefault="003463F6">
            <w:pPr>
              <w:pStyle w:val="TableText0"/>
              <w:jc w:val="center"/>
            </w:pPr>
            <w:r>
              <w:t>14.4</w:t>
            </w:r>
            <w:r w:rsidRPr="00E54C19">
              <w:t>/</w:t>
            </w:r>
            <w:r>
              <w:t>44</w:t>
            </w:r>
            <w:r w:rsidRPr="00E54C19">
              <w:t xml:space="preserve"> (</w:t>
            </w:r>
            <w:r>
              <w:t>32</w:t>
            </w:r>
            <w:r w:rsidRPr="00E54C19">
              <w:t>.</w:t>
            </w:r>
            <w:r>
              <w:t>8</w:t>
            </w:r>
            <w:r w:rsidRPr="00E54C19">
              <w:t>)</w:t>
            </w:r>
          </w:p>
        </w:tc>
        <w:tc>
          <w:tcPr>
            <w:tcW w:w="1102" w:type="pct"/>
            <w:vAlign w:val="center"/>
          </w:tcPr>
          <w:p w14:paraId="77CB95BF" w14:textId="1ED9A1C8" w:rsidR="00F437C2" w:rsidRPr="00B1011F" w:rsidRDefault="003463F6">
            <w:pPr>
              <w:pStyle w:val="TableText0"/>
              <w:jc w:val="center"/>
            </w:pPr>
            <w:r>
              <w:t>13.0</w:t>
            </w:r>
            <w:r w:rsidRPr="00E54C19">
              <w:t>/</w:t>
            </w:r>
            <w:r>
              <w:t>46 (28.3)</w:t>
            </w:r>
          </w:p>
        </w:tc>
        <w:tc>
          <w:tcPr>
            <w:tcW w:w="1272" w:type="pct"/>
            <w:vAlign w:val="center"/>
          </w:tcPr>
          <w:p w14:paraId="2A6DD85E" w14:textId="6B0E514F" w:rsidR="00F437C2" w:rsidRPr="00B1011F" w:rsidRDefault="00F437C2">
            <w:pPr>
              <w:pStyle w:val="TableText0"/>
              <w:jc w:val="center"/>
            </w:pPr>
            <w:r>
              <w:t>1.</w:t>
            </w:r>
            <w:r w:rsidR="003463F6">
              <w:t>27</w:t>
            </w:r>
            <w:r>
              <w:t xml:space="preserve"> (0.</w:t>
            </w:r>
            <w:r w:rsidR="003463F6">
              <w:t>51, 3.19</w:t>
            </w:r>
            <w:r>
              <w:t>)</w:t>
            </w:r>
          </w:p>
        </w:tc>
      </w:tr>
      <w:tr w:rsidR="003463F6" w:rsidRPr="00B1011F" w14:paraId="09CA0D03" w14:textId="77777777" w:rsidTr="002327D9">
        <w:trPr>
          <w:cantSplit/>
        </w:trPr>
        <w:tc>
          <w:tcPr>
            <w:tcW w:w="1439" w:type="pct"/>
            <w:vAlign w:val="center"/>
          </w:tcPr>
          <w:p w14:paraId="1559A00A" w14:textId="24111270" w:rsidR="003463F6" w:rsidRDefault="003463F6" w:rsidP="003463F6">
            <w:pPr>
              <w:pStyle w:val="TableText0"/>
            </w:pPr>
            <w:r>
              <w:t>Secukinumab Q4W</w:t>
            </w:r>
          </w:p>
        </w:tc>
        <w:tc>
          <w:tcPr>
            <w:tcW w:w="1187" w:type="pct"/>
            <w:vAlign w:val="center"/>
          </w:tcPr>
          <w:p w14:paraId="2A5D5FA0" w14:textId="7FAE02CB" w:rsidR="003463F6" w:rsidRDefault="003463F6" w:rsidP="003463F6">
            <w:pPr>
              <w:pStyle w:val="TableText0"/>
              <w:jc w:val="center"/>
            </w:pPr>
            <w:r>
              <w:t>12.9/39</w:t>
            </w:r>
            <w:r w:rsidRPr="00E54C19">
              <w:t xml:space="preserve"> (</w:t>
            </w:r>
            <w:r>
              <w:t>33.2</w:t>
            </w:r>
            <w:r w:rsidRPr="00E54C19">
              <w:t>)</w:t>
            </w:r>
          </w:p>
        </w:tc>
        <w:tc>
          <w:tcPr>
            <w:tcW w:w="1102" w:type="pct"/>
            <w:vAlign w:val="center"/>
          </w:tcPr>
          <w:p w14:paraId="5B2A353F" w14:textId="51AE2CC4" w:rsidR="003463F6" w:rsidRDefault="003463F6" w:rsidP="003463F6">
            <w:pPr>
              <w:pStyle w:val="TableText0"/>
              <w:jc w:val="center"/>
            </w:pPr>
            <w:r>
              <w:t>13.0</w:t>
            </w:r>
            <w:r w:rsidRPr="00E54C19">
              <w:t>/</w:t>
            </w:r>
            <w:r>
              <w:t>46 (28.3)</w:t>
            </w:r>
          </w:p>
        </w:tc>
        <w:tc>
          <w:tcPr>
            <w:tcW w:w="1272" w:type="pct"/>
            <w:vAlign w:val="center"/>
          </w:tcPr>
          <w:p w14:paraId="7D498D98" w14:textId="1F5226FB" w:rsidR="003463F6" w:rsidRPr="00DC42C6" w:rsidRDefault="003463F6" w:rsidP="003463F6">
            <w:pPr>
              <w:pStyle w:val="TableText0"/>
              <w:jc w:val="center"/>
              <w:rPr>
                <w:b/>
                <w:bCs w:val="0"/>
              </w:rPr>
            </w:pPr>
            <w:r>
              <w:t>1.28 (0.50, 3.29)</w:t>
            </w:r>
          </w:p>
        </w:tc>
      </w:tr>
      <w:tr w:rsidR="00F437C2" w:rsidRPr="00B1011F" w14:paraId="20405333" w14:textId="77777777" w:rsidTr="002327D9">
        <w:trPr>
          <w:cantSplit/>
        </w:trPr>
        <w:tc>
          <w:tcPr>
            <w:tcW w:w="5000" w:type="pct"/>
            <w:gridSpan w:val="4"/>
            <w:vAlign w:val="center"/>
          </w:tcPr>
          <w:p w14:paraId="0CAE92BF" w14:textId="77777777" w:rsidR="00F437C2" w:rsidRPr="00324AAC" w:rsidRDefault="00F437C2">
            <w:pPr>
              <w:pStyle w:val="TableText0"/>
              <w:rPr>
                <w:b/>
                <w:bCs w:val="0"/>
              </w:rPr>
            </w:pPr>
            <w:r w:rsidRPr="00324AAC">
              <w:rPr>
                <w:b/>
                <w:bCs w:val="0"/>
              </w:rPr>
              <w:t>SUN</w:t>
            </w:r>
            <w:r>
              <w:rPr>
                <w:b/>
                <w:bCs w:val="0"/>
              </w:rPr>
              <w:t>RISE</w:t>
            </w:r>
          </w:p>
        </w:tc>
      </w:tr>
      <w:tr w:rsidR="00F437C2" w:rsidRPr="00B1011F" w14:paraId="37586CF4" w14:textId="77777777" w:rsidTr="002327D9">
        <w:trPr>
          <w:cantSplit/>
        </w:trPr>
        <w:tc>
          <w:tcPr>
            <w:tcW w:w="1439" w:type="pct"/>
            <w:vAlign w:val="center"/>
          </w:tcPr>
          <w:p w14:paraId="45508386" w14:textId="6510ACA3" w:rsidR="00F437C2" w:rsidRPr="00B1011F" w:rsidRDefault="00F437C2">
            <w:pPr>
              <w:pStyle w:val="TableText0"/>
            </w:pPr>
            <w:r>
              <w:t xml:space="preserve">Secukinumab Q2W </w:t>
            </w:r>
          </w:p>
        </w:tc>
        <w:tc>
          <w:tcPr>
            <w:tcW w:w="1187" w:type="pct"/>
            <w:vAlign w:val="center"/>
          </w:tcPr>
          <w:p w14:paraId="72F195A4" w14:textId="536A6577" w:rsidR="00F437C2" w:rsidRDefault="003463F6">
            <w:pPr>
              <w:pStyle w:val="TableText0"/>
              <w:jc w:val="center"/>
            </w:pPr>
            <w:r>
              <w:t>15</w:t>
            </w:r>
            <w:r w:rsidR="00F437C2">
              <w:t>.2/</w:t>
            </w:r>
            <w:r>
              <w:t>36</w:t>
            </w:r>
            <w:r w:rsidR="00F437C2">
              <w:t xml:space="preserve"> (42.1)</w:t>
            </w:r>
          </w:p>
        </w:tc>
        <w:tc>
          <w:tcPr>
            <w:tcW w:w="1102" w:type="pct"/>
            <w:vAlign w:val="center"/>
          </w:tcPr>
          <w:p w14:paraId="507D77F9" w14:textId="6AED1154" w:rsidR="00F437C2" w:rsidRDefault="003463F6">
            <w:pPr>
              <w:pStyle w:val="TableText0"/>
              <w:jc w:val="center"/>
            </w:pPr>
            <w:r>
              <w:t>12.7</w:t>
            </w:r>
            <w:r w:rsidRPr="00E54C19">
              <w:t>/</w:t>
            </w:r>
            <w:r>
              <w:t>48 (26.4)</w:t>
            </w:r>
          </w:p>
        </w:tc>
        <w:tc>
          <w:tcPr>
            <w:tcW w:w="1272" w:type="pct"/>
            <w:vAlign w:val="center"/>
          </w:tcPr>
          <w:p w14:paraId="0B9A3E65" w14:textId="3727F2BC" w:rsidR="00F437C2" w:rsidRPr="00B1011F" w:rsidRDefault="003463F6">
            <w:pPr>
              <w:pStyle w:val="TableText0"/>
              <w:jc w:val="center"/>
            </w:pPr>
            <w:r>
              <w:t>2.01 (0.76, 5.30)</w:t>
            </w:r>
          </w:p>
        </w:tc>
      </w:tr>
      <w:tr w:rsidR="003463F6" w:rsidRPr="00B1011F" w14:paraId="2D297E80" w14:textId="77777777" w:rsidTr="002327D9">
        <w:trPr>
          <w:cantSplit/>
        </w:trPr>
        <w:tc>
          <w:tcPr>
            <w:tcW w:w="1439" w:type="pct"/>
            <w:vAlign w:val="center"/>
          </w:tcPr>
          <w:p w14:paraId="6C36D12D" w14:textId="3B8433CC" w:rsidR="003463F6" w:rsidRDefault="003463F6" w:rsidP="003463F6">
            <w:pPr>
              <w:pStyle w:val="TableText0"/>
            </w:pPr>
            <w:r>
              <w:t>Secukinumab Q4W</w:t>
            </w:r>
          </w:p>
        </w:tc>
        <w:tc>
          <w:tcPr>
            <w:tcW w:w="1187" w:type="pct"/>
            <w:vAlign w:val="center"/>
          </w:tcPr>
          <w:p w14:paraId="0E03AA94" w14:textId="23BEA90C" w:rsidR="003463F6" w:rsidRDefault="003463F6" w:rsidP="003463F6">
            <w:pPr>
              <w:pStyle w:val="TableText0"/>
              <w:jc w:val="center"/>
            </w:pPr>
            <w:r>
              <w:t>18.5</w:t>
            </w:r>
            <w:r w:rsidRPr="00E54C19">
              <w:t>/</w:t>
            </w:r>
            <w:r>
              <w:t>42</w:t>
            </w:r>
            <w:r w:rsidRPr="00E54C19">
              <w:t xml:space="preserve"> (</w:t>
            </w:r>
            <w:r>
              <w:t>44</w:t>
            </w:r>
            <w:r w:rsidRPr="00E54C19">
              <w:t>.</w:t>
            </w:r>
            <w:r>
              <w:t>0</w:t>
            </w:r>
            <w:r w:rsidRPr="00E54C19">
              <w:t>)</w:t>
            </w:r>
          </w:p>
        </w:tc>
        <w:tc>
          <w:tcPr>
            <w:tcW w:w="1102" w:type="pct"/>
            <w:vAlign w:val="center"/>
          </w:tcPr>
          <w:p w14:paraId="3DB3B3BA" w14:textId="6467E9A1" w:rsidR="003463F6" w:rsidRDefault="003463F6" w:rsidP="003463F6">
            <w:pPr>
              <w:pStyle w:val="TableText0"/>
              <w:jc w:val="center"/>
            </w:pPr>
            <w:r>
              <w:t>12.7</w:t>
            </w:r>
            <w:r w:rsidRPr="00E54C19">
              <w:t>/</w:t>
            </w:r>
            <w:r>
              <w:t>48 (26.4)</w:t>
            </w:r>
          </w:p>
        </w:tc>
        <w:tc>
          <w:tcPr>
            <w:tcW w:w="1272" w:type="pct"/>
            <w:vAlign w:val="center"/>
          </w:tcPr>
          <w:p w14:paraId="3202B6BF" w14:textId="1297D910" w:rsidR="003463F6" w:rsidRPr="00863CBC" w:rsidRDefault="003463F6" w:rsidP="003463F6">
            <w:pPr>
              <w:pStyle w:val="TableText0"/>
              <w:jc w:val="center"/>
              <w:rPr>
                <w:b/>
                <w:bCs w:val="0"/>
              </w:rPr>
            </w:pPr>
            <w:r>
              <w:t>2.27 (0.89, 5.78)</w:t>
            </w:r>
          </w:p>
        </w:tc>
      </w:tr>
    </w:tbl>
    <w:p w14:paraId="0B053188" w14:textId="27B77471" w:rsidR="00220A2C" w:rsidRPr="00220A2C" w:rsidRDefault="003463F6" w:rsidP="00220A2C">
      <w:pPr>
        <w:pStyle w:val="FooterTableFigure"/>
      </w:pPr>
      <w:r w:rsidRPr="0078036B">
        <w:t xml:space="preserve">Source: </w:t>
      </w:r>
      <w:r>
        <w:t xml:space="preserve">Data extracted from Table 2.18, p 69 of the submission, and Table 14.2-7.1a of the SUNSHINE and SUNRISE CSRs, as </w:t>
      </w:r>
      <w:r w:rsidR="00E673FC">
        <w:t>provided by</w:t>
      </w:r>
      <w:r>
        <w:t xml:space="preserve"> the sponsor.</w:t>
      </w:r>
    </w:p>
    <w:p w14:paraId="6613BBB8" w14:textId="1BD93AD0" w:rsidR="0042270E" w:rsidRDefault="0042270E" w:rsidP="003463F6">
      <w:pPr>
        <w:pStyle w:val="FooterTableFigure"/>
      </w:pPr>
      <w:r>
        <w:t xml:space="preserve">CI = confidence interval; </w:t>
      </w:r>
      <w:r w:rsidRPr="00C0430A">
        <w:t>HiSCR</w:t>
      </w:r>
      <w:r>
        <w:t>50 =</w:t>
      </w:r>
      <w:r w:rsidRPr="00C0430A">
        <w:t xml:space="preserve"> hidradenitis suppurativa clinical response</w:t>
      </w:r>
      <w:r>
        <w:t xml:space="preserve"> of at least 50%; </w:t>
      </w:r>
      <w:r w:rsidR="00A2304B">
        <w:t>M</w:t>
      </w:r>
      <w:r>
        <w:t xml:space="preserve"> = number of subjects evaluable</w:t>
      </w:r>
      <w:r w:rsidR="00634EF7">
        <w:t xml:space="preserve"> through multiple imputations</w:t>
      </w:r>
      <w:r>
        <w:t xml:space="preserve">; n = number of subjects with observed response; </w:t>
      </w:r>
      <w:r w:rsidRPr="009847D8">
        <w:t>Q2W</w:t>
      </w:r>
      <w:r>
        <w:t xml:space="preserve"> </w:t>
      </w:r>
      <w:r w:rsidRPr="009847D8">
        <w:t>= every 2 weeks; Q4W</w:t>
      </w:r>
      <w:r>
        <w:t xml:space="preserve"> </w:t>
      </w:r>
      <w:r w:rsidRPr="009847D8">
        <w:t>= every 4 weeks</w:t>
      </w:r>
      <w:r>
        <w:t>.</w:t>
      </w:r>
    </w:p>
    <w:p w14:paraId="60E611F6" w14:textId="47507DA9" w:rsidR="00AD1D32" w:rsidRPr="00DB6641" w:rsidRDefault="00AD1D32" w:rsidP="00AD1D32">
      <w:pPr>
        <w:pStyle w:val="FooterTableFigure"/>
      </w:pPr>
      <w:r w:rsidRPr="000E6D1B">
        <w:rPr>
          <w:vertAlign w:val="superscript"/>
        </w:rPr>
        <w:t>a</w:t>
      </w:r>
      <w:r>
        <w:t xml:space="preserve"> Placebo Q2W and Q4W arms were pooled together for analyses.</w:t>
      </w:r>
    </w:p>
    <w:p w14:paraId="49850F35" w14:textId="77777777" w:rsidR="000F75DF" w:rsidRPr="002857DE" w:rsidRDefault="003463F6" w:rsidP="002857DE">
      <w:pPr>
        <w:ind w:left="774"/>
        <w:rPr>
          <w:rFonts w:ascii="Arial Narrow" w:hAnsi="Arial Narrow"/>
          <w:b/>
          <w:bCs/>
          <w:sz w:val="20"/>
          <w:szCs w:val="18"/>
        </w:rPr>
      </w:pPr>
      <w:r>
        <w:t xml:space="preserve">Note: </w:t>
      </w:r>
      <w:r w:rsidR="00961676">
        <w:t>Results have been modified by</w:t>
      </w:r>
      <w:r w:rsidR="007D28A3">
        <w:t xml:space="preserve"> the</w:t>
      </w:r>
      <w:r w:rsidR="006A2547">
        <w:t xml:space="preserve"> </w:t>
      </w:r>
      <w:r w:rsidR="00506914" w:rsidRPr="00506914">
        <w:t xml:space="preserve">mixed effects logistic regression with multiple imputations </w:t>
      </w:r>
      <w:r w:rsidR="006929B2">
        <w:t>analyses</w:t>
      </w:r>
      <w:r w:rsidR="008672D2">
        <w:t xml:space="preserve"> ratios.</w:t>
      </w:r>
      <w:bookmarkStart w:id="26" w:name="_Ref134134951"/>
      <w:r w:rsidR="003E3FB0">
        <w:rPr>
          <w:sz w:val="18"/>
          <w:szCs w:val="22"/>
        </w:rPr>
        <w:fldChar w:fldCharType="begin" w:fldLock="1"/>
      </w:r>
      <w:r w:rsidR="003E3FB0">
        <w:instrText xml:space="preserve"> REF _Ref134091102 \h </w:instrText>
      </w:r>
      <w:r w:rsidR="003E3FB0">
        <w:rPr>
          <w:sz w:val="18"/>
          <w:szCs w:val="22"/>
        </w:rPr>
        <w:fldChar w:fldCharType="separate"/>
      </w:r>
    </w:p>
    <w:p w14:paraId="4BCC9FE7" w14:textId="2E0413A0" w:rsidR="00A53A4E" w:rsidRPr="005E2E87" w:rsidRDefault="000F75DF" w:rsidP="007E1C14">
      <w:pPr>
        <w:pStyle w:val="3-BodyText"/>
      </w:pPr>
      <w:r>
        <w:t xml:space="preserve">Table </w:t>
      </w:r>
      <w:r>
        <w:rPr>
          <w:noProof/>
        </w:rPr>
        <w:t>7</w:t>
      </w:r>
      <w:r w:rsidR="003E3FB0">
        <w:fldChar w:fldCharType="end"/>
      </w:r>
      <w:r w:rsidR="003E3FB0" w:rsidRPr="00184DD4">
        <w:t xml:space="preserve"> below.</w:t>
      </w:r>
      <w:r w:rsidR="00EC72AB" w:rsidRPr="003E3FB0">
        <w:t xml:space="preserve"> </w:t>
      </w:r>
      <w:r w:rsidR="00EC72AB" w:rsidRPr="005E2E87">
        <w:t>The ITC had substantial transitivity issues, arising from key differences in inclusion criteria</w:t>
      </w:r>
      <w:r w:rsidR="00A53A4E" w:rsidRPr="005E2E87">
        <w:t>, as follow</w:t>
      </w:r>
      <w:r w:rsidR="000D0489" w:rsidRPr="005E2E87">
        <w:t>s</w:t>
      </w:r>
      <w:r w:rsidR="00A53A4E" w:rsidRPr="005E2E87">
        <w:t>:</w:t>
      </w:r>
      <w:bookmarkEnd w:id="26"/>
    </w:p>
    <w:p w14:paraId="0EFAEE4D" w14:textId="03520F25" w:rsidR="00A53A4E" w:rsidRPr="005E2E87" w:rsidRDefault="00A53A4E" w:rsidP="00585D9E">
      <w:pPr>
        <w:pStyle w:val="ListParagraph"/>
        <w:rPr>
          <w:lang w:val="en-US"/>
        </w:rPr>
      </w:pPr>
      <w:r w:rsidRPr="005E2E87">
        <w:t>T</w:t>
      </w:r>
      <w:r w:rsidR="00274F73" w:rsidRPr="005E2E87">
        <w:t xml:space="preserve">he </w:t>
      </w:r>
      <w:r w:rsidR="005762D0" w:rsidRPr="005E2E87">
        <w:t>adalimumab</w:t>
      </w:r>
      <w:r w:rsidR="00274F73" w:rsidRPr="005E2E87">
        <w:t xml:space="preserve"> trials (except SHARPS) enrolled patients </w:t>
      </w:r>
      <w:r w:rsidR="00761FF8" w:rsidRPr="005E2E87">
        <w:t>who had disease refractory to</w:t>
      </w:r>
      <w:r w:rsidR="00516943" w:rsidRPr="005E2E87">
        <w:t xml:space="preserve"> at least two </w:t>
      </w:r>
      <w:r w:rsidR="00761FF8" w:rsidRPr="005E2E87">
        <w:t>different antibiotic</w:t>
      </w:r>
      <w:r w:rsidR="009970B2" w:rsidRPr="005E2E87">
        <w:t xml:space="preserve"> course</w:t>
      </w:r>
      <w:r w:rsidR="00516943" w:rsidRPr="005E2E87">
        <w:t xml:space="preserve">s, </w:t>
      </w:r>
      <w:r w:rsidR="00AE25A7" w:rsidRPr="005E2E87">
        <w:t xml:space="preserve">whilst the </w:t>
      </w:r>
      <w:r w:rsidR="0038015F" w:rsidRPr="005E2E87">
        <w:t xml:space="preserve">key </w:t>
      </w:r>
      <w:r w:rsidR="008D4883" w:rsidRPr="005E2E87">
        <w:t>secukinumab</w:t>
      </w:r>
      <w:r w:rsidR="0038015F" w:rsidRPr="005E2E87">
        <w:t xml:space="preserve"> trials did not require</w:t>
      </w:r>
      <w:r w:rsidR="00516943" w:rsidRPr="005E2E87">
        <w:t xml:space="preserve"> </w:t>
      </w:r>
      <w:r w:rsidR="009818A8" w:rsidRPr="005E2E87">
        <w:t xml:space="preserve">patients to have </w:t>
      </w:r>
      <w:r w:rsidR="0038015F" w:rsidRPr="005E2E87">
        <w:t xml:space="preserve">failed a </w:t>
      </w:r>
      <w:r w:rsidR="00BE040F" w:rsidRPr="005E2E87">
        <w:t>prior</w:t>
      </w:r>
      <w:r w:rsidR="00310963">
        <w:t xml:space="preserve"> course of</w:t>
      </w:r>
      <w:r w:rsidR="00BE040F" w:rsidRPr="005E2E87">
        <w:t xml:space="preserve"> antibiotic</w:t>
      </w:r>
      <w:r w:rsidR="00310963">
        <w:t>s</w:t>
      </w:r>
      <w:r w:rsidR="00BE040F" w:rsidRPr="005E2E87">
        <w:t>.</w:t>
      </w:r>
      <w:r w:rsidR="00290A8D" w:rsidRPr="005E2E87">
        <w:t xml:space="preserve"> This means that </w:t>
      </w:r>
      <w:r w:rsidR="001E52E5" w:rsidRPr="005E2E87">
        <w:t>the efficacy</w:t>
      </w:r>
      <w:r w:rsidR="00B87503" w:rsidRPr="005E2E87">
        <w:t xml:space="preserve"> of </w:t>
      </w:r>
      <w:r w:rsidR="008D4883" w:rsidRPr="005E2E87">
        <w:t>secukinumab</w:t>
      </w:r>
      <w:r w:rsidR="001E52E5" w:rsidRPr="005E2E87">
        <w:t xml:space="preserve"> in patients who have failed two prior antibiotics courses was unclear</w:t>
      </w:r>
      <w:r w:rsidR="00290A8D" w:rsidRPr="005E2E87">
        <w:t>.</w:t>
      </w:r>
    </w:p>
    <w:p w14:paraId="41BCCD2A" w14:textId="06DBF0B8" w:rsidR="00A53A4E" w:rsidRPr="005E2E87" w:rsidRDefault="00F56A50" w:rsidP="00585D9E">
      <w:pPr>
        <w:pStyle w:val="ListParagraph"/>
        <w:rPr>
          <w:lang w:val="en-US"/>
        </w:rPr>
      </w:pPr>
      <w:r w:rsidRPr="005E2E87">
        <w:t xml:space="preserve">Patients in the </w:t>
      </w:r>
      <w:r w:rsidR="005762D0" w:rsidRPr="005E2E87">
        <w:t>adalimumab</w:t>
      </w:r>
      <w:r w:rsidRPr="005E2E87">
        <w:t xml:space="preserve"> trials generally had a lower AN count and higher draining fistulae count compared the key </w:t>
      </w:r>
      <w:r w:rsidR="008D4883" w:rsidRPr="005E2E87">
        <w:t>secukinumab</w:t>
      </w:r>
      <w:r w:rsidRPr="005E2E87">
        <w:t xml:space="preserve"> trials, as the</w:t>
      </w:r>
      <w:r w:rsidR="00803867" w:rsidRPr="005E2E87">
        <w:t xml:space="preserve"> </w:t>
      </w:r>
      <w:r w:rsidR="005762D0" w:rsidRPr="005E2E87">
        <w:t>adalimumab</w:t>
      </w:r>
      <w:r w:rsidR="00803867" w:rsidRPr="005E2E87">
        <w:t xml:space="preserve"> trials required patients to have ≥</w:t>
      </w:r>
      <w:r w:rsidR="00585D9E">
        <w:t> </w:t>
      </w:r>
      <w:r w:rsidR="008C1457" w:rsidRPr="005E2E87">
        <w:t xml:space="preserve">3 </w:t>
      </w:r>
      <w:r w:rsidR="008F58E2" w:rsidRPr="005E2E87">
        <w:t>AN</w:t>
      </w:r>
      <w:r w:rsidR="008C1457" w:rsidRPr="005E2E87">
        <w:t xml:space="preserve">, while the </w:t>
      </w:r>
      <w:r w:rsidR="008D4883" w:rsidRPr="005E2E87">
        <w:t>secukinumab</w:t>
      </w:r>
      <w:r w:rsidR="008C1457" w:rsidRPr="005E2E87">
        <w:t xml:space="preserve"> trials </w:t>
      </w:r>
      <w:r w:rsidR="0005019A" w:rsidRPr="005E2E87">
        <w:t>included patients with ≥</w:t>
      </w:r>
      <w:r w:rsidR="00585D9E">
        <w:t> </w:t>
      </w:r>
      <w:r w:rsidR="0005019A" w:rsidRPr="005E2E87">
        <w:t xml:space="preserve">5 </w:t>
      </w:r>
      <w:r w:rsidR="004F2777" w:rsidRPr="005E2E87">
        <w:t>AN</w:t>
      </w:r>
      <w:r w:rsidRPr="005E2E87">
        <w:t>. T</w:t>
      </w:r>
      <w:r w:rsidR="003448B6" w:rsidRPr="005E2E87">
        <w:t xml:space="preserve">his favoured the apparent efficacy of </w:t>
      </w:r>
      <w:r w:rsidR="008D4883" w:rsidRPr="005E2E87">
        <w:t>secukinumab</w:t>
      </w:r>
      <w:r w:rsidR="003448B6" w:rsidRPr="005E2E87">
        <w:t xml:space="preserve">, as </w:t>
      </w:r>
      <w:r w:rsidR="000266A8" w:rsidRPr="005E2E87">
        <w:t xml:space="preserve">immune inhibitors have greater efficacy in patients with </w:t>
      </w:r>
      <w:r w:rsidR="00FF25D7" w:rsidRPr="005E2E87">
        <w:t xml:space="preserve">more inflammatory </w:t>
      </w:r>
      <w:proofErr w:type="gramStart"/>
      <w:r w:rsidR="00FF25D7" w:rsidRPr="005E2E87">
        <w:lastRenderedPageBreak/>
        <w:t>nodules, and</w:t>
      </w:r>
      <w:proofErr w:type="gramEnd"/>
      <w:r w:rsidR="00FF25D7" w:rsidRPr="005E2E87">
        <w:t xml:space="preserve"> </w:t>
      </w:r>
      <w:r w:rsidR="00075EA6" w:rsidRPr="005E2E87">
        <w:t>are less effective</w:t>
      </w:r>
      <w:r w:rsidR="00FF25D7" w:rsidRPr="005E2E87">
        <w:t xml:space="preserve"> in </w:t>
      </w:r>
      <w:r w:rsidR="005720F6" w:rsidRPr="005E2E87">
        <w:t>treating</w:t>
      </w:r>
      <w:r w:rsidR="00FF25D7" w:rsidRPr="005E2E87">
        <w:t xml:space="preserve"> </w:t>
      </w:r>
      <w:r w:rsidR="002905BA" w:rsidRPr="005E2E87">
        <w:t>draining fistulae.</w:t>
      </w:r>
      <w:r w:rsidR="009E62C2" w:rsidRPr="005E2E87">
        <w:rPr>
          <w:rStyle w:val="FootnoteReference"/>
        </w:rPr>
        <w:footnoteReference w:id="4"/>
      </w:r>
    </w:p>
    <w:p w14:paraId="5829BF25" w14:textId="36F0640A" w:rsidR="00BD2244" w:rsidRPr="005E2E87" w:rsidRDefault="00271EA8" w:rsidP="00585D9E">
      <w:pPr>
        <w:pStyle w:val="ListParagraph"/>
        <w:rPr>
          <w:lang w:val="en-US"/>
        </w:rPr>
      </w:pPr>
      <w:r w:rsidRPr="005E2E87">
        <w:t xml:space="preserve">An unreported number of patients enrolled in M10-467 had Hurley Stage I disease, which is milder than </w:t>
      </w:r>
      <w:r w:rsidR="0052315D" w:rsidRPr="005E2E87">
        <w:t>Hurley Stage II and III required for enrolment</w:t>
      </w:r>
      <w:r w:rsidRPr="005E2E87">
        <w:t xml:space="preserve"> in the </w:t>
      </w:r>
      <w:r w:rsidR="008D4883" w:rsidRPr="005E2E87">
        <w:t>secukinumab</w:t>
      </w:r>
      <w:r w:rsidRPr="005E2E87">
        <w:t xml:space="preserve"> </w:t>
      </w:r>
      <w:r w:rsidR="00152E6F" w:rsidRPr="005E2E87">
        <w:t>and</w:t>
      </w:r>
      <w:r w:rsidR="00EF6EAA" w:rsidRPr="005E2E87">
        <w:t xml:space="preserve"> other </w:t>
      </w:r>
      <w:r w:rsidR="008D4883" w:rsidRPr="005E2E87">
        <w:t>adalimumab</w:t>
      </w:r>
      <w:r w:rsidR="00EF6EAA" w:rsidRPr="005E2E87">
        <w:t xml:space="preserve"> trials</w:t>
      </w:r>
      <w:r w:rsidR="00152E6F" w:rsidRPr="005E2E87">
        <w:t>.</w:t>
      </w:r>
      <w:r w:rsidR="00E57BBE" w:rsidRPr="005E2E87">
        <w:t xml:space="preserve"> </w:t>
      </w:r>
      <w:r w:rsidR="00EF6EAA" w:rsidRPr="005E2E87">
        <w:t xml:space="preserve">The other </w:t>
      </w:r>
      <w:r w:rsidR="005762D0" w:rsidRPr="005E2E87">
        <w:t>adalimumab</w:t>
      </w:r>
      <w:r w:rsidR="00EF6EAA" w:rsidRPr="005E2E87">
        <w:t xml:space="preserve"> trials </w:t>
      </w:r>
      <w:r w:rsidR="0009404A" w:rsidRPr="005E2E87">
        <w:t>had</w:t>
      </w:r>
      <w:r w:rsidR="00EF6EAA" w:rsidRPr="005E2E87">
        <w:t xml:space="preserve"> </w:t>
      </w:r>
      <w:r w:rsidR="00CB353A" w:rsidRPr="005E2E87">
        <w:t>a greater proportion of</w:t>
      </w:r>
      <w:r w:rsidR="00EF6EAA" w:rsidRPr="005E2E87">
        <w:t xml:space="preserve"> patients with Hurley Stage III disease compared </w:t>
      </w:r>
      <w:r w:rsidR="00CB353A" w:rsidRPr="005E2E87">
        <w:t>with</w:t>
      </w:r>
      <w:r w:rsidR="00EF6EAA" w:rsidRPr="005E2E87">
        <w:t xml:space="preserve"> the key </w:t>
      </w:r>
      <w:r w:rsidR="008D4883" w:rsidRPr="005E2E87">
        <w:t>secukinumab</w:t>
      </w:r>
      <w:r w:rsidR="00EF6EAA" w:rsidRPr="005E2E87">
        <w:t xml:space="preserve"> trial</w:t>
      </w:r>
      <w:r w:rsidR="000F7955" w:rsidRPr="005E2E87">
        <w:t>s.</w:t>
      </w:r>
      <w:r w:rsidR="00EA6140" w:rsidRPr="005E2E87">
        <w:t xml:space="preserve"> </w:t>
      </w:r>
      <w:r w:rsidR="00591240" w:rsidRPr="005E2E87">
        <w:t xml:space="preserve">It is unclear whether these differences may </w:t>
      </w:r>
      <w:r w:rsidR="00F8736C" w:rsidRPr="005E2E87">
        <w:t xml:space="preserve">have </w:t>
      </w:r>
      <w:r w:rsidR="00591240" w:rsidRPr="005E2E87">
        <w:t>bias</w:t>
      </w:r>
      <w:r w:rsidR="00F8736C" w:rsidRPr="005E2E87">
        <w:t>ed</w:t>
      </w:r>
      <w:r w:rsidR="00591240" w:rsidRPr="005E2E87">
        <w:t xml:space="preserve"> efficacy</w:t>
      </w:r>
      <w:r w:rsidR="00F36DE2" w:rsidRPr="005E2E87">
        <w:t xml:space="preserve"> outcomes</w:t>
      </w:r>
      <w:r w:rsidR="00591240" w:rsidRPr="005E2E87">
        <w:t>.</w:t>
      </w:r>
    </w:p>
    <w:p w14:paraId="1411A4AB" w14:textId="1206CA74" w:rsidR="006A6BAF" w:rsidRPr="002857DE" w:rsidRDefault="006D550D" w:rsidP="002857DE">
      <w:pPr>
        <w:ind w:left="774"/>
        <w:rPr>
          <w:rFonts w:ascii="Arial Narrow" w:hAnsi="Arial Narrow"/>
          <w:b/>
          <w:bCs/>
          <w:sz w:val="20"/>
          <w:szCs w:val="18"/>
        </w:rPr>
      </w:pPr>
      <w:r w:rsidRPr="005E2E87">
        <w:t>The SHARPS trial design and population were distinct from the other trials</w:t>
      </w:r>
      <w:r w:rsidR="00622F70" w:rsidRPr="005E2E87">
        <w:t xml:space="preserve"> </w:t>
      </w:r>
      <w:r w:rsidR="006F46CE">
        <w:t>included in</w:t>
      </w:r>
      <w:r w:rsidR="006F46CE" w:rsidRPr="005E2E87">
        <w:t xml:space="preserve"> </w:t>
      </w:r>
      <w:r w:rsidR="00622F70" w:rsidRPr="005E2E87">
        <w:t>the ITC</w:t>
      </w:r>
      <w:r w:rsidR="00B51899" w:rsidRPr="005E2E87">
        <w:t xml:space="preserve">, as it was designed to evaluate the perioperative efficacy of </w:t>
      </w:r>
      <w:r w:rsidR="005762D0" w:rsidRPr="005E2E87">
        <w:t>adalimumab</w:t>
      </w:r>
      <w:r w:rsidR="00B51899" w:rsidRPr="005E2E87">
        <w:t xml:space="preserve"> in patients with moderate to severe HS who required radical surgery in an axillary or inguinal region, and had 2 other anatomical regions affected, with 1 or more regions at Hurley stage II or III. </w:t>
      </w:r>
      <w:r w:rsidR="00332D46" w:rsidRPr="005E2E87">
        <w:t>The patient population of SHARPS had</w:t>
      </w:r>
      <w:r w:rsidR="00DF1405" w:rsidRPr="005E2E87">
        <w:t xml:space="preserve"> a lower inflammatory nodule count than the other trials, and </w:t>
      </w:r>
      <w:r w:rsidR="00044A50" w:rsidRPr="005E2E87">
        <w:t xml:space="preserve">a </w:t>
      </w:r>
      <w:proofErr w:type="gramStart"/>
      <w:r w:rsidR="00044A50" w:rsidRPr="005E2E87">
        <w:t>high draining fistulae</w:t>
      </w:r>
      <w:proofErr w:type="gramEnd"/>
      <w:r w:rsidR="00044A50" w:rsidRPr="005E2E87">
        <w:t xml:space="preserve"> count, which </w:t>
      </w:r>
      <w:r w:rsidR="00A02CD6" w:rsidRPr="005E2E87">
        <w:t>likely</w:t>
      </w:r>
      <w:r w:rsidR="00044A50" w:rsidRPr="005E2E87">
        <w:t xml:space="preserve"> </w:t>
      </w:r>
      <w:r w:rsidR="00142DB7" w:rsidRPr="005E2E87">
        <w:t>reduced</w:t>
      </w:r>
      <w:r w:rsidR="00044A50" w:rsidRPr="005E2E87">
        <w:t xml:space="preserve"> the </w:t>
      </w:r>
      <w:r w:rsidR="00A02CD6" w:rsidRPr="005E2E87">
        <w:t xml:space="preserve">apparent </w:t>
      </w:r>
      <w:r w:rsidR="00044A50" w:rsidRPr="005E2E87">
        <w:t xml:space="preserve">efficacy of </w:t>
      </w:r>
      <w:r w:rsidR="005762D0" w:rsidRPr="005E2E87">
        <w:t>adalimumab</w:t>
      </w:r>
      <w:r w:rsidR="00044A50" w:rsidRPr="005E2E87">
        <w:t xml:space="preserve">. </w:t>
      </w:r>
      <w:r w:rsidR="006051FC" w:rsidRPr="005E2E87">
        <w:t xml:space="preserve">This difference can be seen when comparing the efficacy described by SHARPS with the other </w:t>
      </w:r>
      <w:r w:rsidR="005762D0" w:rsidRPr="005E2E87">
        <w:t>adalimumab</w:t>
      </w:r>
      <w:r w:rsidR="006051FC" w:rsidRPr="005E2E87">
        <w:t xml:space="preserve"> trials, in </w:t>
      </w:r>
      <w:r w:rsidR="006051FC" w:rsidRPr="005E2E87">
        <w:rPr>
          <w:rFonts w:asciiTheme="minorHAnsi" w:hAnsiTheme="minorHAnsi"/>
          <w:snapToGrid w:val="0"/>
          <w:lang w:val="en-GB"/>
        </w:rPr>
        <w:fldChar w:fldCharType="begin" w:fldLock="1"/>
      </w:r>
      <w:r w:rsidR="006051FC" w:rsidRPr="005E2E87">
        <w:instrText xml:space="preserve"> REF _Ref134106012 \h  \* MERGEFORMAT </w:instrText>
      </w:r>
      <w:r w:rsidR="006051FC" w:rsidRPr="005E2E87">
        <w:rPr>
          <w:rFonts w:asciiTheme="minorHAnsi" w:hAnsiTheme="minorHAnsi"/>
          <w:snapToGrid w:val="0"/>
          <w:lang w:val="en-GB"/>
        </w:rPr>
      </w:r>
      <w:r w:rsidR="006051FC" w:rsidRPr="005E2E87">
        <w:rPr>
          <w:rFonts w:asciiTheme="minorHAnsi" w:hAnsiTheme="minorHAnsi"/>
          <w:snapToGrid w:val="0"/>
          <w:lang w:val="en-GB"/>
        </w:rPr>
        <w:fldChar w:fldCharType="separate"/>
      </w:r>
      <w:r w:rsidR="000F75DF">
        <w:t xml:space="preserve">Table </w:t>
      </w:r>
      <w:r w:rsidR="000F75DF">
        <w:rPr>
          <w:noProof/>
        </w:rPr>
        <w:t>8</w:t>
      </w:r>
      <w:r w:rsidR="006051FC" w:rsidRPr="005E2E87">
        <w:rPr>
          <w:rFonts w:asciiTheme="minorHAnsi" w:hAnsiTheme="minorHAnsi"/>
          <w:snapToGrid w:val="0"/>
          <w:lang w:val="en-GB"/>
        </w:rPr>
        <w:fldChar w:fldCharType="end"/>
      </w:r>
      <w:r w:rsidR="006051FC" w:rsidRPr="005E2E87">
        <w:t xml:space="preserve"> below.</w:t>
      </w:r>
      <w:bookmarkStart w:id="27" w:name="_Ref134091102"/>
    </w:p>
    <w:p w14:paraId="5F95BB5F" w14:textId="2F4E2D26" w:rsidR="00184DD4" w:rsidRDefault="00184DD4" w:rsidP="00614B68">
      <w:pPr>
        <w:pStyle w:val="Caption"/>
      </w:pPr>
      <w:r>
        <w:t xml:space="preserve">Table </w:t>
      </w:r>
      <w:r>
        <w:fldChar w:fldCharType="begin" w:fldLock="1"/>
      </w:r>
      <w:r>
        <w:instrText>SEQ Table \* ARABIC</w:instrText>
      </w:r>
      <w:r>
        <w:fldChar w:fldCharType="separate"/>
      </w:r>
      <w:r w:rsidR="000F75DF">
        <w:rPr>
          <w:noProof/>
        </w:rPr>
        <w:t>7</w:t>
      </w:r>
      <w:r>
        <w:fldChar w:fldCharType="end"/>
      </w:r>
      <w:bookmarkEnd w:id="27"/>
      <w:r>
        <w:t>: Key disease characteristics of patients in the direct randomised trials</w:t>
      </w:r>
    </w:p>
    <w:tbl>
      <w:tblPr>
        <w:tblStyle w:val="THM"/>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27"/>
        <w:gridCol w:w="541"/>
        <w:gridCol w:w="1064"/>
        <w:gridCol w:w="1374"/>
        <w:gridCol w:w="1062"/>
        <w:gridCol w:w="1062"/>
        <w:gridCol w:w="803"/>
      </w:tblGrid>
      <w:tr w:rsidR="00041E7B" w:rsidRPr="00926212" w14:paraId="0514FFB7" w14:textId="77777777" w:rsidTr="00041E7B">
        <w:trPr>
          <w:cnfStyle w:val="100000000000" w:firstRow="1" w:lastRow="0" w:firstColumn="0" w:lastColumn="0" w:oddVBand="0" w:evenVBand="0" w:oddHBand="0" w:evenHBand="0" w:firstRowFirstColumn="0" w:firstRowLastColumn="0" w:lastRowFirstColumn="0" w:lastRowLastColumn="0"/>
          <w:trHeight w:val="20"/>
        </w:trPr>
        <w:tc>
          <w:tcPr>
            <w:tcW w:w="712" w:type="pct"/>
            <w:tcBorders>
              <w:top w:val="single" w:sz="4" w:space="0" w:color="auto"/>
              <w:left w:val="single" w:sz="4" w:space="0" w:color="auto"/>
              <w:right w:val="single" w:sz="4" w:space="0" w:color="auto"/>
            </w:tcBorders>
            <w:shd w:val="clear" w:color="auto" w:fill="auto"/>
            <w:noWrap/>
          </w:tcPr>
          <w:p w14:paraId="4680C3C8" w14:textId="77777777" w:rsidR="00EE0369" w:rsidRPr="00926212" w:rsidRDefault="00EE0369" w:rsidP="00614B68">
            <w:pPr>
              <w:pStyle w:val="PBACTableText"/>
              <w:keepNext/>
              <w:keepLines/>
              <w:spacing w:before="0" w:after="0"/>
              <w:rPr>
                <w:rFonts w:eastAsiaTheme="minorHAnsi"/>
                <w:lang w:eastAsia="en-US"/>
              </w:rPr>
            </w:pPr>
            <w:r w:rsidRPr="00926212">
              <w:rPr>
                <w:rFonts w:eastAsiaTheme="minorHAnsi"/>
                <w:lang w:eastAsia="en-US"/>
              </w:rPr>
              <w:t>Study Name</w:t>
            </w:r>
          </w:p>
        </w:tc>
        <w:tc>
          <w:tcPr>
            <w:tcW w:w="1013" w:type="pct"/>
            <w:tcBorders>
              <w:top w:val="single" w:sz="4" w:space="0" w:color="auto"/>
              <w:left w:val="single" w:sz="4" w:space="0" w:color="auto"/>
              <w:right w:val="single" w:sz="4" w:space="0" w:color="auto"/>
            </w:tcBorders>
            <w:shd w:val="clear" w:color="auto" w:fill="auto"/>
            <w:noWrap/>
          </w:tcPr>
          <w:p w14:paraId="54E3B0FD" w14:textId="77777777" w:rsidR="00EE0369" w:rsidRPr="00926212" w:rsidRDefault="00EE0369" w:rsidP="00614B68">
            <w:pPr>
              <w:pStyle w:val="PBACTableText"/>
              <w:keepNext/>
              <w:keepLines/>
              <w:spacing w:before="0" w:after="0"/>
              <w:rPr>
                <w:rFonts w:eastAsiaTheme="minorHAnsi"/>
                <w:lang w:eastAsia="en-US"/>
              </w:rPr>
            </w:pPr>
            <w:r w:rsidRPr="00926212">
              <w:rPr>
                <w:rFonts w:eastAsiaTheme="minorHAnsi"/>
                <w:lang w:eastAsia="en-US"/>
              </w:rPr>
              <w:t>Treatment arm</w:t>
            </w:r>
          </w:p>
        </w:tc>
        <w:tc>
          <w:tcPr>
            <w:tcW w:w="300" w:type="pct"/>
            <w:tcBorders>
              <w:top w:val="single" w:sz="4" w:space="0" w:color="auto"/>
              <w:left w:val="single" w:sz="4" w:space="0" w:color="auto"/>
              <w:right w:val="single" w:sz="4" w:space="0" w:color="auto"/>
            </w:tcBorders>
            <w:shd w:val="clear" w:color="auto" w:fill="auto"/>
            <w:noWrap/>
          </w:tcPr>
          <w:p w14:paraId="3E09B1E0" w14:textId="77777777" w:rsidR="00EE0369" w:rsidRPr="00926212" w:rsidRDefault="00EE0369" w:rsidP="00614B68">
            <w:pPr>
              <w:pStyle w:val="PBACTableText"/>
              <w:keepNext/>
              <w:keepLines/>
              <w:spacing w:before="0" w:after="0"/>
              <w:rPr>
                <w:rFonts w:eastAsiaTheme="minorHAnsi"/>
                <w:lang w:eastAsia="en-US"/>
              </w:rPr>
            </w:pPr>
            <w:r w:rsidRPr="00926212">
              <w:rPr>
                <w:rFonts w:eastAsiaTheme="minorHAnsi"/>
                <w:lang w:eastAsia="en-US"/>
              </w:rPr>
              <w:t>N</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4F9C1A8" w14:textId="77777777" w:rsidR="00EE0369" w:rsidRPr="00926212" w:rsidRDefault="00EE0369" w:rsidP="00614B68">
            <w:pPr>
              <w:pStyle w:val="PBACTableText"/>
              <w:keepNext/>
              <w:keepLines/>
              <w:spacing w:before="0" w:after="0"/>
              <w:jc w:val="center"/>
              <w:rPr>
                <w:rFonts w:eastAsiaTheme="minorHAnsi"/>
                <w:lang w:eastAsia="en-US"/>
              </w:rPr>
            </w:pPr>
            <w:r w:rsidRPr="00926212">
              <w:rPr>
                <w:rFonts w:eastAsiaTheme="minorHAnsi"/>
                <w:lang w:eastAsia="en-US"/>
              </w:rPr>
              <w:t>Disease duration (Years)</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7597E947" w14:textId="77777777" w:rsidR="00EE0369" w:rsidRPr="00926212" w:rsidRDefault="00EE0369" w:rsidP="00614B68">
            <w:pPr>
              <w:pStyle w:val="PBACTableText"/>
              <w:keepNext/>
              <w:keepLines/>
              <w:spacing w:before="0" w:after="0"/>
              <w:jc w:val="center"/>
            </w:pPr>
            <w:r w:rsidRPr="00926212">
              <w:t>Inflammatory nodule count</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5FDD4639" w14:textId="6E0AEAD6" w:rsidR="00EE0369" w:rsidRPr="00926212" w:rsidRDefault="00EE0369" w:rsidP="00614B68">
            <w:pPr>
              <w:pStyle w:val="PBACTableText"/>
              <w:keepNext/>
              <w:keepLines/>
              <w:spacing w:before="0" w:after="0"/>
              <w:jc w:val="center"/>
            </w:pPr>
            <w:r w:rsidRPr="00926212">
              <w:t>Abscess count</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6DBD53E" w14:textId="33DFFDC5" w:rsidR="00EE0369" w:rsidRPr="00926212" w:rsidRDefault="00EE0369" w:rsidP="00614B68">
            <w:pPr>
              <w:pStyle w:val="PBACTableText"/>
              <w:keepNext/>
              <w:keepLines/>
              <w:spacing w:before="0" w:after="0"/>
              <w:jc w:val="center"/>
              <w:rPr>
                <w:rFonts w:eastAsiaTheme="minorHAnsi"/>
              </w:rPr>
            </w:pPr>
            <w:r w:rsidRPr="00926212">
              <w:t>Draining fistulae count</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17391CDD" w14:textId="5B19AEFF" w:rsidR="00EE0369" w:rsidRPr="00926212" w:rsidRDefault="00EE0369" w:rsidP="00614B68">
            <w:pPr>
              <w:pStyle w:val="PBACTableText"/>
              <w:keepNext/>
              <w:keepLines/>
              <w:spacing w:before="0" w:after="0"/>
              <w:jc w:val="center"/>
            </w:pPr>
            <w:r w:rsidRPr="00926212">
              <w:t xml:space="preserve">Hurley stage </w:t>
            </w:r>
            <w:r w:rsidRPr="00926212">
              <w:fldChar w:fldCharType="begin" w:fldLock="1"/>
            </w:r>
            <w:r w:rsidRPr="00926212">
              <w:rPr>
                <w:lang w:eastAsia="zh-CN"/>
              </w:rPr>
              <w:instrText xml:space="preserve"> = 3 \* ROMAN </w:instrText>
            </w:r>
            <w:r w:rsidRPr="00926212">
              <w:fldChar w:fldCharType="separate"/>
            </w:r>
            <w:r w:rsidR="005646F7">
              <w:rPr>
                <w:noProof/>
                <w:lang w:eastAsia="zh-CN"/>
              </w:rPr>
              <w:t>III</w:t>
            </w:r>
            <w:r w:rsidRPr="00926212">
              <w:fldChar w:fldCharType="end"/>
            </w:r>
          </w:p>
        </w:tc>
      </w:tr>
      <w:tr w:rsidR="00452771" w:rsidRPr="00926212" w14:paraId="0AF49C38" w14:textId="77777777" w:rsidTr="00041E7B">
        <w:trPr>
          <w:trHeight w:val="20"/>
        </w:trPr>
        <w:tc>
          <w:tcPr>
            <w:tcW w:w="712" w:type="pct"/>
            <w:tcBorders>
              <w:top w:val="nil"/>
              <w:left w:val="single" w:sz="4" w:space="0" w:color="auto"/>
              <w:bottom w:val="single" w:sz="4" w:space="0" w:color="auto"/>
              <w:right w:val="single" w:sz="4" w:space="0" w:color="auto"/>
            </w:tcBorders>
            <w:shd w:val="clear" w:color="auto" w:fill="auto"/>
            <w:noWrap/>
          </w:tcPr>
          <w:p w14:paraId="11A2B027" w14:textId="77777777" w:rsidR="00EE0369" w:rsidRPr="00926212" w:rsidRDefault="00EE0369" w:rsidP="00614B68">
            <w:pPr>
              <w:pStyle w:val="PBACTableText"/>
              <w:keepNext/>
              <w:keepLines/>
              <w:spacing w:before="0" w:after="0"/>
              <w:rPr>
                <w:rFonts w:cstheme="minorHAnsi"/>
                <w:color w:val="000000"/>
              </w:rPr>
            </w:pPr>
          </w:p>
        </w:tc>
        <w:tc>
          <w:tcPr>
            <w:tcW w:w="1013" w:type="pct"/>
            <w:tcBorders>
              <w:top w:val="nil"/>
              <w:left w:val="single" w:sz="4" w:space="0" w:color="auto"/>
              <w:bottom w:val="single" w:sz="4" w:space="0" w:color="auto"/>
              <w:right w:val="single" w:sz="4" w:space="0" w:color="auto"/>
            </w:tcBorders>
            <w:shd w:val="clear" w:color="auto" w:fill="auto"/>
            <w:noWrap/>
          </w:tcPr>
          <w:p w14:paraId="294C8323" w14:textId="77777777" w:rsidR="00EE0369" w:rsidRPr="00926212" w:rsidRDefault="00EE0369" w:rsidP="00614B68">
            <w:pPr>
              <w:pStyle w:val="PBACTableText"/>
              <w:keepNext/>
              <w:keepLines/>
              <w:spacing w:before="0" w:after="0"/>
              <w:rPr>
                <w:rFonts w:cstheme="minorHAnsi"/>
                <w:color w:val="000000"/>
              </w:rPr>
            </w:pPr>
          </w:p>
        </w:tc>
        <w:tc>
          <w:tcPr>
            <w:tcW w:w="300" w:type="pct"/>
            <w:tcBorders>
              <w:top w:val="nil"/>
              <w:left w:val="single" w:sz="4" w:space="0" w:color="auto"/>
              <w:bottom w:val="single" w:sz="4" w:space="0" w:color="auto"/>
              <w:right w:val="single" w:sz="4" w:space="0" w:color="auto"/>
            </w:tcBorders>
            <w:shd w:val="clear" w:color="auto" w:fill="auto"/>
            <w:noWrap/>
            <w:vAlign w:val="center"/>
          </w:tcPr>
          <w:p w14:paraId="774FADAD" w14:textId="77777777" w:rsidR="00EE0369" w:rsidRPr="00926212" w:rsidRDefault="00EE0369" w:rsidP="00614B68">
            <w:pPr>
              <w:pStyle w:val="PBACTableText"/>
              <w:keepNext/>
              <w:keepLines/>
              <w:spacing w:before="0" w:after="0"/>
              <w:rPr>
                <w:rFonts w:cstheme="minorHAnsi"/>
                <w:color w:val="000000"/>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6C6CF7E" w14:textId="77777777" w:rsidR="00EE0369" w:rsidRPr="00926212" w:rsidRDefault="00EE0369" w:rsidP="00614B68">
            <w:pPr>
              <w:pStyle w:val="PBACTableText"/>
              <w:keepNext/>
              <w:keepLines/>
              <w:spacing w:before="0" w:after="0"/>
              <w:jc w:val="center"/>
              <w:rPr>
                <w:rFonts w:eastAsiaTheme="minorHAnsi"/>
                <w:lang w:eastAsia="en-US"/>
              </w:rPr>
            </w:pPr>
            <w:r w:rsidRPr="00926212">
              <w:rPr>
                <w:rFonts w:eastAsiaTheme="minorHAnsi"/>
                <w:lang w:eastAsia="en-US"/>
              </w:rPr>
              <w:t>Mean±SD</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737BA42C" w14:textId="77777777" w:rsidR="00EE0369" w:rsidRPr="00926212" w:rsidRDefault="00EE0369" w:rsidP="00614B68">
            <w:pPr>
              <w:pStyle w:val="PBACTableText"/>
              <w:keepNext/>
              <w:keepLines/>
              <w:spacing w:before="0" w:after="0"/>
              <w:jc w:val="center"/>
            </w:pPr>
            <w:r w:rsidRPr="00926212">
              <w:rPr>
                <w:rFonts w:eastAsiaTheme="minorHAnsi"/>
                <w:lang w:eastAsia="en-US"/>
              </w:rPr>
              <w:t>Mean</w:t>
            </w:r>
            <w:r w:rsidRPr="00926212">
              <w:rPr>
                <w:rFonts w:cstheme="minorHAnsi"/>
                <w:color w:val="000000"/>
              </w:rPr>
              <w:t>±SD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956254B" w14:textId="77777777" w:rsidR="00EE0369" w:rsidRPr="00926212" w:rsidRDefault="00EE0369" w:rsidP="00614B68">
            <w:pPr>
              <w:pStyle w:val="PBACTableText"/>
              <w:keepNext/>
              <w:keepLines/>
              <w:spacing w:before="0" w:after="0"/>
              <w:jc w:val="center"/>
            </w:pPr>
            <w:r w:rsidRPr="00926212">
              <w:rPr>
                <w:rFonts w:eastAsiaTheme="minorHAnsi"/>
                <w:lang w:eastAsia="en-US"/>
              </w:rPr>
              <w:t>Mean</w:t>
            </w:r>
            <w:r w:rsidRPr="00926212">
              <w:rPr>
                <w:rFonts w:cstheme="minorHAnsi"/>
                <w:color w:val="000000"/>
              </w:rPr>
              <w:t>±SD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8E18B15" w14:textId="77777777" w:rsidR="00EE0369" w:rsidRPr="00926212" w:rsidRDefault="00EE0369" w:rsidP="00614B68">
            <w:pPr>
              <w:pStyle w:val="PBACTableText"/>
              <w:keepNext/>
              <w:keepLines/>
              <w:spacing w:before="0" w:after="0"/>
              <w:jc w:val="center"/>
              <w:rPr>
                <w:rFonts w:eastAsiaTheme="minorHAnsi"/>
              </w:rPr>
            </w:pPr>
            <w:r w:rsidRPr="00926212">
              <w:rPr>
                <w:rFonts w:eastAsiaTheme="minorHAnsi"/>
                <w:lang w:eastAsia="en-US"/>
              </w:rPr>
              <w:t>Mean</w:t>
            </w:r>
            <w:r w:rsidRPr="00926212">
              <w:rPr>
                <w:rFonts w:cstheme="minorHAnsi"/>
                <w:color w:val="000000"/>
              </w:rPr>
              <w:t>±SD</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21CB2FC7" w14:textId="77777777" w:rsidR="00EE0369" w:rsidRPr="00926212" w:rsidRDefault="00EE0369" w:rsidP="00614B68">
            <w:pPr>
              <w:pStyle w:val="PBACTableText"/>
              <w:keepNext/>
              <w:keepLines/>
              <w:spacing w:before="0" w:after="0"/>
              <w:jc w:val="center"/>
            </w:pPr>
            <w:r w:rsidRPr="00926212">
              <w:t>%</w:t>
            </w:r>
          </w:p>
        </w:tc>
      </w:tr>
      <w:tr w:rsidR="00452771" w:rsidRPr="00926212" w14:paraId="63567AFD" w14:textId="77777777" w:rsidTr="00041E7B">
        <w:trPr>
          <w:trHeight w:val="20"/>
        </w:trPr>
        <w:tc>
          <w:tcPr>
            <w:tcW w:w="712" w:type="pct"/>
            <w:vMerge w:val="restart"/>
            <w:tcBorders>
              <w:left w:val="single" w:sz="4" w:space="0" w:color="auto"/>
              <w:right w:val="single" w:sz="4" w:space="0" w:color="auto"/>
            </w:tcBorders>
            <w:noWrap/>
          </w:tcPr>
          <w:p w14:paraId="6519C94A" w14:textId="46322593" w:rsidR="00EE0369" w:rsidRPr="00926212" w:rsidRDefault="00CF00F7" w:rsidP="00614B68">
            <w:pPr>
              <w:pStyle w:val="PBACTableText"/>
              <w:keepNext/>
              <w:keepLines/>
              <w:spacing w:before="0" w:after="0"/>
              <w:rPr>
                <w:rFonts w:cstheme="minorHAnsi"/>
                <w:color w:val="000000"/>
              </w:rPr>
            </w:pPr>
            <w:r w:rsidRPr="00926212">
              <w:rPr>
                <w:rFonts w:cstheme="minorHAnsi"/>
                <w:color w:val="000000"/>
              </w:rPr>
              <w:t>SUNSHINE</w:t>
            </w:r>
          </w:p>
        </w:tc>
        <w:tc>
          <w:tcPr>
            <w:tcW w:w="1013" w:type="pct"/>
            <w:tcBorders>
              <w:left w:val="single" w:sz="4" w:space="0" w:color="auto"/>
              <w:bottom w:val="nil"/>
              <w:right w:val="single" w:sz="4" w:space="0" w:color="auto"/>
            </w:tcBorders>
            <w:noWrap/>
          </w:tcPr>
          <w:p w14:paraId="294BF786"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SEC Q2W</w:t>
            </w:r>
          </w:p>
        </w:tc>
        <w:tc>
          <w:tcPr>
            <w:tcW w:w="300" w:type="pct"/>
            <w:tcBorders>
              <w:left w:val="single" w:sz="4" w:space="0" w:color="auto"/>
              <w:bottom w:val="nil"/>
              <w:right w:val="single" w:sz="4" w:space="0" w:color="auto"/>
            </w:tcBorders>
            <w:noWrap/>
            <w:vAlign w:val="center"/>
          </w:tcPr>
          <w:p w14:paraId="626388C6"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181</w:t>
            </w:r>
          </w:p>
        </w:tc>
        <w:tc>
          <w:tcPr>
            <w:tcW w:w="590" w:type="pct"/>
            <w:tcBorders>
              <w:left w:val="single" w:sz="4" w:space="0" w:color="auto"/>
              <w:bottom w:val="nil"/>
              <w:right w:val="single" w:sz="4" w:space="0" w:color="auto"/>
            </w:tcBorders>
            <w:vAlign w:val="center"/>
          </w:tcPr>
          <w:p w14:paraId="1F82FD82"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7.4</w:t>
            </w:r>
            <w:r w:rsidRPr="00926212">
              <w:rPr>
                <w:rFonts w:eastAsiaTheme="minorHAnsi"/>
                <w:lang w:eastAsia="en-US"/>
              </w:rPr>
              <w:t>±8.0</w:t>
            </w:r>
          </w:p>
        </w:tc>
        <w:tc>
          <w:tcPr>
            <w:tcW w:w="762" w:type="pct"/>
            <w:tcBorders>
              <w:left w:val="single" w:sz="4" w:space="0" w:color="auto"/>
              <w:bottom w:val="nil"/>
              <w:right w:val="single" w:sz="4" w:space="0" w:color="auto"/>
            </w:tcBorders>
            <w:vAlign w:val="center"/>
          </w:tcPr>
          <w:p w14:paraId="71E98A96" w14:textId="77777777" w:rsidR="00EE0369" w:rsidRPr="00926212" w:rsidRDefault="00EE0369" w:rsidP="00614B68">
            <w:pPr>
              <w:pStyle w:val="PBACTableText"/>
              <w:keepNext/>
              <w:keepLines/>
              <w:spacing w:before="0" w:after="0"/>
              <w:jc w:val="center"/>
              <w:rPr>
                <w:rFonts w:cstheme="minorHAnsi"/>
              </w:rPr>
            </w:pPr>
            <w:r w:rsidRPr="00926212">
              <w:rPr>
                <w:rFonts w:cstheme="minorHAnsi"/>
                <w:color w:val="000000"/>
              </w:rPr>
              <w:t>10.1</w:t>
            </w:r>
            <w:r w:rsidRPr="00926212">
              <w:rPr>
                <w:rFonts w:eastAsiaTheme="minorHAnsi"/>
                <w:lang w:eastAsia="en-US"/>
              </w:rPr>
              <w:t>±7.8</w:t>
            </w:r>
          </w:p>
        </w:tc>
        <w:tc>
          <w:tcPr>
            <w:tcW w:w="589" w:type="pct"/>
            <w:tcBorders>
              <w:left w:val="single" w:sz="4" w:space="0" w:color="auto"/>
              <w:bottom w:val="nil"/>
              <w:right w:val="single" w:sz="4" w:space="0" w:color="auto"/>
            </w:tcBorders>
          </w:tcPr>
          <w:p w14:paraId="2776931B"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2.9</w:t>
            </w:r>
            <w:r w:rsidRPr="00926212">
              <w:rPr>
                <w:rFonts w:eastAsiaTheme="minorHAnsi"/>
                <w:lang w:eastAsia="en-US"/>
              </w:rPr>
              <w:t>±4.3</w:t>
            </w:r>
          </w:p>
        </w:tc>
        <w:tc>
          <w:tcPr>
            <w:tcW w:w="589" w:type="pct"/>
            <w:tcBorders>
              <w:left w:val="single" w:sz="4" w:space="0" w:color="auto"/>
              <w:bottom w:val="nil"/>
              <w:right w:val="single" w:sz="4" w:space="0" w:color="auto"/>
            </w:tcBorders>
          </w:tcPr>
          <w:p w14:paraId="0AF63AF8"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2.9</w:t>
            </w:r>
            <w:r w:rsidRPr="00926212">
              <w:rPr>
                <w:rFonts w:eastAsiaTheme="minorHAnsi"/>
                <w:lang w:eastAsia="en-US"/>
              </w:rPr>
              <w:t>±3.4</w:t>
            </w:r>
          </w:p>
        </w:tc>
        <w:tc>
          <w:tcPr>
            <w:tcW w:w="445" w:type="pct"/>
            <w:tcBorders>
              <w:left w:val="single" w:sz="4" w:space="0" w:color="auto"/>
              <w:bottom w:val="nil"/>
              <w:right w:val="single" w:sz="4" w:space="0" w:color="auto"/>
            </w:tcBorders>
          </w:tcPr>
          <w:p w14:paraId="0CBDAB04"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38.7</w:t>
            </w:r>
          </w:p>
        </w:tc>
      </w:tr>
      <w:tr w:rsidR="00452771" w:rsidRPr="00926212" w14:paraId="7A02B9FF" w14:textId="77777777" w:rsidTr="00041E7B">
        <w:trPr>
          <w:trHeight w:val="20"/>
        </w:trPr>
        <w:tc>
          <w:tcPr>
            <w:tcW w:w="712" w:type="pct"/>
            <w:vMerge/>
            <w:tcBorders>
              <w:left w:val="single" w:sz="4" w:space="0" w:color="auto"/>
              <w:right w:val="single" w:sz="4" w:space="0" w:color="auto"/>
            </w:tcBorders>
            <w:noWrap/>
          </w:tcPr>
          <w:p w14:paraId="07B92124" w14:textId="77777777" w:rsidR="00EE0369" w:rsidRPr="00926212" w:rsidRDefault="00EE0369" w:rsidP="00614B68">
            <w:pPr>
              <w:pStyle w:val="PBACTableText"/>
              <w:keepNext/>
              <w:keepLines/>
              <w:spacing w:before="0" w:after="0"/>
              <w:rPr>
                <w:rFonts w:cstheme="minorHAnsi"/>
                <w:color w:val="000000"/>
              </w:rPr>
            </w:pPr>
          </w:p>
        </w:tc>
        <w:tc>
          <w:tcPr>
            <w:tcW w:w="1013" w:type="pct"/>
            <w:tcBorders>
              <w:top w:val="nil"/>
              <w:left w:val="single" w:sz="4" w:space="0" w:color="auto"/>
              <w:bottom w:val="nil"/>
              <w:right w:val="single" w:sz="4" w:space="0" w:color="auto"/>
            </w:tcBorders>
            <w:noWrap/>
          </w:tcPr>
          <w:p w14:paraId="643924C3"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SEC Q4W</w:t>
            </w:r>
          </w:p>
        </w:tc>
        <w:tc>
          <w:tcPr>
            <w:tcW w:w="300" w:type="pct"/>
            <w:tcBorders>
              <w:top w:val="nil"/>
              <w:left w:val="single" w:sz="4" w:space="0" w:color="auto"/>
              <w:bottom w:val="nil"/>
              <w:right w:val="single" w:sz="4" w:space="0" w:color="auto"/>
            </w:tcBorders>
            <w:noWrap/>
            <w:vAlign w:val="center"/>
          </w:tcPr>
          <w:p w14:paraId="7F444000"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180</w:t>
            </w:r>
          </w:p>
        </w:tc>
        <w:tc>
          <w:tcPr>
            <w:tcW w:w="590" w:type="pct"/>
            <w:tcBorders>
              <w:top w:val="nil"/>
              <w:left w:val="single" w:sz="4" w:space="0" w:color="auto"/>
              <w:bottom w:val="nil"/>
              <w:right w:val="single" w:sz="4" w:space="0" w:color="auto"/>
            </w:tcBorders>
            <w:vAlign w:val="center"/>
          </w:tcPr>
          <w:p w14:paraId="7858472B"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6.6</w:t>
            </w:r>
            <w:r w:rsidRPr="00926212">
              <w:rPr>
                <w:rFonts w:eastAsiaTheme="minorHAnsi"/>
                <w:lang w:eastAsia="en-US"/>
              </w:rPr>
              <w:t>±6.7</w:t>
            </w:r>
          </w:p>
        </w:tc>
        <w:tc>
          <w:tcPr>
            <w:tcW w:w="762" w:type="pct"/>
            <w:tcBorders>
              <w:top w:val="nil"/>
              <w:left w:val="single" w:sz="4" w:space="0" w:color="auto"/>
              <w:bottom w:val="nil"/>
              <w:right w:val="single" w:sz="4" w:space="0" w:color="auto"/>
            </w:tcBorders>
            <w:vAlign w:val="center"/>
          </w:tcPr>
          <w:p w14:paraId="74E5D19B" w14:textId="77777777" w:rsidR="00EE0369" w:rsidRPr="00926212" w:rsidRDefault="00EE0369" w:rsidP="00614B68">
            <w:pPr>
              <w:pStyle w:val="PBACTableText"/>
              <w:keepNext/>
              <w:keepLines/>
              <w:spacing w:before="0" w:after="0"/>
              <w:jc w:val="center"/>
              <w:rPr>
                <w:rFonts w:cstheme="minorHAnsi"/>
              </w:rPr>
            </w:pPr>
            <w:r w:rsidRPr="00926212">
              <w:t>9.9</w:t>
            </w:r>
            <w:r w:rsidRPr="00926212">
              <w:rPr>
                <w:rFonts w:eastAsiaTheme="minorHAnsi"/>
                <w:lang w:eastAsia="en-US"/>
              </w:rPr>
              <w:t>±7.6</w:t>
            </w:r>
          </w:p>
        </w:tc>
        <w:tc>
          <w:tcPr>
            <w:tcW w:w="589" w:type="pct"/>
            <w:tcBorders>
              <w:top w:val="nil"/>
              <w:left w:val="single" w:sz="4" w:space="0" w:color="auto"/>
              <w:bottom w:val="nil"/>
              <w:right w:val="single" w:sz="4" w:space="0" w:color="auto"/>
            </w:tcBorders>
          </w:tcPr>
          <w:p w14:paraId="2FA71F6C"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2.7</w:t>
            </w:r>
            <w:r w:rsidRPr="00926212">
              <w:rPr>
                <w:rFonts w:eastAsiaTheme="minorHAnsi"/>
                <w:lang w:eastAsia="en-US"/>
              </w:rPr>
              <w:t>±4.0</w:t>
            </w:r>
          </w:p>
        </w:tc>
        <w:tc>
          <w:tcPr>
            <w:tcW w:w="589" w:type="pct"/>
            <w:tcBorders>
              <w:top w:val="nil"/>
              <w:left w:val="single" w:sz="4" w:space="0" w:color="auto"/>
              <w:bottom w:val="nil"/>
              <w:right w:val="single" w:sz="4" w:space="0" w:color="auto"/>
            </w:tcBorders>
          </w:tcPr>
          <w:p w14:paraId="396D2C4E"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2.5</w:t>
            </w:r>
            <w:r w:rsidRPr="00926212">
              <w:rPr>
                <w:rFonts w:eastAsiaTheme="minorHAnsi"/>
                <w:lang w:eastAsia="en-US"/>
              </w:rPr>
              <w:t>±3.5</w:t>
            </w:r>
          </w:p>
        </w:tc>
        <w:tc>
          <w:tcPr>
            <w:tcW w:w="445" w:type="pct"/>
            <w:tcBorders>
              <w:top w:val="nil"/>
              <w:left w:val="single" w:sz="4" w:space="0" w:color="auto"/>
              <w:bottom w:val="nil"/>
              <w:right w:val="single" w:sz="4" w:space="0" w:color="auto"/>
            </w:tcBorders>
          </w:tcPr>
          <w:p w14:paraId="1A5CED27"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35.0</w:t>
            </w:r>
          </w:p>
        </w:tc>
      </w:tr>
      <w:tr w:rsidR="00452771" w:rsidRPr="00926212" w14:paraId="690B2218" w14:textId="77777777" w:rsidTr="00041E7B">
        <w:trPr>
          <w:trHeight w:val="20"/>
        </w:trPr>
        <w:tc>
          <w:tcPr>
            <w:tcW w:w="712" w:type="pct"/>
            <w:vMerge/>
            <w:tcBorders>
              <w:left w:val="single" w:sz="4" w:space="0" w:color="auto"/>
              <w:right w:val="single" w:sz="4" w:space="0" w:color="auto"/>
            </w:tcBorders>
            <w:noWrap/>
          </w:tcPr>
          <w:p w14:paraId="55A65AC1" w14:textId="77777777" w:rsidR="00EE0369" w:rsidRPr="00926212" w:rsidRDefault="00EE0369" w:rsidP="00614B68">
            <w:pPr>
              <w:pStyle w:val="PBACTableText"/>
              <w:keepNext/>
              <w:keepLines/>
              <w:spacing w:before="0" w:after="0"/>
              <w:rPr>
                <w:rFonts w:cstheme="minorHAnsi"/>
                <w:color w:val="000000"/>
              </w:rPr>
            </w:pPr>
          </w:p>
        </w:tc>
        <w:tc>
          <w:tcPr>
            <w:tcW w:w="1013" w:type="pct"/>
            <w:tcBorders>
              <w:top w:val="nil"/>
              <w:left w:val="single" w:sz="4" w:space="0" w:color="auto"/>
              <w:bottom w:val="single" w:sz="4" w:space="0" w:color="auto"/>
              <w:right w:val="single" w:sz="4" w:space="0" w:color="auto"/>
            </w:tcBorders>
            <w:noWrap/>
          </w:tcPr>
          <w:p w14:paraId="69F48656"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PBO</w:t>
            </w:r>
          </w:p>
        </w:tc>
        <w:tc>
          <w:tcPr>
            <w:tcW w:w="300" w:type="pct"/>
            <w:tcBorders>
              <w:top w:val="nil"/>
              <w:left w:val="single" w:sz="4" w:space="0" w:color="auto"/>
              <w:bottom w:val="single" w:sz="4" w:space="0" w:color="auto"/>
              <w:right w:val="single" w:sz="4" w:space="0" w:color="auto"/>
            </w:tcBorders>
            <w:noWrap/>
            <w:vAlign w:val="center"/>
          </w:tcPr>
          <w:p w14:paraId="64D2847B"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180</w:t>
            </w:r>
          </w:p>
        </w:tc>
        <w:tc>
          <w:tcPr>
            <w:tcW w:w="590" w:type="pct"/>
            <w:tcBorders>
              <w:top w:val="nil"/>
              <w:left w:val="single" w:sz="4" w:space="0" w:color="auto"/>
              <w:bottom w:val="single" w:sz="4" w:space="0" w:color="auto"/>
              <w:right w:val="single" w:sz="4" w:space="0" w:color="auto"/>
            </w:tcBorders>
            <w:vAlign w:val="center"/>
          </w:tcPr>
          <w:p w14:paraId="7B314A75"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7.5</w:t>
            </w:r>
            <w:r w:rsidRPr="00926212">
              <w:rPr>
                <w:rFonts w:eastAsiaTheme="minorHAnsi"/>
                <w:lang w:eastAsia="en-US"/>
              </w:rPr>
              <w:t>±7.0</w:t>
            </w:r>
          </w:p>
        </w:tc>
        <w:tc>
          <w:tcPr>
            <w:tcW w:w="762" w:type="pct"/>
            <w:tcBorders>
              <w:top w:val="nil"/>
              <w:left w:val="single" w:sz="4" w:space="0" w:color="auto"/>
              <w:bottom w:val="single" w:sz="4" w:space="0" w:color="auto"/>
              <w:right w:val="single" w:sz="4" w:space="0" w:color="auto"/>
            </w:tcBorders>
            <w:vAlign w:val="center"/>
          </w:tcPr>
          <w:p w14:paraId="4E4EEFBF" w14:textId="77777777" w:rsidR="00EE0369" w:rsidRPr="00926212" w:rsidRDefault="00EE0369" w:rsidP="00614B68">
            <w:pPr>
              <w:pStyle w:val="PBACTableText"/>
              <w:keepNext/>
              <w:keepLines/>
              <w:spacing w:before="0" w:after="0"/>
              <w:jc w:val="center"/>
              <w:rPr>
                <w:rFonts w:cstheme="minorHAnsi"/>
              </w:rPr>
            </w:pPr>
            <w:r w:rsidRPr="00926212">
              <w:rPr>
                <w:rFonts w:cstheme="minorHAnsi"/>
                <w:color w:val="000000"/>
              </w:rPr>
              <w:t>10.1</w:t>
            </w:r>
            <w:r w:rsidRPr="00926212">
              <w:rPr>
                <w:rFonts w:eastAsiaTheme="minorHAnsi"/>
                <w:lang w:eastAsia="en-US"/>
              </w:rPr>
              <w:t>±7.0</w:t>
            </w:r>
          </w:p>
        </w:tc>
        <w:tc>
          <w:tcPr>
            <w:tcW w:w="589" w:type="pct"/>
            <w:tcBorders>
              <w:top w:val="nil"/>
              <w:left w:val="single" w:sz="4" w:space="0" w:color="auto"/>
              <w:bottom w:val="single" w:sz="4" w:space="0" w:color="auto"/>
              <w:right w:val="single" w:sz="4" w:space="0" w:color="auto"/>
            </w:tcBorders>
          </w:tcPr>
          <w:p w14:paraId="45505FEF"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2.7</w:t>
            </w:r>
            <w:r w:rsidRPr="00926212">
              <w:rPr>
                <w:rFonts w:eastAsiaTheme="minorHAnsi"/>
                <w:lang w:eastAsia="en-US"/>
              </w:rPr>
              <w:t>±3.8</w:t>
            </w:r>
          </w:p>
        </w:tc>
        <w:tc>
          <w:tcPr>
            <w:tcW w:w="589" w:type="pct"/>
            <w:tcBorders>
              <w:top w:val="nil"/>
              <w:left w:val="single" w:sz="4" w:space="0" w:color="auto"/>
              <w:bottom w:val="single" w:sz="4" w:space="0" w:color="auto"/>
              <w:right w:val="single" w:sz="4" w:space="0" w:color="auto"/>
            </w:tcBorders>
          </w:tcPr>
          <w:p w14:paraId="377D1CBB"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2.4</w:t>
            </w:r>
            <w:r w:rsidRPr="00926212">
              <w:rPr>
                <w:rFonts w:eastAsiaTheme="minorHAnsi"/>
                <w:lang w:eastAsia="en-US"/>
              </w:rPr>
              <w:t>±3.2</w:t>
            </w:r>
          </w:p>
        </w:tc>
        <w:tc>
          <w:tcPr>
            <w:tcW w:w="445" w:type="pct"/>
            <w:tcBorders>
              <w:top w:val="nil"/>
              <w:left w:val="single" w:sz="4" w:space="0" w:color="auto"/>
              <w:bottom w:val="single" w:sz="4" w:space="0" w:color="auto"/>
              <w:right w:val="single" w:sz="4" w:space="0" w:color="auto"/>
            </w:tcBorders>
          </w:tcPr>
          <w:p w14:paraId="5B806E0F"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28.3</w:t>
            </w:r>
          </w:p>
        </w:tc>
      </w:tr>
      <w:tr w:rsidR="00452771" w:rsidRPr="00926212" w14:paraId="3349787F" w14:textId="77777777" w:rsidTr="00041E7B">
        <w:trPr>
          <w:trHeight w:val="20"/>
        </w:trPr>
        <w:tc>
          <w:tcPr>
            <w:tcW w:w="712" w:type="pct"/>
            <w:vMerge w:val="restart"/>
            <w:tcBorders>
              <w:left w:val="single" w:sz="4" w:space="0" w:color="auto"/>
              <w:right w:val="single" w:sz="4" w:space="0" w:color="auto"/>
            </w:tcBorders>
            <w:noWrap/>
          </w:tcPr>
          <w:p w14:paraId="6B27DB17" w14:textId="1317C1F7" w:rsidR="00EE0369" w:rsidRPr="00926212" w:rsidRDefault="00CF00F7" w:rsidP="00614B68">
            <w:pPr>
              <w:pStyle w:val="PBACTableText"/>
              <w:keepNext/>
              <w:keepLines/>
              <w:spacing w:before="0" w:after="0"/>
              <w:rPr>
                <w:rFonts w:cstheme="minorHAnsi"/>
                <w:color w:val="000000"/>
              </w:rPr>
            </w:pPr>
            <w:r w:rsidRPr="00926212">
              <w:rPr>
                <w:rFonts w:cstheme="minorHAnsi"/>
                <w:color w:val="000000"/>
              </w:rPr>
              <w:t>SUNRISE</w:t>
            </w:r>
          </w:p>
        </w:tc>
        <w:tc>
          <w:tcPr>
            <w:tcW w:w="1013" w:type="pct"/>
            <w:tcBorders>
              <w:left w:val="single" w:sz="4" w:space="0" w:color="auto"/>
              <w:bottom w:val="nil"/>
              <w:right w:val="single" w:sz="4" w:space="0" w:color="auto"/>
            </w:tcBorders>
            <w:noWrap/>
          </w:tcPr>
          <w:p w14:paraId="730D0287"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SEC Q2W</w:t>
            </w:r>
          </w:p>
        </w:tc>
        <w:tc>
          <w:tcPr>
            <w:tcW w:w="300" w:type="pct"/>
            <w:tcBorders>
              <w:left w:val="single" w:sz="4" w:space="0" w:color="auto"/>
              <w:bottom w:val="nil"/>
              <w:right w:val="single" w:sz="4" w:space="0" w:color="auto"/>
            </w:tcBorders>
            <w:noWrap/>
            <w:vAlign w:val="center"/>
          </w:tcPr>
          <w:p w14:paraId="5526FAF0"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180</w:t>
            </w:r>
          </w:p>
        </w:tc>
        <w:tc>
          <w:tcPr>
            <w:tcW w:w="590" w:type="pct"/>
            <w:tcBorders>
              <w:left w:val="single" w:sz="4" w:space="0" w:color="auto"/>
              <w:bottom w:val="nil"/>
              <w:right w:val="single" w:sz="4" w:space="0" w:color="auto"/>
            </w:tcBorders>
            <w:vAlign w:val="center"/>
          </w:tcPr>
          <w:p w14:paraId="5375B9CE"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7.1</w:t>
            </w:r>
            <w:r w:rsidRPr="00926212">
              <w:rPr>
                <w:rFonts w:eastAsiaTheme="minorHAnsi"/>
                <w:lang w:eastAsia="en-US"/>
              </w:rPr>
              <w:t>±7.0</w:t>
            </w:r>
          </w:p>
        </w:tc>
        <w:tc>
          <w:tcPr>
            <w:tcW w:w="762" w:type="pct"/>
            <w:tcBorders>
              <w:left w:val="single" w:sz="4" w:space="0" w:color="auto"/>
              <w:bottom w:val="nil"/>
              <w:right w:val="single" w:sz="4" w:space="0" w:color="auto"/>
            </w:tcBorders>
            <w:vAlign w:val="center"/>
          </w:tcPr>
          <w:p w14:paraId="6F647721"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10.0</w:t>
            </w:r>
            <w:r w:rsidRPr="00926212">
              <w:rPr>
                <w:rFonts w:eastAsiaTheme="minorHAnsi"/>
                <w:lang w:eastAsia="en-US"/>
              </w:rPr>
              <w:t>±7.7</w:t>
            </w:r>
          </w:p>
        </w:tc>
        <w:tc>
          <w:tcPr>
            <w:tcW w:w="589" w:type="pct"/>
            <w:tcBorders>
              <w:left w:val="single" w:sz="4" w:space="0" w:color="auto"/>
              <w:bottom w:val="nil"/>
              <w:right w:val="single" w:sz="4" w:space="0" w:color="auto"/>
            </w:tcBorders>
          </w:tcPr>
          <w:p w14:paraId="7C3B2060"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3.9</w:t>
            </w:r>
            <w:r w:rsidRPr="00926212">
              <w:rPr>
                <w:rFonts w:eastAsiaTheme="minorHAnsi"/>
                <w:lang w:eastAsia="en-US"/>
              </w:rPr>
              <w:t>±5.4</w:t>
            </w:r>
          </w:p>
        </w:tc>
        <w:tc>
          <w:tcPr>
            <w:tcW w:w="589" w:type="pct"/>
            <w:tcBorders>
              <w:left w:val="single" w:sz="4" w:space="0" w:color="auto"/>
              <w:bottom w:val="nil"/>
              <w:right w:val="single" w:sz="4" w:space="0" w:color="auto"/>
            </w:tcBorders>
          </w:tcPr>
          <w:p w14:paraId="0355F897"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3.0</w:t>
            </w:r>
            <w:r w:rsidRPr="00926212">
              <w:rPr>
                <w:rFonts w:eastAsiaTheme="minorHAnsi"/>
                <w:lang w:eastAsia="en-US"/>
              </w:rPr>
              <w:t>±3.6</w:t>
            </w:r>
          </w:p>
        </w:tc>
        <w:tc>
          <w:tcPr>
            <w:tcW w:w="445" w:type="pct"/>
            <w:tcBorders>
              <w:left w:val="single" w:sz="4" w:space="0" w:color="auto"/>
              <w:bottom w:val="nil"/>
              <w:right w:val="single" w:sz="4" w:space="0" w:color="auto"/>
            </w:tcBorders>
          </w:tcPr>
          <w:p w14:paraId="560FB2C1"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45.6</w:t>
            </w:r>
          </w:p>
        </w:tc>
      </w:tr>
      <w:tr w:rsidR="00452771" w:rsidRPr="00926212" w14:paraId="2FBA93C9" w14:textId="77777777" w:rsidTr="00041E7B">
        <w:trPr>
          <w:trHeight w:val="20"/>
        </w:trPr>
        <w:tc>
          <w:tcPr>
            <w:tcW w:w="712" w:type="pct"/>
            <w:vMerge/>
            <w:tcBorders>
              <w:left w:val="single" w:sz="4" w:space="0" w:color="auto"/>
              <w:right w:val="single" w:sz="4" w:space="0" w:color="auto"/>
            </w:tcBorders>
            <w:noWrap/>
          </w:tcPr>
          <w:p w14:paraId="24A06692" w14:textId="77777777" w:rsidR="00EE0369" w:rsidRPr="00926212" w:rsidRDefault="00EE0369" w:rsidP="00614B68">
            <w:pPr>
              <w:pStyle w:val="PBACTableText"/>
              <w:keepNext/>
              <w:keepLines/>
              <w:spacing w:before="0" w:after="0"/>
              <w:rPr>
                <w:rFonts w:cstheme="minorHAnsi"/>
                <w:color w:val="000000"/>
              </w:rPr>
            </w:pPr>
          </w:p>
        </w:tc>
        <w:tc>
          <w:tcPr>
            <w:tcW w:w="1013" w:type="pct"/>
            <w:tcBorders>
              <w:top w:val="nil"/>
              <w:left w:val="single" w:sz="4" w:space="0" w:color="auto"/>
              <w:bottom w:val="nil"/>
              <w:right w:val="single" w:sz="4" w:space="0" w:color="auto"/>
            </w:tcBorders>
            <w:noWrap/>
          </w:tcPr>
          <w:p w14:paraId="388BBEFD"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SEC Q4W</w:t>
            </w:r>
          </w:p>
        </w:tc>
        <w:tc>
          <w:tcPr>
            <w:tcW w:w="300" w:type="pct"/>
            <w:tcBorders>
              <w:top w:val="nil"/>
              <w:left w:val="single" w:sz="4" w:space="0" w:color="auto"/>
              <w:bottom w:val="nil"/>
              <w:right w:val="single" w:sz="4" w:space="0" w:color="auto"/>
            </w:tcBorders>
            <w:noWrap/>
            <w:vAlign w:val="center"/>
          </w:tcPr>
          <w:p w14:paraId="642AC27B"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180</w:t>
            </w:r>
          </w:p>
        </w:tc>
        <w:tc>
          <w:tcPr>
            <w:tcW w:w="590" w:type="pct"/>
            <w:tcBorders>
              <w:top w:val="nil"/>
              <w:left w:val="single" w:sz="4" w:space="0" w:color="auto"/>
              <w:bottom w:val="nil"/>
              <w:right w:val="single" w:sz="4" w:space="0" w:color="auto"/>
            </w:tcBorders>
            <w:vAlign w:val="center"/>
          </w:tcPr>
          <w:p w14:paraId="5773C8F7"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8.2</w:t>
            </w:r>
            <w:r w:rsidRPr="00926212">
              <w:rPr>
                <w:rFonts w:eastAsiaTheme="minorHAnsi"/>
                <w:lang w:eastAsia="en-US"/>
              </w:rPr>
              <w:t>±8.4</w:t>
            </w:r>
          </w:p>
        </w:tc>
        <w:tc>
          <w:tcPr>
            <w:tcW w:w="762" w:type="pct"/>
            <w:tcBorders>
              <w:top w:val="nil"/>
              <w:left w:val="single" w:sz="4" w:space="0" w:color="auto"/>
              <w:bottom w:val="nil"/>
              <w:right w:val="single" w:sz="4" w:space="0" w:color="auto"/>
            </w:tcBorders>
            <w:vAlign w:val="center"/>
          </w:tcPr>
          <w:p w14:paraId="41F6C8AF"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10.4</w:t>
            </w:r>
            <w:r w:rsidRPr="00926212">
              <w:rPr>
                <w:rFonts w:eastAsiaTheme="minorHAnsi"/>
                <w:lang w:eastAsia="en-US"/>
              </w:rPr>
              <w:t>±7.6</w:t>
            </w:r>
          </w:p>
        </w:tc>
        <w:tc>
          <w:tcPr>
            <w:tcW w:w="589" w:type="pct"/>
            <w:tcBorders>
              <w:top w:val="nil"/>
              <w:left w:val="single" w:sz="4" w:space="0" w:color="auto"/>
              <w:bottom w:val="nil"/>
              <w:right w:val="single" w:sz="4" w:space="0" w:color="auto"/>
            </w:tcBorders>
          </w:tcPr>
          <w:p w14:paraId="337DA9A8"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2.9</w:t>
            </w:r>
            <w:r w:rsidRPr="00926212">
              <w:rPr>
                <w:rFonts w:eastAsiaTheme="minorHAnsi"/>
                <w:lang w:eastAsia="en-US"/>
              </w:rPr>
              <w:t>±4.1</w:t>
            </w:r>
          </w:p>
        </w:tc>
        <w:tc>
          <w:tcPr>
            <w:tcW w:w="589" w:type="pct"/>
            <w:tcBorders>
              <w:top w:val="nil"/>
              <w:left w:val="single" w:sz="4" w:space="0" w:color="auto"/>
              <w:bottom w:val="nil"/>
              <w:right w:val="single" w:sz="4" w:space="0" w:color="auto"/>
            </w:tcBorders>
          </w:tcPr>
          <w:p w14:paraId="76E261D4"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2.5</w:t>
            </w:r>
            <w:r w:rsidRPr="00926212">
              <w:rPr>
                <w:rFonts w:eastAsiaTheme="minorHAnsi"/>
                <w:lang w:eastAsia="en-US"/>
              </w:rPr>
              <w:t>±3.5</w:t>
            </w:r>
          </w:p>
        </w:tc>
        <w:tc>
          <w:tcPr>
            <w:tcW w:w="445" w:type="pct"/>
            <w:tcBorders>
              <w:top w:val="nil"/>
              <w:left w:val="single" w:sz="4" w:space="0" w:color="auto"/>
              <w:bottom w:val="nil"/>
              <w:right w:val="single" w:sz="4" w:space="0" w:color="auto"/>
            </w:tcBorders>
          </w:tcPr>
          <w:p w14:paraId="74C4749D"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37.8</w:t>
            </w:r>
          </w:p>
        </w:tc>
      </w:tr>
      <w:tr w:rsidR="00452771" w:rsidRPr="00926212" w14:paraId="37614FE0" w14:textId="77777777" w:rsidTr="00041E7B">
        <w:trPr>
          <w:trHeight w:val="20"/>
        </w:trPr>
        <w:tc>
          <w:tcPr>
            <w:tcW w:w="712" w:type="pct"/>
            <w:vMerge/>
            <w:tcBorders>
              <w:left w:val="single" w:sz="4" w:space="0" w:color="auto"/>
              <w:bottom w:val="single" w:sz="4" w:space="0" w:color="auto"/>
              <w:right w:val="single" w:sz="4" w:space="0" w:color="auto"/>
            </w:tcBorders>
            <w:noWrap/>
          </w:tcPr>
          <w:p w14:paraId="23C45D77" w14:textId="77777777" w:rsidR="00EE0369" w:rsidRPr="00926212" w:rsidRDefault="00EE0369" w:rsidP="00614B68">
            <w:pPr>
              <w:pStyle w:val="PBACTableText"/>
              <w:keepNext/>
              <w:keepLines/>
              <w:spacing w:before="0" w:after="0"/>
              <w:rPr>
                <w:rFonts w:cstheme="minorHAnsi"/>
                <w:color w:val="000000"/>
              </w:rPr>
            </w:pPr>
          </w:p>
        </w:tc>
        <w:tc>
          <w:tcPr>
            <w:tcW w:w="1013" w:type="pct"/>
            <w:tcBorders>
              <w:top w:val="nil"/>
              <w:left w:val="single" w:sz="4" w:space="0" w:color="auto"/>
              <w:bottom w:val="single" w:sz="4" w:space="0" w:color="auto"/>
              <w:right w:val="single" w:sz="4" w:space="0" w:color="auto"/>
            </w:tcBorders>
            <w:noWrap/>
          </w:tcPr>
          <w:p w14:paraId="3F4250BC"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PBO</w:t>
            </w:r>
          </w:p>
        </w:tc>
        <w:tc>
          <w:tcPr>
            <w:tcW w:w="300" w:type="pct"/>
            <w:tcBorders>
              <w:top w:val="nil"/>
              <w:left w:val="single" w:sz="4" w:space="0" w:color="auto"/>
              <w:bottom w:val="single" w:sz="4" w:space="0" w:color="auto"/>
              <w:right w:val="single" w:sz="4" w:space="0" w:color="auto"/>
            </w:tcBorders>
            <w:noWrap/>
            <w:vAlign w:val="center"/>
          </w:tcPr>
          <w:p w14:paraId="6E20001B"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183</w:t>
            </w:r>
          </w:p>
        </w:tc>
        <w:tc>
          <w:tcPr>
            <w:tcW w:w="590" w:type="pct"/>
            <w:tcBorders>
              <w:top w:val="nil"/>
              <w:left w:val="single" w:sz="4" w:space="0" w:color="auto"/>
              <w:bottom w:val="single" w:sz="4" w:space="0" w:color="auto"/>
              <w:right w:val="single" w:sz="4" w:space="0" w:color="auto"/>
            </w:tcBorders>
            <w:vAlign w:val="center"/>
          </w:tcPr>
          <w:p w14:paraId="5CB0F468"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7.0</w:t>
            </w:r>
            <w:r w:rsidRPr="00926212">
              <w:rPr>
                <w:rFonts w:eastAsiaTheme="minorHAnsi"/>
                <w:lang w:eastAsia="en-US"/>
              </w:rPr>
              <w:t>±6.7</w:t>
            </w:r>
          </w:p>
        </w:tc>
        <w:tc>
          <w:tcPr>
            <w:tcW w:w="762" w:type="pct"/>
            <w:tcBorders>
              <w:top w:val="nil"/>
              <w:left w:val="single" w:sz="4" w:space="0" w:color="auto"/>
              <w:bottom w:val="single" w:sz="4" w:space="0" w:color="auto"/>
              <w:right w:val="single" w:sz="4" w:space="0" w:color="auto"/>
            </w:tcBorders>
            <w:vAlign w:val="center"/>
          </w:tcPr>
          <w:p w14:paraId="274DE6AC"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9.6</w:t>
            </w:r>
            <w:r w:rsidRPr="00926212">
              <w:rPr>
                <w:rFonts w:eastAsiaTheme="minorHAnsi"/>
                <w:lang w:eastAsia="en-US"/>
              </w:rPr>
              <w:t>±6.8</w:t>
            </w:r>
          </w:p>
        </w:tc>
        <w:tc>
          <w:tcPr>
            <w:tcW w:w="589" w:type="pct"/>
            <w:tcBorders>
              <w:top w:val="nil"/>
              <w:left w:val="single" w:sz="4" w:space="0" w:color="auto"/>
              <w:bottom w:val="single" w:sz="4" w:space="0" w:color="auto"/>
              <w:right w:val="single" w:sz="4" w:space="0" w:color="auto"/>
            </w:tcBorders>
          </w:tcPr>
          <w:p w14:paraId="72971FC9"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3.2</w:t>
            </w:r>
            <w:r w:rsidRPr="00926212">
              <w:rPr>
                <w:rFonts w:eastAsiaTheme="minorHAnsi"/>
                <w:lang w:eastAsia="en-US"/>
              </w:rPr>
              <w:t>±5.0</w:t>
            </w:r>
          </w:p>
        </w:tc>
        <w:tc>
          <w:tcPr>
            <w:tcW w:w="589" w:type="pct"/>
            <w:tcBorders>
              <w:top w:val="nil"/>
              <w:left w:val="single" w:sz="4" w:space="0" w:color="auto"/>
              <w:bottom w:val="single" w:sz="4" w:space="0" w:color="auto"/>
              <w:right w:val="single" w:sz="4" w:space="0" w:color="auto"/>
            </w:tcBorders>
          </w:tcPr>
          <w:p w14:paraId="2AAB50EA"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2.6</w:t>
            </w:r>
            <w:r w:rsidRPr="00926212">
              <w:rPr>
                <w:rFonts w:eastAsiaTheme="minorHAnsi"/>
                <w:lang w:eastAsia="en-US"/>
              </w:rPr>
              <w:t>±3.2</w:t>
            </w:r>
          </w:p>
        </w:tc>
        <w:tc>
          <w:tcPr>
            <w:tcW w:w="445" w:type="pct"/>
            <w:tcBorders>
              <w:top w:val="nil"/>
              <w:left w:val="single" w:sz="4" w:space="0" w:color="auto"/>
              <w:bottom w:val="single" w:sz="4" w:space="0" w:color="auto"/>
              <w:right w:val="single" w:sz="4" w:space="0" w:color="auto"/>
            </w:tcBorders>
          </w:tcPr>
          <w:p w14:paraId="41E633E2" w14:textId="77777777" w:rsidR="00EE0369" w:rsidRPr="00926212" w:rsidRDefault="00EE0369" w:rsidP="00614B68">
            <w:pPr>
              <w:pStyle w:val="PBACTableText"/>
              <w:keepNext/>
              <w:keepLines/>
              <w:spacing w:before="0" w:after="0"/>
              <w:jc w:val="center"/>
              <w:rPr>
                <w:rFonts w:cstheme="minorHAnsi"/>
              </w:rPr>
            </w:pPr>
            <w:r w:rsidRPr="00926212">
              <w:rPr>
                <w:rFonts w:cstheme="minorHAnsi"/>
              </w:rPr>
              <w:t>38.3</w:t>
            </w:r>
          </w:p>
        </w:tc>
      </w:tr>
      <w:tr w:rsidR="00452771" w:rsidRPr="00926212" w14:paraId="67D3193E" w14:textId="77777777" w:rsidTr="00041E7B">
        <w:trPr>
          <w:trHeight w:val="20"/>
        </w:trPr>
        <w:tc>
          <w:tcPr>
            <w:tcW w:w="712" w:type="pct"/>
            <w:tcBorders>
              <w:left w:val="single" w:sz="4" w:space="0" w:color="auto"/>
              <w:bottom w:val="nil"/>
              <w:right w:val="single" w:sz="4" w:space="0" w:color="auto"/>
            </w:tcBorders>
            <w:noWrap/>
          </w:tcPr>
          <w:p w14:paraId="2B4217FF"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M10-467</w:t>
            </w:r>
            <w:r w:rsidRPr="00926212">
              <w:rPr>
                <w:vertAlign w:val="superscript"/>
              </w:rPr>
              <w:t>a</w:t>
            </w:r>
          </w:p>
        </w:tc>
        <w:tc>
          <w:tcPr>
            <w:tcW w:w="1013" w:type="pct"/>
            <w:tcBorders>
              <w:left w:val="single" w:sz="4" w:space="0" w:color="auto"/>
              <w:bottom w:val="nil"/>
              <w:right w:val="single" w:sz="4" w:space="0" w:color="auto"/>
            </w:tcBorders>
            <w:noWrap/>
          </w:tcPr>
          <w:p w14:paraId="219F6063" w14:textId="34502ADB" w:rsidR="00EE0369" w:rsidRPr="00926212" w:rsidRDefault="00851589" w:rsidP="00614B68">
            <w:pPr>
              <w:pStyle w:val="PBACTableText"/>
              <w:keepNext/>
              <w:keepLines/>
              <w:spacing w:before="0" w:after="0"/>
              <w:rPr>
                <w:rFonts w:cstheme="minorHAnsi"/>
                <w:color w:val="000000"/>
              </w:rPr>
            </w:pPr>
            <w:r w:rsidRPr="00926212">
              <w:rPr>
                <w:rFonts w:cstheme="minorHAnsi"/>
                <w:color w:val="000000"/>
              </w:rPr>
              <w:t>A</w:t>
            </w:r>
            <w:r w:rsidR="005762D0" w:rsidRPr="00926212">
              <w:rPr>
                <w:rFonts w:cstheme="minorHAnsi"/>
                <w:color w:val="000000"/>
              </w:rPr>
              <w:t>dalimumab</w:t>
            </w:r>
            <w:r w:rsidR="00EE0369" w:rsidRPr="00926212">
              <w:rPr>
                <w:rFonts w:cstheme="minorHAnsi"/>
                <w:color w:val="000000"/>
              </w:rPr>
              <w:t xml:space="preserve"> weekly </w:t>
            </w:r>
          </w:p>
        </w:tc>
        <w:tc>
          <w:tcPr>
            <w:tcW w:w="300" w:type="pct"/>
            <w:tcBorders>
              <w:left w:val="single" w:sz="4" w:space="0" w:color="auto"/>
              <w:bottom w:val="nil"/>
              <w:right w:val="single" w:sz="4" w:space="0" w:color="auto"/>
            </w:tcBorders>
            <w:noWrap/>
            <w:vAlign w:val="center"/>
          </w:tcPr>
          <w:p w14:paraId="7A418C21"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rPr>
              <w:t>51</w:t>
            </w:r>
          </w:p>
        </w:tc>
        <w:tc>
          <w:tcPr>
            <w:tcW w:w="590" w:type="pct"/>
            <w:tcBorders>
              <w:left w:val="single" w:sz="4" w:space="0" w:color="auto"/>
              <w:bottom w:val="nil"/>
              <w:right w:val="single" w:sz="4" w:space="0" w:color="auto"/>
            </w:tcBorders>
            <w:vAlign w:val="center"/>
          </w:tcPr>
          <w:p w14:paraId="3FA9C9D8"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11.3</w:t>
            </w:r>
            <w:r w:rsidRPr="00926212">
              <w:rPr>
                <w:rFonts w:eastAsiaTheme="minorHAnsi"/>
                <w:lang w:eastAsia="en-US"/>
              </w:rPr>
              <w:t>±9.1</w:t>
            </w:r>
          </w:p>
        </w:tc>
        <w:tc>
          <w:tcPr>
            <w:tcW w:w="762" w:type="pct"/>
            <w:tcBorders>
              <w:left w:val="single" w:sz="4" w:space="0" w:color="auto"/>
              <w:bottom w:val="nil"/>
              <w:right w:val="single" w:sz="4" w:space="0" w:color="auto"/>
            </w:tcBorders>
            <w:vAlign w:val="center"/>
          </w:tcPr>
          <w:p w14:paraId="7EFF808E"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rPr>
              <w:t>NR</w:t>
            </w:r>
          </w:p>
        </w:tc>
        <w:tc>
          <w:tcPr>
            <w:tcW w:w="589" w:type="pct"/>
            <w:tcBorders>
              <w:left w:val="single" w:sz="4" w:space="0" w:color="auto"/>
              <w:bottom w:val="nil"/>
              <w:right w:val="single" w:sz="4" w:space="0" w:color="auto"/>
            </w:tcBorders>
          </w:tcPr>
          <w:p w14:paraId="2AF3C8B0"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1.6</w:t>
            </w:r>
          </w:p>
        </w:tc>
        <w:tc>
          <w:tcPr>
            <w:tcW w:w="589" w:type="pct"/>
            <w:tcBorders>
              <w:left w:val="single" w:sz="4" w:space="0" w:color="auto"/>
              <w:bottom w:val="nil"/>
              <w:right w:val="single" w:sz="4" w:space="0" w:color="auto"/>
            </w:tcBorders>
          </w:tcPr>
          <w:p w14:paraId="6566E093" w14:textId="77777777" w:rsidR="00EE0369" w:rsidRPr="00926212" w:rsidRDefault="00EE0369" w:rsidP="00614B68">
            <w:pPr>
              <w:pStyle w:val="PBACTableText"/>
              <w:keepNext/>
              <w:keepLines/>
              <w:spacing w:before="0" w:after="0"/>
              <w:jc w:val="center"/>
            </w:pPr>
            <w:r w:rsidRPr="00926212">
              <w:t>5.6</w:t>
            </w:r>
          </w:p>
        </w:tc>
        <w:tc>
          <w:tcPr>
            <w:tcW w:w="445" w:type="pct"/>
            <w:tcBorders>
              <w:left w:val="single" w:sz="4" w:space="0" w:color="auto"/>
              <w:bottom w:val="nil"/>
              <w:right w:val="single" w:sz="4" w:space="0" w:color="auto"/>
            </w:tcBorders>
          </w:tcPr>
          <w:p w14:paraId="5A5E1EDE"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29.4</w:t>
            </w:r>
          </w:p>
        </w:tc>
      </w:tr>
      <w:tr w:rsidR="00452771" w:rsidRPr="00926212" w14:paraId="195CDA1A" w14:textId="77777777" w:rsidTr="00041E7B">
        <w:trPr>
          <w:trHeight w:val="20"/>
        </w:trPr>
        <w:tc>
          <w:tcPr>
            <w:tcW w:w="712" w:type="pct"/>
            <w:tcBorders>
              <w:top w:val="nil"/>
              <w:left w:val="single" w:sz="4" w:space="0" w:color="auto"/>
              <w:bottom w:val="single" w:sz="4" w:space="0" w:color="auto"/>
              <w:right w:val="single" w:sz="4" w:space="0" w:color="auto"/>
            </w:tcBorders>
            <w:noWrap/>
          </w:tcPr>
          <w:p w14:paraId="287C3D43" w14:textId="77777777" w:rsidR="00EE0369" w:rsidRPr="00926212" w:rsidRDefault="00EE0369" w:rsidP="00614B68">
            <w:pPr>
              <w:pStyle w:val="PBACTableText"/>
              <w:keepNext/>
              <w:keepLines/>
              <w:spacing w:before="0" w:after="0"/>
              <w:rPr>
                <w:rFonts w:cstheme="minorHAnsi"/>
                <w:color w:val="000000"/>
              </w:rPr>
            </w:pPr>
          </w:p>
        </w:tc>
        <w:tc>
          <w:tcPr>
            <w:tcW w:w="1013" w:type="pct"/>
            <w:tcBorders>
              <w:top w:val="nil"/>
              <w:left w:val="single" w:sz="4" w:space="0" w:color="auto"/>
              <w:bottom w:val="single" w:sz="4" w:space="0" w:color="auto"/>
              <w:right w:val="single" w:sz="4" w:space="0" w:color="auto"/>
            </w:tcBorders>
            <w:noWrap/>
          </w:tcPr>
          <w:p w14:paraId="4146EFBB"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PBO</w:t>
            </w:r>
          </w:p>
        </w:tc>
        <w:tc>
          <w:tcPr>
            <w:tcW w:w="300" w:type="pct"/>
            <w:tcBorders>
              <w:top w:val="nil"/>
              <w:left w:val="single" w:sz="4" w:space="0" w:color="auto"/>
              <w:bottom w:val="single" w:sz="4" w:space="0" w:color="auto"/>
              <w:right w:val="single" w:sz="4" w:space="0" w:color="auto"/>
            </w:tcBorders>
            <w:noWrap/>
            <w:vAlign w:val="center"/>
          </w:tcPr>
          <w:p w14:paraId="5967C235"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rPr>
              <w:t>51</w:t>
            </w:r>
          </w:p>
        </w:tc>
        <w:tc>
          <w:tcPr>
            <w:tcW w:w="590" w:type="pct"/>
            <w:tcBorders>
              <w:top w:val="nil"/>
              <w:left w:val="single" w:sz="4" w:space="0" w:color="auto"/>
              <w:bottom w:val="single" w:sz="4" w:space="0" w:color="auto"/>
              <w:right w:val="single" w:sz="4" w:space="0" w:color="auto"/>
            </w:tcBorders>
            <w:vAlign w:val="center"/>
          </w:tcPr>
          <w:p w14:paraId="7C924CF5"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13.4</w:t>
            </w:r>
            <w:r w:rsidRPr="00926212">
              <w:rPr>
                <w:rFonts w:eastAsiaTheme="minorHAnsi"/>
                <w:lang w:eastAsia="en-US"/>
              </w:rPr>
              <w:t>±10.4</w:t>
            </w:r>
          </w:p>
        </w:tc>
        <w:tc>
          <w:tcPr>
            <w:tcW w:w="762" w:type="pct"/>
            <w:tcBorders>
              <w:top w:val="nil"/>
              <w:left w:val="single" w:sz="4" w:space="0" w:color="auto"/>
              <w:bottom w:val="single" w:sz="4" w:space="0" w:color="auto"/>
              <w:right w:val="single" w:sz="4" w:space="0" w:color="auto"/>
            </w:tcBorders>
            <w:vAlign w:val="center"/>
          </w:tcPr>
          <w:p w14:paraId="6178F34F"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rPr>
              <w:t>NR</w:t>
            </w:r>
          </w:p>
        </w:tc>
        <w:tc>
          <w:tcPr>
            <w:tcW w:w="589" w:type="pct"/>
            <w:tcBorders>
              <w:top w:val="nil"/>
              <w:left w:val="single" w:sz="4" w:space="0" w:color="auto"/>
              <w:bottom w:val="single" w:sz="4" w:space="0" w:color="auto"/>
              <w:right w:val="single" w:sz="4" w:space="0" w:color="auto"/>
            </w:tcBorders>
          </w:tcPr>
          <w:p w14:paraId="781B1A3A"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1.8</w:t>
            </w:r>
          </w:p>
        </w:tc>
        <w:tc>
          <w:tcPr>
            <w:tcW w:w="589" w:type="pct"/>
            <w:tcBorders>
              <w:top w:val="nil"/>
              <w:left w:val="single" w:sz="4" w:space="0" w:color="auto"/>
              <w:bottom w:val="single" w:sz="4" w:space="0" w:color="auto"/>
              <w:right w:val="single" w:sz="4" w:space="0" w:color="auto"/>
            </w:tcBorders>
          </w:tcPr>
          <w:p w14:paraId="42CA1EED" w14:textId="77777777" w:rsidR="00EE0369" w:rsidRPr="00926212" w:rsidRDefault="00EE0369" w:rsidP="00614B68">
            <w:pPr>
              <w:pStyle w:val="PBACTableText"/>
              <w:keepNext/>
              <w:keepLines/>
              <w:spacing w:before="0" w:after="0"/>
              <w:jc w:val="center"/>
            </w:pPr>
            <w:r w:rsidRPr="00926212">
              <w:t>3.4</w:t>
            </w:r>
          </w:p>
        </w:tc>
        <w:tc>
          <w:tcPr>
            <w:tcW w:w="445" w:type="pct"/>
            <w:tcBorders>
              <w:top w:val="nil"/>
              <w:left w:val="single" w:sz="4" w:space="0" w:color="auto"/>
              <w:bottom w:val="single" w:sz="4" w:space="0" w:color="auto"/>
              <w:right w:val="single" w:sz="4" w:space="0" w:color="auto"/>
            </w:tcBorders>
          </w:tcPr>
          <w:p w14:paraId="35DDCF0C"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29.4</w:t>
            </w:r>
          </w:p>
        </w:tc>
      </w:tr>
      <w:tr w:rsidR="00452771" w:rsidRPr="00926212" w14:paraId="669B87C3" w14:textId="77777777" w:rsidTr="00041E7B">
        <w:trPr>
          <w:trHeight w:val="20"/>
        </w:trPr>
        <w:tc>
          <w:tcPr>
            <w:tcW w:w="712" w:type="pct"/>
            <w:tcBorders>
              <w:left w:val="single" w:sz="4" w:space="0" w:color="auto"/>
              <w:bottom w:val="nil"/>
              <w:right w:val="single" w:sz="4" w:space="0" w:color="auto"/>
            </w:tcBorders>
            <w:noWrap/>
          </w:tcPr>
          <w:p w14:paraId="1A27C9A6"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PIONEER I</w:t>
            </w:r>
          </w:p>
        </w:tc>
        <w:tc>
          <w:tcPr>
            <w:tcW w:w="1013" w:type="pct"/>
            <w:tcBorders>
              <w:left w:val="single" w:sz="4" w:space="0" w:color="auto"/>
              <w:bottom w:val="nil"/>
              <w:right w:val="single" w:sz="4" w:space="0" w:color="auto"/>
            </w:tcBorders>
            <w:noWrap/>
          </w:tcPr>
          <w:p w14:paraId="036FB39C" w14:textId="0288E90E" w:rsidR="00EE0369" w:rsidRPr="00926212" w:rsidRDefault="00926212" w:rsidP="00614B68">
            <w:pPr>
              <w:pStyle w:val="PBACTableText"/>
              <w:keepNext/>
              <w:keepLines/>
              <w:spacing w:before="0" w:after="0"/>
              <w:rPr>
                <w:rFonts w:cstheme="minorHAnsi"/>
                <w:color w:val="000000"/>
              </w:rPr>
            </w:pPr>
            <w:r>
              <w:rPr>
                <w:rFonts w:cstheme="minorHAnsi"/>
                <w:color w:val="000000"/>
              </w:rPr>
              <w:t>A</w:t>
            </w:r>
            <w:r w:rsidR="005762D0" w:rsidRPr="00926212">
              <w:rPr>
                <w:rFonts w:cstheme="minorHAnsi"/>
                <w:color w:val="000000"/>
              </w:rPr>
              <w:t>dalimumab</w:t>
            </w:r>
            <w:r w:rsidR="00EE0369" w:rsidRPr="00926212">
              <w:rPr>
                <w:rFonts w:cstheme="minorHAnsi"/>
                <w:color w:val="000000"/>
              </w:rPr>
              <w:t xml:space="preserve"> weekly</w:t>
            </w:r>
          </w:p>
        </w:tc>
        <w:tc>
          <w:tcPr>
            <w:tcW w:w="300" w:type="pct"/>
            <w:tcBorders>
              <w:left w:val="single" w:sz="4" w:space="0" w:color="auto"/>
              <w:bottom w:val="nil"/>
              <w:right w:val="single" w:sz="4" w:space="0" w:color="auto"/>
            </w:tcBorders>
            <w:noWrap/>
            <w:vAlign w:val="center"/>
          </w:tcPr>
          <w:p w14:paraId="6F4A1407"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153</w:t>
            </w:r>
          </w:p>
        </w:tc>
        <w:tc>
          <w:tcPr>
            <w:tcW w:w="590" w:type="pct"/>
            <w:tcBorders>
              <w:left w:val="single" w:sz="4" w:space="0" w:color="auto"/>
              <w:bottom w:val="nil"/>
              <w:right w:val="single" w:sz="4" w:space="0" w:color="auto"/>
            </w:tcBorders>
            <w:vAlign w:val="center"/>
          </w:tcPr>
          <w:p w14:paraId="07EF3EC4"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8.8</w:t>
            </w:r>
          </w:p>
        </w:tc>
        <w:tc>
          <w:tcPr>
            <w:tcW w:w="762" w:type="pct"/>
            <w:tcBorders>
              <w:left w:val="single" w:sz="4" w:space="0" w:color="auto"/>
              <w:bottom w:val="nil"/>
              <w:right w:val="single" w:sz="4" w:space="0" w:color="auto"/>
            </w:tcBorders>
            <w:vAlign w:val="center"/>
          </w:tcPr>
          <w:p w14:paraId="56D88FF3"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11.5</w:t>
            </w:r>
            <w:r w:rsidRPr="00926212">
              <w:rPr>
                <w:rFonts w:eastAsiaTheme="minorHAnsi"/>
                <w:lang w:eastAsia="en-US"/>
              </w:rPr>
              <w:t>±10.9</w:t>
            </w:r>
          </w:p>
        </w:tc>
        <w:tc>
          <w:tcPr>
            <w:tcW w:w="589" w:type="pct"/>
            <w:tcBorders>
              <w:left w:val="single" w:sz="4" w:space="0" w:color="auto"/>
              <w:bottom w:val="nil"/>
              <w:right w:val="single" w:sz="4" w:space="0" w:color="auto"/>
            </w:tcBorders>
          </w:tcPr>
          <w:p w14:paraId="4D17408F"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2.8</w:t>
            </w:r>
            <w:r w:rsidRPr="00926212">
              <w:rPr>
                <w:rFonts w:eastAsiaTheme="minorHAnsi"/>
                <w:lang w:eastAsia="en-US"/>
              </w:rPr>
              <w:t>±3.5</w:t>
            </w:r>
          </w:p>
        </w:tc>
        <w:tc>
          <w:tcPr>
            <w:tcW w:w="589" w:type="pct"/>
            <w:tcBorders>
              <w:left w:val="single" w:sz="4" w:space="0" w:color="auto"/>
              <w:bottom w:val="nil"/>
              <w:right w:val="single" w:sz="4" w:space="0" w:color="auto"/>
            </w:tcBorders>
          </w:tcPr>
          <w:p w14:paraId="101489AA" w14:textId="77777777" w:rsidR="00EE0369" w:rsidRPr="00926212" w:rsidRDefault="00EE0369" w:rsidP="00614B68">
            <w:pPr>
              <w:pStyle w:val="PBACTableText"/>
              <w:keepNext/>
              <w:keepLines/>
              <w:spacing w:before="0" w:after="0"/>
              <w:jc w:val="center"/>
            </w:pPr>
            <w:r w:rsidRPr="00926212">
              <w:t>4.6</w:t>
            </w:r>
            <w:r w:rsidRPr="00926212">
              <w:rPr>
                <w:rFonts w:eastAsiaTheme="minorHAnsi"/>
                <w:lang w:eastAsia="en-US"/>
              </w:rPr>
              <w:t>±5.2</w:t>
            </w:r>
          </w:p>
        </w:tc>
        <w:tc>
          <w:tcPr>
            <w:tcW w:w="445" w:type="pct"/>
            <w:tcBorders>
              <w:left w:val="single" w:sz="4" w:space="0" w:color="auto"/>
              <w:bottom w:val="nil"/>
              <w:right w:val="single" w:sz="4" w:space="0" w:color="auto"/>
            </w:tcBorders>
          </w:tcPr>
          <w:p w14:paraId="24C9A3BE"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47.7</w:t>
            </w:r>
          </w:p>
        </w:tc>
      </w:tr>
      <w:tr w:rsidR="00452771" w:rsidRPr="00926212" w14:paraId="005E63AD" w14:textId="77777777" w:rsidTr="00041E7B">
        <w:trPr>
          <w:trHeight w:val="20"/>
        </w:trPr>
        <w:tc>
          <w:tcPr>
            <w:tcW w:w="712" w:type="pct"/>
            <w:tcBorders>
              <w:top w:val="nil"/>
              <w:left w:val="single" w:sz="4" w:space="0" w:color="auto"/>
              <w:bottom w:val="single" w:sz="4" w:space="0" w:color="auto"/>
              <w:right w:val="single" w:sz="4" w:space="0" w:color="auto"/>
            </w:tcBorders>
            <w:noWrap/>
          </w:tcPr>
          <w:p w14:paraId="77B43893" w14:textId="77777777" w:rsidR="00EE0369" w:rsidRPr="00926212" w:rsidRDefault="00EE0369" w:rsidP="00614B68">
            <w:pPr>
              <w:pStyle w:val="PBACTableText"/>
              <w:keepNext/>
              <w:keepLines/>
              <w:spacing w:before="0" w:after="0"/>
              <w:rPr>
                <w:rFonts w:cstheme="minorHAnsi"/>
                <w:color w:val="000000"/>
              </w:rPr>
            </w:pPr>
          </w:p>
        </w:tc>
        <w:tc>
          <w:tcPr>
            <w:tcW w:w="1013" w:type="pct"/>
            <w:tcBorders>
              <w:top w:val="nil"/>
              <w:left w:val="single" w:sz="4" w:space="0" w:color="auto"/>
              <w:bottom w:val="single" w:sz="4" w:space="0" w:color="auto"/>
              <w:right w:val="single" w:sz="4" w:space="0" w:color="auto"/>
            </w:tcBorders>
            <w:noWrap/>
          </w:tcPr>
          <w:p w14:paraId="57EB5F74"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PBO</w:t>
            </w:r>
          </w:p>
        </w:tc>
        <w:tc>
          <w:tcPr>
            <w:tcW w:w="300" w:type="pct"/>
            <w:tcBorders>
              <w:top w:val="nil"/>
              <w:left w:val="single" w:sz="4" w:space="0" w:color="auto"/>
              <w:bottom w:val="single" w:sz="4" w:space="0" w:color="auto"/>
              <w:right w:val="single" w:sz="4" w:space="0" w:color="auto"/>
            </w:tcBorders>
            <w:noWrap/>
            <w:vAlign w:val="center"/>
          </w:tcPr>
          <w:p w14:paraId="7BB9CF50"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154</w:t>
            </w:r>
          </w:p>
        </w:tc>
        <w:tc>
          <w:tcPr>
            <w:tcW w:w="590" w:type="pct"/>
            <w:tcBorders>
              <w:top w:val="nil"/>
              <w:left w:val="single" w:sz="4" w:space="0" w:color="auto"/>
              <w:bottom w:val="single" w:sz="4" w:space="0" w:color="auto"/>
              <w:right w:val="single" w:sz="4" w:space="0" w:color="auto"/>
            </w:tcBorders>
            <w:vAlign w:val="center"/>
          </w:tcPr>
          <w:p w14:paraId="225318AA"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9.4</w:t>
            </w:r>
          </w:p>
        </w:tc>
        <w:tc>
          <w:tcPr>
            <w:tcW w:w="762" w:type="pct"/>
            <w:tcBorders>
              <w:top w:val="nil"/>
              <w:left w:val="single" w:sz="4" w:space="0" w:color="auto"/>
              <w:bottom w:val="single" w:sz="4" w:space="0" w:color="auto"/>
              <w:right w:val="single" w:sz="4" w:space="0" w:color="auto"/>
            </w:tcBorders>
            <w:vAlign w:val="center"/>
          </w:tcPr>
          <w:p w14:paraId="59DF5AB4"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11.6</w:t>
            </w:r>
            <w:r w:rsidRPr="00926212">
              <w:rPr>
                <w:rFonts w:eastAsiaTheme="minorHAnsi"/>
                <w:lang w:eastAsia="en-US"/>
              </w:rPr>
              <w:t>±13.9</w:t>
            </w:r>
          </w:p>
        </w:tc>
        <w:tc>
          <w:tcPr>
            <w:tcW w:w="589" w:type="pct"/>
            <w:tcBorders>
              <w:top w:val="nil"/>
              <w:left w:val="single" w:sz="4" w:space="0" w:color="auto"/>
              <w:bottom w:val="single" w:sz="4" w:space="0" w:color="auto"/>
              <w:right w:val="single" w:sz="4" w:space="0" w:color="auto"/>
            </w:tcBorders>
          </w:tcPr>
          <w:p w14:paraId="68A79D0E"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2.7</w:t>
            </w:r>
            <w:r w:rsidRPr="00926212">
              <w:rPr>
                <w:rFonts w:eastAsiaTheme="minorHAnsi"/>
                <w:lang w:eastAsia="en-US"/>
              </w:rPr>
              <w:t>±3.7</w:t>
            </w:r>
          </w:p>
        </w:tc>
        <w:tc>
          <w:tcPr>
            <w:tcW w:w="589" w:type="pct"/>
            <w:tcBorders>
              <w:top w:val="nil"/>
              <w:left w:val="single" w:sz="4" w:space="0" w:color="auto"/>
              <w:bottom w:val="single" w:sz="4" w:space="0" w:color="auto"/>
              <w:right w:val="single" w:sz="4" w:space="0" w:color="auto"/>
            </w:tcBorders>
          </w:tcPr>
          <w:p w14:paraId="014110FC" w14:textId="77777777" w:rsidR="00EE0369" w:rsidRPr="00926212" w:rsidRDefault="00EE0369" w:rsidP="00614B68">
            <w:pPr>
              <w:pStyle w:val="PBACTableText"/>
              <w:keepNext/>
              <w:keepLines/>
              <w:spacing w:before="0" w:after="0"/>
              <w:jc w:val="center"/>
            </w:pPr>
            <w:r w:rsidRPr="00926212">
              <w:t>3.8</w:t>
            </w:r>
            <w:r w:rsidRPr="00926212">
              <w:rPr>
                <w:rFonts w:eastAsiaTheme="minorHAnsi"/>
                <w:lang w:eastAsia="en-US"/>
              </w:rPr>
              <w:t>±4.4</w:t>
            </w:r>
          </w:p>
        </w:tc>
        <w:tc>
          <w:tcPr>
            <w:tcW w:w="445" w:type="pct"/>
            <w:tcBorders>
              <w:top w:val="nil"/>
              <w:left w:val="single" w:sz="4" w:space="0" w:color="auto"/>
              <w:bottom w:val="single" w:sz="4" w:space="0" w:color="auto"/>
              <w:right w:val="single" w:sz="4" w:space="0" w:color="auto"/>
            </w:tcBorders>
          </w:tcPr>
          <w:p w14:paraId="6DF58E3B"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47.4</w:t>
            </w:r>
          </w:p>
        </w:tc>
      </w:tr>
      <w:tr w:rsidR="00452771" w:rsidRPr="00926212" w14:paraId="2AB900C8" w14:textId="77777777" w:rsidTr="00041E7B">
        <w:trPr>
          <w:trHeight w:val="20"/>
        </w:trPr>
        <w:tc>
          <w:tcPr>
            <w:tcW w:w="712" w:type="pct"/>
            <w:tcBorders>
              <w:left w:val="single" w:sz="4" w:space="0" w:color="auto"/>
              <w:bottom w:val="nil"/>
              <w:right w:val="single" w:sz="4" w:space="0" w:color="auto"/>
            </w:tcBorders>
            <w:noWrap/>
          </w:tcPr>
          <w:p w14:paraId="4022893D" w14:textId="563B507B"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 xml:space="preserve">PIONEER </w:t>
            </w:r>
            <w:r w:rsidRPr="00926212">
              <w:rPr>
                <w:rFonts w:cstheme="minorHAnsi"/>
                <w:color w:val="000000"/>
              </w:rPr>
              <w:fldChar w:fldCharType="begin" w:fldLock="1"/>
            </w:r>
            <w:r w:rsidRPr="00926212">
              <w:rPr>
                <w:rFonts w:cstheme="minorHAnsi"/>
                <w:color w:val="000000"/>
                <w:lang w:eastAsia="zh-CN"/>
              </w:rPr>
              <w:instrText xml:space="preserve"> = 2 \* ROMAN </w:instrText>
            </w:r>
            <w:r w:rsidRPr="00926212">
              <w:rPr>
                <w:rFonts w:cstheme="minorHAnsi"/>
                <w:color w:val="000000"/>
              </w:rPr>
              <w:fldChar w:fldCharType="separate"/>
            </w:r>
            <w:r w:rsidR="005646F7">
              <w:rPr>
                <w:rFonts w:cstheme="minorHAnsi"/>
                <w:noProof/>
                <w:color w:val="000000"/>
                <w:lang w:eastAsia="zh-CN"/>
              </w:rPr>
              <w:t>II</w:t>
            </w:r>
            <w:r w:rsidRPr="00926212">
              <w:rPr>
                <w:rFonts w:cstheme="minorHAnsi"/>
                <w:color w:val="000000"/>
              </w:rPr>
              <w:fldChar w:fldCharType="end"/>
            </w:r>
          </w:p>
        </w:tc>
        <w:tc>
          <w:tcPr>
            <w:tcW w:w="1013" w:type="pct"/>
            <w:tcBorders>
              <w:left w:val="single" w:sz="4" w:space="0" w:color="auto"/>
              <w:bottom w:val="nil"/>
              <w:right w:val="single" w:sz="4" w:space="0" w:color="auto"/>
            </w:tcBorders>
            <w:noWrap/>
          </w:tcPr>
          <w:p w14:paraId="07F7B525" w14:textId="59617B3A" w:rsidR="00EE0369" w:rsidRPr="00926212" w:rsidRDefault="00926212" w:rsidP="00614B68">
            <w:pPr>
              <w:pStyle w:val="PBACTableText"/>
              <w:keepNext/>
              <w:keepLines/>
              <w:spacing w:before="0" w:after="0"/>
              <w:rPr>
                <w:rFonts w:cstheme="minorHAnsi"/>
                <w:color w:val="000000"/>
              </w:rPr>
            </w:pPr>
            <w:r>
              <w:rPr>
                <w:rFonts w:cstheme="minorHAnsi"/>
                <w:color w:val="000000"/>
              </w:rPr>
              <w:t>A</w:t>
            </w:r>
            <w:r w:rsidR="005762D0" w:rsidRPr="00926212">
              <w:rPr>
                <w:rFonts w:cstheme="minorHAnsi"/>
                <w:color w:val="000000"/>
              </w:rPr>
              <w:t>dalimumab</w:t>
            </w:r>
            <w:r w:rsidR="00EE0369" w:rsidRPr="00926212">
              <w:rPr>
                <w:rFonts w:cstheme="minorHAnsi"/>
                <w:color w:val="000000"/>
              </w:rPr>
              <w:t xml:space="preserve"> weekly</w:t>
            </w:r>
          </w:p>
        </w:tc>
        <w:tc>
          <w:tcPr>
            <w:tcW w:w="300" w:type="pct"/>
            <w:tcBorders>
              <w:left w:val="single" w:sz="4" w:space="0" w:color="auto"/>
              <w:bottom w:val="nil"/>
              <w:right w:val="single" w:sz="4" w:space="0" w:color="auto"/>
            </w:tcBorders>
            <w:noWrap/>
            <w:vAlign w:val="center"/>
          </w:tcPr>
          <w:p w14:paraId="44ECEEFC"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163</w:t>
            </w:r>
          </w:p>
        </w:tc>
        <w:tc>
          <w:tcPr>
            <w:tcW w:w="590" w:type="pct"/>
            <w:tcBorders>
              <w:left w:val="single" w:sz="4" w:space="0" w:color="auto"/>
              <w:bottom w:val="nil"/>
              <w:right w:val="single" w:sz="4" w:space="0" w:color="auto"/>
            </w:tcBorders>
            <w:vAlign w:val="center"/>
          </w:tcPr>
          <w:p w14:paraId="50990945"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9.0</w:t>
            </w:r>
          </w:p>
        </w:tc>
        <w:tc>
          <w:tcPr>
            <w:tcW w:w="762" w:type="pct"/>
            <w:tcBorders>
              <w:left w:val="single" w:sz="4" w:space="0" w:color="auto"/>
              <w:bottom w:val="nil"/>
              <w:right w:val="single" w:sz="4" w:space="0" w:color="auto"/>
            </w:tcBorders>
            <w:vAlign w:val="center"/>
          </w:tcPr>
          <w:p w14:paraId="6010055D"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8.6</w:t>
            </w:r>
            <w:r w:rsidRPr="00926212">
              <w:rPr>
                <w:rFonts w:eastAsiaTheme="minorHAnsi"/>
                <w:lang w:eastAsia="en-US"/>
              </w:rPr>
              <w:t>±6.9</w:t>
            </w:r>
          </w:p>
        </w:tc>
        <w:tc>
          <w:tcPr>
            <w:tcW w:w="589" w:type="pct"/>
            <w:tcBorders>
              <w:left w:val="single" w:sz="4" w:space="0" w:color="auto"/>
              <w:bottom w:val="nil"/>
              <w:right w:val="single" w:sz="4" w:space="0" w:color="auto"/>
            </w:tcBorders>
          </w:tcPr>
          <w:p w14:paraId="61AAA929"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2.0</w:t>
            </w:r>
            <w:r w:rsidRPr="00926212">
              <w:rPr>
                <w:rFonts w:eastAsiaTheme="minorHAnsi"/>
                <w:lang w:eastAsia="en-US"/>
              </w:rPr>
              <w:t>±2.6</w:t>
            </w:r>
          </w:p>
        </w:tc>
        <w:tc>
          <w:tcPr>
            <w:tcW w:w="589" w:type="pct"/>
            <w:tcBorders>
              <w:left w:val="single" w:sz="4" w:space="0" w:color="auto"/>
              <w:bottom w:val="nil"/>
              <w:right w:val="single" w:sz="4" w:space="0" w:color="auto"/>
            </w:tcBorders>
          </w:tcPr>
          <w:p w14:paraId="6B2864B5" w14:textId="77777777" w:rsidR="00EE0369" w:rsidRPr="00926212" w:rsidRDefault="00EE0369" w:rsidP="00614B68">
            <w:pPr>
              <w:pStyle w:val="PBACTableText"/>
              <w:keepNext/>
              <w:keepLines/>
              <w:spacing w:before="0" w:after="0"/>
              <w:jc w:val="center"/>
            </w:pPr>
            <w:r w:rsidRPr="00926212">
              <w:t>3.0</w:t>
            </w:r>
            <w:r w:rsidRPr="00926212">
              <w:rPr>
                <w:rFonts w:eastAsiaTheme="minorHAnsi"/>
                <w:lang w:eastAsia="en-US"/>
              </w:rPr>
              <w:t>±5.2</w:t>
            </w:r>
          </w:p>
        </w:tc>
        <w:tc>
          <w:tcPr>
            <w:tcW w:w="445" w:type="pct"/>
            <w:tcBorders>
              <w:left w:val="single" w:sz="4" w:space="0" w:color="auto"/>
              <w:bottom w:val="nil"/>
              <w:right w:val="single" w:sz="4" w:space="0" w:color="auto"/>
            </w:tcBorders>
          </w:tcPr>
          <w:p w14:paraId="79040822"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47.2</w:t>
            </w:r>
          </w:p>
        </w:tc>
      </w:tr>
      <w:tr w:rsidR="00452771" w:rsidRPr="00926212" w14:paraId="7E04A4C2" w14:textId="77777777" w:rsidTr="00041E7B">
        <w:trPr>
          <w:trHeight w:val="20"/>
        </w:trPr>
        <w:tc>
          <w:tcPr>
            <w:tcW w:w="712" w:type="pct"/>
            <w:tcBorders>
              <w:top w:val="nil"/>
              <w:left w:val="single" w:sz="4" w:space="0" w:color="auto"/>
              <w:bottom w:val="single" w:sz="4" w:space="0" w:color="auto"/>
              <w:right w:val="single" w:sz="4" w:space="0" w:color="auto"/>
            </w:tcBorders>
            <w:noWrap/>
          </w:tcPr>
          <w:p w14:paraId="165FB906" w14:textId="77777777" w:rsidR="00EE0369" w:rsidRPr="00926212" w:rsidRDefault="00EE0369" w:rsidP="00614B68">
            <w:pPr>
              <w:pStyle w:val="PBACTableText"/>
              <w:keepNext/>
              <w:keepLines/>
              <w:spacing w:before="0" w:after="0"/>
              <w:rPr>
                <w:rFonts w:cstheme="minorHAnsi"/>
                <w:color w:val="000000"/>
              </w:rPr>
            </w:pPr>
          </w:p>
        </w:tc>
        <w:tc>
          <w:tcPr>
            <w:tcW w:w="1013" w:type="pct"/>
            <w:tcBorders>
              <w:top w:val="nil"/>
              <w:left w:val="single" w:sz="4" w:space="0" w:color="auto"/>
              <w:bottom w:val="single" w:sz="4" w:space="0" w:color="auto"/>
              <w:right w:val="single" w:sz="4" w:space="0" w:color="auto"/>
            </w:tcBorders>
            <w:noWrap/>
          </w:tcPr>
          <w:p w14:paraId="7149CFC7"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PBO</w:t>
            </w:r>
          </w:p>
        </w:tc>
        <w:tc>
          <w:tcPr>
            <w:tcW w:w="300" w:type="pct"/>
            <w:tcBorders>
              <w:top w:val="nil"/>
              <w:left w:val="single" w:sz="4" w:space="0" w:color="auto"/>
              <w:bottom w:val="single" w:sz="4" w:space="0" w:color="auto"/>
              <w:right w:val="single" w:sz="4" w:space="0" w:color="auto"/>
            </w:tcBorders>
            <w:noWrap/>
            <w:vAlign w:val="center"/>
          </w:tcPr>
          <w:p w14:paraId="37B4F2C4"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163</w:t>
            </w:r>
          </w:p>
        </w:tc>
        <w:tc>
          <w:tcPr>
            <w:tcW w:w="590" w:type="pct"/>
            <w:tcBorders>
              <w:top w:val="nil"/>
              <w:left w:val="single" w:sz="4" w:space="0" w:color="auto"/>
              <w:bottom w:val="single" w:sz="4" w:space="0" w:color="auto"/>
              <w:right w:val="single" w:sz="4" w:space="0" w:color="auto"/>
            </w:tcBorders>
            <w:vAlign w:val="center"/>
          </w:tcPr>
          <w:p w14:paraId="33D20B37"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9.9</w:t>
            </w:r>
          </w:p>
        </w:tc>
        <w:tc>
          <w:tcPr>
            <w:tcW w:w="762" w:type="pct"/>
            <w:tcBorders>
              <w:top w:val="nil"/>
              <w:left w:val="single" w:sz="4" w:space="0" w:color="auto"/>
              <w:bottom w:val="single" w:sz="4" w:space="0" w:color="auto"/>
              <w:right w:val="single" w:sz="4" w:space="0" w:color="auto"/>
            </w:tcBorders>
            <w:vAlign w:val="center"/>
          </w:tcPr>
          <w:p w14:paraId="0A6EA649"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9.4</w:t>
            </w:r>
            <w:r w:rsidRPr="00926212">
              <w:rPr>
                <w:rFonts w:eastAsiaTheme="minorHAnsi"/>
                <w:lang w:eastAsia="en-US"/>
              </w:rPr>
              <w:t>±9.6</w:t>
            </w:r>
          </w:p>
        </w:tc>
        <w:tc>
          <w:tcPr>
            <w:tcW w:w="589" w:type="pct"/>
            <w:tcBorders>
              <w:top w:val="nil"/>
              <w:left w:val="single" w:sz="4" w:space="0" w:color="auto"/>
              <w:bottom w:val="single" w:sz="4" w:space="0" w:color="auto"/>
              <w:right w:val="single" w:sz="4" w:space="0" w:color="auto"/>
            </w:tcBorders>
          </w:tcPr>
          <w:p w14:paraId="51EDE256"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2.4</w:t>
            </w:r>
            <w:r w:rsidRPr="00926212">
              <w:rPr>
                <w:rFonts w:eastAsiaTheme="minorHAnsi"/>
                <w:lang w:eastAsia="en-US"/>
              </w:rPr>
              <w:t>±3.3</w:t>
            </w:r>
          </w:p>
        </w:tc>
        <w:tc>
          <w:tcPr>
            <w:tcW w:w="589" w:type="pct"/>
            <w:tcBorders>
              <w:top w:val="nil"/>
              <w:left w:val="single" w:sz="4" w:space="0" w:color="auto"/>
              <w:bottom w:val="single" w:sz="4" w:space="0" w:color="auto"/>
              <w:right w:val="single" w:sz="4" w:space="0" w:color="auto"/>
            </w:tcBorders>
          </w:tcPr>
          <w:p w14:paraId="2E10D057" w14:textId="77777777" w:rsidR="00EE0369" w:rsidRPr="00926212" w:rsidRDefault="00EE0369" w:rsidP="00614B68">
            <w:pPr>
              <w:pStyle w:val="PBACTableText"/>
              <w:keepNext/>
              <w:keepLines/>
              <w:spacing w:before="0" w:after="0"/>
              <w:jc w:val="center"/>
            </w:pPr>
            <w:r w:rsidRPr="00926212">
              <w:t>3.0</w:t>
            </w:r>
            <w:r w:rsidRPr="00926212">
              <w:rPr>
                <w:rFonts w:eastAsiaTheme="minorHAnsi"/>
                <w:lang w:eastAsia="en-US"/>
              </w:rPr>
              <w:t>±4.1</w:t>
            </w:r>
          </w:p>
        </w:tc>
        <w:tc>
          <w:tcPr>
            <w:tcW w:w="445" w:type="pct"/>
            <w:tcBorders>
              <w:top w:val="nil"/>
              <w:left w:val="single" w:sz="4" w:space="0" w:color="auto"/>
              <w:bottom w:val="single" w:sz="4" w:space="0" w:color="auto"/>
              <w:right w:val="single" w:sz="4" w:space="0" w:color="auto"/>
            </w:tcBorders>
          </w:tcPr>
          <w:p w14:paraId="0CC1B335"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45.4</w:t>
            </w:r>
          </w:p>
        </w:tc>
      </w:tr>
      <w:tr w:rsidR="00452771" w:rsidRPr="00926212" w14:paraId="03D5423E" w14:textId="77777777" w:rsidTr="00041E7B">
        <w:trPr>
          <w:trHeight w:val="20"/>
        </w:trPr>
        <w:tc>
          <w:tcPr>
            <w:tcW w:w="712" w:type="pct"/>
            <w:tcBorders>
              <w:left w:val="single" w:sz="4" w:space="0" w:color="auto"/>
              <w:bottom w:val="nil"/>
              <w:right w:val="single" w:sz="4" w:space="0" w:color="auto"/>
            </w:tcBorders>
            <w:noWrap/>
          </w:tcPr>
          <w:p w14:paraId="1331A2A3"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SHARPS</w:t>
            </w:r>
          </w:p>
        </w:tc>
        <w:tc>
          <w:tcPr>
            <w:tcW w:w="1013" w:type="pct"/>
            <w:tcBorders>
              <w:left w:val="single" w:sz="4" w:space="0" w:color="auto"/>
              <w:bottom w:val="nil"/>
              <w:right w:val="single" w:sz="4" w:space="0" w:color="auto"/>
            </w:tcBorders>
            <w:noWrap/>
          </w:tcPr>
          <w:p w14:paraId="7238F9F0" w14:textId="0BC1424F" w:rsidR="00EE0369" w:rsidRPr="00926212" w:rsidRDefault="00926212" w:rsidP="00614B68">
            <w:pPr>
              <w:pStyle w:val="PBACTableText"/>
              <w:keepNext/>
              <w:keepLines/>
              <w:spacing w:before="0" w:after="0"/>
              <w:rPr>
                <w:rFonts w:cstheme="minorHAnsi"/>
                <w:color w:val="000000"/>
              </w:rPr>
            </w:pPr>
            <w:r>
              <w:rPr>
                <w:rFonts w:cstheme="minorHAnsi"/>
                <w:color w:val="000000"/>
              </w:rPr>
              <w:t>A</w:t>
            </w:r>
            <w:r w:rsidR="005762D0" w:rsidRPr="00926212">
              <w:rPr>
                <w:rFonts w:cstheme="minorHAnsi"/>
                <w:color w:val="000000"/>
              </w:rPr>
              <w:t>dalimumab</w:t>
            </w:r>
            <w:r w:rsidR="00EE0369" w:rsidRPr="00926212">
              <w:rPr>
                <w:rFonts w:cstheme="minorHAnsi"/>
                <w:color w:val="000000"/>
              </w:rPr>
              <w:t xml:space="preserve"> weekly</w:t>
            </w:r>
          </w:p>
        </w:tc>
        <w:tc>
          <w:tcPr>
            <w:tcW w:w="300" w:type="pct"/>
            <w:tcBorders>
              <w:left w:val="single" w:sz="4" w:space="0" w:color="auto"/>
              <w:bottom w:val="nil"/>
              <w:right w:val="single" w:sz="4" w:space="0" w:color="auto"/>
            </w:tcBorders>
            <w:noWrap/>
          </w:tcPr>
          <w:p w14:paraId="0ED96B45"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rPr>
              <w:t>103</w:t>
            </w:r>
          </w:p>
        </w:tc>
        <w:tc>
          <w:tcPr>
            <w:tcW w:w="590" w:type="pct"/>
            <w:tcBorders>
              <w:left w:val="single" w:sz="4" w:space="0" w:color="auto"/>
              <w:bottom w:val="nil"/>
              <w:right w:val="single" w:sz="4" w:space="0" w:color="auto"/>
            </w:tcBorders>
            <w:vAlign w:val="center"/>
          </w:tcPr>
          <w:p w14:paraId="45F4EBF1"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rPr>
              <w:t>11.7</w:t>
            </w:r>
            <w:r w:rsidRPr="00926212">
              <w:rPr>
                <w:rFonts w:eastAsiaTheme="minorHAnsi"/>
                <w:lang w:eastAsia="en-US"/>
              </w:rPr>
              <w:t>±10.5</w:t>
            </w:r>
          </w:p>
        </w:tc>
        <w:tc>
          <w:tcPr>
            <w:tcW w:w="762" w:type="pct"/>
            <w:tcBorders>
              <w:left w:val="single" w:sz="4" w:space="0" w:color="auto"/>
              <w:bottom w:val="nil"/>
              <w:right w:val="single" w:sz="4" w:space="0" w:color="auto"/>
            </w:tcBorders>
            <w:vAlign w:val="center"/>
          </w:tcPr>
          <w:p w14:paraId="520DC683"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7.9</w:t>
            </w:r>
            <w:r w:rsidRPr="00926212">
              <w:rPr>
                <w:rFonts w:eastAsiaTheme="minorHAnsi"/>
                <w:lang w:eastAsia="en-US"/>
              </w:rPr>
              <w:t>±5.5</w:t>
            </w:r>
          </w:p>
        </w:tc>
        <w:tc>
          <w:tcPr>
            <w:tcW w:w="589" w:type="pct"/>
            <w:tcBorders>
              <w:left w:val="single" w:sz="4" w:space="0" w:color="auto"/>
              <w:bottom w:val="nil"/>
              <w:right w:val="single" w:sz="4" w:space="0" w:color="auto"/>
            </w:tcBorders>
          </w:tcPr>
          <w:p w14:paraId="758569CD"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2.4</w:t>
            </w:r>
            <w:r w:rsidRPr="00926212">
              <w:rPr>
                <w:rFonts w:eastAsiaTheme="minorHAnsi"/>
                <w:lang w:eastAsia="en-US"/>
              </w:rPr>
              <w:t>±3.7</w:t>
            </w:r>
          </w:p>
        </w:tc>
        <w:tc>
          <w:tcPr>
            <w:tcW w:w="589" w:type="pct"/>
            <w:tcBorders>
              <w:left w:val="single" w:sz="4" w:space="0" w:color="auto"/>
              <w:bottom w:val="nil"/>
              <w:right w:val="single" w:sz="4" w:space="0" w:color="auto"/>
            </w:tcBorders>
          </w:tcPr>
          <w:p w14:paraId="1A38D1FD" w14:textId="77777777" w:rsidR="00EE0369" w:rsidRPr="00926212" w:rsidRDefault="00EE0369" w:rsidP="00614B68">
            <w:pPr>
              <w:pStyle w:val="PBACTableText"/>
              <w:keepNext/>
              <w:keepLines/>
              <w:spacing w:before="0" w:after="0"/>
              <w:jc w:val="center"/>
            </w:pPr>
            <w:r w:rsidRPr="00926212">
              <w:t>3.6</w:t>
            </w:r>
            <w:r w:rsidRPr="00926212">
              <w:rPr>
                <w:rFonts w:eastAsiaTheme="minorHAnsi"/>
                <w:lang w:eastAsia="en-US"/>
              </w:rPr>
              <w:t>±4.0</w:t>
            </w:r>
          </w:p>
        </w:tc>
        <w:tc>
          <w:tcPr>
            <w:tcW w:w="445" w:type="pct"/>
            <w:tcBorders>
              <w:left w:val="single" w:sz="4" w:space="0" w:color="auto"/>
              <w:bottom w:val="nil"/>
              <w:right w:val="single" w:sz="4" w:space="0" w:color="auto"/>
            </w:tcBorders>
          </w:tcPr>
          <w:p w14:paraId="7A50ABA1"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49</w:t>
            </w:r>
          </w:p>
        </w:tc>
      </w:tr>
      <w:tr w:rsidR="00452771" w:rsidRPr="00926212" w14:paraId="58BEC0BA" w14:textId="77777777" w:rsidTr="00041E7B">
        <w:trPr>
          <w:trHeight w:val="20"/>
        </w:trPr>
        <w:tc>
          <w:tcPr>
            <w:tcW w:w="712" w:type="pct"/>
            <w:tcBorders>
              <w:top w:val="nil"/>
              <w:left w:val="single" w:sz="4" w:space="0" w:color="auto"/>
              <w:right w:val="single" w:sz="4" w:space="0" w:color="auto"/>
            </w:tcBorders>
            <w:noWrap/>
          </w:tcPr>
          <w:p w14:paraId="275AF6A7" w14:textId="77777777" w:rsidR="00EE0369" w:rsidRPr="00926212" w:rsidRDefault="00EE0369" w:rsidP="00614B68">
            <w:pPr>
              <w:pStyle w:val="PBACTableText"/>
              <w:keepNext/>
              <w:keepLines/>
              <w:spacing w:before="0" w:after="0"/>
              <w:rPr>
                <w:rFonts w:cstheme="minorHAnsi"/>
                <w:color w:val="000000"/>
              </w:rPr>
            </w:pPr>
          </w:p>
        </w:tc>
        <w:tc>
          <w:tcPr>
            <w:tcW w:w="1013" w:type="pct"/>
            <w:tcBorders>
              <w:top w:val="nil"/>
              <w:left w:val="single" w:sz="4" w:space="0" w:color="auto"/>
              <w:right w:val="single" w:sz="4" w:space="0" w:color="auto"/>
            </w:tcBorders>
            <w:noWrap/>
          </w:tcPr>
          <w:p w14:paraId="67B52BFF" w14:textId="77777777" w:rsidR="00EE0369" w:rsidRPr="00926212" w:rsidRDefault="00EE0369" w:rsidP="00614B68">
            <w:pPr>
              <w:pStyle w:val="PBACTableText"/>
              <w:keepNext/>
              <w:keepLines/>
              <w:spacing w:before="0" w:after="0"/>
              <w:rPr>
                <w:rFonts w:cstheme="minorHAnsi"/>
                <w:color w:val="000000"/>
              </w:rPr>
            </w:pPr>
            <w:r w:rsidRPr="00926212">
              <w:rPr>
                <w:rFonts w:cstheme="minorHAnsi"/>
                <w:color w:val="000000"/>
              </w:rPr>
              <w:t>PBO</w:t>
            </w:r>
          </w:p>
        </w:tc>
        <w:tc>
          <w:tcPr>
            <w:tcW w:w="300" w:type="pct"/>
            <w:tcBorders>
              <w:top w:val="nil"/>
              <w:left w:val="single" w:sz="4" w:space="0" w:color="auto"/>
              <w:right w:val="single" w:sz="4" w:space="0" w:color="auto"/>
            </w:tcBorders>
            <w:noWrap/>
          </w:tcPr>
          <w:p w14:paraId="2C65D2D8"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rPr>
              <w:t>103</w:t>
            </w:r>
          </w:p>
        </w:tc>
        <w:tc>
          <w:tcPr>
            <w:tcW w:w="590" w:type="pct"/>
            <w:tcBorders>
              <w:top w:val="nil"/>
              <w:left w:val="single" w:sz="4" w:space="0" w:color="auto"/>
              <w:right w:val="single" w:sz="4" w:space="0" w:color="auto"/>
            </w:tcBorders>
            <w:vAlign w:val="center"/>
          </w:tcPr>
          <w:p w14:paraId="59566FF3"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10.0</w:t>
            </w:r>
            <w:r w:rsidRPr="00926212">
              <w:rPr>
                <w:rFonts w:eastAsiaTheme="minorHAnsi"/>
                <w:lang w:eastAsia="en-US"/>
              </w:rPr>
              <w:t>±9.0</w:t>
            </w:r>
          </w:p>
        </w:tc>
        <w:tc>
          <w:tcPr>
            <w:tcW w:w="762" w:type="pct"/>
            <w:tcBorders>
              <w:top w:val="nil"/>
              <w:left w:val="single" w:sz="4" w:space="0" w:color="auto"/>
              <w:right w:val="single" w:sz="4" w:space="0" w:color="auto"/>
            </w:tcBorders>
            <w:vAlign w:val="center"/>
          </w:tcPr>
          <w:p w14:paraId="1382D8B1"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8.5</w:t>
            </w:r>
            <w:r w:rsidRPr="00926212">
              <w:rPr>
                <w:rFonts w:eastAsiaTheme="minorHAnsi"/>
                <w:lang w:eastAsia="en-US"/>
              </w:rPr>
              <w:t>±9.1</w:t>
            </w:r>
          </w:p>
        </w:tc>
        <w:tc>
          <w:tcPr>
            <w:tcW w:w="589" w:type="pct"/>
            <w:tcBorders>
              <w:top w:val="nil"/>
              <w:left w:val="single" w:sz="4" w:space="0" w:color="auto"/>
              <w:right w:val="single" w:sz="4" w:space="0" w:color="auto"/>
            </w:tcBorders>
          </w:tcPr>
          <w:p w14:paraId="1DBFBD78"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2.8</w:t>
            </w:r>
            <w:r w:rsidRPr="00926212">
              <w:rPr>
                <w:rFonts w:eastAsiaTheme="minorHAnsi"/>
                <w:lang w:eastAsia="en-US"/>
              </w:rPr>
              <w:t>±6.1</w:t>
            </w:r>
          </w:p>
        </w:tc>
        <w:tc>
          <w:tcPr>
            <w:tcW w:w="589" w:type="pct"/>
            <w:tcBorders>
              <w:top w:val="nil"/>
              <w:left w:val="single" w:sz="4" w:space="0" w:color="auto"/>
              <w:right w:val="single" w:sz="4" w:space="0" w:color="auto"/>
            </w:tcBorders>
          </w:tcPr>
          <w:p w14:paraId="5FD45CCA" w14:textId="77777777" w:rsidR="00EE0369" w:rsidRPr="00926212" w:rsidRDefault="00EE0369" w:rsidP="00614B68">
            <w:pPr>
              <w:pStyle w:val="PBACTableText"/>
              <w:keepNext/>
              <w:keepLines/>
              <w:spacing w:before="0" w:after="0"/>
              <w:jc w:val="center"/>
            </w:pPr>
            <w:r w:rsidRPr="00926212">
              <w:t>4.0</w:t>
            </w:r>
            <w:r w:rsidRPr="00926212">
              <w:rPr>
                <w:rFonts w:eastAsiaTheme="minorHAnsi"/>
                <w:lang w:eastAsia="en-US"/>
              </w:rPr>
              <w:t>±5.4</w:t>
            </w:r>
          </w:p>
        </w:tc>
        <w:tc>
          <w:tcPr>
            <w:tcW w:w="445" w:type="pct"/>
            <w:tcBorders>
              <w:top w:val="nil"/>
              <w:left w:val="single" w:sz="4" w:space="0" w:color="auto"/>
              <w:right w:val="single" w:sz="4" w:space="0" w:color="auto"/>
            </w:tcBorders>
          </w:tcPr>
          <w:p w14:paraId="0B550C1F" w14:textId="77777777" w:rsidR="00EE0369" w:rsidRPr="00926212" w:rsidRDefault="00EE0369" w:rsidP="00614B68">
            <w:pPr>
              <w:pStyle w:val="PBACTableText"/>
              <w:keepNext/>
              <w:keepLines/>
              <w:spacing w:before="0" w:after="0"/>
              <w:jc w:val="center"/>
              <w:rPr>
                <w:rFonts w:cstheme="minorHAnsi"/>
                <w:color w:val="000000"/>
              </w:rPr>
            </w:pPr>
            <w:r w:rsidRPr="00926212">
              <w:rPr>
                <w:rFonts w:cstheme="minorHAnsi"/>
                <w:color w:val="000000"/>
              </w:rPr>
              <w:t>48</w:t>
            </w:r>
          </w:p>
        </w:tc>
      </w:tr>
    </w:tbl>
    <w:p w14:paraId="1DD0895F" w14:textId="0FE002B8" w:rsidR="006C5AE8" w:rsidRPr="0078036B" w:rsidRDefault="006C5AE8" w:rsidP="00614B68">
      <w:pPr>
        <w:pStyle w:val="FooterTableFigure"/>
        <w:keepNext/>
        <w:keepLines/>
      </w:pPr>
      <w:r w:rsidRPr="0078036B">
        <w:t xml:space="preserve">Source: </w:t>
      </w:r>
      <w:r w:rsidR="003C3FF7">
        <w:t xml:space="preserve">Data extracted from </w:t>
      </w:r>
      <w:r>
        <w:t>Table 2.18, p 69 of the submission.</w:t>
      </w:r>
    </w:p>
    <w:p w14:paraId="6432D0A2" w14:textId="0857D159" w:rsidR="006C5AE8" w:rsidRDefault="006C5AE8" w:rsidP="00614B68">
      <w:pPr>
        <w:pStyle w:val="FooterTableFigure"/>
        <w:keepNext/>
        <w:keepLines/>
        <w:rPr>
          <w:lang w:val="en-GB"/>
        </w:rPr>
      </w:pPr>
      <w:r>
        <w:t>DLQI= dermatology life quality index; NR= not reported; PBO= placebo; Q2W= once every 2 weeks; Q4W =once every 4 weeks</w:t>
      </w:r>
      <w:r w:rsidR="00926212">
        <w:t xml:space="preserve">; </w:t>
      </w:r>
      <w:r w:rsidR="00926212" w:rsidRPr="000303E6">
        <w:t>SD= standard deviation;</w:t>
      </w:r>
      <w:r w:rsidR="00926212">
        <w:t xml:space="preserve"> SEC= secukinumab.</w:t>
      </w:r>
    </w:p>
    <w:p w14:paraId="0C7ACFDD" w14:textId="09570694" w:rsidR="006C5AE8" w:rsidRPr="00923CEC" w:rsidRDefault="006C5AE8" w:rsidP="00585D9E">
      <w:pPr>
        <w:pStyle w:val="FooterTableFigure"/>
        <w:keepLines/>
      </w:pPr>
      <w:proofErr w:type="gramStart"/>
      <w:r>
        <w:rPr>
          <w:vertAlign w:val="superscript"/>
        </w:rPr>
        <w:t>a</w:t>
      </w:r>
      <w:proofErr w:type="gramEnd"/>
      <w:r w:rsidRPr="006A5AFD">
        <w:t xml:space="preserve"> </w:t>
      </w:r>
      <w:r w:rsidR="00A04A08">
        <w:t>O</w:t>
      </w:r>
      <w:r w:rsidRPr="006A5AFD">
        <w:t xml:space="preserve">nly </w:t>
      </w:r>
      <w:r>
        <w:t>TGA approved dose were</w:t>
      </w:r>
      <w:r w:rsidRPr="006A5AFD">
        <w:t xml:space="preserve"> reported.</w:t>
      </w:r>
    </w:p>
    <w:p w14:paraId="2F0631DE" w14:textId="7766913C" w:rsidR="00412386" w:rsidRPr="008F6591" w:rsidRDefault="00412386" w:rsidP="007E1C14">
      <w:pPr>
        <w:pStyle w:val="3-BodyText"/>
      </w:pPr>
      <w:r>
        <w:t xml:space="preserve">The submission’s ITC </w:t>
      </w:r>
      <w:r w:rsidR="00461B41">
        <w:t xml:space="preserve">of the combined Q2W and Q4W groups from the </w:t>
      </w:r>
      <w:r w:rsidR="008D4883">
        <w:t>secukinumab</w:t>
      </w:r>
      <w:r w:rsidR="00461B41">
        <w:t xml:space="preserve"> trials versus the </w:t>
      </w:r>
      <w:r w:rsidR="005762D0">
        <w:t>adalimumab</w:t>
      </w:r>
      <w:r w:rsidR="00461B41">
        <w:t xml:space="preserve"> trials </w:t>
      </w:r>
      <w:r w:rsidR="00BC2878">
        <w:t>is</w:t>
      </w:r>
      <w:r>
        <w:t xml:space="preserve"> presented in </w:t>
      </w:r>
      <w:r w:rsidR="000C1814">
        <w:fldChar w:fldCharType="begin" w:fldLock="1"/>
      </w:r>
      <w:r w:rsidR="000C1814">
        <w:instrText xml:space="preserve"> REF _Ref134106012 \h </w:instrText>
      </w:r>
      <w:r w:rsidR="000C1814">
        <w:fldChar w:fldCharType="separate"/>
      </w:r>
      <w:r w:rsidR="000F75DF">
        <w:t xml:space="preserve">Table </w:t>
      </w:r>
      <w:r w:rsidR="000F75DF">
        <w:rPr>
          <w:noProof/>
        </w:rPr>
        <w:t>8</w:t>
      </w:r>
      <w:r w:rsidR="000C1814">
        <w:fldChar w:fldCharType="end"/>
      </w:r>
      <w:r>
        <w:t xml:space="preserve"> below.</w:t>
      </w:r>
      <w:r w:rsidR="00EA6DCA">
        <w:t xml:space="preserve"> </w:t>
      </w:r>
      <w:r w:rsidR="00EA6DCA" w:rsidRPr="0036226E">
        <w:t xml:space="preserve">The </w:t>
      </w:r>
      <w:r w:rsidR="006626D4">
        <w:t xml:space="preserve">ITC </w:t>
      </w:r>
      <w:r w:rsidR="00EA6DCA" w:rsidRPr="0036226E">
        <w:t>showed no statistically significant</w:t>
      </w:r>
      <w:r w:rsidR="00EA6DCA">
        <w:t xml:space="preserve"> difference</w:t>
      </w:r>
      <w:r w:rsidR="00EA6DCA" w:rsidRPr="0036226E">
        <w:t xml:space="preserve"> but a numeric difference in favour of </w:t>
      </w:r>
      <w:r w:rsidR="005762D0">
        <w:t>adalimumab</w:t>
      </w:r>
      <w:r w:rsidR="00EA6DCA" w:rsidRPr="0036226E">
        <w:t xml:space="preserve"> when compared to secukinumab (OR=0.63, [95% CI: 0.</w:t>
      </w:r>
      <w:r w:rsidR="00EA6DCA">
        <w:t>40</w:t>
      </w:r>
      <w:r w:rsidR="00EA6DCA" w:rsidRPr="0036226E">
        <w:t>, 1.0</w:t>
      </w:r>
      <w:r w:rsidR="00EA6DCA">
        <w:t>1</w:t>
      </w:r>
      <w:r w:rsidR="00EA6DCA" w:rsidRPr="0036226E">
        <w:t>)</w:t>
      </w:r>
      <w:r w:rsidR="0087133B">
        <w:t xml:space="preserve">. As the </w:t>
      </w:r>
      <w:r w:rsidR="00A15B27">
        <w:t xml:space="preserve">95% CI </w:t>
      </w:r>
      <w:r w:rsidR="00A15B27">
        <w:lastRenderedPageBreak/>
        <w:t>traversed 1</w:t>
      </w:r>
      <w:r w:rsidR="00EA6DCA">
        <w:t xml:space="preserve">, the submission concluded that secukinumab (either Q2W or Q4W) was non-inferior, in terms of efficacy, compared to </w:t>
      </w:r>
      <w:r w:rsidR="005762D0">
        <w:t>adalimumab</w:t>
      </w:r>
      <w:r w:rsidR="00EA6DCA">
        <w:t xml:space="preserve">. </w:t>
      </w:r>
      <w:r w:rsidR="00EA6DCA" w:rsidRPr="005E2E87">
        <w:t>This</w:t>
      </w:r>
      <w:r w:rsidR="00EA6DCA" w:rsidRPr="005E2E87" w:rsidDel="007B540C">
        <w:t xml:space="preserve"> </w:t>
      </w:r>
      <w:r w:rsidR="00EA6DCA" w:rsidRPr="005E2E87">
        <w:t xml:space="preserve">was not a reasonable interpretation of these results; the absence of a statistically significant difference does not necessarily mean the two treatments have </w:t>
      </w:r>
      <w:r w:rsidR="00F2574D" w:rsidRPr="005E2E87">
        <w:t xml:space="preserve">non-inferior </w:t>
      </w:r>
      <w:r w:rsidR="00EA6DCA" w:rsidRPr="005E2E87">
        <w:t>efficacy</w:t>
      </w:r>
      <w:r w:rsidR="00102DCB" w:rsidRPr="005E2E87">
        <w:t>.</w:t>
      </w:r>
      <w:r w:rsidR="008F6591">
        <w:t xml:space="preserve"> </w:t>
      </w:r>
      <w:r w:rsidR="008F6591" w:rsidRPr="00500E83">
        <w:t>The evaluation considered</w:t>
      </w:r>
      <w:r w:rsidR="00EA6DCA" w:rsidRPr="00500E83">
        <w:t xml:space="preserve"> </w:t>
      </w:r>
      <w:r w:rsidR="008F6591" w:rsidRPr="00500E83">
        <w:t>a</w:t>
      </w:r>
      <w:r w:rsidR="00EA6DCA" w:rsidRPr="005E2E87">
        <w:t xml:space="preserve"> more reasonable interpretation of the ITC is that </w:t>
      </w:r>
      <w:r w:rsidR="008D4883" w:rsidRPr="005E2E87">
        <w:t>secukinumab</w:t>
      </w:r>
      <w:r w:rsidR="00EA6DCA" w:rsidRPr="005E2E87">
        <w:t xml:space="preserve"> </w:t>
      </w:r>
      <w:r w:rsidR="00AB72B3" w:rsidRPr="005E2E87">
        <w:t>demonstrated a trend towards inferiority</w:t>
      </w:r>
      <w:r w:rsidR="00EA6DCA" w:rsidRPr="005E2E87">
        <w:t xml:space="preserve"> </w:t>
      </w:r>
      <w:r w:rsidR="00270178" w:rsidRPr="005E2E87">
        <w:t>compared</w:t>
      </w:r>
      <w:r w:rsidR="00EA6DCA" w:rsidRPr="005E2E87">
        <w:t xml:space="preserve"> to </w:t>
      </w:r>
      <w:r w:rsidR="005762D0" w:rsidRPr="005E2E87">
        <w:t>adalimumab</w:t>
      </w:r>
      <w:r w:rsidR="00EA6DCA" w:rsidRPr="005E2E87">
        <w:t xml:space="preserve"> in terms of efficacy, however the comparison lacked the power to achieve statistical significance</w:t>
      </w:r>
      <w:r w:rsidR="00500E83">
        <w:t xml:space="preserve"> and</w:t>
      </w:r>
      <w:r w:rsidR="00F2574D" w:rsidRPr="005E2E87">
        <w:t xml:space="preserve"> </w:t>
      </w:r>
      <w:r w:rsidR="00500E83">
        <w:t>i</w:t>
      </w:r>
      <w:r w:rsidR="00F2574D" w:rsidRPr="005E2E87">
        <w:t>nterpretation</w:t>
      </w:r>
      <w:r w:rsidR="00500E83">
        <w:t xml:space="preserve"> of the results</w:t>
      </w:r>
      <w:r w:rsidR="00F2574D" w:rsidRPr="005E2E87">
        <w:t xml:space="preserve"> is further </w:t>
      </w:r>
      <w:r w:rsidR="00527C6B" w:rsidRPr="005E2E87">
        <w:t>complicated by the lack of a nominated non-inferiority margin.</w:t>
      </w:r>
      <w:r w:rsidR="00057414" w:rsidRPr="005E2E87">
        <w:t xml:space="preserve"> As discussed above, the trial design and population of the SHARPS RCT is distinct from the other trials; if the SHARPS trial were removed from the ITC, then </w:t>
      </w:r>
      <w:r w:rsidR="008D4883" w:rsidRPr="005E2E87">
        <w:t>secukinumab</w:t>
      </w:r>
      <w:r w:rsidR="00057414" w:rsidRPr="005E2E87">
        <w:t xml:space="preserve"> treatment was statistically significantly inferior to </w:t>
      </w:r>
      <w:r w:rsidR="005762D0" w:rsidRPr="005E2E87">
        <w:t>adalimumab</w:t>
      </w:r>
      <w:r w:rsidR="00057414" w:rsidRPr="005E2E87">
        <w:t>.</w:t>
      </w:r>
      <w:r w:rsidR="008F6591">
        <w:t xml:space="preserve"> </w:t>
      </w:r>
    </w:p>
    <w:p w14:paraId="5BC21E68" w14:textId="7E3E4937" w:rsidR="00500E83" w:rsidRDefault="008F6591" w:rsidP="007E1C14">
      <w:pPr>
        <w:pStyle w:val="3-BodyText"/>
      </w:pPr>
      <w:r w:rsidRPr="00A304A7">
        <w:t>The PSCR argued the number of required ANs in the secukinumab trials assures that patients would meet the definition of moderate to severe disease in the HS-PGA tool</w:t>
      </w:r>
      <w:r w:rsidR="00576EED">
        <w:t>. The PSCR further argued this</w:t>
      </w:r>
      <w:r w:rsidRPr="00A304A7">
        <w:t xml:space="preserve"> was also consistent with the proposed refined Hurley Staging (Horvath et al 2017</w:t>
      </w:r>
      <w:r w:rsidR="00F33F1A" w:rsidRPr="00A304A7">
        <w:rPr>
          <w:rStyle w:val="FootnoteReference"/>
          <w:lang w:val="en-US"/>
        </w:rPr>
        <w:footnoteReference w:id="5"/>
      </w:r>
      <w:r w:rsidRPr="00A304A7">
        <w:t>), which propose</w:t>
      </w:r>
      <w:r w:rsidR="00576EED">
        <w:t>d</w:t>
      </w:r>
      <w:r w:rsidRPr="00A304A7">
        <w:t xml:space="preserve"> that selecting the population by requiring 5 ANs in at least 2 anatomical locations is the</w:t>
      </w:r>
      <w:r w:rsidR="00576EED">
        <w:t xml:space="preserve"> most appropriate basis for selecting </w:t>
      </w:r>
      <w:r w:rsidRPr="00A304A7">
        <w:t xml:space="preserve">candidates for treatment with biologic therapies. The PSCR also stated that trial design and recruitment criteria for biologics for moderate to severe HS have changed since the adalimumab trials, with other agents currently in clinical trials using similar disease criteria for recruitment as the secukinumab trials. </w:t>
      </w:r>
    </w:p>
    <w:p w14:paraId="2A376F76" w14:textId="0C5FBBFA" w:rsidR="008F6591" w:rsidRPr="00A304A7" w:rsidRDefault="008F6591" w:rsidP="007E1C14">
      <w:pPr>
        <w:pStyle w:val="3-BodyText"/>
      </w:pPr>
      <w:r w:rsidRPr="00A304A7">
        <w:t>The ESC considered that while descriptions and measurement of moderate to severe HS in clinical trial design may be changing (compared to the older adalimumab trials), was also concerned this difference introduced additional uncertainty to the ITC, as patients in the secukinumab trials had more ANs at baseline and therefore more capacity for improvement, which may bias against adalimumab.</w:t>
      </w:r>
      <w:r w:rsidR="00324127">
        <w:t xml:space="preserve"> The Pre-PBAC Response argued the key disease characteristics (Table 7 above) showed that except for the </w:t>
      </w:r>
      <w:r w:rsidR="00814E3E">
        <w:t>adalimumab</w:t>
      </w:r>
      <w:r w:rsidR="00324127">
        <w:t xml:space="preserve"> M10-467 study, patients in the </w:t>
      </w:r>
      <w:r w:rsidR="00814E3E">
        <w:t>adalimumab</w:t>
      </w:r>
      <w:r w:rsidR="00324127">
        <w:t xml:space="preserve"> trials had a slightly lower AN count and higher draining fistulae count compared to the </w:t>
      </w:r>
      <w:r w:rsidR="00576EED">
        <w:t>secukinumab</w:t>
      </w:r>
      <w:r w:rsidR="00324127">
        <w:t xml:space="preserve"> trials, and further argued the PIONEER and SHARPS populations had a greater proportion with Hurley Stage III disease, meaning the </w:t>
      </w:r>
      <w:r w:rsidR="00814E3E">
        <w:t>adalimumab</w:t>
      </w:r>
      <w:r w:rsidR="00324127">
        <w:t xml:space="preserve"> trials </w:t>
      </w:r>
      <w:r w:rsidR="001D0A81">
        <w:t>overall</w:t>
      </w:r>
      <w:r w:rsidR="00324127">
        <w:t xml:space="preserve"> likely had </w:t>
      </w:r>
      <w:r w:rsidR="001D0A81">
        <w:t xml:space="preserve">more severe disease. On that basis, the Response argued it was difficult to draw conclusions whether the patient characteristics of the </w:t>
      </w:r>
      <w:r w:rsidR="00814E3E">
        <w:t xml:space="preserve">secukinumab or adalimumab </w:t>
      </w:r>
      <w:r w:rsidR="001D0A81">
        <w:t xml:space="preserve">trials bias one way or the other based on individual characteristics of note. </w:t>
      </w:r>
    </w:p>
    <w:p w14:paraId="4B3ED702" w14:textId="368BB133" w:rsidR="003E543F" w:rsidRPr="00A304A7" w:rsidRDefault="008F6591" w:rsidP="007E1C14">
      <w:pPr>
        <w:pStyle w:val="3-BodyText"/>
      </w:pPr>
      <w:r w:rsidRPr="00A304A7">
        <w:t xml:space="preserve">The PSCR also argued the secukinumab studies recruited a population that included participants having previously failed a biologic therapy (which was not possible for adalimumab as a first in class biologic for HS), with ~86-92% of those having failed or </w:t>
      </w:r>
      <w:r w:rsidRPr="00A304A7">
        <w:lastRenderedPageBreak/>
        <w:t xml:space="preserve">not tolerated prior biologic therapies. The PSCR argued the inclusion of these patients biases the ITC in favour of adalimumab, as the secukinumab trial populations included a substantial proportion who had failed a prior biologic and therefore should be considered harder to treat. </w:t>
      </w:r>
    </w:p>
    <w:p w14:paraId="2A390C96" w14:textId="7A9F9216" w:rsidR="008F6591" w:rsidRPr="00A304A7" w:rsidRDefault="008F6591" w:rsidP="007E1C14">
      <w:pPr>
        <w:pStyle w:val="3-BodyText"/>
      </w:pPr>
      <w:r w:rsidRPr="00A304A7">
        <w:t>The ESC noted</w:t>
      </w:r>
      <w:r w:rsidR="00E46713" w:rsidRPr="00A304A7">
        <w:t xml:space="preserve"> the results of subgroup analysis for patients who have received prior biologics </w:t>
      </w:r>
      <w:r w:rsidR="003E5B00" w:rsidRPr="00A304A7">
        <w:t>resulted in</w:t>
      </w:r>
      <w:r w:rsidR="00E46713" w:rsidRPr="00A304A7">
        <w:t xml:space="preserve"> inconsistent directionality of </w:t>
      </w:r>
      <w:r w:rsidR="003E5B00" w:rsidRPr="00A304A7">
        <w:t>ORs</w:t>
      </w:r>
      <w:r w:rsidR="00E46713" w:rsidRPr="00A304A7">
        <w:t xml:space="preserve"> between SUNRISE (</w:t>
      </w:r>
      <w:r w:rsidR="003E5B00" w:rsidRPr="00A304A7">
        <w:t xml:space="preserve">decrease from ITT, </w:t>
      </w:r>
      <w:r w:rsidR="00591899" w:rsidRPr="00A304A7">
        <w:t xml:space="preserve">Q2W/Q4W OR = </w:t>
      </w:r>
      <w:r w:rsidR="004E657B" w:rsidRPr="00A304A7">
        <w:t xml:space="preserve">1.75/1.48 to </w:t>
      </w:r>
      <w:r w:rsidR="00591899" w:rsidRPr="00A304A7">
        <w:t>1.27/1.28</w:t>
      </w:r>
      <w:r w:rsidR="003E5B00" w:rsidRPr="00A304A7">
        <w:t>)</w:t>
      </w:r>
      <w:r w:rsidR="00E46713" w:rsidRPr="00A304A7">
        <w:t xml:space="preserve"> and SUNSHINE</w:t>
      </w:r>
      <w:r w:rsidR="003E5B00" w:rsidRPr="00A304A7">
        <w:t xml:space="preserve"> (increase from ITT, Q2W/Q4W OR = </w:t>
      </w:r>
      <w:r w:rsidR="004E657B" w:rsidRPr="00A304A7">
        <w:t xml:space="preserve">1.64/ 1.90 to </w:t>
      </w:r>
      <w:r w:rsidR="003E5B00" w:rsidRPr="00A304A7">
        <w:t>2.01/2.27). The ESC also noted</w:t>
      </w:r>
      <w:r w:rsidRPr="00A304A7">
        <w:t xml:space="preserve"> there were numerous transitivity issues (discussed in the PSCR and paragraph 6.12) </w:t>
      </w:r>
      <w:r w:rsidR="003E5B00" w:rsidRPr="00A304A7">
        <w:t xml:space="preserve">and considered, </w:t>
      </w:r>
      <w:r w:rsidRPr="00A304A7">
        <w:t>given the limited available data and lack of sizeable subgroups upon which to analyse potential impacts further</w:t>
      </w:r>
      <w:r w:rsidR="003E5B00" w:rsidRPr="00A304A7">
        <w:t>, that</w:t>
      </w:r>
      <w:r w:rsidRPr="00A304A7">
        <w:t xml:space="preserve"> it was not possible to draw clear conclusions about the directionality and magnitude of potential biases in the ITC.</w:t>
      </w:r>
    </w:p>
    <w:p w14:paraId="52A79DC1" w14:textId="34C2A940" w:rsidR="000C1814" w:rsidRDefault="000C1814" w:rsidP="000C1814">
      <w:pPr>
        <w:pStyle w:val="Caption"/>
      </w:pPr>
      <w:bookmarkStart w:id="28" w:name="_Ref134106012"/>
      <w:r>
        <w:t xml:space="preserve">Table </w:t>
      </w:r>
      <w:r>
        <w:fldChar w:fldCharType="begin" w:fldLock="1"/>
      </w:r>
      <w:r>
        <w:instrText>SEQ Table \* ARABIC</w:instrText>
      </w:r>
      <w:r>
        <w:fldChar w:fldCharType="separate"/>
      </w:r>
      <w:r w:rsidR="000F75DF">
        <w:rPr>
          <w:noProof/>
        </w:rPr>
        <w:t>8</w:t>
      </w:r>
      <w:r>
        <w:fldChar w:fldCharType="end"/>
      </w:r>
      <w:bookmarkEnd w:id="28"/>
      <w:r>
        <w:t xml:space="preserve">: </w:t>
      </w:r>
      <w:r w:rsidRPr="007D4126">
        <w:t>Summary of result</w:t>
      </w:r>
      <w:r>
        <w:t>s</w:t>
      </w:r>
      <w:r w:rsidRPr="007D4126">
        <w:t xml:space="preserve"> of </w:t>
      </w:r>
      <w:r>
        <w:t xml:space="preserve">the </w:t>
      </w:r>
      <w:r w:rsidRPr="007D4126">
        <w:t>indi</w:t>
      </w:r>
      <w:r>
        <w:t>re</w:t>
      </w:r>
      <w:r w:rsidRPr="007D4126">
        <w:t xml:space="preserve">ct comparison in </w:t>
      </w:r>
      <w:r>
        <w:t>HiSCR50 response</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52"/>
        <w:gridCol w:w="2546"/>
        <w:gridCol w:w="1879"/>
        <w:gridCol w:w="2040"/>
      </w:tblGrid>
      <w:tr w:rsidR="00412386" w:rsidRPr="003F1965" w14:paraId="0D5E99DC" w14:textId="77777777" w:rsidTr="00E06B6B">
        <w:trPr>
          <w:trHeight w:val="240"/>
          <w:tblHeader/>
        </w:trPr>
        <w:tc>
          <w:tcPr>
            <w:tcW w:w="1415" w:type="pct"/>
            <w:vMerge w:val="restart"/>
            <w:tcBorders>
              <w:left w:val="single" w:sz="4" w:space="0" w:color="auto"/>
              <w:right w:val="single" w:sz="4" w:space="0" w:color="auto"/>
            </w:tcBorders>
            <w:shd w:val="clear" w:color="auto" w:fill="auto"/>
            <w:vAlign w:val="center"/>
          </w:tcPr>
          <w:p w14:paraId="097D0FD8" w14:textId="77777777" w:rsidR="00412386" w:rsidRPr="00656FD8" w:rsidRDefault="00412386" w:rsidP="003F177C">
            <w:pPr>
              <w:pStyle w:val="TableText0"/>
            </w:pPr>
          </w:p>
        </w:tc>
        <w:tc>
          <w:tcPr>
            <w:tcW w:w="1412" w:type="pct"/>
            <w:tcBorders>
              <w:left w:val="single" w:sz="4" w:space="0" w:color="auto"/>
              <w:bottom w:val="nil"/>
              <w:right w:val="single" w:sz="4" w:space="0" w:color="auto"/>
            </w:tcBorders>
            <w:shd w:val="clear" w:color="auto" w:fill="auto"/>
            <w:vAlign w:val="center"/>
          </w:tcPr>
          <w:p w14:paraId="1DD598BA" w14:textId="77777777" w:rsidR="00412386" w:rsidRPr="003F177C" w:rsidRDefault="00412386" w:rsidP="003F177C">
            <w:pPr>
              <w:pStyle w:val="TableText0"/>
              <w:jc w:val="center"/>
              <w:rPr>
                <w:b/>
              </w:rPr>
            </w:pPr>
            <w:r w:rsidRPr="003F177C">
              <w:rPr>
                <w:b/>
              </w:rPr>
              <w:t>Proposed medicine</w:t>
            </w:r>
          </w:p>
        </w:tc>
        <w:tc>
          <w:tcPr>
            <w:tcW w:w="1042" w:type="pct"/>
            <w:tcBorders>
              <w:left w:val="single" w:sz="4" w:space="0" w:color="auto"/>
              <w:bottom w:val="nil"/>
              <w:right w:val="single" w:sz="4" w:space="0" w:color="auto"/>
            </w:tcBorders>
            <w:shd w:val="clear" w:color="auto" w:fill="auto"/>
            <w:vAlign w:val="center"/>
          </w:tcPr>
          <w:p w14:paraId="2650E772" w14:textId="77777777" w:rsidR="00412386" w:rsidRPr="003F177C" w:rsidRDefault="00412386" w:rsidP="003F177C">
            <w:pPr>
              <w:pStyle w:val="TableText0"/>
              <w:jc w:val="center"/>
              <w:rPr>
                <w:b/>
              </w:rPr>
            </w:pPr>
            <w:r w:rsidRPr="003F177C">
              <w:rPr>
                <w:b/>
              </w:rPr>
              <w:t>Comparator placebo</w:t>
            </w:r>
          </w:p>
        </w:tc>
        <w:tc>
          <w:tcPr>
            <w:tcW w:w="1131" w:type="pct"/>
            <w:tcBorders>
              <w:left w:val="single" w:sz="4" w:space="0" w:color="auto"/>
              <w:bottom w:val="nil"/>
              <w:right w:val="single" w:sz="4" w:space="0" w:color="auto"/>
            </w:tcBorders>
            <w:shd w:val="clear" w:color="auto" w:fill="auto"/>
            <w:hideMark/>
          </w:tcPr>
          <w:p w14:paraId="08CBCC05" w14:textId="77777777" w:rsidR="00412386" w:rsidRPr="003F177C" w:rsidRDefault="00412386" w:rsidP="003F177C">
            <w:pPr>
              <w:pStyle w:val="TableText0"/>
              <w:jc w:val="center"/>
              <w:rPr>
                <w:b/>
              </w:rPr>
            </w:pPr>
            <w:r w:rsidRPr="003F177C">
              <w:rPr>
                <w:b/>
              </w:rPr>
              <w:t>OR</w:t>
            </w:r>
          </w:p>
        </w:tc>
      </w:tr>
      <w:tr w:rsidR="00412386" w:rsidRPr="00D90618" w14:paraId="01265777" w14:textId="77777777" w:rsidTr="00E06B6B">
        <w:trPr>
          <w:trHeight w:val="240"/>
          <w:tblHeader/>
        </w:trPr>
        <w:tc>
          <w:tcPr>
            <w:tcW w:w="1415" w:type="pct"/>
            <w:vMerge/>
            <w:tcBorders>
              <w:left w:val="single" w:sz="4" w:space="0" w:color="auto"/>
              <w:bottom w:val="single" w:sz="4" w:space="0" w:color="auto"/>
              <w:right w:val="single" w:sz="4" w:space="0" w:color="auto"/>
            </w:tcBorders>
            <w:shd w:val="clear" w:color="auto" w:fill="auto"/>
            <w:vAlign w:val="center"/>
          </w:tcPr>
          <w:p w14:paraId="01414FB0" w14:textId="77777777" w:rsidR="00412386" w:rsidRPr="00656FD8" w:rsidRDefault="00412386" w:rsidP="003F177C">
            <w:pPr>
              <w:pStyle w:val="TableText0"/>
            </w:pPr>
          </w:p>
        </w:tc>
        <w:tc>
          <w:tcPr>
            <w:tcW w:w="1412" w:type="pct"/>
            <w:tcBorders>
              <w:top w:val="nil"/>
              <w:left w:val="single" w:sz="4" w:space="0" w:color="auto"/>
              <w:bottom w:val="single" w:sz="4" w:space="0" w:color="auto"/>
              <w:right w:val="single" w:sz="4" w:space="0" w:color="auto"/>
            </w:tcBorders>
            <w:shd w:val="clear" w:color="auto" w:fill="auto"/>
            <w:vAlign w:val="center"/>
          </w:tcPr>
          <w:p w14:paraId="419AC058" w14:textId="77777777" w:rsidR="00412386" w:rsidRPr="003F177C" w:rsidRDefault="00412386" w:rsidP="003F177C">
            <w:pPr>
              <w:pStyle w:val="TableText0"/>
              <w:jc w:val="center"/>
              <w:rPr>
                <w:b/>
              </w:rPr>
            </w:pPr>
            <w:r w:rsidRPr="003F177C">
              <w:rPr>
                <w:b/>
              </w:rPr>
              <w:t>n/</w:t>
            </w:r>
            <w:proofErr w:type="gramStart"/>
            <w:r w:rsidRPr="003F177C">
              <w:rPr>
                <w:b/>
              </w:rPr>
              <w:t>N(</w:t>
            </w:r>
            <w:proofErr w:type="gramEnd"/>
            <w:r w:rsidRPr="003F177C">
              <w:rPr>
                <w:b/>
              </w:rPr>
              <w:t>%)</w:t>
            </w:r>
          </w:p>
        </w:tc>
        <w:tc>
          <w:tcPr>
            <w:tcW w:w="1042" w:type="pct"/>
            <w:tcBorders>
              <w:top w:val="nil"/>
              <w:left w:val="single" w:sz="4" w:space="0" w:color="auto"/>
              <w:bottom w:val="single" w:sz="4" w:space="0" w:color="auto"/>
              <w:right w:val="single" w:sz="4" w:space="0" w:color="auto"/>
            </w:tcBorders>
            <w:shd w:val="clear" w:color="auto" w:fill="auto"/>
            <w:vAlign w:val="center"/>
          </w:tcPr>
          <w:p w14:paraId="68D1CCA7" w14:textId="77777777" w:rsidR="00412386" w:rsidRPr="003F177C" w:rsidRDefault="00412386" w:rsidP="003F177C">
            <w:pPr>
              <w:pStyle w:val="TableText0"/>
              <w:jc w:val="center"/>
              <w:rPr>
                <w:b/>
              </w:rPr>
            </w:pPr>
            <w:r w:rsidRPr="003F177C">
              <w:rPr>
                <w:b/>
              </w:rPr>
              <w:t>n/</w:t>
            </w:r>
            <w:proofErr w:type="gramStart"/>
            <w:r w:rsidRPr="003F177C">
              <w:rPr>
                <w:b/>
              </w:rPr>
              <w:t>N(</w:t>
            </w:r>
            <w:proofErr w:type="gramEnd"/>
            <w:r w:rsidRPr="003F177C">
              <w:rPr>
                <w:b/>
              </w:rPr>
              <w:t>%)</w:t>
            </w:r>
          </w:p>
        </w:tc>
        <w:tc>
          <w:tcPr>
            <w:tcW w:w="1131" w:type="pct"/>
            <w:tcBorders>
              <w:top w:val="nil"/>
              <w:left w:val="single" w:sz="4" w:space="0" w:color="auto"/>
              <w:bottom w:val="single" w:sz="4" w:space="0" w:color="auto"/>
              <w:right w:val="single" w:sz="4" w:space="0" w:color="auto"/>
            </w:tcBorders>
            <w:shd w:val="clear" w:color="auto" w:fill="auto"/>
            <w:vAlign w:val="center"/>
            <w:hideMark/>
          </w:tcPr>
          <w:p w14:paraId="53A5226B" w14:textId="77777777" w:rsidR="00412386" w:rsidRPr="003F177C" w:rsidRDefault="00412386" w:rsidP="003F177C">
            <w:pPr>
              <w:pStyle w:val="TableText0"/>
              <w:jc w:val="center"/>
              <w:rPr>
                <w:b/>
              </w:rPr>
            </w:pPr>
            <w:r w:rsidRPr="003F177C">
              <w:rPr>
                <w:b/>
              </w:rPr>
              <w:t>(95% CI)</w:t>
            </w:r>
          </w:p>
        </w:tc>
      </w:tr>
      <w:tr w:rsidR="00412386" w:rsidRPr="0071680C" w14:paraId="5ABC685E" w14:textId="77777777" w:rsidTr="00E06B6B">
        <w:trPr>
          <w:trHeight w:val="240"/>
        </w:trPr>
        <w:tc>
          <w:tcPr>
            <w:tcW w:w="2827" w:type="pct"/>
            <w:gridSpan w:val="2"/>
            <w:tcBorders>
              <w:top w:val="nil"/>
              <w:left w:val="single" w:sz="4" w:space="0" w:color="auto"/>
              <w:bottom w:val="single" w:sz="4" w:space="0" w:color="auto"/>
              <w:right w:val="single" w:sz="4" w:space="0" w:color="auto"/>
            </w:tcBorders>
            <w:vAlign w:val="center"/>
          </w:tcPr>
          <w:p w14:paraId="19A840BE" w14:textId="2854A9D7" w:rsidR="00412386" w:rsidRPr="003F177C" w:rsidRDefault="00AB281D" w:rsidP="003F177C">
            <w:pPr>
              <w:pStyle w:val="TableText0"/>
              <w:rPr>
                <w:rFonts w:cs="Calibri"/>
                <w:b/>
              </w:rPr>
            </w:pPr>
            <w:r w:rsidRPr="003F177C">
              <w:rPr>
                <w:b/>
                <w:u w:val="single"/>
              </w:rPr>
              <w:t>SEC vs PBO (SUNRISE &amp; SUNSHINE Wk16)</w:t>
            </w:r>
          </w:p>
        </w:tc>
        <w:tc>
          <w:tcPr>
            <w:tcW w:w="1042" w:type="pct"/>
            <w:tcBorders>
              <w:top w:val="single" w:sz="4" w:space="0" w:color="auto"/>
              <w:left w:val="single" w:sz="4" w:space="0" w:color="auto"/>
              <w:bottom w:val="single" w:sz="4" w:space="0" w:color="auto"/>
              <w:right w:val="single" w:sz="4" w:space="0" w:color="auto"/>
            </w:tcBorders>
            <w:shd w:val="clear" w:color="auto" w:fill="auto"/>
          </w:tcPr>
          <w:p w14:paraId="66C87F01" w14:textId="77777777" w:rsidR="00412386" w:rsidRPr="00656FD8" w:rsidRDefault="00412386" w:rsidP="003F177C">
            <w:pPr>
              <w:pStyle w:val="TableText0"/>
              <w:rPr>
                <w:rFonts w:cs="Calibri"/>
              </w:rPr>
            </w:pP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34BD3C3B" w14:textId="77777777" w:rsidR="00412386" w:rsidRPr="00656FD8" w:rsidRDefault="00412386" w:rsidP="003F177C">
            <w:pPr>
              <w:pStyle w:val="TableText0"/>
              <w:rPr>
                <w:rFonts w:cs="Calibri"/>
              </w:rPr>
            </w:pPr>
          </w:p>
        </w:tc>
      </w:tr>
      <w:tr w:rsidR="00412386" w:rsidRPr="0071680C" w14:paraId="4DFC6BE9" w14:textId="77777777" w:rsidTr="00E06B6B">
        <w:trPr>
          <w:trHeight w:val="240"/>
        </w:trPr>
        <w:tc>
          <w:tcPr>
            <w:tcW w:w="1415" w:type="pct"/>
            <w:tcBorders>
              <w:top w:val="single" w:sz="4" w:space="0" w:color="auto"/>
              <w:left w:val="single" w:sz="4" w:space="0" w:color="auto"/>
              <w:bottom w:val="nil"/>
              <w:right w:val="single" w:sz="4" w:space="0" w:color="auto"/>
            </w:tcBorders>
          </w:tcPr>
          <w:p w14:paraId="08FCBC30" w14:textId="0A9657F5" w:rsidR="00412386" w:rsidRPr="00656FD8" w:rsidRDefault="00412386" w:rsidP="003F177C">
            <w:pPr>
              <w:pStyle w:val="TableText0"/>
            </w:pPr>
            <w:r w:rsidRPr="00656FD8">
              <w:t>Q4W</w:t>
            </w:r>
          </w:p>
        </w:tc>
        <w:tc>
          <w:tcPr>
            <w:tcW w:w="1412" w:type="pct"/>
            <w:tcBorders>
              <w:top w:val="single" w:sz="4" w:space="0" w:color="auto"/>
              <w:left w:val="single" w:sz="4" w:space="0" w:color="auto"/>
              <w:bottom w:val="nil"/>
              <w:right w:val="single" w:sz="4" w:space="0" w:color="auto"/>
            </w:tcBorders>
            <w:shd w:val="clear" w:color="auto" w:fill="auto"/>
          </w:tcPr>
          <w:p w14:paraId="62CC2F57" w14:textId="77777777" w:rsidR="00412386" w:rsidRPr="00656FD8" w:rsidRDefault="00412386" w:rsidP="003F177C">
            <w:pPr>
              <w:pStyle w:val="TableText0"/>
              <w:jc w:val="center"/>
            </w:pPr>
            <w:r w:rsidRPr="00656FD8">
              <w:rPr>
                <w:rFonts w:cs="Calibri"/>
              </w:rPr>
              <w:t>158.3/360 (44.0)</w:t>
            </w:r>
          </w:p>
        </w:tc>
        <w:tc>
          <w:tcPr>
            <w:tcW w:w="1042" w:type="pct"/>
            <w:tcBorders>
              <w:top w:val="single" w:sz="4" w:space="0" w:color="auto"/>
              <w:left w:val="single" w:sz="4" w:space="0" w:color="auto"/>
              <w:bottom w:val="nil"/>
              <w:right w:val="single" w:sz="4" w:space="0" w:color="auto"/>
            </w:tcBorders>
            <w:shd w:val="clear" w:color="auto" w:fill="auto"/>
          </w:tcPr>
          <w:p w14:paraId="4E40F565" w14:textId="0856ADE7" w:rsidR="00412386" w:rsidRPr="00656FD8" w:rsidRDefault="00412386" w:rsidP="003F177C">
            <w:pPr>
              <w:pStyle w:val="TableText0"/>
              <w:jc w:val="center"/>
            </w:pPr>
            <w:r w:rsidRPr="00656FD8">
              <w:rPr>
                <w:rFonts w:cs="Calibri"/>
              </w:rPr>
              <w:t>117.8/363 (</w:t>
            </w:r>
            <w:proofErr w:type="gramStart"/>
            <w:r w:rsidRPr="00656FD8">
              <w:rPr>
                <w:rFonts w:cs="Calibri"/>
              </w:rPr>
              <w:t>32.5)</w:t>
            </w:r>
            <w:r w:rsidR="00A04DB0" w:rsidRPr="000E6D1B">
              <w:rPr>
                <w:vertAlign w:val="superscript"/>
              </w:rPr>
              <w:t>a</w:t>
            </w:r>
            <w:proofErr w:type="gramEnd"/>
          </w:p>
        </w:tc>
        <w:tc>
          <w:tcPr>
            <w:tcW w:w="1131" w:type="pct"/>
            <w:tcBorders>
              <w:top w:val="single" w:sz="4" w:space="0" w:color="auto"/>
              <w:left w:val="single" w:sz="4" w:space="0" w:color="auto"/>
              <w:bottom w:val="nil"/>
              <w:right w:val="single" w:sz="4" w:space="0" w:color="auto"/>
            </w:tcBorders>
            <w:shd w:val="clear" w:color="auto" w:fill="auto"/>
          </w:tcPr>
          <w:p w14:paraId="2D1306E6" w14:textId="77777777" w:rsidR="00412386" w:rsidRPr="00656FD8" w:rsidRDefault="00412386" w:rsidP="003F177C">
            <w:pPr>
              <w:pStyle w:val="TableText0"/>
              <w:jc w:val="center"/>
              <w:rPr>
                <w:color w:val="FF0000"/>
              </w:rPr>
            </w:pPr>
            <w:r w:rsidRPr="00656FD8">
              <w:rPr>
                <w:rFonts w:cs="Calibri"/>
              </w:rPr>
              <w:t>1.62 (1.20, 2.20)</w:t>
            </w:r>
          </w:p>
        </w:tc>
      </w:tr>
      <w:tr w:rsidR="00412386" w:rsidRPr="0071680C" w14:paraId="31762956" w14:textId="77777777" w:rsidTr="00E06B6B">
        <w:trPr>
          <w:trHeight w:val="240"/>
        </w:trPr>
        <w:tc>
          <w:tcPr>
            <w:tcW w:w="1415" w:type="pct"/>
            <w:tcBorders>
              <w:top w:val="nil"/>
              <w:left w:val="single" w:sz="4" w:space="0" w:color="auto"/>
              <w:bottom w:val="nil"/>
              <w:right w:val="single" w:sz="4" w:space="0" w:color="auto"/>
            </w:tcBorders>
            <w:vAlign w:val="center"/>
          </w:tcPr>
          <w:p w14:paraId="67C4B8FC" w14:textId="6858C57D" w:rsidR="00412386" w:rsidRPr="00656FD8" w:rsidRDefault="00412386" w:rsidP="003F177C">
            <w:pPr>
              <w:pStyle w:val="TableText0"/>
            </w:pPr>
            <w:r w:rsidRPr="00656FD8">
              <w:t>Q2W</w:t>
            </w:r>
          </w:p>
        </w:tc>
        <w:tc>
          <w:tcPr>
            <w:tcW w:w="1412" w:type="pct"/>
            <w:tcBorders>
              <w:top w:val="nil"/>
              <w:left w:val="single" w:sz="4" w:space="0" w:color="auto"/>
              <w:bottom w:val="nil"/>
              <w:right w:val="single" w:sz="4" w:space="0" w:color="auto"/>
            </w:tcBorders>
            <w:shd w:val="clear" w:color="auto" w:fill="auto"/>
          </w:tcPr>
          <w:p w14:paraId="00F9989B" w14:textId="77777777" w:rsidR="00412386" w:rsidRPr="00656FD8" w:rsidRDefault="00412386" w:rsidP="003F177C">
            <w:pPr>
              <w:pStyle w:val="TableText0"/>
              <w:jc w:val="center"/>
              <w:rPr>
                <w:rFonts w:cs="Calibri"/>
              </w:rPr>
            </w:pPr>
            <w:r w:rsidRPr="00656FD8">
              <w:rPr>
                <w:rFonts w:cs="Calibri"/>
              </w:rPr>
              <w:t>157.7/361 (43.7)</w:t>
            </w:r>
          </w:p>
        </w:tc>
        <w:tc>
          <w:tcPr>
            <w:tcW w:w="1042" w:type="pct"/>
            <w:tcBorders>
              <w:top w:val="nil"/>
              <w:left w:val="single" w:sz="4" w:space="0" w:color="auto"/>
              <w:bottom w:val="nil"/>
              <w:right w:val="single" w:sz="4" w:space="0" w:color="auto"/>
            </w:tcBorders>
            <w:shd w:val="clear" w:color="auto" w:fill="auto"/>
          </w:tcPr>
          <w:p w14:paraId="02602BDC" w14:textId="07D5F53F" w:rsidR="00412386" w:rsidRPr="00656FD8" w:rsidRDefault="00412386" w:rsidP="003F177C">
            <w:pPr>
              <w:pStyle w:val="TableText0"/>
              <w:jc w:val="center"/>
              <w:rPr>
                <w:rFonts w:cs="Calibri"/>
              </w:rPr>
            </w:pPr>
            <w:r w:rsidRPr="00656FD8">
              <w:rPr>
                <w:rFonts w:cs="Calibri"/>
              </w:rPr>
              <w:t>117.8/363 (</w:t>
            </w:r>
            <w:proofErr w:type="gramStart"/>
            <w:r w:rsidRPr="00656FD8">
              <w:rPr>
                <w:rFonts w:cs="Calibri"/>
              </w:rPr>
              <w:t>32.5)</w:t>
            </w:r>
            <w:r w:rsidR="00A04DB0" w:rsidRPr="000E6D1B">
              <w:rPr>
                <w:vertAlign w:val="superscript"/>
              </w:rPr>
              <w:t>a</w:t>
            </w:r>
            <w:proofErr w:type="gramEnd"/>
          </w:p>
        </w:tc>
        <w:tc>
          <w:tcPr>
            <w:tcW w:w="1131" w:type="pct"/>
            <w:tcBorders>
              <w:top w:val="nil"/>
              <w:left w:val="single" w:sz="4" w:space="0" w:color="auto"/>
              <w:bottom w:val="nil"/>
              <w:right w:val="single" w:sz="4" w:space="0" w:color="auto"/>
            </w:tcBorders>
            <w:shd w:val="clear" w:color="auto" w:fill="auto"/>
          </w:tcPr>
          <w:p w14:paraId="3E7F3738" w14:textId="77777777" w:rsidR="00412386" w:rsidRPr="00656FD8" w:rsidRDefault="00412386" w:rsidP="003F177C">
            <w:pPr>
              <w:pStyle w:val="TableText0"/>
              <w:jc w:val="center"/>
              <w:rPr>
                <w:rFonts w:cs="Calibri"/>
                <w:color w:val="FF0000"/>
              </w:rPr>
            </w:pPr>
            <w:r w:rsidRPr="00656FD8">
              <w:rPr>
                <w:rFonts w:cs="Calibri"/>
              </w:rPr>
              <w:t>1.62 (1.19, 2.19)</w:t>
            </w:r>
          </w:p>
        </w:tc>
      </w:tr>
      <w:tr w:rsidR="00412386" w:rsidRPr="0071680C" w14:paraId="06B14849" w14:textId="77777777" w:rsidTr="00E06B6B">
        <w:trPr>
          <w:trHeight w:val="240"/>
        </w:trPr>
        <w:tc>
          <w:tcPr>
            <w:tcW w:w="1415" w:type="pct"/>
            <w:tcBorders>
              <w:top w:val="nil"/>
              <w:left w:val="single" w:sz="4" w:space="0" w:color="auto"/>
              <w:bottom w:val="single" w:sz="4" w:space="0" w:color="auto"/>
              <w:right w:val="single" w:sz="4" w:space="0" w:color="auto"/>
            </w:tcBorders>
            <w:vAlign w:val="center"/>
          </w:tcPr>
          <w:p w14:paraId="1D1C8623" w14:textId="627ACA65" w:rsidR="00412386" w:rsidRPr="00656FD8" w:rsidRDefault="00AB281D" w:rsidP="003F177C">
            <w:pPr>
              <w:pStyle w:val="TableText0"/>
            </w:pPr>
            <w:r w:rsidRPr="00656FD8">
              <w:t>Q2W and Q4W Combined</w:t>
            </w:r>
          </w:p>
        </w:tc>
        <w:tc>
          <w:tcPr>
            <w:tcW w:w="1412" w:type="pct"/>
            <w:tcBorders>
              <w:top w:val="nil"/>
              <w:left w:val="single" w:sz="4" w:space="0" w:color="auto"/>
              <w:bottom w:val="single" w:sz="4" w:space="0" w:color="auto"/>
              <w:right w:val="single" w:sz="4" w:space="0" w:color="auto"/>
            </w:tcBorders>
            <w:shd w:val="clear" w:color="auto" w:fill="auto"/>
          </w:tcPr>
          <w:p w14:paraId="6A52A189" w14:textId="77777777" w:rsidR="00412386" w:rsidRPr="00656FD8" w:rsidRDefault="00412386" w:rsidP="003F177C">
            <w:pPr>
              <w:pStyle w:val="TableText0"/>
              <w:jc w:val="center"/>
              <w:rPr>
                <w:rFonts w:cs="Calibri"/>
              </w:rPr>
            </w:pPr>
            <w:r w:rsidRPr="00656FD8">
              <w:rPr>
                <w:rFonts w:cs="Calibri"/>
              </w:rPr>
              <w:t>316/721 (43.8)</w:t>
            </w:r>
          </w:p>
        </w:tc>
        <w:tc>
          <w:tcPr>
            <w:tcW w:w="1042" w:type="pct"/>
            <w:tcBorders>
              <w:top w:val="nil"/>
              <w:left w:val="single" w:sz="4" w:space="0" w:color="auto"/>
              <w:bottom w:val="single" w:sz="4" w:space="0" w:color="auto"/>
              <w:right w:val="single" w:sz="4" w:space="0" w:color="auto"/>
            </w:tcBorders>
            <w:shd w:val="clear" w:color="auto" w:fill="auto"/>
          </w:tcPr>
          <w:p w14:paraId="7F0C0724" w14:textId="3D24408D" w:rsidR="00412386" w:rsidRPr="00656FD8" w:rsidRDefault="00412386" w:rsidP="003F177C">
            <w:pPr>
              <w:pStyle w:val="TableText0"/>
              <w:jc w:val="center"/>
              <w:rPr>
                <w:rFonts w:cs="Calibri"/>
              </w:rPr>
            </w:pPr>
            <w:r w:rsidRPr="00656FD8">
              <w:rPr>
                <w:rFonts w:cs="Calibri"/>
              </w:rPr>
              <w:t>117.8/363 (</w:t>
            </w:r>
            <w:proofErr w:type="gramStart"/>
            <w:r w:rsidRPr="00656FD8">
              <w:rPr>
                <w:rFonts w:cs="Calibri"/>
              </w:rPr>
              <w:t>32.5)</w:t>
            </w:r>
            <w:r w:rsidR="00A04DB0" w:rsidRPr="000E6D1B">
              <w:rPr>
                <w:vertAlign w:val="superscript"/>
              </w:rPr>
              <w:t>a</w:t>
            </w:r>
            <w:proofErr w:type="gramEnd"/>
          </w:p>
        </w:tc>
        <w:tc>
          <w:tcPr>
            <w:tcW w:w="1131" w:type="pct"/>
            <w:tcBorders>
              <w:top w:val="nil"/>
              <w:left w:val="single" w:sz="4" w:space="0" w:color="auto"/>
              <w:bottom w:val="single" w:sz="4" w:space="0" w:color="auto"/>
              <w:right w:val="single" w:sz="4" w:space="0" w:color="auto"/>
            </w:tcBorders>
            <w:shd w:val="clear" w:color="auto" w:fill="auto"/>
          </w:tcPr>
          <w:p w14:paraId="0B7AF262" w14:textId="77777777" w:rsidR="00412386" w:rsidRPr="00656FD8" w:rsidRDefault="00412386" w:rsidP="003F177C">
            <w:pPr>
              <w:pStyle w:val="TableText0"/>
              <w:jc w:val="center"/>
              <w:rPr>
                <w:rFonts w:cs="Calibri"/>
                <w:color w:val="FF0000"/>
              </w:rPr>
            </w:pPr>
            <w:r w:rsidRPr="00656FD8">
              <w:rPr>
                <w:rFonts w:cs="Calibri"/>
              </w:rPr>
              <w:t>1.62 (1.24, 2.11)</w:t>
            </w:r>
          </w:p>
        </w:tc>
      </w:tr>
      <w:tr w:rsidR="00412386" w:rsidRPr="00ED0CFC" w14:paraId="22224683" w14:textId="77777777" w:rsidTr="00E06B6B">
        <w:trPr>
          <w:trHeight w:val="240"/>
        </w:trPr>
        <w:tc>
          <w:tcPr>
            <w:tcW w:w="1415" w:type="pct"/>
            <w:tcBorders>
              <w:top w:val="single" w:sz="4" w:space="0" w:color="auto"/>
              <w:left w:val="single" w:sz="4" w:space="0" w:color="auto"/>
              <w:bottom w:val="single" w:sz="4" w:space="0" w:color="auto"/>
              <w:right w:val="single" w:sz="4" w:space="0" w:color="auto"/>
            </w:tcBorders>
            <w:vAlign w:val="center"/>
          </w:tcPr>
          <w:p w14:paraId="5A2ED237" w14:textId="255A246E" w:rsidR="00412386" w:rsidRPr="00926212" w:rsidRDefault="002D0D9A" w:rsidP="003F177C">
            <w:pPr>
              <w:pStyle w:val="TableText0"/>
              <w:rPr>
                <w:b/>
                <w:lang w:val="es-CL"/>
              </w:rPr>
            </w:pPr>
            <w:r w:rsidRPr="00926212">
              <w:rPr>
                <w:b/>
                <w:u w:val="single"/>
                <w:lang w:val="es-CL"/>
              </w:rPr>
              <w:t>A</w:t>
            </w:r>
            <w:r w:rsidR="005762D0" w:rsidRPr="00926212">
              <w:rPr>
                <w:b/>
                <w:u w:val="single"/>
                <w:lang w:val="es-CL"/>
              </w:rPr>
              <w:t>dalimumab</w:t>
            </w:r>
            <w:r w:rsidR="00412386" w:rsidRPr="00926212">
              <w:rPr>
                <w:b/>
                <w:u w:val="single"/>
                <w:lang w:val="es-CL"/>
              </w:rPr>
              <w:t xml:space="preserve"> vs PBO (Wk12/</w:t>
            </w:r>
            <w:proofErr w:type="gramStart"/>
            <w:r w:rsidR="00412386" w:rsidRPr="00926212">
              <w:rPr>
                <w:b/>
                <w:u w:val="single"/>
                <w:lang w:val="es-CL"/>
              </w:rPr>
              <w:t>16)</w:t>
            </w:r>
            <w:r w:rsidR="00474482" w:rsidRPr="00926212">
              <w:rPr>
                <w:b/>
                <w:u w:val="single"/>
                <w:vertAlign w:val="superscript"/>
                <w:lang w:val="es-CL"/>
              </w:rPr>
              <w:t>b</w:t>
            </w:r>
            <w:proofErr w:type="gramEnd"/>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51435C93" w14:textId="77777777" w:rsidR="00412386" w:rsidRPr="00604D90" w:rsidRDefault="00412386" w:rsidP="003F177C">
            <w:pPr>
              <w:pStyle w:val="TableText0"/>
              <w:jc w:val="center"/>
              <w:rPr>
                <w:rFonts w:cs="Calibri"/>
                <w:lang w:val="es-CL"/>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20435004" w14:textId="77777777" w:rsidR="00412386" w:rsidRPr="00604D90" w:rsidRDefault="00412386" w:rsidP="003F177C">
            <w:pPr>
              <w:pStyle w:val="TableText0"/>
              <w:jc w:val="center"/>
              <w:rPr>
                <w:rFonts w:cs="Calibri"/>
                <w:lang w:val="es-CL"/>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51617069" w14:textId="77777777" w:rsidR="00412386" w:rsidRPr="00604D90" w:rsidRDefault="00412386" w:rsidP="003F177C">
            <w:pPr>
              <w:pStyle w:val="TableText0"/>
              <w:jc w:val="center"/>
              <w:rPr>
                <w:rFonts w:cs="Calibri"/>
                <w:lang w:val="es-CL"/>
              </w:rPr>
            </w:pPr>
          </w:p>
        </w:tc>
      </w:tr>
      <w:tr w:rsidR="00412386" w:rsidRPr="003316FB" w14:paraId="2A8FA3A6" w14:textId="77777777" w:rsidTr="00EC0B93">
        <w:trPr>
          <w:trHeight w:val="240"/>
        </w:trPr>
        <w:tc>
          <w:tcPr>
            <w:tcW w:w="1415" w:type="pct"/>
            <w:tcBorders>
              <w:top w:val="single" w:sz="4" w:space="0" w:color="auto"/>
              <w:left w:val="single" w:sz="4" w:space="0" w:color="auto"/>
              <w:bottom w:val="nil"/>
              <w:right w:val="single" w:sz="4" w:space="0" w:color="auto"/>
            </w:tcBorders>
            <w:shd w:val="clear" w:color="auto" w:fill="auto"/>
          </w:tcPr>
          <w:p w14:paraId="17F7C551" w14:textId="77777777" w:rsidR="00412386" w:rsidRPr="00656FD8" w:rsidRDefault="00412386" w:rsidP="003F177C">
            <w:pPr>
              <w:pStyle w:val="TableText0"/>
            </w:pPr>
            <w:r w:rsidRPr="00656FD8">
              <w:t>M10-467</w:t>
            </w:r>
          </w:p>
        </w:tc>
        <w:tc>
          <w:tcPr>
            <w:tcW w:w="1412" w:type="pct"/>
            <w:tcBorders>
              <w:top w:val="single" w:sz="4" w:space="0" w:color="auto"/>
              <w:left w:val="single" w:sz="4" w:space="0" w:color="auto"/>
              <w:bottom w:val="nil"/>
              <w:right w:val="single" w:sz="4" w:space="0" w:color="auto"/>
            </w:tcBorders>
            <w:shd w:val="clear" w:color="auto" w:fill="auto"/>
          </w:tcPr>
          <w:p w14:paraId="175970F8" w14:textId="77777777" w:rsidR="00412386" w:rsidRPr="00656FD8" w:rsidRDefault="00412386" w:rsidP="003F177C">
            <w:pPr>
              <w:pStyle w:val="TableText0"/>
              <w:jc w:val="center"/>
              <w:rPr>
                <w:rFonts w:cs="Calibri"/>
              </w:rPr>
            </w:pPr>
            <w:r w:rsidRPr="00656FD8">
              <w:rPr>
                <w:rFonts w:cs="Calibri"/>
              </w:rPr>
              <w:t>24 / 44 (54.5%)</w:t>
            </w:r>
          </w:p>
        </w:tc>
        <w:tc>
          <w:tcPr>
            <w:tcW w:w="1042" w:type="pct"/>
            <w:tcBorders>
              <w:top w:val="single" w:sz="4" w:space="0" w:color="auto"/>
              <w:left w:val="single" w:sz="4" w:space="0" w:color="auto"/>
              <w:bottom w:val="nil"/>
              <w:right w:val="single" w:sz="4" w:space="0" w:color="auto"/>
            </w:tcBorders>
            <w:shd w:val="clear" w:color="auto" w:fill="auto"/>
          </w:tcPr>
          <w:p w14:paraId="5D4FAAF1" w14:textId="77777777" w:rsidR="00412386" w:rsidRPr="00656FD8" w:rsidRDefault="00412386" w:rsidP="003F177C">
            <w:pPr>
              <w:pStyle w:val="TableText0"/>
              <w:jc w:val="center"/>
              <w:rPr>
                <w:rFonts w:cs="Calibri"/>
              </w:rPr>
            </w:pPr>
            <w:r w:rsidRPr="00656FD8">
              <w:rPr>
                <w:rFonts w:cs="Calibri"/>
              </w:rPr>
              <w:t>11 / 43 (25.6%)</w:t>
            </w:r>
          </w:p>
        </w:tc>
        <w:tc>
          <w:tcPr>
            <w:tcW w:w="1131" w:type="pct"/>
            <w:tcBorders>
              <w:top w:val="single" w:sz="4" w:space="0" w:color="auto"/>
              <w:left w:val="single" w:sz="4" w:space="0" w:color="auto"/>
              <w:bottom w:val="nil"/>
              <w:right w:val="single" w:sz="4" w:space="0" w:color="auto"/>
            </w:tcBorders>
          </w:tcPr>
          <w:p w14:paraId="545DB904" w14:textId="77777777" w:rsidR="00412386" w:rsidRPr="00656FD8" w:rsidRDefault="00412386" w:rsidP="003F177C">
            <w:pPr>
              <w:pStyle w:val="TableText0"/>
              <w:jc w:val="center"/>
              <w:rPr>
                <w:rFonts w:cs="Calibri"/>
              </w:rPr>
            </w:pPr>
            <w:r w:rsidRPr="00656FD8">
              <w:rPr>
                <w:rFonts w:cs="Calibri"/>
              </w:rPr>
              <w:t>3.49 (1.41, 8.64)</w:t>
            </w:r>
          </w:p>
        </w:tc>
      </w:tr>
      <w:tr w:rsidR="00412386" w:rsidRPr="003316FB" w14:paraId="2927A23E" w14:textId="77777777" w:rsidTr="00EC0B93">
        <w:trPr>
          <w:trHeight w:val="240"/>
        </w:trPr>
        <w:tc>
          <w:tcPr>
            <w:tcW w:w="1415" w:type="pct"/>
            <w:tcBorders>
              <w:top w:val="nil"/>
              <w:left w:val="single" w:sz="4" w:space="0" w:color="auto"/>
              <w:bottom w:val="nil"/>
              <w:right w:val="single" w:sz="4" w:space="0" w:color="auto"/>
            </w:tcBorders>
            <w:shd w:val="clear" w:color="auto" w:fill="auto"/>
          </w:tcPr>
          <w:p w14:paraId="6385DEEF" w14:textId="3DA0632B" w:rsidR="00412386" w:rsidRPr="00656FD8" w:rsidRDefault="00412386" w:rsidP="003F177C">
            <w:pPr>
              <w:pStyle w:val="TableText0"/>
            </w:pPr>
            <w:r w:rsidRPr="00656FD8">
              <w:t xml:space="preserve">PIONEER </w:t>
            </w:r>
            <w:r w:rsidRPr="00656FD8">
              <w:fldChar w:fldCharType="begin" w:fldLock="1"/>
            </w:r>
            <w:r w:rsidRPr="00656FD8">
              <w:instrText xml:space="preserve"> </w:instrText>
            </w:r>
            <w:r w:rsidRPr="00656FD8">
              <w:rPr>
                <w:rFonts w:hint="eastAsia"/>
              </w:rPr>
              <w:instrText>= 1 \* ROMAN</w:instrText>
            </w:r>
            <w:r w:rsidRPr="00656FD8">
              <w:instrText xml:space="preserve"> </w:instrText>
            </w:r>
            <w:r w:rsidRPr="00656FD8">
              <w:fldChar w:fldCharType="separate"/>
            </w:r>
            <w:r w:rsidR="005646F7">
              <w:rPr>
                <w:noProof/>
              </w:rPr>
              <w:t>I</w:t>
            </w:r>
            <w:r w:rsidRPr="00656FD8">
              <w:fldChar w:fldCharType="end"/>
            </w:r>
          </w:p>
        </w:tc>
        <w:tc>
          <w:tcPr>
            <w:tcW w:w="1412" w:type="pct"/>
            <w:tcBorders>
              <w:top w:val="nil"/>
              <w:left w:val="single" w:sz="4" w:space="0" w:color="auto"/>
              <w:bottom w:val="nil"/>
              <w:right w:val="single" w:sz="4" w:space="0" w:color="auto"/>
            </w:tcBorders>
            <w:shd w:val="clear" w:color="auto" w:fill="auto"/>
          </w:tcPr>
          <w:p w14:paraId="21C6698B" w14:textId="77777777" w:rsidR="00412386" w:rsidRPr="00656FD8" w:rsidRDefault="00412386" w:rsidP="003F177C">
            <w:pPr>
              <w:pStyle w:val="TableText0"/>
              <w:jc w:val="center"/>
              <w:rPr>
                <w:rFonts w:cs="Calibri"/>
              </w:rPr>
            </w:pPr>
            <w:r w:rsidRPr="00656FD8">
              <w:rPr>
                <w:rFonts w:cs="Calibri"/>
              </w:rPr>
              <w:t>64 / 153 (41.8%)</w:t>
            </w:r>
          </w:p>
        </w:tc>
        <w:tc>
          <w:tcPr>
            <w:tcW w:w="1042" w:type="pct"/>
            <w:tcBorders>
              <w:top w:val="nil"/>
              <w:left w:val="single" w:sz="4" w:space="0" w:color="auto"/>
              <w:bottom w:val="nil"/>
              <w:right w:val="single" w:sz="4" w:space="0" w:color="auto"/>
            </w:tcBorders>
            <w:shd w:val="clear" w:color="auto" w:fill="auto"/>
          </w:tcPr>
          <w:p w14:paraId="53CBB07E" w14:textId="77777777" w:rsidR="00412386" w:rsidRPr="00656FD8" w:rsidRDefault="00412386" w:rsidP="003F177C">
            <w:pPr>
              <w:pStyle w:val="TableText0"/>
              <w:jc w:val="center"/>
              <w:rPr>
                <w:rFonts w:cs="Calibri"/>
              </w:rPr>
            </w:pPr>
            <w:r w:rsidRPr="00656FD8">
              <w:rPr>
                <w:rFonts w:cs="Calibri"/>
              </w:rPr>
              <w:t>40 / 154 (26.0%)</w:t>
            </w:r>
          </w:p>
        </w:tc>
        <w:tc>
          <w:tcPr>
            <w:tcW w:w="1131" w:type="pct"/>
            <w:tcBorders>
              <w:top w:val="nil"/>
              <w:left w:val="single" w:sz="4" w:space="0" w:color="auto"/>
              <w:bottom w:val="nil"/>
              <w:right w:val="single" w:sz="4" w:space="0" w:color="auto"/>
            </w:tcBorders>
          </w:tcPr>
          <w:p w14:paraId="483EB80D" w14:textId="77777777" w:rsidR="00412386" w:rsidRPr="00656FD8" w:rsidRDefault="00412386" w:rsidP="003F177C">
            <w:pPr>
              <w:pStyle w:val="TableText0"/>
              <w:jc w:val="center"/>
              <w:rPr>
                <w:rFonts w:cs="Calibri"/>
              </w:rPr>
            </w:pPr>
            <w:r w:rsidRPr="00656FD8">
              <w:rPr>
                <w:rFonts w:cs="Calibri"/>
              </w:rPr>
              <w:t>2.05 (1.26, 3.32)</w:t>
            </w:r>
          </w:p>
        </w:tc>
      </w:tr>
      <w:tr w:rsidR="00412386" w:rsidRPr="003316FB" w14:paraId="15F3C800" w14:textId="77777777" w:rsidTr="00EC0B93">
        <w:trPr>
          <w:trHeight w:val="240"/>
        </w:trPr>
        <w:tc>
          <w:tcPr>
            <w:tcW w:w="1415" w:type="pct"/>
            <w:tcBorders>
              <w:top w:val="nil"/>
              <w:left w:val="single" w:sz="4" w:space="0" w:color="auto"/>
              <w:bottom w:val="nil"/>
              <w:right w:val="single" w:sz="4" w:space="0" w:color="auto"/>
            </w:tcBorders>
            <w:shd w:val="clear" w:color="auto" w:fill="auto"/>
          </w:tcPr>
          <w:p w14:paraId="7087DDFE" w14:textId="6420991F" w:rsidR="00412386" w:rsidRPr="00656FD8" w:rsidRDefault="00412386" w:rsidP="003F177C">
            <w:pPr>
              <w:pStyle w:val="TableText0"/>
            </w:pPr>
            <w:r w:rsidRPr="00656FD8">
              <w:t xml:space="preserve">PIONEER </w:t>
            </w:r>
            <w:r w:rsidRPr="00656FD8">
              <w:fldChar w:fldCharType="begin" w:fldLock="1"/>
            </w:r>
            <w:r w:rsidRPr="00656FD8">
              <w:instrText xml:space="preserve"> </w:instrText>
            </w:r>
            <w:r w:rsidRPr="00656FD8">
              <w:rPr>
                <w:rFonts w:hint="eastAsia"/>
              </w:rPr>
              <w:instrText>= 2 \* ROMAN</w:instrText>
            </w:r>
            <w:r w:rsidRPr="00656FD8">
              <w:instrText xml:space="preserve"> </w:instrText>
            </w:r>
            <w:r w:rsidRPr="00656FD8">
              <w:fldChar w:fldCharType="separate"/>
            </w:r>
            <w:r w:rsidR="005646F7">
              <w:rPr>
                <w:noProof/>
              </w:rPr>
              <w:t>II</w:t>
            </w:r>
            <w:r w:rsidRPr="00656FD8">
              <w:fldChar w:fldCharType="end"/>
            </w:r>
          </w:p>
        </w:tc>
        <w:tc>
          <w:tcPr>
            <w:tcW w:w="1412" w:type="pct"/>
            <w:tcBorders>
              <w:top w:val="nil"/>
              <w:left w:val="single" w:sz="4" w:space="0" w:color="auto"/>
              <w:bottom w:val="nil"/>
              <w:right w:val="single" w:sz="4" w:space="0" w:color="auto"/>
            </w:tcBorders>
            <w:shd w:val="clear" w:color="auto" w:fill="auto"/>
          </w:tcPr>
          <w:p w14:paraId="275C3F54" w14:textId="77777777" w:rsidR="00412386" w:rsidRPr="00656FD8" w:rsidRDefault="00412386" w:rsidP="003F177C">
            <w:pPr>
              <w:pStyle w:val="TableText0"/>
              <w:jc w:val="center"/>
              <w:rPr>
                <w:rFonts w:cs="Calibri"/>
              </w:rPr>
            </w:pPr>
            <w:r w:rsidRPr="00656FD8">
              <w:rPr>
                <w:rFonts w:cs="Calibri"/>
              </w:rPr>
              <w:t>96 / 163 (58.9%)</w:t>
            </w:r>
          </w:p>
        </w:tc>
        <w:tc>
          <w:tcPr>
            <w:tcW w:w="1042" w:type="pct"/>
            <w:tcBorders>
              <w:top w:val="nil"/>
              <w:left w:val="single" w:sz="4" w:space="0" w:color="auto"/>
              <w:bottom w:val="nil"/>
              <w:right w:val="single" w:sz="4" w:space="0" w:color="auto"/>
            </w:tcBorders>
            <w:shd w:val="clear" w:color="auto" w:fill="auto"/>
          </w:tcPr>
          <w:p w14:paraId="18F63C48" w14:textId="77777777" w:rsidR="00412386" w:rsidRPr="00656FD8" w:rsidRDefault="00412386" w:rsidP="003F177C">
            <w:pPr>
              <w:pStyle w:val="TableText0"/>
              <w:jc w:val="center"/>
              <w:rPr>
                <w:rFonts w:cs="Calibri"/>
              </w:rPr>
            </w:pPr>
            <w:r w:rsidRPr="00656FD8">
              <w:rPr>
                <w:rFonts w:cs="Calibri"/>
              </w:rPr>
              <w:t>45 / 163 (27.6%)</w:t>
            </w:r>
          </w:p>
        </w:tc>
        <w:tc>
          <w:tcPr>
            <w:tcW w:w="1131" w:type="pct"/>
            <w:tcBorders>
              <w:top w:val="nil"/>
              <w:left w:val="single" w:sz="4" w:space="0" w:color="auto"/>
              <w:bottom w:val="nil"/>
              <w:right w:val="single" w:sz="4" w:space="0" w:color="auto"/>
            </w:tcBorders>
          </w:tcPr>
          <w:p w14:paraId="39734390" w14:textId="77777777" w:rsidR="00412386" w:rsidRPr="00656FD8" w:rsidRDefault="00412386" w:rsidP="003F177C">
            <w:pPr>
              <w:pStyle w:val="TableText0"/>
              <w:jc w:val="center"/>
              <w:rPr>
                <w:rFonts w:cs="Calibri"/>
              </w:rPr>
            </w:pPr>
            <w:r w:rsidRPr="00656FD8">
              <w:rPr>
                <w:rFonts w:cs="Calibri"/>
              </w:rPr>
              <w:t>3.76 (2.36, 5.98)</w:t>
            </w:r>
          </w:p>
        </w:tc>
      </w:tr>
      <w:tr w:rsidR="00412386" w:rsidRPr="003316FB" w14:paraId="5B820C8E" w14:textId="77777777" w:rsidTr="00E06B6B">
        <w:trPr>
          <w:trHeight w:val="240"/>
        </w:trPr>
        <w:tc>
          <w:tcPr>
            <w:tcW w:w="1415" w:type="pct"/>
            <w:tcBorders>
              <w:top w:val="nil"/>
              <w:left w:val="single" w:sz="4" w:space="0" w:color="auto"/>
              <w:bottom w:val="nil"/>
              <w:right w:val="single" w:sz="4" w:space="0" w:color="auto"/>
            </w:tcBorders>
          </w:tcPr>
          <w:p w14:paraId="444C75ED" w14:textId="77777777" w:rsidR="00412386" w:rsidRPr="00656FD8" w:rsidRDefault="00412386" w:rsidP="003F177C">
            <w:pPr>
              <w:pStyle w:val="TableText0"/>
            </w:pPr>
            <w:r w:rsidRPr="00656FD8">
              <w:t>SHARPS</w:t>
            </w:r>
          </w:p>
        </w:tc>
        <w:tc>
          <w:tcPr>
            <w:tcW w:w="1412" w:type="pct"/>
            <w:tcBorders>
              <w:top w:val="nil"/>
              <w:left w:val="single" w:sz="4" w:space="0" w:color="auto"/>
              <w:bottom w:val="nil"/>
              <w:right w:val="single" w:sz="4" w:space="0" w:color="auto"/>
            </w:tcBorders>
          </w:tcPr>
          <w:p w14:paraId="4454DB57" w14:textId="77777777" w:rsidR="00412386" w:rsidRPr="00656FD8" w:rsidRDefault="00412386" w:rsidP="003F177C">
            <w:pPr>
              <w:pStyle w:val="TableText0"/>
              <w:jc w:val="center"/>
              <w:rPr>
                <w:rFonts w:cs="Calibri"/>
              </w:rPr>
            </w:pPr>
            <w:r w:rsidRPr="00656FD8">
              <w:rPr>
                <w:rFonts w:cs="Calibri"/>
              </w:rPr>
              <w:t>49 / 103 (47.6%)</w:t>
            </w:r>
          </w:p>
        </w:tc>
        <w:tc>
          <w:tcPr>
            <w:tcW w:w="1042" w:type="pct"/>
            <w:tcBorders>
              <w:top w:val="nil"/>
              <w:left w:val="single" w:sz="4" w:space="0" w:color="auto"/>
              <w:bottom w:val="nil"/>
              <w:right w:val="single" w:sz="4" w:space="0" w:color="auto"/>
            </w:tcBorders>
          </w:tcPr>
          <w:p w14:paraId="066F7512" w14:textId="77777777" w:rsidR="00412386" w:rsidRPr="00656FD8" w:rsidRDefault="00412386" w:rsidP="003F177C">
            <w:pPr>
              <w:pStyle w:val="TableText0"/>
              <w:jc w:val="center"/>
              <w:rPr>
                <w:rFonts w:cs="Calibri"/>
              </w:rPr>
            </w:pPr>
            <w:r w:rsidRPr="00656FD8">
              <w:rPr>
                <w:rFonts w:cs="Calibri"/>
              </w:rPr>
              <w:t>35 / 103 (34.0%)</w:t>
            </w:r>
          </w:p>
        </w:tc>
        <w:tc>
          <w:tcPr>
            <w:tcW w:w="1131" w:type="pct"/>
            <w:tcBorders>
              <w:top w:val="nil"/>
              <w:left w:val="single" w:sz="4" w:space="0" w:color="auto"/>
              <w:bottom w:val="nil"/>
              <w:right w:val="single" w:sz="4" w:space="0" w:color="auto"/>
            </w:tcBorders>
          </w:tcPr>
          <w:p w14:paraId="7CEAEC8E" w14:textId="77777777" w:rsidR="00412386" w:rsidRPr="00656FD8" w:rsidRDefault="00412386" w:rsidP="003F177C">
            <w:pPr>
              <w:pStyle w:val="TableText0"/>
              <w:jc w:val="center"/>
              <w:rPr>
                <w:rFonts w:cs="Calibri"/>
              </w:rPr>
            </w:pPr>
            <w:r w:rsidRPr="00656FD8">
              <w:rPr>
                <w:rFonts w:cs="Calibri"/>
              </w:rPr>
              <w:t>1.76 (1.01, 3.09)</w:t>
            </w:r>
          </w:p>
        </w:tc>
      </w:tr>
      <w:tr w:rsidR="00412386" w:rsidRPr="0071680C" w14:paraId="038A6312" w14:textId="77777777" w:rsidTr="00E06B6B">
        <w:trPr>
          <w:trHeight w:val="240"/>
        </w:trPr>
        <w:tc>
          <w:tcPr>
            <w:tcW w:w="1415" w:type="pct"/>
            <w:tcBorders>
              <w:top w:val="nil"/>
              <w:left w:val="single" w:sz="4" w:space="0" w:color="auto"/>
              <w:bottom w:val="nil"/>
              <w:right w:val="single" w:sz="4" w:space="0" w:color="auto"/>
            </w:tcBorders>
            <w:vAlign w:val="center"/>
          </w:tcPr>
          <w:p w14:paraId="27287EED" w14:textId="77777777" w:rsidR="00412386" w:rsidRPr="00656FD8" w:rsidRDefault="00412386" w:rsidP="003F177C">
            <w:pPr>
              <w:pStyle w:val="TableText0"/>
            </w:pPr>
            <w:r w:rsidRPr="00656FD8">
              <w:t>Pooled analysis</w:t>
            </w:r>
          </w:p>
        </w:tc>
        <w:tc>
          <w:tcPr>
            <w:tcW w:w="1412" w:type="pct"/>
            <w:tcBorders>
              <w:top w:val="nil"/>
              <w:left w:val="single" w:sz="4" w:space="0" w:color="auto"/>
              <w:bottom w:val="single" w:sz="4" w:space="0" w:color="auto"/>
              <w:right w:val="single" w:sz="4" w:space="0" w:color="auto"/>
            </w:tcBorders>
            <w:shd w:val="clear" w:color="auto" w:fill="auto"/>
          </w:tcPr>
          <w:p w14:paraId="579A0DAF" w14:textId="77777777" w:rsidR="00412386" w:rsidRPr="00656FD8" w:rsidRDefault="00412386" w:rsidP="003F177C">
            <w:pPr>
              <w:pStyle w:val="TableText0"/>
              <w:jc w:val="center"/>
              <w:rPr>
                <w:rFonts w:cs="Calibri"/>
              </w:rPr>
            </w:pPr>
            <w:r w:rsidRPr="00656FD8">
              <w:rPr>
                <w:rFonts w:cs="Calibri"/>
              </w:rPr>
              <w:t>233 / 463 (50.3%)</w:t>
            </w:r>
          </w:p>
        </w:tc>
        <w:tc>
          <w:tcPr>
            <w:tcW w:w="1042" w:type="pct"/>
            <w:tcBorders>
              <w:top w:val="nil"/>
              <w:left w:val="single" w:sz="4" w:space="0" w:color="auto"/>
              <w:bottom w:val="single" w:sz="4" w:space="0" w:color="auto"/>
              <w:right w:val="single" w:sz="4" w:space="0" w:color="auto"/>
            </w:tcBorders>
            <w:shd w:val="clear" w:color="auto" w:fill="auto"/>
          </w:tcPr>
          <w:p w14:paraId="4C0BC645" w14:textId="77777777" w:rsidR="00412386" w:rsidRPr="00656FD8" w:rsidRDefault="00412386" w:rsidP="003F177C">
            <w:pPr>
              <w:pStyle w:val="TableText0"/>
              <w:jc w:val="center"/>
              <w:rPr>
                <w:rFonts w:cs="Calibri"/>
              </w:rPr>
            </w:pPr>
            <w:r w:rsidRPr="00656FD8">
              <w:rPr>
                <w:rFonts w:cs="Calibri"/>
              </w:rPr>
              <w:t>131 / 463 (28.3%)</w:t>
            </w:r>
          </w:p>
        </w:tc>
        <w:tc>
          <w:tcPr>
            <w:tcW w:w="1131" w:type="pct"/>
            <w:tcBorders>
              <w:top w:val="nil"/>
              <w:left w:val="single" w:sz="4" w:space="0" w:color="auto"/>
              <w:bottom w:val="single" w:sz="4" w:space="0" w:color="auto"/>
              <w:right w:val="single" w:sz="4" w:space="0" w:color="auto"/>
            </w:tcBorders>
            <w:shd w:val="clear" w:color="auto" w:fill="auto"/>
          </w:tcPr>
          <w:p w14:paraId="7AC21AC8" w14:textId="77777777" w:rsidR="00412386" w:rsidRPr="00656FD8" w:rsidRDefault="00412386" w:rsidP="003F177C">
            <w:pPr>
              <w:pStyle w:val="TableText0"/>
              <w:jc w:val="center"/>
              <w:rPr>
                <w:rFonts w:cs="Calibri"/>
              </w:rPr>
            </w:pPr>
            <w:r w:rsidRPr="00656FD8">
              <w:rPr>
                <w:rFonts w:cs="Calibri"/>
              </w:rPr>
              <w:t>2.56 (1.74, 3.77)</w:t>
            </w:r>
          </w:p>
        </w:tc>
      </w:tr>
      <w:tr w:rsidR="00412386" w:rsidRPr="0071680C" w14:paraId="4224EF8F" w14:textId="77777777" w:rsidTr="00E06B6B">
        <w:trPr>
          <w:trHeight w:val="240"/>
        </w:trPr>
        <w:tc>
          <w:tcPr>
            <w:tcW w:w="1415" w:type="pct"/>
            <w:tcBorders>
              <w:left w:val="single" w:sz="4" w:space="0" w:color="auto"/>
              <w:bottom w:val="single" w:sz="4" w:space="0" w:color="auto"/>
              <w:right w:val="nil"/>
            </w:tcBorders>
            <w:vAlign w:val="center"/>
          </w:tcPr>
          <w:p w14:paraId="6F07591E" w14:textId="77777777" w:rsidR="00412386" w:rsidRPr="003F177C" w:rsidRDefault="00412386" w:rsidP="003F177C">
            <w:pPr>
              <w:pStyle w:val="TableText0"/>
              <w:rPr>
                <w:b/>
              </w:rPr>
            </w:pPr>
            <w:r w:rsidRPr="003F177C">
              <w:rPr>
                <w:b/>
              </w:rPr>
              <w:t>Indirect comparisons</w:t>
            </w:r>
          </w:p>
        </w:tc>
        <w:tc>
          <w:tcPr>
            <w:tcW w:w="1412" w:type="pct"/>
            <w:tcBorders>
              <w:top w:val="single" w:sz="4" w:space="0" w:color="auto"/>
              <w:left w:val="nil"/>
              <w:bottom w:val="single" w:sz="4" w:space="0" w:color="auto"/>
              <w:right w:val="nil"/>
            </w:tcBorders>
            <w:shd w:val="clear" w:color="auto" w:fill="auto"/>
            <w:vAlign w:val="center"/>
          </w:tcPr>
          <w:p w14:paraId="07F2BADB" w14:textId="77777777" w:rsidR="00412386" w:rsidRPr="00656FD8" w:rsidRDefault="00412386" w:rsidP="003F177C">
            <w:pPr>
              <w:pStyle w:val="TableText0"/>
            </w:pPr>
          </w:p>
        </w:tc>
        <w:tc>
          <w:tcPr>
            <w:tcW w:w="1042" w:type="pct"/>
            <w:tcBorders>
              <w:top w:val="single" w:sz="4" w:space="0" w:color="auto"/>
              <w:left w:val="nil"/>
              <w:bottom w:val="single" w:sz="4" w:space="0" w:color="auto"/>
              <w:right w:val="nil"/>
            </w:tcBorders>
            <w:shd w:val="clear" w:color="auto" w:fill="auto"/>
            <w:vAlign w:val="center"/>
          </w:tcPr>
          <w:p w14:paraId="05F706DB" w14:textId="77777777" w:rsidR="00412386" w:rsidRPr="00656FD8" w:rsidRDefault="00412386" w:rsidP="003F177C">
            <w:pPr>
              <w:pStyle w:val="TableText0"/>
            </w:pPr>
          </w:p>
        </w:tc>
        <w:tc>
          <w:tcPr>
            <w:tcW w:w="1131" w:type="pct"/>
            <w:tcBorders>
              <w:top w:val="single" w:sz="4" w:space="0" w:color="auto"/>
              <w:left w:val="nil"/>
              <w:bottom w:val="single" w:sz="4" w:space="0" w:color="auto"/>
              <w:right w:val="single" w:sz="4" w:space="0" w:color="auto"/>
            </w:tcBorders>
            <w:shd w:val="clear" w:color="auto" w:fill="auto"/>
            <w:vAlign w:val="center"/>
          </w:tcPr>
          <w:p w14:paraId="70CEA1E0" w14:textId="77777777" w:rsidR="00412386" w:rsidRPr="00656FD8" w:rsidRDefault="00412386" w:rsidP="003F177C">
            <w:pPr>
              <w:pStyle w:val="TableText0"/>
            </w:pPr>
          </w:p>
        </w:tc>
      </w:tr>
      <w:tr w:rsidR="00412386" w:rsidRPr="0071680C" w14:paraId="5122C6F7" w14:textId="77777777" w:rsidTr="00E06B6B">
        <w:trPr>
          <w:trHeight w:val="240"/>
        </w:trPr>
        <w:tc>
          <w:tcPr>
            <w:tcW w:w="2827" w:type="pct"/>
            <w:gridSpan w:val="2"/>
            <w:tcBorders>
              <w:top w:val="nil"/>
              <w:left w:val="single" w:sz="4" w:space="0" w:color="auto"/>
              <w:bottom w:val="nil"/>
              <w:right w:val="nil"/>
            </w:tcBorders>
            <w:vAlign w:val="center"/>
          </w:tcPr>
          <w:p w14:paraId="1E070B0E" w14:textId="36AE0963" w:rsidR="00412386" w:rsidRPr="00656FD8" w:rsidRDefault="00412386" w:rsidP="003F177C">
            <w:pPr>
              <w:pStyle w:val="TableText0"/>
            </w:pPr>
            <w:r w:rsidRPr="00656FD8">
              <w:t xml:space="preserve">SEC (Q4W) vs </w:t>
            </w:r>
            <w:r w:rsidR="005762D0" w:rsidRPr="00656FD8">
              <w:t>adalimumab</w:t>
            </w:r>
            <w:r w:rsidRPr="00656FD8">
              <w:t xml:space="preserve"> (pooled)</w:t>
            </w:r>
          </w:p>
        </w:tc>
        <w:tc>
          <w:tcPr>
            <w:tcW w:w="1042" w:type="pct"/>
            <w:tcBorders>
              <w:top w:val="nil"/>
              <w:left w:val="nil"/>
              <w:bottom w:val="nil"/>
              <w:right w:val="nil"/>
            </w:tcBorders>
            <w:shd w:val="clear" w:color="auto" w:fill="auto"/>
            <w:vAlign w:val="center"/>
          </w:tcPr>
          <w:p w14:paraId="0F3FE437" w14:textId="77777777" w:rsidR="00412386" w:rsidRPr="00656FD8" w:rsidRDefault="00412386" w:rsidP="003F177C">
            <w:pPr>
              <w:pStyle w:val="TableText0"/>
            </w:pPr>
          </w:p>
        </w:tc>
        <w:tc>
          <w:tcPr>
            <w:tcW w:w="1131" w:type="pct"/>
            <w:tcBorders>
              <w:top w:val="nil"/>
              <w:left w:val="nil"/>
              <w:bottom w:val="nil"/>
              <w:right w:val="single" w:sz="4" w:space="0" w:color="auto"/>
            </w:tcBorders>
            <w:shd w:val="clear" w:color="auto" w:fill="auto"/>
            <w:vAlign w:val="center"/>
          </w:tcPr>
          <w:p w14:paraId="2122DA70" w14:textId="77777777" w:rsidR="00412386" w:rsidRPr="00656FD8" w:rsidRDefault="00412386" w:rsidP="003F177C">
            <w:pPr>
              <w:pStyle w:val="TableText0"/>
              <w:jc w:val="center"/>
              <w:rPr>
                <w:rFonts w:cs="Calibri"/>
              </w:rPr>
            </w:pPr>
            <w:r w:rsidRPr="00656FD8">
              <w:rPr>
                <w:rFonts w:cs="Calibri"/>
              </w:rPr>
              <w:t>0.63 (0.39, 1.03)</w:t>
            </w:r>
          </w:p>
        </w:tc>
      </w:tr>
      <w:tr w:rsidR="00412386" w:rsidRPr="0071680C" w14:paraId="2DEDDC33" w14:textId="77777777" w:rsidTr="00E06B6B">
        <w:trPr>
          <w:trHeight w:val="240"/>
        </w:trPr>
        <w:tc>
          <w:tcPr>
            <w:tcW w:w="2827" w:type="pct"/>
            <w:gridSpan w:val="2"/>
            <w:tcBorders>
              <w:top w:val="nil"/>
              <w:left w:val="single" w:sz="4" w:space="0" w:color="auto"/>
              <w:bottom w:val="nil"/>
              <w:right w:val="nil"/>
            </w:tcBorders>
          </w:tcPr>
          <w:p w14:paraId="3E37C820" w14:textId="32E0101D" w:rsidR="00412386" w:rsidRPr="00656FD8" w:rsidRDefault="00412386" w:rsidP="003F177C">
            <w:pPr>
              <w:pStyle w:val="TableText0"/>
            </w:pPr>
            <w:r w:rsidRPr="00656FD8">
              <w:t xml:space="preserve">SEC (Q2W) vs </w:t>
            </w:r>
            <w:r w:rsidR="005762D0" w:rsidRPr="00656FD8">
              <w:t>adalimumab</w:t>
            </w:r>
            <w:r w:rsidRPr="00656FD8">
              <w:t xml:space="preserve"> (pooled)</w:t>
            </w:r>
          </w:p>
        </w:tc>
        <w:tc>
          <w:tcPr>
            <w:tcW w:w="1042" w:type="pct"/>
            <w:tcBorders>
              <w:top w:val="nil"/>
              <w:left w:val="nil"/>
              <w:bottom w:val="nil"/>
              <w:right w:val="nil"/>
            </w:tcBorders>
            <w:shd w:val="clear" w:color="auto" w:fill="auto"/>
            <w:vAlign w:val="center"/>
          </w:tcPr>
          <w:p w14:paraId="7D0537A8" w14:textId="77777777" w:rsidR="00412386" w:rsidRPr="00656FD8" w:rsidRDefault="00412386" w:rsidP="003F177C">
            <w:pPr>
              <w:pStyle w:val="TableText0"/>
            </w:pPr>
          </w:p>
        </w:tc>
        <w:tc>
          <w:tcPr>
            <w:tcW w:w="1131" w:type="pct"/>
            <w:tcBorders>
              <w:top w:val="nil"/>
              <w:left w:val="nil"/>
              <w:bottom w:val="nil"/>
              <w:right w:val="single" w:sz="4" w:space="0" w:color="auto"/>
            </w:tcBorders>
            <w:shd w:val="clear" w:color="auto" w:fill="auto"/>
            <w:vAlign w:val="center"/>
          </w:tcPr>
          <w:p w14:paraId="4C352589" w14:textId="77777777" w:rsidR="00412386" w:rsidRPr="00656FD8" w:rsidRDefault="00412386" w:rsidP="003F177C">
            <w:pPr>
              <w:pStyle w:val="TableText0"/>
              <w:jc w:val="center"/>
              <w:rPr>
                <w:rFonts w:cs="Calibri"/>
              </w:rPr>
            </w:pPr>
            <w:r w:rsidRPr="00656FD8">
              <w:rPr>
                <w:rFonts w:cs="Calibri"/>
              </w:rPr>
              <w:t>0.63 (0.39, 1.04)</w:t>
            </w:r>
          </w:p>
        </w:tc>
      </w:tr>
      <w:tr w:rsidR="00412386" w:rsidRPr="0071680C" w14:paraId="6125B349" w14:textId="77777777" w:rsidTr="00E06B6B">
        <w:trPr>
          <w:trHeight w:val="240"/>
        </w:trPr>
        <w:tc>
          <w:tcPr>
            <w:tcW w:w="2827" w:type="pct"/>
            <w:gridSpan w:val="2"/>
            <w:tcBorders>
              <w:top w:val="nil"/>
              <w:left w:val="single" w:sz="4" w:space="0" w:color="auto"/>
              <w:bottom w:val="nil"/>
              <w:right w:val="nil"/>
            </w:tcBorders>
          </w:tcPr>
          <w:p w14:paraId="19256BCB" w14:textId="47B19A84" w:rsidR="00412386" w:rsidRPr="00656FD8" w:rsidRDefault="00412386" w:rsidP="003F177C">
            <w:pPr>
              <w:pStyle w:val="TableText0"/>
            </w:pPr>
            <w:r w:rsidRPr="00656FD8">
              <w:t xml:space="preserve">SEC (combined) vs </w:t>
            </w:r>
            <w:r w:rsidR="005762D0" w:rsidRPr="00656FD8">
              <w:t>adalimumab</w:t>
            </w:r>
            <w:r w:rsidRPr="00656FD8">
              <w:t xml:space="preserve"> (pooled)</w:t>
            </w:r>
          </w:p>
        </w:tc>
        <w:tc>
          <w:tcPr>
            <w:tcW w:w="1042" w:type="pct"/>
            <w:tcBorders>
              <w:top w:val="nil"/>
              <w:left w:val="nil"/>
              <w:bottom w:val="nil"/>
              <w:right w:val="nil"/>
            </w:tcBorders>
            <w:shd w:val="clear" w:color="auto" w:fill="auto"/>
            <w:vAlign w:val="center"/>
          </w:tcPr>
          <w:p w14:paraId="4BA5075D" w14:textId="77777777" w:rsidR="00412386" w:rsidRPr="00656FD8" w:rsidRDefault="00412386" w:rsidP="003F177C">
            <w:pPr>
              <w:pStyle w:val="TableText0"/>
            </w:pPr>
          </w:p>
        </w:tc>
        <w:tc>
          <w:tcPr>
            <w:tcW w:w="1131" w:type="pct"/>
            <w:tcBorders>
              <w:top w:val="nil"/>
              <w:left w:val="nil"/>
              <w:bottom w:val="nil"/>
              <w:right w:val="single" w:sz="4" w:space="0" w:color="auto"/>
            </w:tcBorders>
            <w:shd w:val="clear" w:color="auto" w:fill="auto"/>
            <w:vAlign w:val="center"/>
          </w:tcPr>
          <w:p w14:paraId="1518529B" w14:textId="77777777" w:rsidR="00412386" w:rsidRPr="00656FD8" w:rsidRDefault="00412386" w:rsidP="003F177C">
            <w:pPr>
              <w:pStyle w:val="TableText0"/>
              <w:jc w:val="center"/>
              <w:rPr>
                <w:rFonts w:cs="Calibri"/>
              </w:rPr>
            </w:pPr>
            <w:r w:rsidRPr="00656FD8">
              <w:rPr>
                <w:rFonts w:cs="Calibri"/>
              </w:rPr>
              <w:t>0.63 (0.40, 1.01)</w:t>
            </w:r>
          </w:p>
        </w:tc>
      </w:tr>
      <w:tr w:rsidR="00412386" w:rsidRPr="0071680C" w14:paraId="45019E87" w14:textId="77777777" w:rsidTr="00E06B6B">
        <w:trPr>
          <w:trHeight w:val="240"/>
        </w:trPr>
        <w:tc>
          <w:tcPr>
            <w:tcW w:w="2827" w:type="pct"/>
            <w:gridSpan w:val="2"/>
            <w:tcBorders>
              <w:top w:val="nil"/>
              <w:left w:val="single" w:sz="4" w:space="0" w:color="auto"/>
              <w:bottom w:val="single" w:sz="4" w:space="0" w:color="auto"/>
              <w:right w:val="nil"/>
            </w:tcBorders>
          </w:tcPr>
          <w:p w14:paraId="7E5BF373" w14:textId="2000C289" w:rsidR="00412386" w:rsidRPr="005E2E87" w:rsidRDefault="00412386" w:rsidP="003F177C">
            <w:pPr>
              <w:pStyle w:val="TableText0"/>
              <w:rPr>
                <w:iCs/>
              </w:rPr>
            </w:pPr>
            <w:r w:rsidRPr="005E2E87">
              <w:rPr>
                <w:iCs/>
              </w:rPr>
              <w:t xml:space="preserve">SEC (combined) vs </w:t>
            </w:r>
            <w:r w:rsidR="005762D0" w:rsidRPr="005E2E87">
              <w:rPr>
                <w:iCs/>
              </w:rPr>
              <w:t>adalimumab</w:t>
            </w:r>
            <w:r w:rsidRPr="005E2E87">
              <w:rPr>
                <w:iCs/>
              </w:rPr>
              <w:t xml:space="preserve"> (pooled, with SHARPS removed)</w:t>
            </w:r>
          </w:p>
        </w:tc>
        <w:tc>
          <w:tcPr>
            <w:tcW w:w="1042" w:type="pct"/>
            <w:tcBorders>
              <w:top w:val="nil"/>
              <w:left w:val="nil"/>
              <w:bottom w:val="single" w:sz="4" w:space="0" w:color="auto"/>
              <w:right w:val="nil"/>
            </w:tcBorders>
            <w:shd w:val="clear" w:color="auto" w:fill="auto"/>
            <w:vAlign w:val="center"/>
          </w:tcPr>
          <w:p w14:paraId="28976D41" w14:textId="77777777" w:rsidR="00412386" w:rsidRPr="005E2E87" w:rsidRDefault="00412386" w:rsidP="003F177C">
            <w:pPr>
              <w:pStyle w:val="TableText0"/>
              <w:rPr>
                <w:iCs/>
              </w:rPr>
            </w:pPr>
          </w:p>
        </w:tc>
        <w:tc>
          <w:tcPr>
            <w:tcW w:w="1131" w:type="pct"/>
            <w:tcBorders>
              <w:top w:val="nil"/>
              <w:left w:val="nil"/>
              <w:bottom w:val="single" w:sz="4" w:space="0" w:color="auto"/>
              <w:right w:val="single" w:sz="4" w:space="0" w:color="auto"/>
            </w:tcBorders>
            <w:shd w:val="clear" w:color="auto" w:fill="auto"/>
            <w:vAlign w:val="center"/>
          </w:tcPr>
          <w:p w14:paraId="54470E6F" w14:textId="77777777" w:rsidR="00412386" w:rsidRPr="005E2E87" w:rsidRDefault="00412386" w:rsidP="003F177C">
            <w:pPr>
              <w:pStyle w:val="TableText0"/>
              <w:jc w:val="center"/>
              <w:rPr>
                <w:rFonts w:cs="Calibri"/>
                <w:iCs/>
              </w:rPr>
            </w:pPr>
            <w:r w:rsidRPr="005E2E87">
              <w:rPr>
                <w:rFonts w:cs="Calibri"/>
                <w:iCs/>
              </w:rPr>
              <w:t>0.55 (0.33, 0.92)</w:t>
            </w:r>
          </w:p>
        </w:tc>
      </w:tr>
    </w:tbl>
    <w:p w14:paraId="3F772940" w14:textId="4C623A44" w:rsidR="00481A67" w:rsidRPr="002D0D9A" w:rsidRDefault="00481A67" w:rsidP="00452393">
      <w:pPr>
        <w:pStyle w:val="FooterTableFigure"/>
        <w:rPr>
          <w:lang w:val="en-US"/>
        </w:rPr>
      </w:pPr>
      <w:r w:rsidRPr="002D0D9A">
        <w:rPr>
          <w:lang w:val="en-US"/>
        </w:rPr>
        <w:t xml:space="preserve">Source: Table 2.62, p 128 of the submission. Additional analysis with removal of the SHARPS study performed </w:t>
      </w:r>
      <w:r w:rsidR="00D65F37" w:rsidRPr="002D0D9A">
        <w:rPr>
          <w:lang w:val="en-US"/>
        </w:rPr>
        <w:t>in Review Manager 5.4</w:t>
      </w:r>
      <w:r w:rsidRPr="002D0D9A">
        <w:rPr>
          <w:lang w:val="en-US"/>
        </w:rPr>
        <w:t>.</w:t>
      </w:r>
    </w:p>
    <w:p w14:paraId="7BC9D854" w14:textId="1D80B0A2" w:rsidR="00A32948" w:rsidRPr="002D0D9A" w:rsidRDefault="00926212" w:rsidP="00452393">
      <w:pPr>
        <w:pStyle w:val="FooterTableFigure"/>
      </w:pPr>
      <w:r>
        <w:rPr>
          <w:lang w:val="en-US"/>
        </w:rPr>
        <w:t>CI</w:t>
      </w:r>
      <w:r w:rsidR="00481A67" w:rsidRPr="002D0D9A">
        <w:rPr>
          <w:lang w:val="en-US"/>
        </w:rPr>
        <w:t>= confidence interval;</w:t>
      </w:r>
      <w:r w:rsidR="00481A67" w:rsidRPr="002D0D9A">
        <w:t xml:space="preserve"> </w:t>
      </w:r>
      <w:r w:rsidR="00481A67" w:rsidRPr="002D0D9A">
        <w:rPr>
          <w:lang w:val="en-US"/>
        </w:rPr>
        <w:t>HiSCR50 = hidradenitis suppurativa clinical response of at least 50%;</w:t>
      </w:r>
      <w:r w:rsidR="00481A67" w:rsidRPr="002D0D9A">
        <w:t xml:space="preserve"> n=number of subjects with response; N= number of subjects evaluable; OR= odds ratio; PBO= placebo; Q2W= every 2 weeks; Q4W= every 4 weeks; SEC=secukinumab.</w:t>
      </w:r>
    </w:p>
    <w:p w14:paraId="5A923810" w14:textId="3E4BBE8D" w:rsidR="00474482" w:rsidRDefault="00474482" w:rsidP="00474482">
      <w:pPr>
        <w:pStyle w:val="FooterTableFigure"/>
      </w:pPr>
      <w:r w:rsidRPr="002D0D9A">
        <w:rPr>
          <w:vertAlign w:val="superscript"/>
        </w:rPr>
        <w:t>a</w:t>
      </w:r>
      <w:r w:rsidR="00A20436" w:rsidRPr="002D0D9A">
        <w:t xml:space="preserve"> </w:t>
      </w:r>
      <w:r>
        <w:t>Placebo Q2W and Q4W arms were pooled together for analyses.</w:t>
      </w:r>
    </w:p>
    <w:p w14:paraId="60CE7C53" w14:textId="250BEF93" w:rsidR="00A20436" w:rsidRPr="005E2E87" w:rsidRDefault="00474482" w:rsidP="00474482">
      <w:pPr>
        <w:pStyle w:val="FooterTableFigure"/>
      </w:pPr>
      <w:r w:rsidRPr="005E2E87">
        <w:rPr>
          <w:vertAlign w:val="superscript"/>
        </w:rPr>
        <w:t>b</w:t>
      </w:r>
      <w:r w:rsidR="00A20436" w:rsidRPr="005E2E87">
        <w:rPr>
          <w:vertAlign w:val="superscript"/>
        </w:rPr>
        <w:t xml:space="preserve"> </w:t>
      </w:r>
      <w:r w:rsidR="00A20436" w:rsidRPr="005E2E87">
        <w:t xml:space="preserve">The primary efficacy outcomes of the </w:t>
      </w:r>
      <w:r w:rsidR="005762D0" w:rsidRPr="005E2E87">
        <w:t>adalimumab</w:t>
      </w:r>
      <w:r w:rsidR="00A20436" w:rsidRPr="005E2E87">
        <w:t xml:space="preserve"> trials were measured at Week 16, apart from M10-467 which measured at Week 12.</w:t>
      </w:r>
    </w:p>
    <w:p w14:paraId="447E2500" w14:textId="0F6870CA" w:rsidR="004C7EE7" w:rsidRPr="005E2E87" w:rsidRDefault="009F5F85" w:rsidP="004C7EE7">
      <w:pPr>
        <w:pStyle w:val="FooterTableFigure"/>
      </w:pPr>
      <w:r w:rsidRPr="005E2E87">
        <w:rPr>
          <w:b/>
        </w:rPr>
        <w:t>Bold</w:t>
      </w:r>
      <w:r w:rsidRPr="005E2E87">
        <w:t xml:space="preserve"> indicates a statistically significant result.</w:t>
      </w:r>
    </w:p>
    <w:p w14:paraId="0C3580E9" w14:textId="2819D2DC" w:rsidR="00E5159D" w:rsidRPr="00A304A7" w:rsidRDefault="008F6591" w:rsidP="007E1C14">
      <w:pPr>
        <w:pStyle w:val="3-BodyText"/>
      </w:pPr>
      <w:bookmarkStart w:id="29" w:name="_Toc22897642"/>
      <w:bookmarkStart w:id="30" w:name="_Toc135036635"/>
      <w:r w:rsidRPr="00A304A7">
        <w:t xml:space="preserve">The ESC noted the SHARPS trial was in a different setting than for standard ongoing treatment of HS and considered its inclusion in the ITC was inappropriate. The ESC further noted that when the SHARPS trial was excluded from the ITC, the results indicated secukinumab was statistically significantly inferior to adalimumab in terms of HiSCR50 response rates. </w:t>
      </w:r>
      <w:r w:rsidR="001D0A81">
        <w:t xml:space="preserve">The Pre-PBAC Response acknowledged the SHARPS trial was in a different population than the other </w:t>
      </w:r>
      <w:r w:rsidR="00814E3E">
        <w:t>adalimumab</w:t>
      </w:r>
      <w:r w:rsidR="001D0A81">
        <w:t xml:space="preserve"> or </w:t>
      </w:r>
      <w:r w:rsidR="00814E3E">
        <w:t>secukinumab</w:t>
      </w:r>
      <w:r w:rsidR="001D0A81">
        <w:t xml:space="preserve"> trials, however also noted other inclusion criteria such as number of active regions, Hurley staging of disease and abscess count at baseline were </w:t>
      </w:r>
      <w:proofErr w:type="gramStart"/>
      <w:r w:rsidR="001D0A81">
        <w:t>similar to</w:t>
      </w:r>
      <w:proofErr w:type="gramEnd"/>
      <w:r w:rsidR="001D0A81">
        <w:t xml:space="preserve"> the other studies. Further, the</w:t>
      </w:r>
      <w:r w:rsidR="00576EED">
        <w:t xml:space="preserve"> Pre-PBAC</w:t>
      </w:r>
      <w:r w:rsidR="00BF62E6">
        <w:t xml:space="preserve"> </w:t>
      </w:r>
      <w:r w:rsidR="00576EED">
        <w:t xml:space="preserve">Response </w:t>
      </w:r>
      <w:r w:rsidR="001D0A81">
        <w:t xml:space="preserve">noted the magnitude of response in </w:t>
      </w:r>
      <w:r w:rsidR="005D717E">
        <w:t xml:space="preserve">SHARPS was lower than that observed in the PIONEER studies, but argued it was informative for a </w:t>
      </w:r>
      <w:r w:rsidR="005D717E">
        <w:lastRenderedPageBreak/>
        <w:t>population with more advanced disease and it was included in a recent systematic review and meta-analysis of trials of HS conducted in 2021</w:t>
      </w:r>
      <w:r w:rsidR="005D717E">
        <w:rPr>
          <w:rStyle w:val="FootnoteReference"/>
        </w:rPr>
        <w:footnoteReference w:id="6"/>
      </w:r>
      <w:r w:rsidR="005D717E">
        <w:t>; and therefore, it was reasonable to include SHARPS in the ITC.</w:t>
      </w:r>
    </w:p>
    <w:p w14:paraId="1452C351" w14:textId="76BEAE66" w:rsidR="00B60939" w:rsidRPr="00C9624D" w:rsidRDefault="00B60939" w:rsidP="00D86231">
      <w:pPr>
        <w:pStyle w:val="4-SubsectionHeading"/>
      </w:pPr>
      <w:r w:rsidRPr="00C9624D">
        <w:t>Comparative harms</w:t>
      </w:r>
      <w:bookmarkEnd w:id="29"/>
      <w:bookmarkEnd w:id="30"/>
    </w:p>
    <w:p w14:paraId="1E744E01" w14:textId="57337B05" w:rsidR="00142E7F" w:rsidRDefault="00662BFE" w:rsidP="007E1C14">
      <w:pPr>
        <w:pStyle w:val="3-BodyText"/>
      </w:pPr>
      <w:r w:rsidRPr="00142E7F">
        <w:t xml:space="preserve">The submission provided </w:t>
      </w:r>
      <w:r w:rsidR="000423F8" w:rsidRPr="00142E7F">
        <w:t xml:space="preserve">data on adverse events (AEs), serious AEs (SAEs), AEs resulting in discontinuation and deaths across the trials. </w:t>
      </w:r>
      <w:r w:rsidR="000423F8" w:rsidRPr="005E2E87">
        <w:t xml:space="preserve">Generally, </w:t>
      </w:r>
      <w:r w:rsidR="00BF62E6">
        <w:t>AE</w:t>
      </w:r>
      <w:r w:rsidR="000423F8" w:rsidRPr="005E2E87">
        <w:t xml:space="preserve"> rates were similar between intervention and placebo groups, and a</w:t>
      </w:r>
      <w:r w:rsidR="00174850" w:rsidRPr="005E2E87">
        <w:t xml:space="preserve"> placebo-anchored</w:t>
      </w:r>
      <w:r w:rsidR="000423F8" w:rsidRPr="005E2E87">
        <w:t xml:space="preserve"> ITC comparing key safety </w:t>
      </w:r>
      <w:r w:rsidR="00BF62E6">
        <w:t>outcomes</w:t>
      </w:r>
      <w:r w:rsidR="00BF62E6" w:rsidRPr="005E2E87">
        <w:t xml:space="preserve"> </w:t>
      </w:r>
      <w:r w:rsidR="000423F8" w:rsidRPr="005E2E87">
        <w:t xml:space="preserve">between </w:t>
      </w:r>
      <w:proofErr w:type="gramStart"/>
      <w:r w:rsidR="008D4883" w:rsidRPr="005E2E87">
        <w:t>secukinumab</w:t>
      </w:r>
      <w:proofErr w:type="gramEnd"/>
      <w:r w:rsidR="000423F8" w:rsidRPr="005E2E87">
        <w:t xml:space="preserve"> and </w:t>
      </w:r>
      <w:r w:rsidR="005762D0" w:rsidRPr="005E2E87">
        <w:t>adalimumab</w:t>
      </w:r>
      <w:r w:rsidR="000423F8" w:rsidRPr="005E2E87">
        <w:t xml:space="preserve"> did</w:t>
      </w:r>
      <w:r w:rsidR="00612181" w:rsidRPr="005E2E87">
        <w:t xml:space="preserve"> not suggest any </w:t>
      </w:r>
      <w:r w:rsidR="00337952" w:rsidRPr="005E2E87">
        <w:t xml:space="preserve">clinically relevant differences </w:t>
      </w:r>
      <w:r w:rsidR="001B7473" w:rsidRPr="005E2E87">
        <w:t xml:space="preserve">in the safety profiles of the two treatments. </w:t>
      </w:r>
      <w:r w:rsidR="00B8162B" w:rsidRPr="005E2E87">
        <w:t xml:space="preserve">SAEs and AEs resulting in discontinuations were </w:t>
      </w:r>
      <w:r w:rsidR="000937CF" w:rsidRPr="005E2E87">
        <w:t xml:space="preserve">low </w:t>
      </w:r>
      <w:r w:rsidR="009E06FD" w:rsidRPr="005E2E87">
        <w:t>and generally balanced</w:t>
      </w:r>
      <w:r w:rsidR="000937CF" w:rsidRPr="005E2E87">
        <w:t xml:space="preserve"> across the trials. </w:t>
      </w:r>
      <w:r w:rsidR="00142E7F" w:rsidRPr="005E2E87">
        <w:t xml:space="preserve">Key safety data </w:t>
      </w:r>
      <w:r w:rsidR="00186184" w:rsidRPr="005E2E87">
        <w:t xml:space="preserve">and a summary of the ITC </w:t>
      </w:r>
      <w:r w:rsidR="00142E7F" w:rsidRPr="005E2E87">
        <w:t xml:space="preserve">are presented in </w:t>
      </w:r>
      <w:r w:rsidR="00174850" w:rsidRPr="005E2E87">
        <w:fldChar w:fldCharType="begin" w:fldLock="1"/>
      </w:r>
      <w:r w:rsidR="00174850" w:rsidRPr="005E2E87">
        <w:instrText xml:space="preserve"> REF _Ref134110965 \h </w:instrText>
      </w:r>
      <w:r w:rsidR="005E2E87">
        <w:instrText xml:space="preserve"> \* MERGEFORMAT </w:instrText>
      </w:r>
      <w:r w:rsidR="00174850" w:rsidRPr="005E2E87">
        <w:fldChar w:fldCharType="separate"/>
      </w:r>
      <w:r w:rsidR="000F75DF">
        <w:t xml:space="preserve">Table </w:t>
      </w:r>
      <w:r w:rsidR="000F75DF">
        <w:rPr>
          <w:noProof/>
        </w:rPr>
        <w:t>9</w:t>
      </w:r>
      <w:r w:rsidR="00174850" w:rsidRPr="005E2E87">
        <w:fldChar w:fldCharType="end"/>
      </w:r>
      <w:r w:rsidR="00142E7F" w:rsidRPr="005E2E87">
        <w:t xml:space="preserve"> below.</w:t>
      </w:r>
      <w:r w:rsidR="00D53F6D" w:rsidRPr="005E2E87">
        <w:t xml:space="preserve"> </w:t>
      </w:r>
      <w:r w:rsidR="00D979C1" w:rsidRPr="005E2E87">
        <w:t>Treatments were well tolerated, with similar AEs compared to placebo arms.</w:t>
      </w:r>
      <w:r w:rsidR="00D53F6D" w:rsidRPr="005E2E87">
        <w:t xml:space="preserve"> </w:t>
      </w:r>
      <w:r w:rsidR="00A904E2" w:rsidRPr="005E2E87">
        <w:t>Across all trials, only two deaths were reported</w:t>
      </w:r>
      <w:r w:rsidR="005F55F1" w:rsidRPr="005E2E87">
        <w:t xml:space="preserve"> (</w:t>
      </w:r>
      <w:r w:rsidR="00A904E2" w:rsidRPr="005E2E87">
        <w:t>both in the SHARPS trial</w:t>
      </w:r>
      <w:r w:rsidR="009E06FD" w:rsidRPr="005E2E87">
        <w:t>)</w:t>
      </w:r>
      <w:r w:rsidR="00CB1397" w:rsidRPr="005E2E87">
        <w:t xml:space="preserve"> </w:t>
      </w:r>
      <w:r w:rsidR="006A3C6B" w:rsidRPr="005E2E87">
        <w:t xml:space="preserve">and </w:t>
      </w:r>
      <w:r w:rsidR="008237F4" w:rsidRPr="005E2E87">
        <w:t xml:space="preserve">considered to be </w:t>
      </w:r>
      <w:r w:rsidR="005F55F1" w:rsidRPr="005E2E87">
        <w:t>un</w:t>
      </w:r>
      <w:r w:rsidR="008237F4" w:rsidRPr="005E2E87">
        <w:t>related to treatment.</w:t>
      </w:r>
      <w:r w:rsidR="00B31308" w:rsidRPr="005E2E87">
        <w:t xml:space="preserve"> The safety data were generally consistent with the known safety profile of secukinumab in other conditions.</w:t>
      </w:r>
    </w:p>
    <w:p w14:paraId="2F49A9B6" w14:textId="76B97265" w:rsidR="00142E7F" w:rsidRDefault="00D6076E" w:rsidP="00142E7F">
      <w:pPr>
        <w:pStyle w:val="Caption"/>
      </w:pPr>
      <w:bookmarkStart w:id="31" w:name="_Ref134110965"/>
      <w:r>
        <w:lastRenderedPageBreak/>
        <w:t xml:space="preserve">Table </w:t>
      </w:r>
      <w:r>
        <w:fldChar w:fldCharType="begin" w:fldLock="1"/>
      </w:r>
      <w:r>
        <w:instrText>SEQ Table \* ARABIC</w:instrText>
      </w:r>
      <w:r>
        <w:fldChar w:fldCharType="separate"/>
      </w:r>
      <w:r w:rsidR="000F75DF">
        <w:rPr>
          <w:noProof/>
        </w:rPr>
        <w:t>9</w:t>
      </w:r>
      <w:r>
        <w:fldChar w:fldCharType="end"/>
      </w:r>
      <w:bookmarkEnd w:id="31"/>
      <w:r w:rsidR="00142E7F">
        <w:t xml:space="preserve">: </w:t>
      </w:r>
      <w:r w:rsidR="00142E7F" w:rsidRPr="007D4126">
        <w:t>Summary of result</w:t>
      </w:r>
      <w:r w:rsidR="00142E7F">
        <w:t>s</w:t>
      </w:r>
      <w:r w:rsidR="00142E7F" w:rsidRPr="007D4126">
        <w:t xml:space="preserve"> of </w:t>
      </w:r>
      <w:r w:rsidR="00142E7F">
        <w:t>key safety data</w:t>
      </w:r>
      <w:r w:rsidR="00DF113F">
        <w:t xml:space="preserve"> in the key secukinumab trials, and an</w:t>
      </w:r>
      <w:r w:rsidR="009749C4">
        <w:t xml:space="preserve"> ITC with the </w:t>
      </w:r>
      <w:r w:rsidR="005762D0">
        <w:t>adalimumab</w:t>
      </w:r>
      <w:r w:rsidR="009749C4">
        <w:t xml:space="preserve"> trials</w:t>
      </w:r>
    </w:p>
    <w:tbl>
      <w:tblPr>
        <w:tblW w:w="5028"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13"/>
        <w:gridCol w:w="2267"/>
        <w:gridCol w:w="2127"/>
        <w:gridCol w:w="1560"/>
      </w:tblGrid>
      <w:tr w:rsidR="00142E7F" w:rsidRPr="003F1965" w14:paraId="09AC7E29" w14:textId="77777777" w:rsidTr="00B94B46">
        <w:trPr>
          <w:trHeight w:val="240"/>
          <w:tblHeader/>
        </w:trPr>
        <w:tc>
          <w:tcPr>
            <w:tcW w:w="1717" w:type="pct"/>
            <w:vMerge w:val="restart"/>
            <w:tcBorders>
              <w:left w:val="single" w:sz="4" w:space="0" w:color="auto"/>
              <w:right w:val="single" w:sz="4" w:space="0" w:color="auto"/>
            </w:tcBorders>
            <w:shd w:val="clear" w:color="auto" w:fill="auto"/>
            <w:vAlign w:val="center"/>
          </w:tcPr>
          <w:p w14:paraId="461F8D9F" w14:textId="77777777" w:rsidR="00142E7F" w:rsidRPr="00D90618" w:rsidRDefault="00142E7F" w:rsidP="00926212">
            <w:pPr>
              <w:pStyle w:val="TableText0"/>
            </w:pPr>
          </w:p>
        </w:tc>
        <w:tc>
          <w:tcPr>
            <w:tcW w:w="1250" w:type="pct"/>
            <w:tcBorders>
              <w:left w:val="single" w:sz="4" w:space="0" w:color="auto"/>
              <w:bottom w:val="nil"/>
              <w:right w:val="single" w:sz="4" w:space="0" w:color="auto"/>
            </w:tcBorders>
            <w:shd w:val="clear" w:color="auto" w:fill="auto"/>
            <w:vAlign w:val="center"/>
          </w:tcPr>
          <w:p w14:paraId="4388F8E2" w14:textId="77777777" w:rsidR="00142E7F" w:rsidRPr="00B94B46" w:rsidRDefault="00142E7F" w:rsidP="00926212">
            <w:pPr>
              <w:pStyle w:val="TableText0"/>
              <w:jc w:val="center"/>
              <w:rPr>
                <w:b/>
              </w:rPr>
            </w:pPr>
            <w:r w:rsidRPr="00B94B46">
              <w:rPr>
                <w:b/>
              </w:rPr>
              <w:t>Proposed medicine</w:t>
            </w:r>
          </w:p>
        </w:tc>
        <w:tc>
          <w:tcPr>
            <w:tcW w:w="1173" w:type="pct"/>
            <w:tcBorders>
              <w:left w:val="single" w:sz="4" w:space="0" w:color="auto"/>
              <w:bottom w:val="nil"/>
              <w:right w:val="single" w:sz="4" w:space="0" w:color="auto"/>
            </w:tcBorders>
            <w:shd w:val="clear" w:color="auto" w:fill="auto"/>
            <w:vAlign w:val="center"/>
          </w:tcPr>
          <w:p w14:paraId="78C0D40F" w14:textId="77777777" w:rsidR="00142E7F" w:rsidRPr="00B94B46" w:rsidRDefault="00142E7F" w:rsidP="00926212">
            <w:pPr>
              <w:pStyle w:val="TableText0"/>
              <w:jc w:val="center"/>
              <w:rPr>
                <w:b/>
              </w:rPr>
            </w:pPr>
            <w:r w:rsidRPr="00B94B46">
              <w:rPr>
                <w:b/>
              </w:rPr>
              <w:t>Comparator placebo</w:t>
            </w:r>
          </w:p>
        </w:tc>
        <w:tc>
          <w:tcPr>
            <w:tcW w:w="860" w:type="pct"/>
            <w:tcBorders>
              <w:left w:val="single" w:sz="4" w:space="0" w:color="auto"/>
              <w:bottom w:val="nil"/>
              <w:right w:val="single" w:sz="4" w:space="0" w:color="auto"/>
            </w:tcBorders>
            <w:shd w:val="clear" w:color="auto" w:fill="auto"/>
            <w:hideMark/>
          </w:tcPr>
          <w:p w14:paraId="18943B1D" w14:textId="16572217" w:rsidR="00142E7F" w:rsidRPr="00B94B46" w:rsidRDefault="00142E7F" w:rsidP="00926212">
            <w:pPr>
              <w:pStyle w:val="TableText0"/>
              <w:jc w:val="center"/>
              <w:rPr>
                <w:b/>
              </w:rPr>
            </w:pPr>
            <w:r w:rsidRPr="00B94B46">
              <w:rPr>
                <w:b/>
              </w:rPr>
              <w:t>OR</w:t>
            </w:r>
            <w:r w:rsidR="003E1107" w:rsidRPr="00B94B46">
              <w:rPr>
                <w:b/>
                <w:vertAlign w:val="superscript"/>
              </w:rPr>
              <w:t>a</w:t>
            </w:r>
          </w:p>
        </w:tc>
      </w:tr>
      <w:tr w:rsidR="00142E7F" w:rsidRPr="00D90618" w14:paraId="3C3104DA" w14:textId="77777777" w:rsidTr="00B94B46">
        <w:trPr>
          <w:trHeight w:val="240"/>
          <w:tblHeader/>
        </w:trPr>
        <w:tc>
          <w:tcPr>
            <w:tcW w:w="1717" w:type="pct"/>
            <w:vMerge/>
            <w:tcBorders>
              <w:left w:val="single" w:sz="4" w:space="0" w:color="auto"/>
              <w:bottom w:val="single" w:sz="4" w:space="0" w:color="auto"/>
              <w:right w:val="single" w:sz="4" w:space="0" w:color="auto"/>
            </w:tcBorders>
            <w:shd w:val="clear" w:color="auto" w:fill="auto"/>
            <w:vAlign w:val="center"/>
          </w:tcPr>
          <w:p w14:paraId="3970AE55" w14:textId="77777777" w:rsidR="00142E7F" w:rsidRPr="003F1965" w:rsidRDefault="00142E7F" w:rsidP="00926212">
            <w:pPr>
              <w:pStyle w:val="TableText0"/>
            </w:pPr>
          </w:p>
        </w:tc>
        <w:tc>
          <w:tcPr>
            <w:tcW w:w="1250" w:type="pct"/>
            <w:tcBorders>
              <w:top w:val="nil"/>
              <w:left w:val="single" w:sz="4" w:space="0" w:color="auto"/>
              <w:bottom w:val="single" w:sz="4" w:space="0" w:color="auto"/>
              <w:right w:val="single" w:sz="4" w:space="0" w:color="auto"/>
            </w:tcBorders>
            <w:shd w:val="clear" w:color="auto" w:fill="auto"/>
            <w:vAlign w:val="center"/>
          </w:tcPr>
          <w:p w14:paraId="32DCB8A3" w14:textId="77777777" w:rsidR="00142E7F" w:rsidRPr="00B94B46" w:rsidRDefault="00142E7F" w:rsidP="00926212">
            <w:pPr>
              <w:pStyle w:val="TableText0"/>
              <w:jc w:val="center"/>
              <w:rPr>
                <w:b/>
              </w:rPr>
            </w:pPr>
            <w:r w:rsidRPr="00B94B46">
              <w:rPr>
                <w:b/>
              </w:rPr>
              <w:t>n/</w:t>
            </w:r>
            <w:proofErr w:type="gramStart"/>
            <w:r w:rsidRPr="00B94B46">
              <w:rPr>
                <w:b/>
              </w:rPr>
              <w:t>N(</w:t>
            </w:r>
            <w:proofErr w:type="gramEnd"/>
            <w:r w:rsidRPr="00B94B46">
              <w:rPr>
                <w:b/>
              </w:rPr>
              <w:t>%)</w:t>
            </w:r>
          </w:p>
        </w:tc>
        <w:tc>
          <w:tcPr>
            <w:tcW w:w="1173" w:type="pct"/>
            <w:tcBorders>
              <w:top w:val="nil"/>
              <w:left w:val="single" w:sz="4" w:space="0" w:color="auto"/>
              <w:bottom w:val="single" w:sz="4" w:space="0" w:color="auto"/>
              <w:right w:val="single" w:sz="4" w:space="0" w:color="auto"/>
            </w:tcBorders>
            <w:shd w:val="clear" w:color="auto" w:fill="auto"/>
            <w:vAlign w:val="center"/>
          </w:tcPr>
          <w:p w14:paraId="58A4232C" w14:textId="77777777" w:rsidR="00142E7F" w:rsidRPr="00B94B46" w:rsidRDefault="00142E7F" w:rsidP="00926212">
            <w:pPr>
              <w:pStyle w:val="TableText0"/>
              <w:jc w:val="center"/>
              <w:rPr>
                <w:b/>
              </w:rPr>
            </w:pPr>
            <w:r w:rsidRPr="00B94B46">
              <w:rPr>
                <w:b/>
              </w:rPr>
              <w:t>n/</w:t>
            </w:r>
            <w:proofErr w:type="gramStart"/>
            <w:r w:rsidRPr="00B94B46">
              <w:rPr>
                <w:b/>
              </w:rPr>
              <w:t>N(</w:t>
            </w:r>
            <w:proofErr w:type="gramEnd"/>
            <w:r w:rsidRPr="00B94B46">
              <w:rPr>
                <w:b/>
              </w:rPr>
              <w:t>%)</w:t>
            </w:r>
          </w:p>
        </w:tc>
        <w:tc>
          <w:tcPr>
            <w:tcW w:w="860" w:type="pct"/>
            <w:tcBorders>
              <w:top w:val="nil"/>
              <w:left w:val="single" w:sz="4" w:space="0" w:color="auto"/>
              <w:bottom w:val="single" w:sz="4" w:space="0" w:color="auto"/>
              <w:right w:val="single" w:sz="4" w:space="0" w:color="auto"/>
            </w:tcBorders>
            <w:shd w:val="clear" w:color="auto" w:fill="auto"/>
            <w:vAlign w:val="center"/>
            <w:hideMark/>
          </w:tcPr>
          <w:p w14:paraId="2BE646A5" w14:textId="77777777" w:rsidR="00142E7F" w:rsidRPr="00B94B46" w:rsidRDefault="00142E7F" w:rsidP="00926212">
            <w:pPr>
              <w:pStyle w:val="TableText0"/>
              <w:jc w:val="center"/>
              <w:rPr>
                <w:b/>
              </w:rPr>
            </w:pPr>
            <w:r w:rsidRPr="00B94B46">
              <w:rPr>
                <w:b/>
              </w:rPr>
              <w:t>(95% CI)</w:t>
            </w:r>
          </w:p>
        </w:tc>
      </w:tr>
      <w:tr w:rsidR="00142E7F" w:rsidRPr="0071680C" w14:paraId="2A5A3254" w14:textId="77777777" w:rsidTr="003F2921">
        <w:trPr>
          <w:trHeight w:val="240"/>
        </w:trPr>
        <w:tc>
          <w:tcPr>
            <w:tcW w:w="5000" w:type="pct"/>
            <w:gridSpan w:val="4"/>
            <w:tcBorders>
              <w:top w:val="single" w:sz="4" w:space="0" w:color="auto"/>
              <w:left w:val="single" w:sz="4" w:space="0" w:color="auto"/>
              <w:bottom w:val="nil"/>
              <w:right w:val="single" w:sz="4" w:space="0" w:color="auto"/>
            </w:tcBorders>
            <w:vAlign w:val="center"/>
          </w:tcPr>
          <w:p w14:paraId="68D0B91B" w14:textId="3A93BCA1" w:rsidR="00142E7F" w:rsidRPr="00B94B46" w:rsidRDefault="009260CE" w:rsidP="00926212">
            <w:pPr>
              <w:pStyle w:val="TableText0"/>
              <w:rPr>
                <w:rFonts w:cs="Calibri"/>
                <w:b/>
                <w:u w:val="single"/>
              </w:rPr>
            </w:pPr>
            <w:r w:rsidRPr="00B94B46">
              <w:rPr>
                <w:b/>
                <w:u w:val="single"/>
              </w:rPr>
              <w:t xml:space="preserve">SUNSHINE and SUNRISE </w:t>
            </w:r>
            <w:r w:rsidR="00BE02A2" w:rsidRPr="00B94B46">
              <w:rPr>
                <w:b/>
                <w:u w:val="single"/>
              </w:rPr>
              <w:t>(combined)</w:t>
            </w:r>
            <w:r w:rsidRPr="00B94B46">
              <w:rPr>
                <w:b/>
                <w:u w:val="single"/>
              </w:rPr>
              <w:t xml:space="preserve"> SEC vs PBO (Wk16)</w:t>
            </w:r>
          </w:p>
        </w:tc>
      </w:tr>
      <w:tr w:rsidR="009260CE" w:rsidRPr="0071680C" w14:paraId="446CDC56" w14:textId="77777777" w:rsidTr="00B94B46">
        <w:trPr>
          <w:trHeight w:val="240"/>
        </w:trPr>
        <w:tc>
          <w:tcPr>
            <w:tcW w:w="1717" w:type="pct"/>
            <w:tcBorders>
              <w:top w:val="single" w:sz="4" w:space="0" w:color="auto"/>
              <w:left w:val="single" w:sz="4" w:space="0" w:color="auto"/>
              <w:bottom w:val="nil"/>
              <w:right w:val="single" w:sz="4" w:space="0" w:color="auto"/>
            </w:tcBorders>
            <w:vAlign w:val="center"/>
          </w:tcPr>
          <w:p w14:paraId="13CAC014" w14:textId="0B8B5C3D" w:rsidR="009260CE" w:rsidRPr="00B94B46" w:rsidRDefault="009260CE" w:rsidP="00926212">
            <w:pPr>
              <w:pStyle w:val="TableText0"/>
              <w:rPr>
                <w:b/>
              </w:rPr>
            </w:pPr>
            <w:r w:rsidRPr="00B94B46">
              <w:rPr>
                <w:b/>
              </w:rPr>
              <w:t>Any AE</w:t>
            </w:r>
          </w:p>
        </w:tc>
        <w:tc>
          <w:tcPr>
            <w:tcW w:w="1250" w:type="pct"/>
            <w:tcBorders>
              <w:top w:val="single" w:sz="4" w:space="0" w:color="auto"/>
              <w:left w:val="single" w:sz="4" w:space="0" w:color="auto"/>
              <w:bottom w:val="nil"/>
              <w:right w:val="single" w:sz="4" w:space="0" w:color="auto"/>
            </w:tcBorders>
            <w:shd w:val="clear" w:color="auto" w:fill="auto"/>
          </w:tcPr>
          <w:p w14:paraId="64376DF2" w14:textId="77777777" w:rsidR="009260CE" w:rsidRPr="003316FB" w:rsidRDefault="009260CE" w:rsidP="00926212">
            <w:pPr>
              <w:pStyle w:val="TableText0"/>
              <w:rPr>
                <w:rFonts w:cs="Calibri"/>
              </w:rPr>
            </w:pPr>
          </w:p>
        </w:tc>
        <w:tc>
          <w:tcPr>
            <w:tcW w:w="1173" w:type="pct"/>
            <w:tcBorders>
              <w:top w:val="single" w:sz="4" w:space="0" w:color="auto"/>
              <w:left w:val="single" w:sz="4" w:space="0" w:color="auto"/>
              <w:bottom w:val="nil"/>
              <w:right w:val="single" w:sz="4" w:space="0" w:color="auto"/>
            </w:tcBorders>
            <w:shd w:val="clear" w:color="auto" w:fill="auto"/>
          </w:tcPr>
          <w:p w14:paraId="3D81BCF9" w14:textId="77777777" w:rsidR="009260CE" w:rsidRPr="00325BB0" w:rsidRDefault="009260CE" w:rsidP="00926212">
            <w:pPr>
              <w:pStyle w:val="TableText0"/>
              <w:rPr>
                <w:rFonts w:cs="Calibri"/>
              </w:rPr>
            </w:pPr>
          </w:p>
        </w:tc>
        <w:tc>
          <w:tcPr>
            <w:tcW w:w="860" w:type="pct"/>
            <w:tcBorders>
              <w:top w:val="single" w:sz="4" w:space="0" w:color="auto"/>
              <w:left w:val="single" w:sz="4" w:space="0" w:color="auto"/>
              <w:bottom w:val="nil"/>
              <w:right w:val="single" w:sz="4" w:space="0" w:color="auto"/>
            </w:tcBorders>
            <w:shd w:val="clear" w:color="auto" w:fill="auto"/>
          </w:tcPr>
          <w:p w14:paraId="353B710D" w14:textId="77777777" w:rsidR="009260CE" w:rsidRPr="00842B99" w:rsidRDefault="009260CE" w:rsidP="00926212">
            <w:pPr>
              <w:pStyle w:val="TableText0"/>
              <w:rPr>
                <w:rFonts w:cs="Calibri"/>
              </w:rPr>
            </w:pPr>
          </w:p>
        </w:tc>
      </w:tr>
      <w:tr w:rsidR="00142E7F" w:rsidRPr="0071680C" w14:paraId="22D5A8DE" w14:textId="77777777" w:rsidTr="00B94B46">
        <w:trPr>
          <w:trHeight w:val="240"/>
        </w:trPr>
        <w:tc>
          <w:tcPr>
            <w:tcW w:w="1717" w:type="pct"/>
            <w:tcBorders>
              <w:top w:val="nil"/>
              <w:left w:val="single" w:sz="4" w:space="0" w:color="auto"/>
              <w:bottom w:val="nil"/>
              <w:right w:val="single" w:sz="4" w:space="0" w:color="auto"/>
            </w:tcBorders>
          </w:tcPr>
          <w:p w14:paraId="1221B345" w14:textId="6FBC79F5" w:rsidR="00142E7F" w:rsidRPr="0071680C" w:rsidRDefault="00BE02A2" w:rsidP="00926212">
            <w:pPr>
              <w:pStyle w:val="TableText0"/>
            </w:pPr>
            <w:r>
              <w:t>Q4W</w:t>
            </w:r>
          </w:p>
        </w:tc>
        <w:tc>
          <w:tcPr>
            <w:tcW w:w="1250" w:type="pct"/>
            <w:tcBorders>
              <w:top w:val="nil"/>
              <w:left w:val="single" w:sz="4" w:space="0" w:color="auto"/>
              <w:bottom w:val="nil"/>
              <w:right w:val="single" w:sz="4" w:space="0" w:color="auto"/>
            </w:tcBorders>
            <w:shd w:val="clear" w:color="auto" w:fill="auto"/>
          </w:tcPr>
          <w:p w14:paraId="31E70ABA" w14:textId="77777777" w:rsidR="00142E7F" w:rsidRPr="0071680C" w:rsidRDefault="00142E7F" w:rsidP="00926212">
            <w:pPr>
              <w:pStyle w:val="TableText0"/>
              <w:jc w:val="center"/>
            </w:pPr>
            <w:r w:rsidRPr="008E0686">
              <w:t>232 / 360 (64.4%)</w:t>
            </w:r>
          </w:p>
        </w:tc>
        <w:tc>
          <w:tcPr>
            <w:tcW w:w="1173" w:type="pct"/>
            <w:tcBorders>
              <w:top w:val="nil"/>
              <w:left w:val="single" w:sz="4" w:space="0" w:color="auto"/>
              <w:bottom w:val="nil"/>
              <w:right w:val="single" w:sz="4" w:space="0" w:color="auto"/>
            </w:tcBorders>
            <w:shd w:val="clear" w:color="auto" w:fill="auto"/>
          </w:tcPr>
          <w:p w14:paraId="07933EF1" w14:textId="77777777" w:rsidR="00142E7F" w:rsidRPr="0071680C" w:rsidRDefault="00142E7F" w:rsidP="00926212">
            <w:pPr>
              <w:pStyle w:val="TableText0"/>
              <w:jc w:val="center"/>
            </w:pPr>
            <w:r w:rsidRPr="008E0686">
              <w:t>236 / 363 (65%)</w:t>
            </w:r>
          </w:p>
        </w:tc>
        <w:tc>
          <w:tcPr>
            <w:tcW w:w="860" w:type="pct"/>
            <w:tcBorders>
              <w:top w:val="nil"/>
              <w:left w:val="single" w:sz="4" w:space="0" w:color="auto"/>
              <w:bottom w:val="nil"/>
              <w:right w:val="single" w:sz="4" w:space="0" w:color="auto"/>
            </w:tcBorders>
            <w:shd w:val="clear" w:color="auto" w:fill="auto"/>
          </w:tcPr>
          <w:p w14:paraId="36E24DF6" w14:textId="77777777" w:rsidR="00142E7F" w:rsidRPr="008E0686" w:rsidRDefault="00142E7F" w:rsidP="00926212">
            <w:pPr>
              <w:pStyle w:val="TableText0"/>
              <w:jc w:val="center"/>
            </w:pPr>
            <w:r w:rsidRPr="008E0686">
              <w:t>0.97 (0.64,1.49)</w:t>
            </w:r>
          </w:p>
        </w:tc>
      </w:tr>
      <w:tr w:rsidR="00142E7F" w:rsidRPr="0071680C" w14:paraId="7ABDCF21" w14:textId="77777777" w:rsidTr="00B94B46">
        <w:trPr>
          <w:trHeight w:val="240"/>
        </w:trPr>
        <w:tc>
          <w:tcPr>
            <w:tcW w:w="1717" w:type="pct"/>
            <w:tcBorders>
              <w:top w:val="nil"/>
              <w:left w:val="single" w:sz="4" w:space="0" w:color="auto"/>
              <w:bottom w:val="nil"/>
              <w:right w:val="single" w:sz="4" w:space="0" w:color="auto"/>
            </w:tcBorders>
            <w:vAlign w:val="center"/>
          </w:tcPr>
          <w:p w14:paraId="79BBFF99" w14:textId="36EA0BD7" w:rsidR="00142E7F" w:rsidRPr="0071680C" w:rsidRDefault="00BE02A2" w:rsidP="00926212">
            <w:pPr>
              <w:pStyle w:val="TableText0"/>
            </w:pPr>
            <w:r>
              <w:t>Q2W</w:t>
            </w:r>
          </w:p>
        </w:tc>
        <w:tc>
          <w:tcPr>
            <w:tcW w:w="1250" w:type="pct"/>
            <w:tcBorders>
              <w:top w:val="nil"/>
              <w:left w:val="single" w:sz="4" w:space="0" w:color="auto"/>
              <w:bottom w:val="nil"/>
              <w:right w:val="single" w:sz="4" w:space="0" w:color="auto"/>
            </w:tcBorders>
            <w:shd w:val="clear" w:color="auto" w:fill="auto"/>
          </w:tcPr>
          <w:p w14:paraId="3C497E34" w14:textId="77777777" w:rsidR="00142E7F" w:rsidRPr="008E0686" w:rsidRDefault="00142E7F" w:rsidP="00926212">
            <w:pPr>
              <w:pStyle w:val="TableText0"/>
              <w:jc w:val="center"/>
            </w:pPr>
            <w:r w:rsidRPr="008E0686">
              <w:t>235 / 361 (65.1%)</w:t>
            </w:r>
          </w:p>
        </w:tc>
        <w:tc>
          <w:tcPr>
            <w:tcW w:w="1173" w:type="pct"/>
            <w:tcBorders>
              <w:top w:val="nil"/>
              <w:left w:val="single" w:sz="4" w:space="0" w:color="auto"/>
              <w:bottom w:val="nil"/>
              <w:right w:val="single" w:sz="4" w:space="0" w:color="auto"/>
            </w:tcBorders>
            <w:shd w:val="clear" w:color="auto" w:fill="auto"/>
          </w:tcPr>
          <w:p w14:paraId="6A7B60D6" w14:textId="77777777" w:rsidR="00142E7F" w:rsidRPr="008E0686" w:rsidRDefault="00142E7F" w:rsidP="00926212">
            <w:pPr>
              <w:pStyle w:val="TableText0"/>
              <w:jc w:val="center"/>
            </w:pPr>
            <w:r w:rsidRPr="008E0686">
              <w:t>236 / 363 (65%)</w:t>
            </w:r>
          </w:p>
        </w:tc>
        <w:tc>
          <w:tcPr>
            <w:tcW w:w="860" w:type="pct"/>
            <w:tcBorders>
              <w:top w:val="nil"/>
              <w:left w:val="single" w:sz="4" w:space="0" w:color="auto"/>
              <w:bottom w:val="nil"/>
              <w:right w:val="single" w:sz="4" w:space="0" w:color="auto"/>
            </w:tcBorders>
            <w:shd w:val="clear" w:color="auto" w:fill="auto"/>
          </w:tcPr>
          <w:p w14:paraId="1A3EEAAE" w14:textId="77777777" w:rsidR="00142E7F" w:rsidRPr="008E0686" w:rsidRDefault="00142E7F" w:rsidP="00926212">
            <w:pPr>
              <w:pStyle w:val="TableText0"/>
              <w:jc w:val="center"/>
            </w:pPr>
            <w:r w:rsidRPr="008E0686">
              <w:t>1.00 (0.74,1.36)</w:t>
            </w:r>
          </w:p>
        </w:tc>
      </w:tr>
      <w:tr w:rsidR="00142E7F" w:rsidRPr="0071680C" w14:paraId="486A79E5" w14:textId="77777777" w:rsidTr="00B94B46">
        <w:trPr>
          <w:trHeight w:val="240"/>
        </w:trPr>
        <w:tc>
          <w:tcPr>
            <w:tcW w:w="1717" w:type="pct"/>
            <w:tcBorders>
              <w:top w:val="nil"/>
              <w:left w:val="single" w:sz="4" w:space="0" w:color="auto"/>
              <w:bottom w:val="nil"/>
              <w:right w:val="single" w:sz="4" w:space="0" w:color="auto"/>
            </w:tcBorders>
            <w:vAlign w:val="center"/>
          </w:tcPr>
          <w:p w14:paraId="5EC00E7C" w14:textId="0DC4E489" w:rsidR="00142E7F" w:rsidRPr="0071680C" w:rsidRDefault="00A22B0C" w:rsidP="00926212">
            <w:pPr>
              <w:pStyle w:val="TableText0"/>
            </w:pPr>
            <w:r>
              <w:t>Q4W &amp; Q2W</w:t>
            </w:r>
          </w:p>
        </w:tc>
        <w:tc>
          <w:tcPr>
            <w:tcW w:w="1250" w:type="pct"/>
            <w:tcBorders>
              <w:top w:val="nil"/>
              <w:left w:val="single" w:sz="4" w:space="0" w:color="auto"/>
              <w:bottom w:val="nil"/>
              <w:right w:val="single" w:sz="4" w:space="0" w:color="auto"/>
            </w:tcBorders>
            <w:shd w:val="clear" w:color="auto" w:fill="auto"/>
          </w:tcPr>
          <w:p w14:paraId="08F8A1A9" w14:textId="77777777" w:rsidR="00142E7F" w:rsidRPr="008E0686" w:rsidRDefault="00142E7F" w:rsidP="00926212">
            <w:pPr>
              <w:pStyle w:val="TableText0"/>
              <w:jc w:val="center"/>
            </w:pPr>
            <w:r w:rsidRPr="008E0686">
              <w:t>467 / 721 (64.8%)</w:t>
            </w:r>
          </w:p>
        </w:tc>
        <w:tc>
          <w:tcPr>
            <w:tcW w:w="1173" w:type="pct"/>
            <w:tcBorders>
              <w:top w:val="nil"/>
              <w:left w:val="single" w:sz="4" w:space="0" w:color="auto"/>
              <w:bottom w:val="nil"/>
              <w:right w:val="single" w:sz="4" w:space="0" w:color="auto"/>
            </w:tcBorders>
            <w:shd w:val="clear" w:color="auto" w:fill="auto"/>
          </w:tcPr>
          <w:p w14:paraId="455E987A" w14:textId="77777777" w:rsidR="00142E7F" w:rsidRPr="008E0686" w:rsidRDefault="00142E7F" w:rsidP="00926212">
            <w:pPr>
              <w:pStyle w:val="TableText0"/>
              <w:jc w:val="center"/>
            </w:pPr>
            <w:r w:rsidRPr="008E0686">
              <w:t>236 / 363 (65%)</w:t>
            </w:r>
          </w:p>
        </w:tc>
        <w:tc>
          <w:tcPr>
            <w:tcW w:w="860" w:type="pct"/>
            <w:tcBorders>
              <w:top w:val="nil"/>
              <w:left w:val="single" w:sz="4" w:space="0" w:color="auto"/>
              <w:bottom w:val="nil"/>
              <w:right w:val="single" w:sz="4" w:space="0" w:color="auto"/>
            </w:tcBorders>
            <w:shd w:val="clear" w:color="auto" w:fill="auto"/>
          </w:tcPr>
          <w:p w14:paraId="590C501E" w14:textId="77777777" w:rsidR="00142E7F" w:rsidRPr="008E0686" w:rsidRDefault="00142E7F" w:rsidP="00926212">
            <w:pPr>
              <w:pStyle w:val="TableText0"/>
              <w:jc w:val="center"/>
            </w:pPr>
            <w:r w:rsidRPr="008E0686">
              <w:t>0.99 (0.76,1.29)</w:t>
            </w:r>
          </w:p>
        </w:tc>
      </w:tr>
      <w:tr w:rsidR="00142E7F" w:rsidRPr="0071680C" w14:paraId="67E1C8FF" w14:textId="77777777" w:rsidTr="00B94B46">
        <w:trPr>
          <w:trHeight w:val="240"/>
        </w:trPr>
        <w:tc>
          <w:tcPr>
            <w:tcW w:w="1717" w:type="pct"/>
            <w:tcBorders>
              <w:top w:val="single" w:sz="4" w:space="0" w:color="auto"/>
              <w:left w:val="single" w:sz="4" w:space="0" w:color="auto"/>
              <w:bottom w:val="nil"/>
              <w:right w:val="single" w:sz="4" w:space="0" w:color="auto"/>
            </w:tcBorders>
            <w:vAlign w:val="center"/>
          </w:tcPr>
          <w:p w14:paraId="2424263A" w14:textId="77777777" w:rsidR="00142E7F" w:rsidRPr="00B94B46" w:rsidRDefault="00142E7F" w:rsidP="00926212">
            <w:pPr>
              <w:pStyle w:val="TableText0"/>
              <w:rPr>
                <w:b/>
              </w:rPr>
            </w:pPr>
            <w:r w:rsidRPr="00B94B46">
              <w:rPr>
                <w:b/>
              </w:rPr>
              <w:t>Any SAE</w:t>
            </w:r>
          </w:p>
        </w:tc>
        <w:tc>
          <w:tcPr>
            <w:tcW w:w="1250" w:type="pct"/>
            <w:tcBorders>
              <w:top w:val="single" w:sz="4" w:space="0" w:color="auto"/>
              <w:left w:val="single" w:sz="4" w:space="0" w:color="auto"/>
              <w:bottom w:val="nil"/>
              <w:right w:val="single" w:sz="4" w:space="0" w:color="auto"/>
            </w:tcBorders>
            <w:shd w:val="clear" w:color="auto" w:fill="auto"/>
          </w:tcPr>
          <w:p w14:paraId="19DB4488" w14:textId="77777777" w:rsidR="00142E7F" w:rsidRPr="003316FB" w:rsidRDefault="00142E7F" w:rsidP="00926212">
            <w:pPr>
              <w:pStyle w:val="TableText0"/>
              <w:jc w:val="center"/>
              <w:rPr>
                <w:rFonts w:cs="Calibri"/>
              </w:rPr>
            </w:pPr>
          </w:p>
        </w:tc>
        <w:tc>
          <w:tcPr>
            <w:tcW w:w="1173" w:type="pct"/>
            <w:tcBorders>
              <w:top w:val="single" w:sz="4" w:space="0" w:color="auto"/>
              <w:left w:val="single" w:sz="4" w:space="0" w:color="auto"/>
              <w:bottom w:val="nil"/>
              <w:right w:val="single" w:sz="4" w:space="0" w:color="auto"/>
            </w:tcBorders>
            <w:shd w:val="clear" w:color="auto" w:fill="auto"/>
          </w:tcPr>
          <w:p w14:paraId="0BE0D77F" w14:textId="77777777" w:rsidR="00142E7F" w:rsidRPr="00325BB0" w:rsidRDefault="00142E7F" w:rsidP="00926212">
            <w:pPr>
              <w:pStyle w:val="TableText0"/>
              <w:jc w:val="center"/>
              <w:rPr>
                <w:rFonts w:cs="Calibri"/>
              </w:rPr>
            </w:pPr>
          </w:p>
        </w:tc>
        <w:tc>
          <w:tcPr>
            <w:tcW w:w="860" w:type="pct"/>
            <w:tcBorders>
              <w:top w:val="single" w:sz="4" w:space="0" w:color="auto"/>
              <w:left w:val="single" w:sz="4" w:space="0" w:color="auto"/>
              <w:bottom w:val="nil"/>
              <w:right w:val="single" w:sz="4" w:space="0" w:color="auto"/>
            </w:tcBorders>
            <w:shd w:val="clear" w:color="auto" w:fill="auto"/>
          </w:tcPr>
          <w:p w14:paraId="4BB7DE8E" w14:textId="77777777" w:rsidR="00142E7F" w:rsidRPr="00842B99" w:rsidRDefault="00142E7F" w:rsidP="00926212">
            <w:pPr>
              <w:pStyle w:val="TableText0"/>
              <w:jc w:val="center"/>
              <w:rPr>
                <w:rFonts w:cs="Calibri"/>
              </w:rPr>
            </w:pPr>
          </w:p>
        </w:tc>
      </w:tr>
      <w:tr w:rsidR="00142E7F" w:rsidRPr="0071680C" w14:paraId="6C227C07" w14:textId="77777777" w:rsidTr="00B94B46">
        <w:trPr>
          <w:trHeight w:val="240"/>
        </w:trPr>
        <w:tc>
          <w:tcPr>
            <w:tcW w:w="1717" w:type="pct"/>
            <w:tcBorders>
              <w:top w:val="nil"/>
              <w:left w:val="single" w:sz="4" w:space="0" w:color="auto"/>
              <w:bottom w:val="nil"/>
              <w:right w:val="single" w:sz="4" w:space="0" w:color="auto"/>
            </w:tcBorders>
          </w:tcPr>
          <w:p w14:paraId="533CE0A2" w14:textId="7FE9D51C" w:rsidR="00142E7F" w:rsidRPr="0071680C" w:rsidRDefault="00BE02A2" w:rsidP="00926212">
            <w:pPr>
              <w:pStyle w:val="TableText0"/>
            </w:pPr>
            <w:r>
              <w:t>Q4W</w:t>
            </w:r>
          </w:p>
        </w:tc>
        <w:tc>
          <w:tcPr>
            <w:tcW w:w="1250" w:type="pct"/>
            <w:tcBorders>
              <w:top w:val="nil"/>
              <w:left w:val="single" w:sz="4" w:space="0" w:color="auto"/>
              <w:bottom w:val="nil"/>
              <w:right w:val="single" w:sz="4" w:space="0" w:color="auto"/>
            </w:tcBorders>
            <w:shd w:val="clear" w:color="auto" w:fill="auto"/>
          </w:tcPr>
          <w:p w14:paraId="618297E1" w14:textId="77777777" w:rsidR="00142E7F" w:rsidRPr="0071680C" w:rsidRDefault="00142E7F" w:rsidP="00926212">
            <w:pPr>
              <w:pStyle w:val="TableText0"/>
              <w:jc w:val="center"/>
            </w:pPr>
            <w:r w:rsidRPr="008E0686">
              <w:t>9 / 360 (2.5%)</w:t>
            </w:r>
          </w:p>
        </w:tc>
        <w:tc>
          <w:tcPr>
            <w:tcW w:w="1173" w:type="pct"/>
            <w:tcBorders>
              <w:top w:val="nil"/>
              <w:left w:val="single" w:sz="4" w:space="0" w:color="auto"/>
              <w:bottom w:val="nil"/>
              <w:right w:val="single" w:sz="4" w:space="0" w:color="auto"/>
            </w:tcBorders>
            <w:shd w:val="clear" w:color="auto" w:fill="auto"/>
          </w:tcPr>
          <w:p w14:paraId="6A098B72" w14:textId="77777777" w:rsidR="00142E7F" w:rsidRPr="0071680C" w:rsidRDefault="00142E7F" w:rsidP="00926212">
            <w:pPr>
              <w:pStyle w:val="TableText0"/>
              <w:jc w:val="center"/>
            </w:pPr>
            <w:r w:rsidRPr="008E0686">
              <w:t>11 / 363 (3%)</w:t>
            </w:r>
          </w:p>
        </w:tc>
        <w:tc>
          <w:tcPr>
            <w:tcW w:w="860" w:type="pct"/>
            <w:tcBorders>
              <w:top w:val="nil"/>
              <w:left w:val="single" w:sz="4" w:space="0" w:color="auto"/>
              <w:bottom w:val="nil"/>
              <w:right w:val="single" w:sz="4" w:space="0" w:color="auto"/>
            </w:tcBorders>
            <w:shd w:val="clear" w:color="auto" w:fill="auto"/>
          </w:tcPr>
          <w:p w14:paraId="0B378629" w14:textId="77777777" w:rsidR="00142E7F" w:rsidRPr="008E0686" w:rsidRDefault="00142E7F" w:rsidP="00926212">
            <w:pPr>
              <w:pStyle w:val="TableText0"/>
              <w:jc w:val="center"/>
            </w:pPr>
            <w:r w:rsidRPr="008E0686">
              <w:t>0.83 (0.33,</w:t>
            </w:r>
            <w:r>
              <w:t xml:space="preserve"> </w:t>
            </w:r>
            <w:r w:rsidRPr="008E0686">
              <w:t>2.07)</w:t>
            </w:r>
          </w:p>
        </w:tc>
      </w:tr>
      <w:tr w:rsidR="00142E7F" w:rsidRPr="0071680C" w14:paraId="43E48629" w14:textId="77777777" w:rsidTr="00B94B46">
        <w:trPr>
          <w:trHeight w:val="240"/>
        </w:trPr>
        <w:tc>
          <w:tcPr>
            <w:tcW w:w="1717" w:type="pct"/>
            <w:tcBorders>
              <w:top w:val="nil"/>
              <w:left w:val="single" w:sz="4" w:space="0" w:color="auto"/>
              <w:bottom w:val="nil"/>
              <w:right w:val="single" w:sz="4" w:space="0" w:color="auto"/>
            </w:tcBorders>
            <w:vAlign w:val="center"/>
          </w:tcPr>
          <w:p w14:paraId="01FD0E09" w14:textId="46C4536C" w:rsidR="00142E7F" w:rsidRPr="0071680C" w:rsidRDefault="00BE02A2" w:rsidP="00926212">
            <w:pPr>
              <w:pStyle w:val="TableText0"/>
            </w:pPr>
            <w:r>
              <w:t>Q2W</w:t>
            </w:r>
          </w:p>
        </w:tc>
        <w:tc>
          <w:tcPr>
            <w:tcW w:w="1250" w:type="pct"/>
            <w:tcBorders>
              <w:top w:val="nil"/>
              <w:left w:val="single" w:sz="4" w:space="0" w:color="auto"/>
              <w:bottom w:val="nil"/>
              <w:right w:val="single" w:sz="4" w:space="0" w:color="auto"/>
            </w:tcBorders>
            <w:shd w:val="clear" w:color="auto" w:fill="auto"/>
          </w:tcPr>
          <w:p w14:paraId="64101B8D" w14:textId="77777777" w:rsidR="00142E7F" w:rsidRPr="008E0686" w:rsidRDefault="00142E7F" w:rsidP="00926212">
            <w:pPr>
              <w:pStyle w:val="TableText0"/>
              <w:jc w:val="center"/>
            </w:pPr>
            <w:r w:rsidRPr="008E0686">
              <w:t>9 / 360 (2.5%)</w:t>
            </w:r>
          </w:p>
        </w:tc>
        <w:tc>
          <w:tcPr>
            <w:tcW w:w="1173" w:type="pct"/>
            <w:tcBorders>
              <w:top w:val="nil"/>
              <w:left w:val="single" w:sz="4" w:space="0" w:color="auto"/>
              <w:bottom w:val="nil"/>
              <w:right w:val="single" w:sz="4" w:space="0" w:color="auto"/>
            </w:tcBorders>
            <w:shd w:val="clear" w:color="auto" w:fill="auto"/>
          </w:tcPr>
          <w:p w14:paraId="58FDD77A" w14:textId="77777777" w:rsidR="00142E7F" w:rsidRPr="008E0686" w:rsidRDefault="00142E7F" w:rsidP="00926212">
            <w:pPr>
              <w:pStyle w:val="TableText0"/>
              <w:jc w:val="center"/>
            </w:pPr>
            <w:r w:rsidRPr="008E0686">
              <w:t>11 / 363 (3%)</w:t>
            </w:r>
          </w:p>
        </w:tc>
        <w:tc>
          <w:tcPr>
            <w:tcW w:w="860" w:type="pct"/>
            <w:tcBorders>
              <w:top w:val="nil"/>
              <w:left w:val="single" w:sz="4" w:space="0" w:color="auto"/>
              <w:bottom w:val="nil"/>
              <w:right w:val="single" w:sz="4" w:space="0" w:color="auto"/>
            </w:tcBorders>
            <w:shd w:val="clear" w:color="auto" w:fill="auto"/>
            <w:vAlign w:val="center"/>
          </w:tcPr>
          <w:p w14:paraId="1D403957" w14:textId="77777777" w:rsidR="00142E7F" w:rsidRPr="008E0686" w:rsidRDefault="00142E7F" w:rsidP="00926212">
            <w:pPr>
              <w:pStyle w:val="TableText0"/>
              <w:jc w:val="center"/>
            </w:pPr>
            <w:r w:rsidRPr="008E0686">
              <w:t>0.83 (0.33,</w:t>
            </w:r>
            <w:r>
              <w:t xml:space="preserve"> </w:t>
            </w:r>
            <w:r w:rsidRPr="008E0686">
              <w:t>2.07)</w:t>
            </w:r>
          </w:p>
        </w:tc>
      </w:tr>
      <w:tr w:rsidR="00142E7F" w:rsidRPr="0071680C" w14:paraId="25F50960" w14:textId="77777777" w:rsidTr="00B94B46">
        <w:trPr>
          <w:trHeight w:val="240"/>
        </w:trPr>
        <w:tc>
          <w:tcPr>
            <w:tcW w:w="1717" w:type="pct"/>
            <w:tcBorders>
              <w:top w:val="nil"/>
              <w:left w:val="single" w:sz="4" w:space="0" w:color="auto"/>
              <w:bottom w:val="single" w:sz="4" w:space="0" w:color="auto"/>
              <w:right w:val="single" w:sz="4" w:space="0" w:color="auto"/>
            </w:tcBorders>
            <w:vAlign w:val="center"/>
          </w:tcPr>
          <w:p w14:paraId="30FBBEA5" w14:textId="3BE0EF10" w:rsidR="00142E7F" w:rsidRPr="0071680C" w:rsidRDefault="003F177C" w:rsidP="00926212">
            <w:pPr>
              <w:pStyle w:val="TableText0"/>
            </w:pPr>
            <w:r>
              <w:t>Q4W &amp; Q2W</w:t>
            </w:r>
          </w:p>
        </w:tc>
        <w:tc>
          <w:tcPr>
            <w:tcW w:w="1250" w:type="pct"/>
            <w:tcBorders>
              <w:top w:val="nil"/>
              <w:left w:val="single" w:sz="4" w:space="0" w:color="auto"/>
              <w:bottom w:val="single" w:sz="4" w:space="0" w:color="auto"/>
              <w:right w:val="single" w:sz="4" w:space="0" w:color="auto"/>
            </w:tcBorders>
            <w:shd w:val="clear" w:color="auto" w:fill="auto"/>
          </w:tcPr>
          <w:p w14:paraId="44CD7B0F" w14:textId="77777777" w:rsidR="00142E7F" w:rsidRPr="008E0686" w:rsidRDefault="00142E7F" w:rsidP="00926212">
            <w:pPr>
              <w:pStyle w:val="TableText0"/>
              <w:jc w:val="center"/>
            </w:pPr>
            <w:r w:rsidRPr="008E0686">
              <w:t>18 / 721 (2.5%)</w:t>
            </w:r>
          </w:p>
        </w:tc>
        <w:tc>
          <w:tcPr>
            <w:tcW w:w="1173" w:type="pct"/>
            <w:tcBorders>
              <w:top w:val="nil"/>
              <w:left w:val="single" w:sz="4" w:space="0" w:color="auto"/>
              <w:bottom w:val="single" w:sz="4" w:space="0" w:color="auto"/>
              <w:right w:val="single" w:sz="4" w:space="0" w:color="auto"/>
            </w:tcBorders>
            <w:shd w:val="clear" w:color="auto" w:fill="auto"/>
          </w:tcPr>
          <w:p w14:paraId="19F6D45B" w14:textId="77777777" w:rsidR="00142E7F" w:rsidRPr="008E0686" w:rsidRDefault="00142E7F" w:rsidP="00926212">
            <w:pPr>
              <w:pStyle w:val="TableText0"/>
              <w:jc w:val="center"/>
            </w:pPr>
            <w:r w:rsidRPr="008E0686">
              <w:t>11 / 363 (3%)</w:t>
            </w:r>
          </w:p>
        </w:tc>
        <w:tc>
          <w:tcPr>
            <w:tcW w:w="860" w:type="pct"/>
            <w:tcBorders>
              <w:top w:val="nil"/>
              <w:left w:val="single" w:sz="4" w:space="0" w:color="auto"/>
              <w:bottom w:val="single" w:sz="4" w:space="0" w:color="auto"/>
              <w:right w:val="single" w:sz="4" w:space="0" w:color="auto"/>
            </w:tcBorders>
            <w:shd w:val="clear" w:color="auto" w:fill="auto"/>
            <w:vAlign w:val="center"/>
          </w:tcPr>
          <w:p w14:paraId="2D3D5BBC" w14:textId="77777777" w:rsidR="00142E7F" w:rsidRPr="008E0686" w:rsidRDefault="00142E7F" w:rsidP="00926212">
            <w:pPr>
              <w:pStyle w:val="TableText0"/>
              <w:jc w:val="center"/>
            </w:pPr>
            <w:r w:rsidRPr="008E0686">
              <w:t>0.82 (0.38,</w:t>
            </w:r>
            <w:r>
              <w:t xml:space="preserve"> </w:t>
            </w:r>
            <w:r w:rsidRPr="008E0686">
              <w:t>1.75)</w:t>
            </w:r>
          </w:p>
        </w:tc>
      </w:tr>
      <w:tr w:rsidR="002516C1" w:rsidRPr="0071680C" w14:paraId="1B6F69AC" w14:textId="77777777" w:rsidTr="00B94B46">
        <w:trPr>
          <w:trHeight w:val="240"/>
        </w:trPr>
        <w:tc>
          <w:tcPr>
            <w:tcW w:w="1717" w:type="pct"/>
            <w:tcBorders>
              <w:top w:val="single" w:sz="4" w:space="0" w:color="auto"/>
              <w:left w:val="single" w:sz="4" w:space="0" w:color="auto"/>
              <w:bottom w:val="nil"/>
              <w:right w:val="single" w:sz="4" w:space="0" w:color="auto"/>
            </w:tcBorders>
            <w:vAlign w:val="center"/>
          </w:tcPr>
          <w:p w14:paraId="2855F33E" w14:textId="4409BAE6" w:rsidR="002516C1" w:rsidRPr="00B94B46" w:rsidRDefault="002516C1" w:rsidP="00926212">
            <w:pPr>
              <w:pStyle w:val="TableText0"/>
              <w:rPr>
                <w:b/>
              </w:rPr>
            </w:pPr>
            <w:r w:rsidRPr="00B94B46">
              <w:rPr>
                <w:b/>
              </w:rPr>
              <w:t>Any AE resulting in discontinuation</w:t>
            </w:r>
          </w:p>
        </w:tc>
        <w:tc>
          <w:tcPr>
            <w:tcW w:w="1250" w:type="pct"/>
            <w:tcBorders>
              <w:top w:val="single" w:sz="4" w:space="0" w:color="auto"/>
              <w:left w:val="single" w:sz="4" w:space="0" w:color="auto"/>
              <w:bottom w:val="nil"/>
              <w:right w:val="single" w:sz="4" w:space="0" w:color="auto"/>
            </w:tcBorders>
            <w:shd w:val="clear" w:color="auto" w:fill="auto"/>
          </w:tcPr>
          <w:p w14:paraId="046146E0" w14:textId="77777777" w:rsidR="002516C1" w:rsidRPr="008E0686" w:rsidRDefault="002516C1" w:rsidP="00926212">
            <w:pPr>
              <w:pStyle w:val="TableText0"/>
              <w:jc w:val="center"/>
            </w:pPr>
          </w:p>
        </w:tc>
        <w:tc>
          <w:tcPr>
            <w:tcW w:w="1173" w:type="pct"/>
            <w:tcBorders>
              <w:top w:val="single" w:sz="4" w:space="0" w:color="auto"/>
              <w:left w:val="single" w:sz="4" w:space="0" w:color="auto"/>
              <w:bottom w:val="nil"/>
              <w:right w:val="single" w:sz="4" w:space="0" w:color="auto"/>
            </w:tcBorders>
            <w:shd w:val="clear" w:color="auto" w:fill="auto"/>
          </w:tcPr>
          <w:p w14:paraId="22E8BF71" w14:textId="77777777" w:rsidR="002516C1" w:rsidRPr="008E0686" w:rsidRDefault="002516C1" w:rsidP="00926212">
            <w:pPr>
              <w:pStyle w:val="TableText0"/>
              <w:jc w:val="center"/>
            </w:pPr>
          </w:p>
        </w:tc>
        <w:tc>
          <w:tcPr>
            <w:tcW w:w="860" w:type="pct"/>
            <w:tcBorders>
              <w:top w:val="single" w:sz="4" w:space="0" w:color="auto"/>
              <w:left w:val="single" w:sz="4" w:space="0" w:color="auto"/>
              <w:bottom w:val="nil"/>
              <w:right w:val="single" w:sz="4" w:space="0" w:color="auto"/>
            </w:tcBorders>
            <w:shd w:val="clear" w:color="auto" w:fill="auto"/>
            <w:vAlign w:val="center"/>
          </w:tcPr>
          <w:p w14:paraId="56051124" w14:textId="77777777" w:rsidR="002516C1" w:rsidRPr="008E0686" w:rsidRDefault="002516C1" w:rsidP="00926212">
            <w:pPr>
              <w:pStyle w:val="TableText0"/>
              <w:jc w:val="center"/>
            </w:pPr>
          </w:p>
        </w:tc>
      </w:tr>
      <w:tr w:rsidR="00142E7F" w:rsidRPr="0071680C" w14:paraId="0EDD6EAB" w14:textId="77777777" w:rsidTr="00B94B46">
        <w:trPr>
          <w:trHeight w:val="240"/>
        </w:trPr>
        <w:tc>
          <w:tcPr>
            <w:tcW w:w="1717" w:type="pct"/>
            <w:tcBorders>
              <w:top w:val="nil"/>
              <w:left w:val="single" w:sz="4" w:space="0" w:color="auto"/>
              <w:bottom w:val="nil"/>
              <w:right w:val="single" w:sz="4" w:space="0" w:color="auto"/>
            </w:tcBorders>
          </w:tcPr>
          <w:p w14:paraId="4473EB22" w14:textId="799CBBD3" w:rsidR="00142E7F" w:rsidRPr="0071680C" w:rsidRDefault="00BE02A2" w:rsidP="00926212">
            <w:pPr>
              <w:pStyle w:val="TableText0"/>
            </w:pPr>
            <w:r>
              <w:t>Q4W</w:t>
            </w:r>
          </w:p>
        </w:tc>
        <w:tc>
          <w:tcPr>
            <w:tcW w:w="1250" w:type="pct"/>
            <w:tcBorders>
              <w:top w:val="nil"/>
              <w:left w:val="single" w:sz="4" w:space="0" w:color="auto"/>
              <w:bottom w:val="nil"/>
              <w:right w:val="single" w:sz="4" w:space="0" w:color="auto"/>
            </w:tcBorders>
            <w:shd w:val="clear" w:color="auto" w:fill="auto"/>
          </w:tcPr>
          <w:p w14:paraId="2E105EE7" w14:textId="77777777" w:rsidR="00142E7F" w:rsidRPr="0071680C" w:rsidRDefault="00142E7F" w:rsidP="00926212">
            <w:pPr>
              <w:pStyle w:val="TableText0"/>
              <w:jc w:val="center"/>
            </w:pPr>
            <w:r w:rsidRPr="008E0686">
              <w:t>5 / 360 (1.39%)</w:t>
            </w:r>
          </w:p>
        </w:tc>
        <w:tc>
          <w:tcPr>
            <w:tcW w:w="1173" w:type="pct"/>
            <w:tcBorders>
              <w:top w:val="nil"/>
              <w:left w:val="single" w:sz="4" w:space="0" w:color="auto"/>
              <w:bottom w:val="nil"/>
              <w:right w:val="single" w:sz="4" w:space="0" w:color="auto"/>
            </w:tcBorders>
            <w:shd w:val="clear" w:color="auto" w:fill="auto"/>
          </w:tcPr>
          <w:p w14:paraId="45159ECE" w14:textId="77777777" w:rsidR="00142E7F" w:rsidRPr="0071680C" w:rsidRDefault="00142E7F" w:rsidP="00926212">
            <w:pPr>
              <w:pStyle w:val="TableText0"/>
              <w:jc w:val="center"/>
            </w:pPr>
            <w:r w:rsidRPr="008E0686">
              <w:t>5 / 363 (1.38%)</w:t>
            </w:r>
          </w:p>
        </w:tc>
        <w:tc>
          <w:tcPr>
            <w:tcW w:w="860" w:type="pct"/>
            <w:tcBorders>
              <w:top w:val="nil"/>
              <w:left w:val="single" w:sz="4" w:space="0" w:color="auto"/>
              <w:bottom w:val="nil"/>
              <w:right w:val="single" w:sz="4" w:space="0" w:color="auto"/>
            </w:tcBorders>
            <w:shd w:val="clear" w:color="auto" w:fill="auto"/>
          </w:tcPr>
          <w:p w14:paraId="697A2B56" w14:textId="77777777" w:rsidR="00142E7F" w:rsidRPr="008E0686" w:rsidRDefault="00142E7F" w:rsidP="00926212">
            <w:pPr>
              <w:pStyle w:val="TableText0"/>
              <w:jc w:val="center"/>
            </w:pPr>
            <w:r w:rsidRPr="008E0686">
              <w:t>1.01 (0.29,</w:t>
            </w:r>
            <w:r>
              <w:t xml:space="preserve"> </w:t>
            </w:r>
            <w:r w:rsidRPr="008E0686">
              <w:t>3.54)</w:t>
            </w:r>
          </w:p>
        </w:tc>
      </w:tr>
      <w:tr w:rsidR="00142E7F" w:rsidRPr="0071680C" w14:paraId="3E40713E" w14:textId="77777777" w:rsidTr="00B94B46">
        <w:trPr>
          <w:trHeight w:val="240"/>
        </w:trPr>
        <w:tc>
          <w:tcPr>
            <w:tcW w:w="1717" w:type="pct"/>
            <w:tcBorders>
              <w:top w:val="nil"/>
              <w:left w:val="single" w:sz="4" w:space="0" w:color="auto"/>
              <w:bottom w:val="nil"/>
              <w:right w:val="single" w:sz="4" w:space="0" w:color="auto"/>
            </w:tcBorders>
            <w:vAlign w:val="center"/>
          </w:tcPr>
          <w:p w14:paraId="5FEB433A" w14:textId="35241AA2" w:rsidR="00142E7F" w:rsidRPr="0071680C" w:rsidRDefault="00BE02A2" w:rsidP="00926212">
            <w:pPr>
              <w:pStyle w:val="TableText0"/>
            </w:pPr>
            <w:r>
              <w:t>Q2W</w:t>
            </w:r>
          </w:p>
        </w:tc>
        <w:tc>
          <w:tcPr>
            <w:tcW w:w="1250" w:type="pct"/>
            <w:tcBorders>
              <w:top w:val="nil"/>
              <w:left w:val="single" w:sz="4" w:space="0" w:color="auto"/>
              <w:bottom w:val="nil"/>
              <w:right w:val="single" w:sz="4" w:space="0" w:color="auto"/>
            </w:tcBorders>
            <w:shd w:val="clear" w:color="auto" w:fill="auto"/>
          </w:tcPr>
          <w:p w14:paraId="5F7EEF3F" w14:textId="77777777" w:rsidR="00142E7F" w:rsidRPr="008E0686" w:rsidRDefault="00142E7F" w:rsidP="00926212">
            <w:pPr>
              <w:pStyle w:val="TableText0"/>
              <w:jc w:val="center"/>
            </w:pPr>
            <w:r w:rsidRPr="008E0686">
              <w:t>6 / 361 (1.66%)</w:t>
            </w:r>
          </w:p>
        </w:tc>
        <w:tc>
          <w:tcPr>
            <w:tcW w:w="1173" w:type="pct"/>
            <w:tcBorders>
              <w:top w:val="nil"/>
              <w:left w:val="single" w:sz="4" w:space="0" w:color="auto"/>
              <w:bottom w:val="nil"/>
              <w:right w:val="single" w:sz="4" w:space="0" w:color="auto"/>
            </w:tcBorders>
            <w:shd w:val="clear" w:color="auto" w:fill="auto"/>
          </w:tcPr>
          <w:p w14:paraId="23AD224C" w14:textId="77777777" w:rsidR="00142E7F" w:rsidRPr="008E0686" w:rsidRDefault="00142E7F" w:rsidP="00926212">
            <w:pPr>
              <w:pStyle w:val="TableText0"/>
              <w:jc w:val="center"/>
            </w:pPr>
            <w:r w:rsidRPr="008E0686">
              <w:t>5 / 363 (1.38%)</w:t>
            </w:r>
          </w:p>
        </w:tc>
        <w:tc>
          <w:tcPr>
            <w:tcW w:w="860" w:type="pct"/>
            <w:tcBorders>
              <w:top w:val="nil"/>
              <w:left w:val="single" w:sz="4" w:space="0" w:color="auto"/>
              <w:bottom w:val="nil"/>
              <w:right w:val="single" w:sz="4" w:space="0" w:color="auto"/>
            </w:tcBorders>
            <w:shd w:val="clear" w:color="auto" w:fill="auto"/>
          </w:tcPr>
          <w:p w14:paraId="4409925A" w14:textId="77777777" w:rsidR="00142E7F" w:rsidRPr="008E0686" w:rsidRDefault="00142E7F" w:rsidP="00926212">
            <w:pPr>
              <w:pStyle w:val="TableText0"/>
              <w:jc w:val="center"/>
            </w:pPr>
            <w:r w:rsidRPr="008E0686">
              <w:t>1.14 (0.06,</w:t>
            </w:r>
            <w:r>
              <w:t xml:space="preserve"> </w:t>
            </w:r>
            <w:r w:rsidRPr="008E0686">
              <w:t>21.79)</w:t>
            </w:r>
          </w:p>
        </w:tc>
      </w:tr>
      <w:tr w:rsidR="00142E7F" w:rsidRPr="0071680C" w14:paraId="3D0C465C" w14:textId="77777777" w:rsidTr="00B94B46">
        <w:trPr>
          <w:trHeight w:val="240"/>
        </w:trPr>
        <w:tc>
          <w:tcPr>
            <w:tcW w:w="1717" w:type="pct"/>
            <w:tcBorders>
              <w:top w:val="nil"/>
              <w:left w:val="single" w:sz="4" w:space="0" w:color="auto"/>
              <w:bottom w:val="single" w:sz="4" w:space="0" w:color="auto"/>
              <w:right w:val="single" w:sz="4" w:space="0" w:color="auto"/>
            </w:tcBorders>
            <w:vAlign w:val="center"/>
          </w:tcPr>
          <w:p w14:paraId="49453C9A" w14:textId="6C553323" w:rsidR="00142E7F" w:rsidRPr="0071680C" w:rsidRDefault="003F177C" w:rsidP="00926212">
            <w:pPr>
              <w:pStyle w:val="TableText0"/>
            </w:pPr>
            <w:r>
              <w:t>Q4W &amp; Q2W</w:t>
            </w:r>
          </w:p>
        </w:tc>
        <w:tc>
          <w:tcPr>
            <w:tcW w:w="1250" w:type="pct"/>
            <w:tcBorders>
              <w:top w:val="nil"/>
              <w:left w:val="single" w:sz="4" w:space="0" w:color="auto"/>
              <w:bottom w:val="single" w:sz="4" w:space="0" w:color="auto"/>
              <w:right w:val="single" w:sz="4" w:space="0" w:color="auto"/>
            </w:tcBorders>
            <w:shd w:val="clear" w:color="auto" w:fill="auto"/>
          </w:tcPr>
          <w:p w14:paraId="0032BB10" w14:textId="77777777" w:rsidR="00142E7F" w:rsidRPr="008E0686" w:rsidRDefault="00142E7F" w:rsidP="00926212">
            <w:pPr>
              <w:pStyle w:val="TableText0"/>
              <w:jc w:val="center"/>
            </w:pPr>
            <w:r w:rsidRPr="008E0686">
              <w:t>11 / 721 (1.53%)</w:t>
            </w:r>
          </w:p>
        </w:tc>
        <w:tc>
          <w:tcPr>
            <w:tcW w:w="1173" w:type="pct"/>
            <w:tcBorders>
              <w:top w:val="nil"/>
              <w:left w:val="single" w:sz="4" w:space="0" w:color="auto"/>
              <w:bottom w:val="single" w:sz="4" w:space="0" w:color="auto"/>
              <w:right w:val="single" w:sz="4" w:space="0" w:color="auto"/>
            </w:tcBorders>
            <w:shd w:val="clear" w:color="auto" w:fill="auto"/>
          </w:tcPr>
          <w:p w14:paraId="353F037E" w14:textId="77777777" w:rsidR="00142E7F" w:rsidRPr="008E0686" w:rsidRDefault="00142E7F" w:rsidP="00926212">
            <w:pPr>
              <w:pStyle w:val="TableText0"/>
              <w:jc w:val="center"/>
            </w:pPr>
            <w:r w:rsidRPr="008E0686">
              <w:t>5 / 363 (1.38%)</w:t>
            </w:r>
          </w:p>
        </w:tc>
        <w:tc>
          <w:tcPr>
            <w:tcW w:w="860" w:type="pct"/>
            <w:tcBorders>
              <w:top w:val="nil"/>
              <w:left w:val="single" w:sz="4" w:space="0" w:color="auto"/>
              <w:bottom w:val="single" w:sz="4" w:space="0" w:color="auto"/>
              <w:right w:val="single" w:sz="4" w:space="0" w:color="auto"/>
            </w:tcBorders>
            <w:shd w:val="clear" w:color="auto" w:fill="auto"/>
          </w:tcPr>
          <w:p w14:paraId="4D75D8D5" w14:textId="77777777" w:rsidR="00142E7F" w:rsidRPr="008E0686" w:rsidRDefault="00142E7F" w:rsidP="00926212">
            <w:pPr>
              <w:pStyle w:val="TableText0"/>
              <w:jc w:val="center"/>
            </w:pPr>
            <w:r w:rsidRPr="008E0686">
              <w:t>1.11 (0.38,</w:t>
            </w:r>
            <w:r>
              <w:t xml:space="preserve"> </w:t>
            </w:r>
            <w:r w:rsidRPr="008E0686">
              <w:t>3.22)</w:t>
            </w:r>
          </w:p>
        </w:tc>
      </w:tr>
      <w:tr w:rsidR="003D494A" w:rsidRPr="0071680C" w14:paraId="4E60F3D4" w14:textId="77777777" w:rsidTr="00B94B46">
        <w:trPr>
          <w:trHeight w:val="240"/>
        </w:trPr>
        <w:tc>
          <w:tcPr>
            <w:tcW w:w="1717" w:type="pct"/>
            <w:tcBorders>
              <w:left w:val="single" w:sz="4" w:space="0" w:color="auto"/>
              <w:bottom w:val="single" w:sz="4" w:space="0" w:color="auto"/>
              <w:right w:val="nil"/>
            </w:tcBorders>
            <w:vAlign w:val="center"/>
          </w:tcPr>
          <w:p w14:paraId="2A808328" w14:textId="77777777" w:rsidR="00142E7F" w:rsidRPr="00B94B46" w:rsidRDefault="00142E7F" w:rsidP="00926212">
            <w:pPr>
              <w:pStyle w:val="TableText0"/>
              <w:rPr>
                <w:b/>
              </w:rPr>
            </w:pPr>
            <w:r w:rsidRPr="00B94B46">
              <w:rPr>
                <w:b/>
              </w:rPr>
              <w:t>Indirect comparisons</w:t>
            </w:r>
          </w:p>
        </w:tc>
        <w:tc>
          <w:tcPr>
            <w:tcW w:w="1250" w:type="pct"/>
            <w:tcBorders>
              <w:top w:val="single" w:sz="4" w:space="0" w:color="auto"/>
              <w:left w:val="nil"/>
              <w:bottom w:val="single" w:sz="4" w:space="0" w:color="auto"/>
              <w:right w:val="nil"/>
            </w:tcBorders>
            <w:shd w:val="clear" w:color="auto" w:fill="auto"/>
            <w:vAlign w:val="center"/>
          </w:tcPr>
          <w:p w14:paraId="1F3458F8" w14:textId="77777777" w:rsidR="00142E7F" w:rsidRPr="0071680C" w:rsidRDefault="00142E7F" w:rsidP="00926212">
            <w:pPr>
              <w:pStyle w:val="TableText0"/>
            </w:pPr>
          </w:p>
        </w:tc>
        <w:tc>
          <w:tcPr>
            <w:tcW w:w="1173" w:type="pct"/>
            <w:tcBorders>
              <w:top w:val="single" w:sz="4" w:space="0" w:color="auto"/>
              <w:left w:val="nil"/>
              <w:bottom w:val="single" w:sz="4" w:space="0" w:color="auto"/>
              <w:right w:val="nil"/>
            </w:tcBorders>
            <w:shd w:val="clear" w:color="auto" w:fill="auto"/>
            <w:vAlign w:val="center"/>
          </w:tcPr>
          <w:p w14:paraId="3645E7DA" w14:textId="77777777" w:rsidR="00142E7F" w:rsidRPr="0071680C" w:rsidRDefault="00142E7F" w:rsidP="00926212">
            <w:pPr>
              <w:pStyle w:val="TableText0"/>
            </w:pPr>
          </w:p>
        </w:tc>
        <w:tc>
          <w:tcPr>
            <w:tcW w:w="860" w:type="pct"/>
            <w:tcBorders>
              <w:top w:val="single" w:sz="4" w:space="0" w:color="auto"/>
              <w:left w:val="nil"/>
              <w:bottom w:val="single" w:sz="4" w:space="0" w:color="auto"/>
              <w:right w:val="single" w:sz="4" w:space="0" w:color="auto"/>
            </w:tcBorders>
            <w:shd w:val="clear" w:color="auto" w:fill="auto"/>
            <w:vAlign w:val="center"/>
          </w:tcPr>
          <w:p w14:paraId="32DC7428" w14:textId="77777777" w:rsidR="00142E7F" w:rsidRPr="0071680C" w:rsidRDefault="00142E7F" w:rsidP="00926212">
            <w:pPr>
              <w:pStyle w:val="TableText0"/>
            </w:pPr>
          </w:p>
        </w:tc>
      </w:tr>
      <w:tr w:rsidR="003D494A" w:rsidRPr="0071680C" w14:paraId="7EC9FB82" w14:textId="77777777" w:rsidTr="00B94B46">
        <w:trPr>
          <w:trHeight w:val="240"/>
        </w:trPr>
        <w:tc>
          <w:tcPr>
            <w:tcW w:w="1717" w:type="pct"/>
            <w:tcBorders>
              <w:top w:val="single" w:sz="4" w:space="0" w:color="auto"/>
              <w:left w:val="single" w:sz="4" w:space="0" w:color="auto"/>
              <w:bottom w:val="nil"/>
              <w:right w:val="nil"/>
            </w:tcBorders>
            <w:vAlign w:val="center"/>
          </w:tcPr>
          <w:p w14:paraId="7876E8EC" w14:textId="77777777" w:rsidR="00142E7F" w:rsidRPr="00B94B46" w:rsidRDefault="00142E7F" w:rsidP="00926212">
            <w:pPr>
              <w:pStyle w:val="TableText0"/>
              <w:rPr>
                <w:b/>
              </w:rPr>
            </w:pPr>
            <w:r w:rsidRPr="00B94B46">
              <w:rPr>
                <w:b/>
              </w:rPr>
              <w:t>Any AE</w:t>
            </w:r>
          </w:p>
        </w:tc>
        <w:tc>
          <w:tcPr>
            <w:tcW w:w="1250" w:type="pct"/>
            <w:tcBorders>
              <w:top w:val="single" w:sz="4" w:space="0" w:color="auto"/>
              <w:left w:val="nil"/>
              <w:bottom w:val="nil"/>
              <w:right w:val="nil"/>
            </w:tcBorders>
            <w:shd w:val="clear" w:color="auto" w:fill="auto"/>
            <w:vAlign w:val="center"/>
          </w:tcPr>
          <w:p w14:paraId="04D2AEEF" w14:textId="77777777" w:rsidR="00142E7F" w:rsidRPr="0071680C" w:rsidRDefault="00142E7F" w:rsidP="00926212">
            <w:pPr>
              <w:pStyle w:val="TableText0"/>
            </w:pPr>
          </w:p>
        </w:tc>
        <w:tc>
          <w:tcPr>
            <w:tcW w:w="1173" w:type="pct"/>
            <w:tcBorders>
              <w:top w:val="single" w:sz="4" w:space="0" w:color="auto"/>
              <w:left w:val="nil"/>
              <w:bottom w:val="nil"/>
              <w:right w:val="single" w:sz="4" w:space="0" w:color="auto"/>
            </w:tcBorders>
            <w:shd w:val="clear" w:color="auto" w:fill="auto"/>
            <w:vAlign w:val="center"/>
          </w:tcPr>
          <w:p w14:paraId="218DAA6B" w14:textId="77777777" w:rsidR="00142E7F" w:rsidRPr="0071680C" w:rsidRDefault="00142E7F" w:rsidP="00926212">
            <w:pPr>
              <w:pStyle w:val="TableText0"/>
            </w:pPr>
          </w:p>
        </w:tc>
        <w:tc>
          <w:tcPr>
            <w:tcW w:w="860" w:type="pct"/>
            <w:tcBorders>
              <w:top w:val="single" w:sz="4" w:space="0" w:color="auto"/>
              <w:left w:val="single" w:sz="4" w:space="0" w:color="auto"/>
              <w:bottom w:val="nil"/>
              <w:right w:val="single" w:sz="4" w:space="0" w:color="auto"/>
            </w:tcBorders>
            <w:shd w:val="clear" w:color="auto" w:fill="auto"/>
            <w:vAlign w:val="center"/>
          </w:tcPr>
          <w:p w14:paraId="52CF8910" w14:textId="77777777" w:rsidR="00142E7F" w:rsidRPr="0071680C" w:rsidRDefault="00142E7F" w:rsidP="00926212">
            <w:pPr>
              <w:pStyle w:val="TableText0"/>
              <w:jc w:val="center"/>
            </w:pPr>
          </w:p>
        </w:tc>
      </w:tr>
      <w:tr w:rsidR="003D494A" w:rsidRPr="0071680C" w14:paraId="52DAA905" w14:textId="77777777" w:rsidTr="00A904E2">
        <w:trPr>
          <w:trHeight w:val="240"/>
        </w:trPr>
        <w:tc>
          <w:tcPr>
            <w:tcW w:w="2967" w:type="pct"/>
            <w:gridSpan w:val="2"/>
            <w:tcBorders>
              <w:top w:val="nil"/>
              <w:left w:val="single" w:sz="4" w:space="0" w:color="auto"/>
              <w:bottom w:val="nil"/>
              <w:right w:val="nil"/>
            </w:tcBorders>
            <w:vAlign w:val="center"/>
          </w:tcPr>
          <w:p w14:paraId="25C29C1F" w14:textId="5AB7EBE9" w:rsidR="00142E7F" w:rsidRPr="0071680C" w:rsidRDefault="00142E7F" w:rsidP="00926212">
            <w:pPr>
              <w:pStyle w:val="TableText0"/>
            </w:pPr>
            <w:r w:rsidRPr="0071680C">
              <w:t>SEC (</w:t>
            </w:r>
            <w:r>
              <w:t>Q4W</w:t>
            </w:r>
            <w:r w:rsidRPr="0071680C">
              <w:t xml:space="preserve">) vs </w:t>
            </w:r>
            <w:r w:rsidR="005762D0">
              <w:t>adalimumab</w:t>
            </w:r>
            <w:r w:rsidRPr="0071680C">
              <w:t xml:space="preserve"> (pooled)</w:t>
            </w:r>
          </w:p>
        </w:tc>
        <w:tc>
          <w:tcPr>
            <w:tcW w:w="1173" w:type="pct"/>
            <w:tcBorders>
              <w:top w:val="nil"/>
              <w:left w:val="nil"/>
              <w:bottom w:val="nil"/>
              <w:right w:val="single" w:sz="4" w:space="0" w:color="auto"/>
            </w:tcBorders>
            <w:shd w:val="clear" w:color="auto" w:fill="auto"/>
            <w:vAlign w:val="center"/>
          </w:tcPr>
          <w:p w14:paraId="35EC0856" w14:textId="77777777" w:rsidR="00142E7F" w:rsidRPr="0071680C" w:rsidRDefault="00142E7F" w:rsidP="00926212">
            <w:pPr>
              <w:pStyle w:val="TableText0"/>
            </w:pPr>
          </w:p>
        </w:tc>
        <w:tc>
          <w:tcPr>
            <w:tcW w:w="860" w:type="pct"/>
            <w:tcBorders>
              <w:top w:val="nil"/>
              <w:left w:val="single" w:sz="4" w:space="0" w:color="auto"/>
              <w:bottom w:val="nil"/>
              <w:right w:val="single" w:sz="4" w:space="0" w:color="auto"/>
            </w:tcBorders>
            <w:shd w:val="clear" w:color="auto" w:fill="auto"/>
            <w:vAlign w:val="center"/>
          </w:tcPr>
          <w:p w14:paraId="3B089220" w14:textId="77777777" w:rsidR="00142E7F" w:rsidRPr="0071680C" w:rsidRDefault="00142E7F" w:rsidP="00926212">
            <w:pPr>
              <w:pStyle w:val="TableText0"/>
              <w:jc w:val="center"/>
              <w:rPr>
                <w:rFonts w:cs="Calibri"/>
              </w:rPr>
            </w:pPr>
            <w:r w:rsidRPr="00735E2C">
              <w:rPr>
                <w:rFonts w:cs="Calibri"/>
              </w:rPr>
              <w:t>1.03 (0.65, 1.64)</w:t>
            </w:r>
          </w:p>
        </w:tc>
      </w:tr>
      <w:tr w:rsidR="003D494A" w:rsidRPr="0071680C" w14:paraId="59CE161E" w14:textId="77777777" w:rsidTr="00A904E2">
        <w:trPr>
          <w:trHeight w:val="240"/>
        </w:trPr>
        <w:tc>
          <w:tcPr>
            <w:tcW w:w="2967" w:type="pct"/>
            <w:gridSpan w:val="2"/>
            <w:tcBorders>
              <w:top w:val="nil"/>
              <w:left w:val="single" w:sz="4" w:space="0" w:color="auto"/>
              <w:bottom w:val="nil"/>
              <w:right w:val="nil"/>
            </w:tcBorders>
          </w:tcPr>
          <w:p w14:paraId="29930507" w14:textId="6C104B5A" w:rsidR="00142E7F" w:rsidRPr="0071680C" w:rsidRDefault="00142E7F" w:rsidP="00926212">
            <w:pPr>
              <w:pStyle w:val="TableText0"/>
            </w:pPr>
            <w:r w:rsidRPr="00976E45">
              <w:t xml:space="preserve">SEC (Q2W) vs </w:t>
            </w:r>
            <w:r w:rsidR="005762D0">
              <w:t>adalimumab</w:t>
            </w:r>
            <w:r w:rsidRPr="00976E45">
              <w:t xml:space="preserve"> (pooled)</w:t>
            </w:r>
          </w:p>
        </w:tc>
        <w:tc>
          <w:tcPr>
            <w:tcW w:w="1173" w:type="pct"/>
            <w:tcBorders>
              <w:top w:val="nil"/>
              <w:left w:val="nil"/>
              <w:bottom w:val="nil"/>
              <w:right w:val="single" w:sz="4" w:space="0" w:color="auto"/>
            </w:tcBorders>
            <w:shd w:val="clear" w:color="auto" w:fill="auto"/>
            <w:vAlign w:val="center"/>
          </w:tcPr>
          <w:p w14:paraId="083499B7" w14:textId="77777777" w:rsidR="00142E7F" w:rsidRPr="0071680C" w:rsidRDefault="00142E7F" w:rsidP="00926212">
            <w:pPr>
              <w:pStyle w:val="TableText0"/>
            </w:pPr>
          </w:p>
        </w:tc>
        <w:tc>
          <w:tcPr>
            <w:tcW w:w="860" w:type="pct"/>
            <w:tcBorders>
              <w:top w:val="nil"/>
              <w:left w:val="single" w:sz="4" w:space="0" w:color="auto"/>
              <w:bottom w:val="nil"/>
              <w:right w:val="single" w:sz="4" w:space="0" w:color="auto"/>
            </w:tcBorders>
            <w:shd w:val="clear" w:color="auto" w:fill="auto"/>
            <w:vAlign w:val="center"/>
          </w:tcPr>
          <w:p w14:paraId="64F9AF7C" w14:textId="77777777" w:rsidR="00142E7F" w:rsidRPr="0071680C" w:rsidRDefault="00142E7F" w:rsidP="00926212">
            <w:pPr>
              <w:pStyle w:val="TableText0"/>
              <w:jc w:val="center"/>
              <w:rPr>
                <w:rFonts w:cs="Calibri"/>
              </w:rPr>
            </w:pPr>
            <w:r w:rsidRPr="00735E2C">
              <w:rPr>
                <w:rFonts w:cs="Calibri"/>
              </w:rPr>
              <w:t>1.06 (0.67, 1.69)</w:t>
            </w:r>
          </w:p>
        </w:tc>
      </w:tr>
      <w:tr w:rsidR="003D494A" w:rsidRPr="0071680C" w14:paraId="47C953A7" w14:textId="77777777" w:rsidTr="00A904E2">
        <w:trPr>
          <w:trHeight w:val="240"/>
        </w:trPr>
        <w:tc>
          <w:tcPr>
            <w:tcW w:w="2967" w:type="pct"/>
            <w:gridSpan w:val="2"/>
            <w:tcBorders>
              <w:top w:val="nil"/>
              <w:left w:val="single" w:sz="4" w:space="0" w:color="auto"/>
              <w:bottom w:val="nil"/>
              <w:right w:val="nil"/>
            </w:tcBorders>
          </w:tcPr>
          <w:p w14:paraId="52335038" w14:textId="35D949E4" w:rsidR="00142E7F" w:rsidRPr="0071680C" w:rsidRDefault="00142E7F" w:rsidP="00926212">
            <w:pPr>
              <w:pStyle w:val="TableText0"/>
            </w:pPr>
            <w:r w:rsidRPr="00976E45">
              <w:t>SEC (</w:t>
            </w:r>
            <w:r>
              <w:t>combined</w:t>
            </w:r>
            <w:r w:rsidRPr="00976E45">
              <w:t xml:space="preserve">) vs </w:t>
            </w:r>
            <w:r w:rsidR="005762D0">
              <w:t>adalimumab</w:t>
            </w:r>
            <w:r w:rsidRPr="00976E45">
              <w:t xml:space="preserve"> (pooled)</w:t>
            </w:r>
          </w:p>
        </w:tc>
        <w:tc>
          <w:tcPr>
            <w:tcW w:w="1173" w:type="pct"/>
            <w:tcBorders>
              <w:top w:val="nil"/>
              <w:left w:val="nil"/>
              <w:bottom w:val="nil"/>
              <w:right w:val="single" w:sz="4" w:space="0" w:color="auto"/>
            </w:tcBorders>
            <w:shd w:val="clear" w:color="auto" w:fill="auto"/>
            <w:vAlign w:val="center"/>
          </w:tcPr>
          <w:p w14:paraId="15994D96" w14:textId="77777777" w:rsidR="00142E7F" w:rsidRPr="0071680C" w:rsidRDefault="00142E7F" w:rsidP="00926212">
            <w:pPr>
              <w:pStyle w:val="TableText0"/>
            </w:pPr>
          </w:p>
        </w:tc>
        <w:tc>
          <w:tcPr>
            <w:tcW w:w="860" w:type="pct"/>
            <w:tcBorders>
              <w:top w:val="nil"/>
              <w:left w:val="single" w:sz="4" w:space="0" w:color="auto"/>
              <w:bottom w:val="nil"/>
              <w:right w:val="single" w:sz="4" w:space="0" w:color="auto"/>
            </w:tcBorders>
            <w:shd w:val="clear" w:color="auto" w:fill="auto"/>
            <w:vAlign w:val="center"/>
          </w:tcPr>
          <w:p w14:paraId="354233C8" w14:textId="77777777" w:rsidR="00142E7F" w:rsidRPr="0071680C" w:rsidRDefault="00142E7F" w:rsidP="00926212">
            <w:pPr>
              <w:pStyle w:val="TableText0"/>
              <w:jc w:val="center"/>
              <w:rPr>
                <w:rFonts w:cs="Calibri"/>
              </w:rPr>
            </w:pPr>
            <w:r w:rsidRPr="00735E2C">
              <w:rPr>
                <w:rFonts w:cs="Calibri"/>
              </w:rPr>
              <w:t>1.05 (0.68, 1.63)</w:t>
            </w:r>
          </w:p>
        </w:tc>
      </w:tr>
      <w:tr w:rsidR="003D494A" w:rsidRPr="0071680C" w14:paraId="34A6BC57" w14:textId="77777777" w:rsidTr="00B94B46">
        <w:trPr>
          <w:trHeight w:val="240"/>
        </w:trPr>
        <w:tc>
          <w:tcPr>
            <w:tcW w:w="1717" w:type="pct"/>
            <w:tcBorders>
              <w:top w:val="nil"/>
              <w:left w:val="single" w:sz="4" w:space="0" w:color="auto"/>
              <w:bottom w:val="nil"/>
              <w:right w:val="nil"/>
            </w:tcBorders>
            <w:vAlign w:val="center"/>
          </w:tcPr>
          <w:p w14:paraId="119AF8E6" w14:textId="77777777" w:rsidR="00142E7F" w:rsidRPr="00B94B46" w:rsidRDefault="00142E7F" w:rsidP="00926212">
            <w:pPr>
              <w:pStyle w:val="TableText0"/>
              <w:rPr>
                <w:b/>
              </w:rPr>
            </w:pPr>
            <w:r w:rsidRPr="00B94B46">
              <w:rPr>
                <w:b/>
              </w:rPr>
              <w:t>Any SAE</w:t>
            </w:r>
          </w:p>
        </w:tc>
        <w:tc>
          <w:tcPr>
            <w:tcW w:w="1250" w:type="pct"/>
            <w:tcBorders>
              <w:top w:val="nil"/>
              <w:left w:val="nil"/>
              <w:bottom w:val="nil"/>
              <w:right w:val="nil"/>
            </w:tcBorders>
            <w:shd w:val="clear" w:color="auto" w:fill="auto"/>
            <w:vAlign w:val="center"/>
          </w:tcPr>
          <w:p w14:paraId="014B511F" w14:textId="77777777" w:rsidR="00142E7F" w:rsidRPr="0071680C" w:rsidRDefault="00142E7F" w:rsidP="00926212">
            <w:pPr>
              <w:pStyle w:val="TableText0"/>
            </w:pPr>
          </w:p>
        </w:tc>
        <w:tc>
          <w:tcPr>
            <w:tcW w:w="1173" w:type="pct"/>
            <w:tcBorders>
              <w:top w:val="nil"/>
              <w:left w:val="nil"/>
              <w:bottom w:val="nil"/>
              <w:right w:val="single" w:sz="4" w:space="0" w:color="auto"/>
            </w:tcBorders>
            <w:shd w:val="clear" w:color="auto" w:fill="auto"/>
            <w:vAlign w:val="center"/>
          </w:tcPr>
          <w:p w14:paraId="4173C344" w14:textId="77777777" w:rsidR="00142E7F" w:rsidRPr="0071680C" w:rsidRDefault="00142E7F" w:rsidP="00926212">
            <w:pPr>
              <w:pStyle w:val="TableText0"/>
            </w:pPr>
          </w:p>
        </w:tc>
        <w:tc>
          <w:tcPr>
            <w:tcW w:w="860" w:type="pct"/>
            <w:tcBorders>
              <w:top w:val="nil"/>
              <w:left w:val="single" w:sz="4" w:space="0" w:color="auto"/>
              <w:bottom w:val="nil"/>
              <w:right w:val="single" w:sz="4" w:space="0" w:color="auto"/>
            </w:tcBorders>
            <w:shd w:val="clear" w:color="auto" w:fill="auto"/>
            <w:vAlign w:val="center"/>
          </w:tcPr>
          <w:p w14:paraId="1116D99B" w14:textId="77777777" w:rsidR="00142E7F" w:rsidRPr="0071680C" w:rsidRDefault="00142E7F" w:rsidP="00926212">
            <w:pPr>
              <w:pStyle w:val="TableText0"/>
              <w:jc w:val="center"/>
            </w:pPr>
          </w:p>
        </w:tc>
      </w:tr>
      <w:tr w:rsidR="003D494A" w:rsidRPr="0071680C" w14:paraId="1072BA03" w14:textId="77777777" w:rsidTr="00A904E2">
        <w:trPr>
          <w:trHeight w:val="240"/>
        </w:trPr>
        <w:tc>
          <w:tcPr>
            <w:tcW w:w="2967" w:type="pct"/>
            <w:gridSpan w:val="2"/>
            <w:tcBorders>
              <w:top w:val="nil"/>
              <w:left w:val="single" w:sz="4" w:space="0" w:color="auto"/>
              <w:bottom w:val="nil"/>
              <w:right w:val="nil"/>
            </w:tcBorders>
            <w:vAlign w:val="center"/>
          </w:tcPr>
          <w:p w14:paraId="7B9435CF" w14:textId="1E0D6569" w:rsidR="00142E7F" w:rsidRPr="0071680C" w:rsidRDefault="00142E7F" w:rsidP="00926212">
            <w:pPr>
              <w:pStyle w:val="TableText0"/>
            </w:pPr>
            <w:r w:rsidRPr="0071680C">
              <w:t>SEC (</w:t>
            </w:r>
            <w:r>
              <w:t>Q4W</w:t>
            </w:r>
            <w:r w:rsidRPr="0071680C">
              <w:t xml:space="preserve">) vs </w:t>
            </w:r>
            <w:r w:rsidR="005762D0">
              <w:t>adalimumab</w:t>
            </w:r>
            <w:r w:rsidRPr="0071680C">
              <w:t xml:space="preserve"> (pooled)</w:t>
            </w:r>
          </w:p>
        </w:tc>
        <w:tc>
          <w:tcPr>
            <w:tcW w:w="1173" w:type="pct"/>
            <w:tcBorders>
              <w:top w:val="nil"/>
              <w:left w:val="nil"/>
              <w:bottom w:val="nil"/>
              <w:right w:val="single" w:sz="4" w:space="0" w:color="auto"/>
            </w:tcBorders>
            <w:shd w:val="clear" w:color="auto" w:fill="auto"/>
            <w:vAlign w:val="center"/>
          </w:tcPr>
          <w:p w14:paraId="7FE14F17" w14:textId="77777777" w:rsidR="00142E7F" w:rsidRPr="0071680C" w:rsidRDefault="00142E7F" w:rsidP="00926212">
            <w:pPr>
              <w:pStyle w:val="TableText0"/>
            </w:pPr>
          </w:p>
        </w:tc>
        <w:tc>
          <w:tcPr>
            <w:tcW w:w="860" w:type="pct"/>
            <w:tcBorders>
              <w:top w:val="nil"/>
              <w:left w:val="single" w:sz="4" w:space="0" w:color="auto"/>
              <w:bottom w:val="nil"/>
              <w:right w:val="single" w:sz="4" w:space="0" w:color="auto"/>
            </w:tcBorders>
            <w:shd w:val="clear" w:color="auto" w:fill="auto"/>
            <w:vAlign w:val="center"/>
          </w:tcPr>
          <w:p w14:paraId="01A4202B" w14:textId="77777777" w:rsidR="00142E7F" w:rsidRPr="0071680C" w:rsidRDefault="00142E7F" w:rsidP="00926212">
            <w:pPr>
              <w:pStyle w:val="TableText0"/>
              <w:jc w:val="center"/>
              <w:rPr>
                <w:rFonts w:cs="Calibri"/>
              </w:rPr>
            </w:pPr>
            <w:r w:rsidRPr="00735E2C">
              <w:rPr>
                <w:rFonts w:cs="Calibri"/>
              </w:rPr>
              <w:t>0.78 (0.34, 1.82)</w:t>
            </w:r>
          </w:p>
        </w:tc>
      </w:tr>
      <w:tr w:rsidR="003D494A" w:rsidRPr="0071680C" w14:paraId="0D3042AE" w14:textId="77777777" w:rsidTr="00A904E2">
        <w:trPr>
          <w:trHeight w:val="240"/>
        </w:trPr>
        <w:tc>
          <w:tcPr>
            <w:tcW w:w="2967" w:type="pct"/>
            <w:gridSpan w:val="2"/>
            <w:tcBorders>
              <w:top w:val="nil"/>
              <w:left w:val="single" w:sz="4" w:space="0" w:color="auto"/>
              <w:bottom w:val="nil"/>
              <w:right w:val="nil"/>
            </w:tcBorders>
          </w:tcPr>
          <w:p w14:paraId="1C56B4E6" w14:textId="04C5FCE7" w:rsidR="00142E7F" w:rsidRPr="0071680C" w:rsidRDefault="00142E7F" w:rsidP="00926212">
            <w:pPr>
              <w:pStyle w:val="TableText0"/>
            </w:pPr>
            <w:r w:rsidRPr="00976E45">
              <w:t xml:space="preserve">SEC (Q2W) vs </w:t>
            </w:r>
            <w:r w:rsidR="005762D0">
              <w:t>adalimumab</w:t>
            </w:r>
            <w:r w:rsidRPr="00976E45">
              <w:t xml:space="preserve"> (pooled)</w:t>
            </w:r>
          </w:p>
        </w:tc>
        <w:tc>
          <w:tcPr>
            <w:tcW w:w="1173" w:type="pct"/>
            <w:tcBorders>
              <w:top w:val="nil"/>
              <w:left w:val="nil"/>
              <w:bottom w:val="nil"/>
              <w:right w:val="single" w:sz="4" w:space="0" w:color="auto"/>
            </w:tcBorders>
            <w:shd w:val="clear" w:color="auto" w:fill="auto"/>
            <w:vAlign w:val="center"/>
          </w:tcPr>
          <w:p w14:paraId="45669630" w14:textId="77777777" w:rsidR="00142E7F" w:rsidRPr="0071680C" w:rsidRDefault="00142E7F" w:rsidP="00926212">
            <w:pPr>
              <w:pStyle w:val="TableText0"/>
            </w:pPr>
          </w:p>
        </w:tc>
        <w:tc>
          <w:tcPr>
            <w:tcW w:w="860" w:type="pct"/>
            <w:tcBorders>
              <w:top w:val="nil"/>
              <w:left w:val="single" w:sz="4" w:space="0" w:color="auto"/>
              <w:bottom w:val="nil"/>
              <w:right w:val="single" w:sz="4" w:space="0" w:color="auto"/>
            </w:tcBorders>
            <w:shd w:val="clear" w:color="auto" w:fill="auto"/>
            <w:vAlign w:val="center"/>
          </w:tcPr>
          <w:p w14:paraId="0B9C7B3B" w14:textId="77777777" w:rsidR="00142E7F" w:rsidRPr="0071680C" w:rsidRDefault="00142E7F" w:rsidP="00926212">
            <w:pPr>
              <w:pStyle w:val="TableText0"/>
              <w:jc w:val="center"/>
              <w:rPr>
                <w:rFonts w:cs="Calibri"/>
              </w:rPr>
            </w:pPr>
            <w:r w:rsidRPr="00735E2C">
              <w:rPr>
                <w:rFonts w:cs="Calibri"/>
              </w:rPr>
              <w:t>0.81 (0.35, 1.88)</w:t>
            </w:r>
          </w:p>
        </w:tc>
      </w:tr>
      <w:tr w:rsidR="003D494A" w:rsidRPr="0071680C" w14:paraId="5D22C32B" w14:textId="77777777" w:rsidTr="00A904E2">
        <w:trPr>
          <w:trHeight w:val="240"/>
        </w:trPr>
        <w:tc>
          <w:tcPr>
            <w:tcW w:w="2967" w:type="pct"/>
            <w:gridSpan w:val="2"/>
            <w:tcBorders>
              <w:top w:val="nil"/>
              <w:left w:val="single" w:sz="4" w:space="0" w:color="auto"/>
              <w:bottom w:val="single" w:sz="4" w:space="0" w:color="auto"/>
              <w:right w:val="nil"/>
            </w:tcBorders>
          </w:tcPr>
          <w:p w14:paraId="0F7AC230" w14:textId="6F3BDB14" w:rsidR="00142E7F" w:rsidRPr="0071680C" w:rsidRDefault="00142E7F" w:rsidP="00926212">
            <w:pPr>
              <w:pStyle w:val="TableText0"/>
            </w:pPr>
            <w:r w:rsidRPr="00976E45">
              <w:t>SEC (</w:t>
            </w:r>
            <w:r>
              <w:t>combined</w:t>
            </w:r>
            <w:r w:rsidRPr="00976E45">
              <w:t xml:space="preserve">) vs </w:t>
            </w:r>
            <w:r w:rsidR="005762D0">
              <w:t>adalimumab</w:t>
            </w:r>
            <w:r w:rsidRPr="00976E45">
              <w:t xml:space="preserve"> (pooled)</w:t>
            </w:r>
          </w:p>
        </w:tc>
        <w:tc>
          <w:tcPr>
            <w:tcW w:w="1173" w:type="pct"/>
            <w:tcBorders>
              <w:top w:val="nil"/>
              <w:left w:val="nil"/>
              <w:bottom w:val="single" w:sz="4" w:space="0" w:color="auto"/>
              <w:right w:val="single" w:sz="4" w:space="0" w:color="auto"/>
            </w:tcBorders>
            <w:shd w:val="clear" w:color="auto" w:fill="auto"/>
            <w:vAlign w:val="center"/>
          </w:tcPr>
          <w:p w14:paraId="73786F05" w14:textId="77777777" w:rsidR="00142E7F" w:rsidRPr="0071680C" w:rsidRDefault="00142E7F" w:rsidP="00926212">
            <w:pPr>
              <w:pStyle w:val="TableText0"/>
            </w:pPr>
          </w:p>
        </w:tc>
        <w:tc>
          <w:tcPr>
            <w:tcW w:w="860" w:type="pct"/>
            <w:tcBorders>
              <w:top w:val="nil"/>
              <w:left w:val="single" w:sz="4" w:space="0" w:color="auto"/>
              <w:bottom w:val="single" w:sz="4" w:space="0" w:color="auto"/>
              <w:right w:val="single" w:sz="4" w:space="0" w:color="auto"/>
            </w:tcBorders>
            <w:shd w:val="clear" w:color="auto" w:fill="auto"/>
            <w:vAlign w:val="center"/>
          </w:tcPr>
          <w:p w14:paraId="6E480CDF" w14:textId="77777777" w:rsidR="00142E7F" w:rsidRPr="0071680C" w:rsidRDefault="00142E7F" w:rsidP="00926212">
            <w:pPr>
              <w:pStyle w:val="TableText0"/>
              <w:jc w:val="center"/>
              <w:rPr>
                <w:rFonts w:cs="Calibri"/>
              </w:rPr>
            </w:pPr>
            <w:r w:rsidRPr="00735E2C">
              <w:rPr>
                <w:rFonts w:cs="Calibri"/>
              </w:rPr>
              <w:t>0.8</w:t>
            </w:r>
            <w:r>
              <w:rPr>
                <w:rFonts w:cs="Calibri"/>
              </w:rPr>
              <w:t>0</w:t>
            </w:r>
            <w:r w:rsidRPr="00735E2C">
              <w:rPr>
                <w:rFonts w:cs="Calibri"/>
              </w:rPr>
              <w:t xml:space="preserve"> (0.35, 1.83)</w:t>
            </w:r>
          </w:p>
        </w:tc>
      </w:tr>
      <w:tr w:rsidR="00142E7F" w:rsidRPr="0071680C" w14:paraId="15681BD6" w14:textId="77777777" w:rsidTr="003F2921">
        <w:trPr>
          <w:trHeight w:val="240"/>
        </w:trPr>
        <w:tc>
          <w:tcPr>
            <w:tcW w:w="4140" w:type="pct"/>
            <w:gridSpan w:val="3"/>
            <w:tcBorders>
              <w:top w:val="single" w:sz="4" w:space="0" w:color="auto"/>
              <w:left w:val="single" w:sz="4" w:space="0" w:color="auto"/>
              <w:bottom w:val="nil"/>
              <w:right w:val="single" w:sz="4" w:space="0" w:color="auto"/>
            </w:tcBorders>
            <w:vAlign w:val="center"/>
          </w:tcPr>
          <w:p w14:paraId="7C530D24" w14:textId="77777777" w:rsidR="00CC23B6" w:rsidRPr="00B94B46" w:rsidRDefault="00CC23B6" w:rsidP="00926212">
            <w:pPr>
              <w:pStyle w:val="TableText0"/>
              <w:rPr>
                <w:b/>
              </w:rPr>
            </w:pPr>
            <w:r w:rsidRPr="00B94B46">
              <w:rPr>
                <w:b/>
              </w:rPr>
              <w:t>Any AE resulting in discontinuation</w:t>
            </w:r>
          </w:p>
        </w:tc>
        <w:tc>
          <w:tcPr>
            <w:tcW w:w="860" w:type="pct"/>
            <w:tcBorders>
              <w:top w:val="single" w:sz="4" w:space="0" w:color="auto"/>
              <w:left w:val="single" w:sz="4" w:space="0" w:color="auto"/>
              <w:bottom w:val="nil"/>
              <w:right w:val="single" w:sz="4" w:space="0" w:color="auto"/>
            </w:tcBorders>
            <w:vAlign w:val="center"/>
          </w:tcPr>
          <w:p w14:paraId="19A621B7" w14:textId="5B879B06" w:rsidR="00142E7F" w:rsidRPr="0071680C" w:rsidRDefault="00142E7F" w:rsidP="00926212">
            <w:pPr>
              <w:pStyle w:val="TableText0"/>
              <w:jc w:val="center"/>
            </w:pPr>
          </w:p>
        </w:tc>
      </w:tr>
      <w:tr w:rsidR="003D494A" w:rsidRPr="0071680C" w14:paraId="2BADE742" w14:textId="77777777" w:rsidTr="00A904E2">
        <w:trPr>
          <w:trHeight w:val="240"/>
        </w:trPr>
        <w:tc>
          <w:tcPr>
            <w:tcW w:w="2967" w:type="pct"/>
            <w:gridSpan w:val="2"/>
            <w:tcBorders>
              <w:top w:val="nil"/>
              <w:left w:val="single" w:sz="4" w:space="0" w:color="auto"/>
              <w:bottom w:val="nil"/>
              <w:right w:val="nil"/>
            </w:tcBorders>
            <w:vAlign w:val="center"/>
          </w:tcPr>
          <w:p w14:paraId="5600969D" w14:textId="3B1D4746" w:rsidR="00142E7F" w:rsidRPr="0071680C" w:rsidRDefault="00142E7F" w:rsidP="00926212">
            <w:pPr>
              <w:pStyle w:val="TableText0"/>
            </w:pPr>
            <w:r w:rsidRPr="0071680C">
              <w:t>SEC (</w:t>
            </w:r>
            <w:r>
              <w:t>Q4W</w:t>
            </w:r>
            <w:r w:rsidRPr="0071680C">
              <w:t xml:space="preserve">) vs </w:t>
            </w:r>
            <w:r w:rsidR="005762D0">
              <w:t>adalimumab</w:t>
            </w:r>
            <w:r w:rsidRPr="0071680C">
              <w:t xml:space="preserve"> (pooled)</w:t>
            </w:r>
          </w:p>
        </w:tc>
        <w:tc>
          <w:tcPr>
            <w:tcW w:w="1173" w:type="pct"/>
            <w:tcBorders>
              <w:top w:val="nil"/>
              <w:left w:val="nil"/>
              <w:bottom w:val="nil"/>
              <w:right w:val="single" w:sz="4" w:space="0" w:color="auto"/>
            </w:tcBorders>
            <w:shd w:val="clear" w:color="auto" w:fill="auto"/>
            <w:vAlign w:val="center"/>
          </w:tcPr>
          <w:p w14:paraId="6F9EF5E0" w14:textId="77777777" w:rsidR="00142E7F" w:rsidRPr="0071680C" w:rsidRDefault="00142E7F" w:rsidP="00926212">
            <w:pPr>
              <w:pStyle w:val="TableText0"/>
            </w:pPr>
          </w:p>
        </w:tc>
        <w:tc>
          <w:tcPr>
            <w:tcW w:w="860" w:type="pct"/>
            <w:tcBorders>
              <w:top w:val="nil"/>
              <w:left w:val="single" w:sz="4" w:space="0" w:color="auto"/>
              <w:bottom w:val="nil"/>
              <w:right w:val="single" w:sz="4" w:space="0" w:color="auto"/>
            </w:tcBorders>
            <w:shd w:val="clear" w:color="auto" w:fill="auto"/>
            <w:vAlign w:val="center"/>
          </w:tcPr>
          <w:p w14:paraId="404B8158" w14:textId="77777777" w:rsidR="00142E7F" w:rsidRPr="0071680C" w:rsidRDefault="00142E7F" w:rsidP="00926212">
            <w:pPr>
              <w:pStyle w:val="TableText0"/>
              <w:jc w:val="center"/>
              <w:rPr>
                <w:rFonts w:cs="Calibri"/>
              </w:rPr>
            </w:pPr>
            <w:r w:rsidRPr="00735E2C">
              <w:rPr>
                <w:rFonts w:cs="Calibri"/>
              </w:rPr>
              <w:t>1.84 (0.33, 10.23)</w:t>
            </w:r>
          </w:p>
        </w:tc>
      </w:tr>
      <w:tr w:rsidR="003D494A" w:rsidRPr="0071680C" w14:paraId="125012E9" w14:textId="77777777" w:rsidTr="00A904E2">
        <w:trPr>
          <w:trHeight w:val="240"/>
        </w:trPr>
        <w:tc>
          <w:tcPr>
            <w:tcW w:w="2967" w:type="pct"/>
            <w:gridSpan w:val="2"/>
            <w:tcBorders>
              <w:top w:val="nil"/>
              <w:left w:val="single" w:sz="4" w:space="0" w:color="auto"/>
              <w:bottom w:val="nil"/>
              <w:right w:val="nil"/>
            </w:tcBorders>
          </w:tcPr>
          <w:p w14:paraId="498DA418" w14:textId="6BB80DA8" w:rsidR="00142E7F" w:rsidRPr="0071680C" w:rsidRDefault="00142E7F" w:rsidP="00926212">
            <w:pPr>
              <w:pStyle w:val="TableText0"/>
            </w:pPr>
            <w:r w:rsidRPr="00976E45">
              <w:t xml:space="preserve">SEC (Q2W) vs </w:t>
            </w:r>
            <w:r w:rsidR="005762D0">
              <w:t>adalimumab</w:t>
            </w:r>
            <w:r w:rsidRPr="00976E45">
              <w:t xml:space="preserve"> (pooled)</w:t>
            </w:r>
          </w:p>
        </w:tc>
        <w:tc>
          <w:tcPr>
            <w:tcW w:w="1173" w:type="pct"/>
            <w:tcBorders>
              <w:top w:val="nil"/>
              <w:left w:val="nil"/>
              <w:bottom w:val="nil"/>
              <w:right w:val="single" w:sz="4" w:space="0" w:color="auto"/>
            </w:tcBorders>
            <w:shd w:val="clear" w:color="auto" w:fill="auto"/>
            <w:vAlign w:val="center"/>
          </w:tcPr>
          <w:p w14:paraId="59DD13BE" w14:textId="77777777" w:rsidR="00142E7F" w:rsidRPr="0071680C" w:rsidRDefault="00142E7F" w:rsidP="00926212">
            <w:pPr>
              <w:pStyle w:val="TableText0"/>
            </w:pPr>
          </w:p>
        </w:tc>
        <w:tc>
          <w:tcPr>
            <w:tcW w:w="860" w:type="pct"/>
            <w:tcBorders>
              <w:top w:val="nil"/>
              <w:left w:val="single" w:sz="4" w:space="0" w:color="auto"/>
              <w:bottom w:val="nil"/>
              <w:right w:val="single" w:sz="4" w:space="0" w:color="auto"/>
            </w:tcBorders>
            <w:shd w:val="clear" w:color="auto" w:fill="auto"/>
            <w:vAlign w:val="center"/>
          </w:tcPr>
          <w:p w14:paraId="114B56DD" w14:textId="77777777" w:rsidR="00142E7F" w:rsidRPr="0071680C" w:rsidRDefault="00142E7F" w:rsidP="00926212">
            <w:pPr>
              <w:pStyle w:val="TableText0"/>
              <w:jc w:val="center"/>
              <w:rPr>
                <w:rFonts w:cs="Calibri"/>
              </w:rPr>
            </w:pPr>
            <w:r w:rsidRPr="00735E2C">
              <w:rPr>
                <w:rFonts w:cs="Calibri"/>
              </w:rPr>
              <w:t>1.37 (0.06, 29.63)</w:t>
            </w:r>
          </w:p>
        </w:tc>
      </w:tr>
      <w:tr w:rsidR="003D494A" w:rsidRPr="0071680C" w14:paraId="024BF78C" w14:textId="77777777" w:rsidTr="00A904E2">
        <w:trPr>
          <w:trHeight w:val="240"/>
        </w:trPr>
        <w:tc>
          <w:tcPr>
            <w:tcW w:w="2967" w:type="pct"/>
            <w:gridSpan w:val="2"/>
            <w:tcBorders>
              <w:top w:val="nil"/>
              <w:left w:val="single" w:sz="4" w:space="0" w:color="auto"/>
              <w:bottom w:val="single" w:sz="4" w:space="0" w:color="auto"/>
              <w:right w:val="nil"/>
            </w:tcBorders>
          </w:tcPr>
          <w:p w14:paraId="24F23815" w14:textId="47C0BFF2" w:rsidR="00142E7F" w:rsidRPr="0071680C" w:rsidRDefault="00142E7F" w:rsidP="00926212">
            <w:pPr>
              <w:pStyle w:val="TableText0"/>
            </w:pPr>
            <w:r w:rsidRPr="00976E45">
              <w:t>SEC (</w:t>
            </w:r>
            <w:r>
              <w:t>combined</w:t>
            </w:r>
            <w:r w:rsidRPr="00976E45">
              <w:t xml:space="preserve">) vs </w:t>
            </w:r>
            <w:r w:rsidR="005762D0">
              <w:t>adalimumab</w:t>
            </w:r>
            <w:r w:rsidRPr="00976E45">
              <w:t xml:space="preserve"> (pooled)</w:t>
            </w:r>
          </w:p>
        </w:tc>
        <w:tc>
          <w:tcPr>
            <w:tcW w:w="1173" w:type="pct"/>
            <w:tcBorders>
              <w:top w:val="nil"/>
              <w:left w:val="nil"/>
              <w:bottom w:val="single" w:sz="4" w:space="0" w:color="auto"/>
              <w:right w:val="single" w:sz="4" w:space="0" w:color="auto"/>
            </w:tcBorders>
            <w:shd w:val="clear" w:color="auto" w:fill="auto"/>
            <w:vAlign w:val="center"/>
          </w:tcPr>
          <w:p w14:paraId="7B5E4362" w14:textId="77777777" w:rsidR="00142E7F" w:rsidRPr="0071680C" w:rsidRDefault="00142E7F" w:rsidP="00926212">
            <w:pPr>
              <w:pStyle w:val="TableText0"/>
            </w:pPr>
          </w:p>
        </w:tc>
        <w:tc>
          <w:tcPr>
            <w:tcW w:w="860" w:type="pct"/>
            <w:tcBorders>
              <w:top w:val="nil"/>
              <w:left w:val="single" w:sz="4" w:space="0" w:color="auto"/>
              <w:bottom w:val="single" w:sz="4" w:space="0" w:color="auto"/>
              <w:right w:val="single" w:sz="4" w:space="0" w:color="auto"/>
            </w:tcBorders>
            <w:shd w:val="clear" w:color="auto" w:fill="auto"/>
            <w:vAlign w:val="center"/>
          </w:tcPr>
          <w:p w14:paraId="6A4C0AEC" w14:textId="64F3DCBA" w:rsidR="00142E7F" w:rsidRPr="0071680C" w:rsidRDefault="00142E7F" w:rsidP="00926212">
            <w:pPr>
              <w:pStyle w:val="TableText0"/>
              <w:jc w:val="center"/>
              <w:rPr>
                <w:rFonts w:cs="Calibri"/>
              </w:rPr>
            </w:pPr>
            <w:r w:rsidRPr="00735E2C">
              <w:rPr>
                <w:rFonts w:cs="Calibri"/>
              </w:rPr>
              <w:t>1.34 (0.34, 5.28)</w:t>
            </w:r>
          </w:p>
        </w:tc>
      </w:tr>
    </w:tbl>
    <w:p w14:paraId="7E35F1AD" w14:textId="2BE272EA" w:rsidR="000733F8" w:rsidRDefault="000733F8" w:rsidP="00452393">
      <w:pPr>
        <w:pStyle w:val="FooterTableFigure"/>
        <w:rPr>
          <w:lang w:val="en-US"/>
        </w:rPr>
      </w:pPr>
      <w:r>
        <w:rPr>
          <w:lang w:val="en-US"/>
        </w:rPr>
        <w:t xml:space="preserve">Source: </w:t>
      </w:r>
      <w:r w:rsidR="00174850">
        <w:rPr>
          <w:lang w:val="en-US"/>
        </w:rPr>
        <w:t xml:space="preserve">Extracted from </w:t>
      </w:r>
      <w:r>
        <w:rPr>
          <w:lang w:val="en-US"/>
        </w:rPr>
        <w:t>Table 2.63, pp129-131</w:t>
      </w:r>
      <w:r w:rsidR="00027882">
        <w:rPr>
          <w:lang w:val="en-US"/>
        </w:rPr>
        <w:t xml:space="preserve"> of the submission</w:t>
      </w:r>
      <w:r>
        <w:rPr>
          <w:lang w:val="en-US"/>
        </w:rPr>
        <w:t>.</w:t>
      </w:r>
    </w:p>
    <w:p w14:paraId="768565AB" w14:textId="2BE6C9FF" w:rsidR="004916BF" w:rsidRPr="004916BF" w:rsidRDefault="00926212" w:rsidP="00452393">
      <w:pPr>
        <w:pStyle w:val="FooterTableFigure"/>
      </w:pPr>
      <w:r>
        <w:rPr>
          <w:lang w:val="en-US"/>
        </w:rPr>
        <w:t xml:space="preserve">AE </w:t>
      </w:r>
      <w:r w:rsidR="000733F8">
        <w:rPr>
          <w:lang w:val="en-US"/>
        </w:rPr>
        <w:t>= adverse event; CI= confidence interval;</w:t>
      </w:r>
      <w:r w:rsidR="000733F8" w:rsidRPr="00060DEB">
        <w:t xml:space="preserve"> </w:t>
      </w:r>
      <w:r w:rsidR="000733F8" w:rsidRPr="004328D4">
        <w:t xml:space="preserve">n=number of subjects with response; </w:t>
      </w:r>
      <w:r w:rsidR="000733F8">
        <w:t>N</w:t>
      </w:r>
      <w:r w:rsidR="000733F8" w:rsidRPr="004328D4">
        <w:t>= number of subjects evaluable</w:t>
      </w:r>
      <w:r w:rsidR="000733F8">
        <w:t>;</w:t>
      </w:r>
      <w:r w:rsidR="000733F8" w:rsidRPr="00060DEB">
        <w:t xml:space="preserve"> </w:t>
      </w:r>
      <w:r w:rsidR="000733F8">
        <w:t xml:space="preserve">NA= not applicable; </w:t>
      </w:r>
      <w:r w:rsidR="000733F8" w:rsidRPr="004328D4">
        <w:t xml:space="preserve">OR= odds ratio; </w:t>
      </w:r>
      <w:r w:rsidR="000733F8" w:rsidRPr="00060DEB">
        <w:t>PBO= placebo</w:t>
      </w:r>
      <w:r w:rsidR="000733F8">
        <w:t xml:space="preserve">; </w:t>
      </w:r>
      <w:r w:rsidR="000733F8" w:rsidRPr="004328D4">
        <w:t xml:space="preserve">Q2W= every 2 weeks; Q4W= every 4 weeks; </w:t>
      </w:r>
      <w:r w:rsidR="000733F8">
        <w:rPr>
          <w:lang w:val="en-US"/>
        </w:rPr>
        <w:t>SAE= serious adverse event;</w:t>
      </w:r>
      <w:r w:rsidR="000733F8" w:rsidRPr="004328D4">
        <w:t xml:space="preserve"> SEC=secukinumab</w:t>
      </w:r>
      <w:r w:rsidR="000733F8" w:rsidRPr="00060DEB">
        <w:t>.</w:t>
      </w:r>
    </w:p>
    <w:p w14:paraId="1A2EF0AE" w14:textId="1616B17F" w:rsidR="00C2290E" w:rsidRPr="00C2290E" w:rsidRDefault="003E1107" w:rsidP="00452393">
      <w:pPr>
        <w:pStyle w:val="FooterTableFigure"/>
        <w:rPr>
          <w:lang w:val="en-US"/>
        </w:rPr>
      </w:pPr>
      <w:proofErr w:type="gramStart"/>
      <w:r>
        <w:rPr>
          <w:vertAlign w:val="superscript"/>
        </w:rPr>
        <w:t>a</w:t>
      </w:r>
      <w:proofErr w:type="gramEnd"/>
      <w:r w:rsidR="00C2290E">
        <w:t xml:space="preserve"> Odds ratios &gt;1 indicate more adverse events associated with secukinumab</w:t>
      </w:r>
      <w:r w:rsidR="0076045A">
        <w:t xml:space="preserve">, and &lt;1 indicate more adverse events associated with placebo or </w:t>
      </w:r>
      <w:r w:rsidR="005762D0">
        <w:t>adalimumab</w:t>
      </w:r>
      <w:r w:rsidR="0076045A">
        <w:t>.</w:t>
      </w:r>
    </w:p>
    <w:p w14:paraId="769A39A5" w14:textId="5D6CAFFC" w:rsidR="000733F8" w:rsidRPr="00EF1ECA" w:rsidRDefault="000733F8" w:rsidP="00452393">
      <w:pPr>
        <w:pStyle w:val="FooterTableFigure"/>
        <w:rPr>
          <w:lang w:val="en-US"/>
        </w:rPr>
      </w:pPr>
      <w:r>
        <w:rPr>
          <w:lang w:val="en-US"/>
        </w:rPr>
        <w:t>Note:</w:t>
      </w:r>
      <w:r w:rsidRPr="00EF1ECA">
        <w:rPr>
          <w:lang w:val="en-US"/>
        </w:rPr>
        <w:t xml:space="preserve"> Results for other efficacy measures using </w:t>
      </w:r>
      <w:r>
        <w:rPr>
          <w:lang w:val="en-US"/>
        </w:rPr>
        <w:t xml:space="preserve">relative risk and risk difference </w:t>
      </w:r>
      <w:proofErr w:type="gramStart"/>
      <w:r w:rsidRPr="00EF1ECA">
        <w:rPr>
          <w:lang w:val="en-US"/>
        </w:rPr>
        <w:t>are provided</w:t>
      </w:r>
      <w:proofErr w:type="gramEnd"/>
      <w:r w:rsidRPr="00EF1ECA">
        <w:rPr>
          <w:lang w:val="en-US"/>
        </w:rPr>
        <w:t xml:space="preserve"> in Attachment 1</w:t>
      </w:r>
      <w:r>
        <w:rPr>
          <w:lang w:val="en-US"/>
        </w:rPr>
        <w:t>0 of the submission. O</w:t>
      </w:r>
      <w:r w:rsidRPr="00EF1ECA">
        <w:rPr>
          <w:lang w:val="en-US"/>
        </w:rPr>
        <w:t>Rs for secukinumab trial</w:t>
      </w:r>
      <w:r>
        <w:rPr>
          <w:lang w:val="en-US"/>
        </w:rPr>
        <w:t>s</w:t>
      </w:r>
      <w:r w:rsidRPr="00EF1ECA">
        <w:rPr>
          <w:lang w:val="en-US"/>
        </w:rPr>
        <w:t xml:space="preserve"> in indirect comparisons were those calculated in Review Manager 5.</w:t>
      </w:r>
      <w:r>
        <w:rPr>
          <w:lang w:val="en-US"/>
        </w:rPr>
        <w:t>4</w:t>
      </w:r>
      <w:r w:rsidRPr="00EF1ECA">
        <w:rPr>
          <w:lang w:val="en-US"/>
        </w:rPr>
        <w:t>.</w:t>
      </w:r>
    </w:p>
    <w:p w14:paraId="04908C7F" w14:textId="415B9B7D" w:rsidR="007F1017" w:rsidRPr="00C9624D" w:rsidRDefault="007F1017" w:rsidP="00D86231">
      <w:pPr>
        <w:pStyle w:val="4-SubsectionHeading"/>
      </w:pPr>
      <w:bookmarkStart w:id="32" w:name="_Toc22897643"/>
      <w:bookmarkStart w:id="33" w:name="_Toc135036636"/>
      <w:r w:rsidRPr="00C9624D">
        <w:t>Benefits/harms</w:t>
      </w:r>
      <w:bookmarkEnd w:id="32"/>
      <w:bookmarkEnd w:id="33"/>
    </w:p>
    <w:p w14:paraId="3B653B96" w14:textId="612A2DD5" w:rsidR="00614B68" w:rsidRDefault="00311D9B" w:rsidP="007E1C14">
      <w:pPr>
        <w:pStyle w:val="3-BodyText"/>
        <w:rPr>
          <w:snapToGrid/>
        </w:rPr>
      </w:pPr>
      <w:r w:rsidRPr="00311D9B">
        <w:rPr>
          <w:snapToGrid/>
        </w:rPr>
        <w:t xml:space="preserve">A benefits and harms table </w:t>
      </w:r>
      <w:proofErr w:type="gramStart"/>
      <w:r w:rsidR="00027882">
        <w:rPr>
          <w:snapToGrid/>
        </w:rPr>
        <w:t>was</w:t>
      </w:r>
      <w:proofErr w:type="gramEnd"/>
      <w:r w:rsidR="00027882" w:rsidRPr="00311D9B">
        <w:rPr>
          <w:snapToGrid/>
        </w:rPr>
        <w:t xml:space="preserve"> </w:t>
      </w:r>
      <w:r w:rsidRPr="00311D9B">
        <w:rPr>
          <w:snapToGrid/>
        </w:rPr>
        <w:t>not presented as the submission made a claim of non-inferiority.</w:t>
      </w:r>
      <w:r w:rsidR="003270E4" w:rsidRPr="008B329C">
        <w:rPr>
          <w:snapToGrid/>
        </w:rPr>
        <w:t> </w:t>
      </w:r>
    </w:p>
    <w:p w14:paraId="7A1772B6" w14:textId="23BB3145" w:rsidR="00B60939" w:rsidRPr="00C9624D" w:rsidRDefault="00B60939" w:rsidP="00E9094A">
      <w:pPr>
        <w:pStyle w:val="4-SubsectionHeading"/>
      </w:pPr>
      <w:bookmarkStart w:id="34" w:name="_Toc22897644"/>
      <w:bookmarkStart w:id="35" w:name="_Toc135036637"/>
      <w:r w:rsidRPr="00C9624D">
        <w:t>Clinical claim</w:t>
      </w:r>
      <w:bookmarkEnd w:id="34"/>
      <w:bookmarkEnd w:id="35"/>
    </w:p>
    <w:p w14:paraId="52D2923F" w14:textId="06F9953B" w:rsidR="000C24FF" w:rsidRPr="005E2E87" w:rsidRDefault="005A60FD" w:rsidP="007E1C14">
      <w:pPr>
        <w:pStyle w:val="3-BodyText"/>
      </w:pPr>
      <w:r w:rsidRPr="005E2E87">
        <w:t xml:space="preserve">The submission described </w:t>
      </w:r>
      <w:r w:rsidR="008D4883" w:rsidRPr="005E2E87">
        <w:t>secukinumab</w:t>
      </w:r>
      <w:r w:rsidRPr="005E2E87">
        <w:t xml:space="preserve"> as superior </w:t>
      </w:r>
      <w:r w:rsidR="008400D1" w:rsidRPr="005E2E87">
        <w:t xml:space="preserve">compared to placebo </w:t>
      </w:r>
      <w:r w:rsidRPr="005E2E87">
        <w:t xml:space="preserve">in terms of effectiveness, </w:t>
      </w:r>
      <w:r w:rsidR="00E94AEE" w:rsidRPr="005E2E87">
        <w:t>and</w:t>
      </w:r>
      <w:r w:rsidRPr="005E2E87">
        <w:t xml:space="preserve"> non-inferior to </w:t>
      </w:r>
      <w:r w:rsidR="005762D0" w:rsidRPr="005E2E87">
        <w:t>adalimumab</w:t>
      </w:r>
      <w:r w:rsidRPr="005E2E87">
        <w:t>.</w:t>
      </w:r>
      <w:r w:rsidR="009E3710" w:rsidRPr="005E2E87">
        <w:t xml:space="preserve"> Th</w:t>
      </w:r>
      <w:r w:rsidR="004C19C4" w:rsidRPr="005E2E87">
        <w:t xml:space="preserve">is claim was </w:t>
      </w:r>
      <w:r w:rsidR="00A3285E" w:rsidRPr="005E2E87">
        <w:t xml:space="preserve">not adequately supported </w:t>
      </w:r>
      <w:r w:rsidR="00490CE2" w:rsidRPr="005E2E87">
        <w:t xml:space="preserve">by the available evidence, which </w:t>
      </w:r>
      <w:r w:rsidR="000C24FF" w:rsidRPr="005E2E87">
        <w:t xml:space="preserve">suggested </w:t>
      </w:r>
      <w:r w:rsidR="008D4883" w:rsidRPr="005E2E87">
        <w:t>secukinumab</w:t>
      </w:r>
      <w:r w:rsidR="000C24FF" w:rsidRPr="005E2E87">
        <w:t xml:space="preserve"> may provide a </w:t>
      </w:r>
      <w:r w:rsidR="004573A7" w:rsidRPr="005E2E87">
        <w:t>modest</w:t>
      </w:r>
      <w:r w:rsidR="000C24FF" w:rsidRPr="005E2E87">
        <w:t xml:space="preserve"> benefit over placebo in the SUNRISE/SUNSHINE trial populations, </w:t>
      </w:r>
      <w:r w:rsidR="003F46F6" w:rsidRPr="005E2E87">
        <w:t xml:space="preserve">noting that </w:t>
      </w:r>
      <w:r w:rsidR="000C24FF" w:rsidRPr="005E2E87">
        <w:t>this benefit is uncertain in the proposed PBS population</w:t>
      </w:r>
      <w:r w:rsidR="003D494A" w:rsidRPr="005E2E87">
        <w:t>,</w:t>
      </w:r>
      <w:r w:rsidR="004C0561" w:rsidRPr="005E2E87">
        <w:t xml:space="preserve"> and the Q4W arm of SUNSHINE failed to </w:t>
      </w:r>
      <w:r w:rsidR="00FA50F9" w:rsidRPr="005E2E87">
        <w:t>demonstrate</w:t>
      </w:r>
      <w:r w:rsidR="004C0561" w:rsidRPr="005E2E87">
        <w:t xml:space="preserve"> a statistically significant benefit over placebo</w:t>
      </w:r>
      <w:r w:rsidR="000C24FF" w:rsidRPr="005E2E87">
        <w:t xml:space="preserve">. The ITC suggested that </w:t>
      </w:r>
      <w:r w:rsidR="008D4883" w:rsidRPr="005E2E87">
        <w:t>secukinumab</w:t>
      </w:r>
      <w:r w:rsidR="000C24FF" w:rsidRPr="005E2E87">
        <w:t xml:space="preserve"> </w:t>
      </w:r>
      <w:r w:rsidR="00452393" w:rsidRPr="005E2E87">
        <w:t xml:space="preserve">may be </w:t>
      </w:r>
      <w:r w:rsidR="000C24FF" w:rsidRPr="005E2E87">
        <w:t xml:space="preserve">inferior to </w:t>
      </w:r>
      <w:r w:rsidR="005762D0" w:rsidRPr="005E2E87">
        <w:t>adalimumab</w:t>
      </w:r>
      <w:r w:rsidR="000C24FF" w:rsidRPr="005E2E87">
        <w:t xml:space="preserve"> in terms of efficacy, as measured by the HiSCR50 response rate</w:t>
      </w:r>
      <w:r w:rsidR="003D3752" w:rsidRPr="005E2E87">
        <w:t xml:space="preserve">, particularly when the impact of removing </w:t>
      </w:r>
      <w:r w:rsidR="003D3752" w:rsidRPr="005E2E87">
        <w:lastRenderedPageBreak/>
        <w:t>the SHARPS (adalimumab) study from the ITC is considered</w:t>
      </w:r>
      <w:r w:rsidR="000C24FF" w:rsidRPr="005E2E87">
        <w:t xml:space="preserve">. </w:t>
      </w:r>
    </w:p>
    <w:p w14:paraId="44991E8F" w14:textId="7D2CA359" w:rsidR="00104887" w:rsidRDefault="00AF42DD" w:rsidP="007E1C14">
      <w:pPr>
        <w:pStyle w:val="3-BodyText"/>
      </w:pPr>
      <w:r w:rsidRPr="005E2E87">
        <w:t xml:space="preserve">A range of </w:t>
      </w:r>
      <w:r w:rsidR="00352635" w:rsidRPr="005E2E87">
        <w:t xml:space="preserve">applicability </w:t>
      </w:r>
      <w:r w:rsidR="000D1256" w:rsidRPr="005E2E87">
        <w:t xml:space="preserve">and transitivity </w:t>
      </w:r>
      <w:r w:rsidR="00352635" w:rsidRPr="005E2E87">
        <w:t xml:space="preserve">issues were identified between the key </w:t>
      </w:r>
      <w:r w:rsidR="008D4883" w:rsidRPr="005E2E87">
        <w:t>secukinumab</w:t>
      </w:r>
      <w:r w:rsidR="00352635" w:rsidRPr="005E2E87">
        <w:t xml:space="preserve"> trials and target PBS population</w:t>
      </w:r>
      <w:r w:rsidR="00793F3D" w:rsidRPr="005E2E87">
        <w:t xml:space="preserve">, </w:t>
      </w:r>
      <w:r w:rsidR="000560B4" w:rsidRPr="005E2E87">
        <w:t>as the existing restrictions were based on the</w:t>
      </w:r>
      <w:r w:rsidR="00793F3D" w:rsidRPr="005E2E87">
        <w:t xml:space="preserve"> on the </w:t>
      </w:r>
      <w:r w:rsidR="008D4883" w:rsidRPr="005E2E87">
        <w:t>adalimumab</w:t>
      </w:r>
      <w:r w:rsidR="00AB0F28" w:rsidRPr="005E2E87">
        <w:t xml:space="preserve"> PIONEER and M10-467 trial populations</w:t>
      </w:r>
      <w:r w:rsidR="00EA4078" w:rsidRPr="005E2E87">
        <w:t xml:space="preserve"> (discussed in paragraph </w:t>
      </w:r>
      <w:r w:rsidR="005646F7" w:rsidRPr="005E2E87">
        <w:t>6.12</w:t>
      </w:r>
      <w:r w:rsidR="00EA4078" w:rsidRPr="005E2E87">
        <w:t>)</w:t>
      </w:r>
      <w:r w:rsidR="001D77B3" w:rsidRPr="005E2E87">
        <w:t xml:space="preserve">. </w:t>
      </w:r>
      <w:r w:rsidR="00116616" w:rsidRPr="005E2E87">
        <w:t xml:space="preserve">Most of these differences likely favoured the apparent efficacy of secukinumab, </w:t>
      </w:r>
      <w:r w:rsidR="00CE3E14" w:rsidRPr="005E2E87">
        <w:t>adding</w:t>
      </w:r>
      <w:r w:rsidR="00476477" w:rsidRPr="005E2E87">
        <w:t xml:space="preserve"> uncertainty</w:t>
      </w:r>
      <w:r w:rsidR="00B95AFC" w:rsidRPr="005E2E87">
        <w:t xml:space="preserve"> to</w:t>
      </w:r>
      <w:r w:rsidR="00476477" w:rsidRPr="005E2E87">
        <w:t xml:space="preserve"> the ITC results and whether the benefits described by the two key secukinumab trials would be realised in the target PBS population.</w:t>
      </w:r>
    </w:p>
    <w:p w14:paraId="3483969A" w14:textId="072D99D8" w:rsidR="008F6591" w:rsidRPr="00A304A7" w:rsidRDefault="008F6591" w:rsidP="007E1C14">
      <w:pPr>
        <w:pStyle w:val="3-BodyText"/>
      </w:pPr>
      <w:r w:rsidRPr="00A304A7">
        <w:t xml:space="preserve">The ESC considered, </w:t>
      </w:r>
      <w:r w:rsidR="008276D6" w:rsidRPr="00A304A7">
        <w:t>given</w:t>
      </w:r>
      <w:r w:rsidRPr="00A304A7">
        <w:t xml:space="preserve"> the results of the ITC to adalimumab excluding the SHARPS trial (paragraph 6.16 refers), combined with the transitivity and applicability issues identified and the inability to draw clear conclusions about potential biases, </w:t>
      </w:r>
      <w:r w:rsidR="003E543F" w:rsidRPr="00A304A7">
        <w:t xml:space="preserve">that </w:t>
      </w:r>
      <w:r w:rsidRPr="00A304A7">
        <w:t>secukinumab was likely to be of inferior comparative effectiveness to adalimumab for the treatment of moderate to severe HS.</w:t>
      </w:r>
    </w:p>
    <w:p w14:paraId="7F613CD1" w14:textId="7AE88D0D" w:rsidR="005F7588" w:rsidRDefault="00352635" w:rsidP="007E1C14">
      <w:pPr>
        <w:pStyle w:val="3-BodyText"/>
        <w:rPr>
          <w:rFonts w:eastAsia="Calibri"/>
        </w:rPr>
      </w:pPr>
      <w:r w:rsidRPr="005E2E87">
        <w:rPr>
          <w:rFonts w:eastAsia="Calibri"/>
        </w:rPr>
        <w:t xml:space="preserve">The submission </w:t>
      </w:r>
      <w:r w:rsidR="005F7588" w:rsidRPr="005E2E87">
        <w:rPr>
          <w:rFonts w:eastAsia="Calibri"/>
        </w:rPr>
        <w:t>described</w:t>
      </w:r>
      <w:r w:rsidR="00AD15D2" w:rsidRPr="005E2E87">
        <w:rPr>
          <w:rFonts w:eastAsia="Calibri"/>
        </w:rPr>
        <w:t xml:space="preserve"> </w:t>
      </w:r>
      <w:r w:rsidR="008D4883" w:rsidRPr="005E2E87">
        <w:rPr>
          <w:rFonts w:eastAsia="Calibri"/>
        </w:rPr>
        <w:t>secukinumab</w:t>
      </w:r>
      <w:r w:rsidR="00AD15D2" w:rsidRPr="005E2E87">
        <w:rPr>
          <w:rFonts w:eastAsia="Calibri"/>
        </w:rPr>
        <w:t xml:space="preserve"> as </w:t>
      </w:r>
      <w:r w:rsidR="003F60E4" w:rsidRPr="005E2E87">
        <w:rPr>
          <w:rFonts w:eastAsia="Calibri"/>
        </w:rPr>
        <w:t xml:space="preserve">inferior to </w:t>
      </w:r>
      <w:r w:rsidR="00B52DB0" w:rsidRPr="005E2E87">
        <w:rPr>
          <w:rFonts w:eastAsia="Calibri"/>
        </w:rPr>
        <w:t xml:space="preserve">placebo </w:t>
      </w:r>
      <w:r w:rsidR="00B202DE" w:rsidRPr="005E2E87">
        <w:rPr>
          <w:rFonts w:eastAsia="Calibri"/>
        </w:rPr>
        <w:t xml:space="preserve">and </w:t>
      </w:r>
      <w:r w:rsidR="00110287" w:rsidRPr="005E2E87">
        <w:rPr>
          <w:rFonts w:eastAsia="Calibri"/>
        </w:rPr>
        <w:t xml:space="preserve">non-inferior to </w:t>
      </w:r>
      <w:r w:rsidR="005762D0" w:rsidRPr="005E2E87">
        <w:rPr>
          <w:rFonts w:eastAsia="Calibri"/>
        </w:rPr>
        <w:t>adalimumab</w:t>
      </w:r>
      <w:r w:rsidR="00B202DE" w:rsidRPr="005E2E87">
        <w:rPr>
          <w:rFonts w:eastAsia="Calibri"/>
        </w:rPr>
        <w:t xml:space="preserve"> in terms of safety</w:t>
      </w:r>
      <w:r w:rsidR="00110287" w:rsidRPr="005E2E87">
        <w:rPr>
          <w:rFonts w:eastAsia="Calibri"/>
        </w:rPr>
        <w:t xml:space="preserve">. </w:t>
      </w:r>
      <w:r w:rsidR="005F7588" w:rsidRPr="00A304A7">
        <w:rPr>
          <w:rFonts w:eastAsia="Calibri"/>
        </w:rPr>
        <w:t>Th</w:t>
      </w:r>
      <w:r w:rsidR="008F6591" w:rsidRPr="00A304A7">
        <w:rPr>
          <w:rFonts w:eastAsia="Calibri"/>
        </w:rPr>
        <w:t>e evaluation and ESC considered this</w:t>
      </w:r>
      <w:r w:rsidR="005F7588" w:rsidRPr="00A304A7">
        <w:rPr>
          <w:rFonts w:eastAsia="Calibri"/>
        </w:rPr>
        <w:t xml:space="preserve"> claim was adequately supported</w:t>
      </w:r>
      <w:r w:rsidR="007C70FF" w:rsidRPr="00A304A7">
        <w:rPr>
          <w:rFonts w:eastAsia="Calibri"/>
        </w:rPr>
        <w:t>.</w:t>
      </w:r>
      <w:r w:rsidR="00A304A7">
        <w:rPr>
          <w:rFonts w:eastAsia="Calibri"/>
        </w:rPr>
        <w:t xml:space="preserve"> </w:t>
      </w:r>
    </w:p>
    <w:p w14:paraId="07CA5C6C" w14:textId="476B1A6B" w:rsidR="00A304A7" w:rsidRPr="00500E83" w:rsidRDefault="00A304A7" w:rsidP="003D1CBD">
      <w:pPr>
        <w:widowControl w:val="0"/>
        <w:numPr>
          <w:ilvl w:val="1"/>
          <w:numId w:val="1"/>
        </w:numPr>
        <w:spacing w:after="120"/>
        <w:rPr>
          <w:rFonts w:asciiTheme="minorHAnsi" w:hAnsiTheme="minorHAnsi"/>
          <w:snapToGrid w:val="0"/>
          <w:szCs w:val="20"/>
        </w:rPr>
      </w:pPr>
      <w:bookmarkStart w:id="36" w:name="_Hlk76376200"/>
      <w:r w:rsidRPr="00500E83">
        <w:rPr>
          <w:rFonts w:asciiTheme="minorHAnsi" w:hAnsiTheme="minorHAnsi"/>
          <w:iCs/>
          <w:snapToGrid w:val="0"/>
        </w:rPr>
        <w:t>The</w:t>
      </w:r>
      <w:r w:rsidRPr="00500E83">
        <w:rPr>
          <w:rFonts w:asciiTheme="minorHAnsi" w:hAnsiTheme="minorHAnsi"/>
          <w:snapToGrid w:val="0"/>
          <w:szCs w:val="20"/>
        </w:rPr>
        <w:t xml:space="preserve"> PBAC considered that the claim of non-inferior comparative effectiveness was not adequately supported by the data</w:t>
      </w:r>
      <w:r w:rsidR="00500E83" w:rsidRPr="00500E83">
        <w:rPr>
          <w:rFonts w:asciiTheme="minorHAnsi" w:hAnsiTheme="minorHAnsi"/>
          <w:snapToGrid w:val="0"/>
          <w:szCs w:val="20"/>
        </w:rPr>
        <w:t xml:space="preserve">, and the available evidence suggested </w:t>
      </w:r>
      <w:r w:rsidR="00576EED">
        <w:rPr>
          <w:rFonts w:asciiTheme="minorHAnsi" w:hAnsiTheme="minorHAnsi"/>
          <w:snapToGrid w:val="0"/>
          <w:szCs w:val="20"/>
        </w:rPr>
        <w:t>secukinumab</w:t>
      </w:r>
      <w:r w:rsidR="00500E83" w:rsidRPr="00500E83">
        <w:rPr>
          <w:rFonts w:asciiTheme="minorHAnsi" w:hAnsiTheme="minorHAnsi"/>
          <w:snapToGrid w:val="0"/>
          <w:szCs w:val="20"/>
        </w:rPr>
        <w:t xml:space="preserve"> </w:t>
      </w:r>
      <w:r w:rsidR="00576EED">
        <w:rPr>
          <w:rFonts w:asciiTheme="minorHAnsi" w:hAnsiTheme="minorHAnsi"/>
          <w:snapToGrid w:val="0"/>
          <w:szCs w:val="20"/>
        </w:rPr>
        <w:t>may be</w:t>
      </w:r>
      <w:r w:rsidR="00500E83" w:rsidRPr="00500E83">
        <w:rPr>
          <w:rFonts w:asciiTheme="minorHAnsi" w:hAnsiTheme="minorHAnsi"/>
          <w:snapToGrid w:val="0"/>
          <w:szCs w:val="20"/>
        </w:rPr>
        <w:t xml:space="preserve"> inferior to </w:t>
      </w:r>
      <w:r w:rsidR="00814E3E">
        <w:rPr>
          <w:rFonts w:asciiTheme="minorHAnsi" w:hAnsiTheme="minorHAnsi"/>
          <w:snapToGrid w:val="0"/>
          <w:szCs w:val="20"/>
        </w:rPr>
        <w:t>adalimumab</w:t>
      </w:r>
      <w:r w:rsidRPr="00500E83">
        <w:rPr>
          <w:rFonts w:asciiTheme="minorHAnsi" w:hAnsiTheme="minorHAnsi"/>
          <w:snapToGrid w:val="0"/>
          <w:szCs w:val="20"/>
        </w:rPr>
        <w:t>.</w:t>
      </w:r>
    </w:p>
    <w:p w14:paraId="467814FF" w14:textId="67F70B45" w:rsidR="00A304A7" w:rsidRPr="00500E83" w:rsidRDefault="00A304A7" w:rsidP="003D1CBD">
      <w:pPr>
        <w:widowControl w:val="0"/>
        <w:numPr>
          <w:ilvl w:val="1"/>
          <w:numId w:val="1"/>
        </w:numPr>
        <w:spacing w:after="120"/>
        <w:rPr>
          <w:rFonts w:asciiTheme="minorHAnsi" w:hAnsiTheme="minorHAnsi"/>
          <w:snapToGrid w:val="0"/>
          <w:szCs w:val="20"/>
        </w:rPr>
      </w:pPr>
      <w:r w:rsidRPr="00500E83">
        <w:rPr>
          <w:rFonts w:asciiTheme="minorHAnsi" w:hAnsiTheme="minorHAnsi"/>
          <w:snapToGrid w:val="0"/>
          <w:szCs w:val="20"/>
        </w:rPr>
        <w:t>The PBAC considered that the claim of non-inferior comparative safety</w:t>
      </w:r>
      <w:r w:rsidR="00224273">
        <w:rPr>
          <w:rFonts w:asciiTheme="minorHAnsi" w:hAnsiTheme="minorHAnsi"/>
          <w:snapToGrid w:val="0"/>
          <w:szCs w:val="20"/>
        </w:rPr>
        <w:t xml:space="preserve"> for secukinumab and adalimumab</w:t>
      </w:r>
      <w:r w:rsidRPr="00500E83">
        <w:rPr>
          <w:rFonts w:asciiTheme="minorHAnsi" w:hAnsiTheme="minorHAnsi"/>
          <w:snapToGrid w:val="0"/>
          <w:szCs w:val="20"/>
        </w:rPr>
        <w:t xml:space="preserve"> was reasonable</w:t>
      </w:r>
      <w:bookmarkEnd w:id="36"/>
      <w:r w:rsidR="00500E83" w:rsidRPr="00500E83">
        <w:rPr>
          <w:rFonts w:asciiTheme="minorHAnsi" w:hAnsiTheme="minorHAnsi"/>
          <w:snapToGrid w:val="0"/>
          <w:szCs w:val="20"/>
        </w:rPr>
        <w:t>.</w:t>
      </w:r>
    </w:p>
    <w:p w14:paraId="74A1172E" w14:textId="128C170E" w:rsidR="00B60939" w:rsidRPr="00C9624D" w:rsidRDefault="00B60939" w:rsidP="00E9094A">
      <w:pPr>
        <w:pStyle w:val="4-SubsectionHeading"/>
      </w:pPr>
      <w:bookmarkStart w:id="37" w:name="_Toc22897645"/>
      <w:bookmarkStart w:id="38" w:name="_Toc135036638"/>
      <w:r w:rsidRPr="00C9624D">
        <w:t>Economic analysis</w:t>
      </w:r>
      <w:bookmarkEnd w:id="37"/>
      <w:bookmarkEnd w:id="38"/>
      <w:r w:rsidR="00491B3A" w:rsidRPr="00C9624D">
        <w:t xml:space="preserve"> </w:t>
      </w:r>
    </w:p>
    <w:p w14:paraId="72E30526" w14:textId="7A142942" w:rsidR="00402812" w:rsidRPr="005E2E87" w:rsidRDefault="00E13EE8" w:rsidP="007E1C14">
      <w:pPr>
        <w:pStyle w:val="3-BodyText"/>
      </w:pPr>
      <w:r w:rsidRPr="005E2E87">
        <w:t xml:space="preserve">The submission presented a </w:t>
      </w:r>
      <w:r w:rsidR="00DF12B0" w:rsidRPr="005E2E87">
        <w:t>CMA</w:t>
      </w:r>
      <w:r w:rsidRPr="005E2E87">
        <w:t xml:space="preserve"> comparing secukinumab with </w:t>
      </w:r>
      <w:r w:rsidR="005762D0" w:rsidRPr="005E2E87">
        <w:t>adalimumab</w:t>
      </w:r>
      <w:r w:rsidRPr="005E2E87">
        <w:t xml:space="preserve">. </w:t>
      </w:r>
      <w:r w:rsidR="009F416B" w:rsidRPr="005E2E87">
        <w:t>The equi-effective dose</w:t>
      </w:r>
      <w:r w:rsidR="00B02B66">
        <w:t>s</w:t>
      </w:r>
      <w:r w:rsidR="009F416B" w:rsidRPr="005E2E87">
        <w:t xml:space="preserve"> </w:t>
      </w:r>
      <w:r w:rsidR="00B02B66">
        <w:t>were</w:t>
      </w:r>
      <w:r w:rsidR="00B02B66" w:rsidRPr="005E2E87">
        <w:t xml:space="preserve"> </w:t>
      </w:r>
      <w:r w:rsidR="006500FE" w:rsidRPr="005E2E87">
        <w:t>based on the recommended daily doses</w:t>
      </w:r>
      <w:r w:rsidR="009F416B" w:rsidRPr="005E2E87">
        <w:t xml:space="preserve"> </w:t>
      </w:r>
      <w:r w:rsidR="00297731" w:rsidRPr="005E2E87">
        <w:t xml:space="preserve">and </w:t>
      </w:r>
      <w:r w:rsidR="009F416B" w:rsidRPr="005E2E87">
        <w:t xml:space="preserve">estimated as secukinumab 300 mg on weeks 0, 1, 2, 3 and 4 and then at 4 weekly intervals and </w:t>
      </w:r>
      <w:r w:rsidR="005762D0" w:rsidRPr="005E2E87">
        <w:t>adalimumab</w:t>
      </w:r>
      <w:r w:rsidR="009F416B" w:rsidRPr="005E2E87">
        <w:t xml:space="preserve"> 16</w:t>
      </w:r>
      <w:r w:rsidR="00325DC6" w:rsidRPr="005E2E87">
        <w:t>0 mg</w:t>
      </w:r>
      <w:r w:rsidR="009F416B" w:rsidRPr="005E2E87">
        <w:t xml:space="preserve"> at day 1, followed by 8</w:t>
      </w:r>
      <w:r w:rsidR="00325DC6" w:rsidRPr="005E2E87">
        <w:t>0 mg</w:t>
      </w:r>
      <w:r w:rsidR="009F416B" w:rsidRPr="005E2E87">
        <w:t xml:space="preserve"> at day 15, then 8</w:t>
      </w:r>
      <w:r w:rsidR="00325DC6" w:rsidRPr="005E2E87">
        <w:t>0 mg</w:t>
      </w:r>
      <w:r w:rsidR="009F416B" w:rsidRPr="005E2E87">
        <w:t xml:space="preserve"> every 2 weeks (or 4</w:t>
      </w:r>
      <w:r w:rsidR="00325DC6" w:rsidRPr="005E2E87">
        <w:t>0 mg</w:t>
      </w:r>
      <w:r w:rsidR="009F416B" w:rsidRPr="005E2E87">
        <w:t xml:space="preserve"> weekly) from </w:t>
      </w:r>
      <w:r w:rsidR="002915A7" w:rsidRPr="005E2E87">
        <w:t>d</w:t>
      </w:r>
      <w:r w:rsidR="009F416B" w:rsidRPr="005E2E87">
        <w:t xml:space="preserve">ay 29 </w:t>
      </w:r>
      <w:r w:rsidR="003966A3" w:rsidRPr="005E2E87">
        <w:t>over</w:t>
      </w:r>
      <w:r w:rsidR="009F416B" w:rsidRPr="005E2E87">
        <w:t xml:space="preserve"> a 2</w:t>
      </w:r>
      <w:r w:rsidR="003966A3" w:rsidRPr="005E2E87" w:rsidDel="002915A7">
        <w:t>-</w:t>
      </w:r>
      <w:r w:rsidR="003966A3" w:rsidRPr="005E2E87">
        <w:t>year time horizon</w:t>
      </w:r>
      <w:r w:rsidR="007939DC" w:rsidRPr="005E2E87">
        <w:t xml:space="preserve"> (</w:t>
      </w:r>
      <w:r w:rsidR="00691759" w:rsidRPr="005E2E87">
        <w:t xml:space="preserve">29 </w:t>
      </w:r>
      <w:r w:rsidR="00301AB8" w:rsidRPr="005E2E87">
        <w:t xml:space="preserve">administrations </w:t>
      </w:r>
      <w:r w:rsidR="00691759" w:rsidRPr="005E2E87">
        <w:t xml:space="preserve">of secukinumab and 53 </w:t>
      </w:r>
      <w:r w:rsidR="00ED50C6" w:rsidRPr="005E2E87">
        <w:t>administrations</w:t>
      </w:r>
      <w:r w:rsidR="00691759" w:rsidRPr="005E2E87">
        <w:t xml:space="preserve"> of </w:t>
      </w:r>
      <w:r w:rsidR="005762D0" w:rsidRPr="005E2E87">
        <w:t>adalimumab</w:t>
      </w:r>
      <w:r w:rsidR="00691759" w:rsidRPr="005E2E87">
        <w:t xml:space="preserve"> </w:t>
      </w:r>
      <w:r w:rsidR="00301AB8" w:rsidRPr="005E2E87">
        <w:t>over 2</w:t>
      </w:r>
      <w:r w:rsidR="009F416B" w:rsidRPr="005E2E87">
        <w:t xml:space="preserve"> years</w:t>
      </w:r>
      <w:r w:rsidR="00691759" w:rsidRPr="005E2E87">
        <w:t>)</w:t>
      </w:r>
      <w:r w:rsidR="009F416B" w:rsidRPr="005E2E87">
        <w:t>.</w:t>
      </w:r>
      <w:r w:rsidR="00DA70DF" w:rsidRPr="005E2E87">
        <w:t xml:space="preserve"> In forming this relativity, the submission </w:t>
      </w:r>
      <w:r w:rsidR="00207350" w:rsidRPr="005E2E87">
        <w:t xml:space="preserve">assumed </w:t>
      </w:r>
      <w:r w:rsidR="00DA70DF" w:rsidRPr="005E2E87">
        <w:t xml:space="preserve">that secukinumab is at least as effective and safe as </w:t>
      </w:r>
      <w:r w:rsidR="005762D0" w:rsidRPr="005E2E87">
        <w:t>adalimumab</w:t>
      </w:r>
      <w:r w:rsidR="008F3321" w:rsidRPr="005E2E87">
        <w:t>, however</w:t>
      </w:r>
      <w:r w:rsidR="00B50542" w:rsidRPr="005E2E87">
        <w:t xml:space="preserve"> non-inferiority of </w:t>
      </w:r>
      <w:r w:rsidR="008F3321" w:rsidRPr="005E2E87">
        <w:t xml:space="preserve">clinical outcomes was not clearly demonstrated by the submission. </w:t>
      </w:r>
    </w:p>
    <w:p w14:paraId="48F8D921" w14:textId="6EAFD280" w:rsidR="00A937A1" w:rsidRPr="005E2E87" w:rsidRDefault="00EB4880" w:rsidP="007E1C14">
      <w:pPr>
        <w:pStyle w:val="3-BodyText"/>
      </w:pPr>
      <w:r w:rsidRPr="005E2E87">
        <w:t>The CMA was based on a Q4W maintenance dosing schedule</w:t>
      </w:r>
      <w:r w:rsidR="002B0530" w:rsidRPr="005E2E87">
        <w:t xml:space="preserve"> of secukinumab</w:t>
      </w:r>
      <w:r w:rsidRPr="005E2E87">
        <w:t xml:space="preserve">. </w:t>
      </w:r>
      <w:r w:rsidR="00321628" w:rsidRPr="005E2E87">
        <w:t xml:space="preserve">The submission presented a sensitivity analysis with the cost-minimised price of secukinumab based on </w:t>
      </w:r>
      <w:r w:rsidRPr="005E2E87">
        <w:t>Q2W</w:t>
      </w:r>
      <w:r w:rsidR="00321628" w:rsidRPr="005E2E87">
        <w:t xml:space="preserve"> dosing, </w:t>
      </w:r>
      <w:r w:rsidR="00623CB4" w:rsidRPr="005E2E87">
        <w:t>however,</w:t>
      </w:r>
      <w:r w:rsidR="00321628" w:rsidRPr="005E2E87">
        <w:t xml:space="preserve"> did not consider a weighted approach</w:t>
      </w:r>
      <w:r w:rsidR="00CB724F" w:rsidRPr="005E2E87">
        <w:t>.</w:t>
      </w:r>
      <w:r w:rsidR="00295E28" w:rsidRPr="005E2E87">
        <w:t xml:space="preserve"> Based on maintenance dosing every two weeks the cost of secukinumab was reduced by 46.3% to $607.44 per dose.</w:t>
      </w:r>
    </w:p>
    <w:p w14:paraId="0781B10A" w14:textId="6661D7C1" w:rsidR="000C637C" w:rsidRPr="005E2E87" w:rsidRDefault="00811B0C" w:rsidP="007E1C14">
      <w:pPr>
        <w:pStyle w:val="3-BodyText"/>
        <w:rPr>
          <w:rStyle w:val="CommentReference"/>
          <w:szCs w:val="24"/>
        </w:rPr>
      </w:pPr>
      <w:r w:rsidRPr="005E2E87">
        <w:t xml:space="preserve">For the </w:t>
      </w:r>
      <w:r w:rsidR="00B02B66">
        <w:t>CMA</w:t>
      </w:r>
      <w:r w:rsidRPr="005E2E87">
        <w:t xml:space="preserve"> the submission used</w:t>
      </w:r>
      <w:r w:rsidR="00926212" w:rsidRPr="005E2E87">
        <w:t xml:space="preserve"> an</w:t>
      </w:r>
      <w:r w:rsidRPr="005E2E87">
        <w:t xml:space="preserve"> AEMP of $818.54 for 1 dose of </w:t>
      </w:r>
      <w:r w:rsidR="005762D0" w:rsidRPr="005E2E87">
        <w:t>adalimumab</w:t>
      </w:r>
      <w:r w:rsidRPr="005E2E87">
        <w:t xml:space="preserve"> </w:t>
      </w:r>
      <w:r w:rsidR="00B85705" w:rsidRPr="005E2E87">
        <w:t>80</w:t>
      </w:r>
      <w:r w:rsidR="00B85705">
        <w:t> </w:t>
      </w:r>
      <w:r w:rsidR="00325DC6" w:rsidRPr="005E2E87">
        <w:t>mg</w:t>
      </w:r>
      <w:r w:rsidRPr="005E2E87">
        <w:t xml:space="preserve">. </w:t>
      </w:r>
      <w:r w:rsidR="00EC0B93" w:rsidRPr="005E2E87">
        <w:t>In April 2023, adalimumab was subject to statutory price reductions with the published approved ex-manufacturer</w:t>
      </w:r>
      <w:r w:rsidR="00EC0B93" w:rsidRPr="005E2E87">
        <w:rPr>
          <w:rFonts w:cstheme="minorHAnsi"/>
        </w:rPr>
        <w:t xml:space="preserve"> price (AEMP) reduced to $618.90 per </w:t>
      </w:r>
      <w:r w:rsidR="00B85705" w:rsidRPr="005E2E87">
        <w:rPr>
          <w:rFonts w:cstheme="minorHAnsi"/>
        </w:rPr>
        <w:t>80</w:t>
      </w:r>
      <w:r w:rsidR="00B85705">
        <w:rPr>
          <w:rFonts w:cstheme="minorHAnsi"/>
        </w:rPr>
        <w:t> </w:t>
      </w:r>
      <w:r w:rsidR="00EC0B93" w:rsidRPr="005E2E87">
        <w:rPr>
          <w:rFonts w:cstheme="minorHAnsi"/>
        </w:rPr>
        <w:t xml:space="preserve">mg </w:t>
      </w:r>
      <w:r w:rsidR="00EC0B93" w:rsidRPr="005E2E87">
        <w:rPr>
          <w:rFonts w:cstheme="minorHAnsi"/>
        </w:rPr>
        <w:lastRenderedPageBreak/>
        <w:t xml:space="preserve">dose for the reference biologic (Humira) and the price of 4 biosimilars reduced to $761.98 per 80 mg dose. </w:t>
      </w:r>
      <w:r w:rsidR="001D14EC" w:rsidRPr="005E2E87">
        <w:rPr>
          <w:rFonts w:cstheme="minorHAnsi"/>
        </w:rPr>
        <w:t>Based</w:t>
      </w:r>
      <w:r w:rsidRPr="005E2E87">
        <w:rPr>
          <w:rFonts w:cstheme="minorHAnsi"/>
        </w:rPr>
        <w:t xml:space="preserve"> on an </w:t>
      </w:r>
      <w:r w:rsidR="005762D0" w:rsidRPr="005E2E87">
        <w:rPr>
          <w:rFonts w:cstheme="minorHAnsi"/>
        </w:rPr>
        <w:t>adalimumab</w:t>
      </w:r>
      <w:r w:rsidR="00417254" w:rsidRPr="005E2E87">
        <w:rPr>
          <w:rFonts w:cstheme="minorHAnsi"/>
        </w:rPr>
        <w:t xml:space="preserve"> </w:t>
      </w:r>
      <w:r w:rsidRPr="005E2E87">
        <w:rPr>
          <w:rFonts w:cstheme="minorHAnsi"/>
        </w:rPr>
        <w:t xml:space="preserve">AEMP of $618.90 </w:t>
      </w:r>
      <w:r w:rsidR="00417254" w:rsidRPr="005E2E87">
        <w:rPr>
          <w:rFonts w:cstheme="minorHAnsi"/>
        </w:rPr>
        <w:t>per 8</w:t>
      </w:r>
      <w:r w:rsidR="00325DC6" w:rsidRPr="005E2E87">
        <w:rPr>
          <w:rFonts w:cstheme="minorHAnsi"/>
        </w:rPr>
        <w:t>0 mg</w:t>
      </w:r>
      <w:r w:rsidR="00417254" w:rsidRPr="005E2E87">
        <w:rPr>
          <w:rFonts w:cstheme="minorHAnsi"/>
        </w:rPr>
        <w:t xml:space="preserve"> dose </w:t>
      </w:r>
      <w:r w:rsidR="00A757B4" w:rsidRPr="005E2E87">
        <w:rPr>
          <w:rFonts w:cstheme="minorHAnsi"/>
        </w:rPr>
        <w:t>the</w:t>
      </w:r>
      <w:r w:rsidR="00406EF4" w:rsidRPr="005E2E87">
        <w:rPr>
          <w:rFonts w:cstheme="minorHAnsi"/>
        </w:rPr>
        <w:t xml:space="preserve"> </w:t>
      </w:r>
      <w:r w:rsidR="00B02B66">
        <w:t>equivalent</w:t>
      </w:r>
      <w:r w:rsidR="00B02B66" w:rsidRPr="005E2E87">
        <w:t xml:space="preserve"> </w:t>
      </w:r>
      <w:r w:rsidR="00C00490" w:rsidRPr="005E2E87">
        <w:t>AEMP for secukinumab 30</w:t>
      </w:r>
      <w:r w:rsidR="00325DC6" w:rsidRPr="005E2E87">
        <w:t>0 mg</w:t>
      </w:r>
      <w:r w:rsidR="00C00490" w:rsidRPr="005E2E87">
        <w:t>/mL and 15</w:t>
      </w:r>
      <w:r w:rsidR="00325DC6" w:rsidRPr="005E2E87">
        <w:t>0 mg</w:t>
      </w:r>
      <w:r w:rsidR="00C00490" w:rsidRPr="005E2E87">
        <w:t xml:space="preserve">/mL </w:t>
      </w:r>
      <w:r w:rsidR="00417254" w:rsidRPr="005E2E87">
        <w:t xml:space="preserve">was </w:t>
      </w:r>
      <w:r w:rsidR="00C00490" w:rsidRPr="005E2E87">
        <w:t>$1,131.09</w:t>
      </w:r>
      <w:r w:rsidR="00406EF4" w:rsidRPr="005E2E87" w:rsidDel="00417254">
        <w:t>.</w:t>
      </w:r>
      <w:r w:rsidR="00406EF4" w:rsidRPr="005E2E87">
        <w:t xml:space="preserve"> </w:t>
      </w:r>
      <w:r w:rsidR="004405DE" w:rsidRPr="005E2E87">
        <w:t xml:space="preserve">The results of the </w:t>
      </w:r>
      <w:r w:rsidR="00FA469D" w:rsidRPr="005E2E87">
        <w:t>CMA</w:t>
      </w:r>
      <w:r w:rsidR="004405DE" w:rsidRPr="005E2E87">
        <w:t xml:space="preserve"> are presented in </w:t>
      </w:r>
      <w:r w:rsidR="001A110D" w:rsidRPr="005E2E87">
        <w:fldChar w:fldCharType="begin" w:fldLock="1"/>
      </w:r>
      <w:r w:rsidR="001A110D" w:rsidRPr="005E2E87">
        <w:instrText xml:space="preserve"> REF _Ref133229141 \h  \* MERGEFORMAT </w:instrText>
      </w:r>
      <w:r w:rsidR="001A110D" w:rsidRPr="005E2E87">
        <w:fldChar w:fldCharType="separate"/>
      </w:r>
      <w:r w:rsidR="000F75DF">
        <w:t xml:space="preserve">Table </w:t>
      </w:r>
      <w:r w:rsidR="000F75DF">
        <w:rPr>
          <w:noProof/>
        </w:rPr>
        <w:t>10</w:t>
      </w:r>
      <w:r w:rsidR="001A110D" w:rsidRPr="005E2E87">
        <w:fldChar w:fldCharType="end"/>
      </w:r>
      <w:r w:rsidR="001A110D" w:rsidRPr="005E2E87">
        <w:t>.</w:t>
      </w:r>
    </w:p>
    <w:p w14:paraId="3791A6E2" w14:textId="4E6817E7" w:rsidR="001A110D" w:rsidRDefault="001A110D" w:rsidP="00262C55">
      <w:pPr>
        <w:pStyle w:val="Caption"/>
      </w:pPr>
      <w:bookmarkStart w:id="39" w:name="_Ref133229141"/>
      <w:r>
        <w:t xml:space="preserve">Table </w:t>
      </w:r>
      <w:r>
        <w:fldChar w:fldCharType="begin" w:fldLock="1"/>
      </w:r>
      <w:r>
        <w:instrText>SEQ Table \* ARABIC</w:instrText>
      </w:r>
      <w:r>
        <w:fldChar w:fldCharType="separate"/>
      </w:r>
      <w:r w:rsidR="000F75DF">
        <w:rPr>
          <w:noProof/>
        </w:rPr>
        <w:t>10</w:t>
      </w:r>
      <w:r>
        <w:fldChar w:fldCharType="end"/>
      </w:r>
      <w:bookmarkEnd w:id="39"/>
      <w:r w:rsidR="000E300E">
        <w:t>:</w:t>
      </w:r>
      <w:r>
        <w:t xml:space="preserve"> </w:t>
      </w:r>
      <w:r w:rsidRPr="001B143D">
        <w:t xml:space="preserve">Results of the cost-minimisation approach with the revised </w:t>
      </w:r>
      <w:r w:rsidR="005762D0">
        <w:t>adalimumab</w:t>
      </w:r>
      <w:r w:rsidRPr="001B143D">
        <w:t xml:space="preserve"> AEMP (based on secukinumab maintenance dosing every 4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233"/>
        <w:gridCol w:w="2536"/>
      </w:tblGrid>
      <w:tr w:rsidR="000C637C" w:rsidRPr="00A26B04" w14:paraId="1659A78B" w14:textId="77777777" w:rsidTr="00262C55">
        <w:tc>
          <w:tcPr>
            <w:tcW w:w="1801" w:type="pct"/>
          </w:tcPr>
          <w:p w14:paraId="15719025" w14:textId="77777777" w:rsidR="000C637C" w:rsidRPr="00A26B04" w:rsidRDefault="000C637C">
            <w:pPr>
              <w:pStyle w:val="In-tableHeading"/>
            </w:pPr>
            <w:r w:rsidRPr="00A26B04">
              <w:t>Component</w:t>
            </w:r>
          </w:p>
        </w:tc>
        <w:tc>
          <w:tcPr>
            <w:tcW w:w="1793" w:type="pct"/>
          </w:tcPr>
          <w:p w14:paraId="40B3A82B" w14:textId="77777777" w:rsidR="000C637C" w:rsidRPr="00A26B04" w:rsidRDefault="000C637C">
            <w:pPr>
              <w:pStyle w:val="In-tableHeading"/>
              <w:jc w:val="center"/>
            </w:pPr>
            <w:r w:rsidRPr="00A26B04">
              <w:t>Proposed medicine</w:t>
            </w:r>
          </w:p>
        </w:tc>
        <w:tc>
          <w:tcPr>
            <w:tcW w:w="1406" w:type="pct"/>
          </w:tcPr>
          <w:p w14:paraId="47475376" w14:textId="77777777" w:rsidR="000C637C" w:rsidRPr="00A26B04" w:rsidRDefault="000C637C">
            <w:pPr>
              <w:pStyle w:val="In-tableHeading"/>
              <w:jc w:val="center"/>
            </w:pPr>
            <w:r w:rsidRPr="00A26B04">
              <w:t>Comparator</w:t>
            </w:r>
          </w:p>
        </w:tc>
      </w:tr>
      <w:tr w:rsidR="000C637C" w:rsidRPr="00A26B04" w14:paraId="6BE2E13F" w14:textId="77777777" w:rsidTr="00262C55">
        <w:tc>
          <w:tcPr>
            <w:tcW w:w="1801" w:type="pct"/>
          </w:tcPr>
          <w:p w14:paraId="087D3287" w14:textId="77777777" w:rsidR="000C637C" w:rsidRPr="00A26B04" w:rsidRDefault="000C637C">
            <w:pPr>
              <w:pStyle w:val="TableText0"/>
            </w:pPr>
            <w:r w:rsidRPr="00A26B04">
              <w:t>Cost per dose</w:t>
            </w:r>
          </w:p>
        </w:tc>
        <w:tc>
          <w:tcPr>
            <w:tcW w:w="1793" w:type="pct"/>
          </w:tcPr>
          <w:p w14:paraId="46080CE8" w14:textId="77777777" w:rsidR="000C637C" w:rsidRPr="00A26B04" w:rsidRDefault="000C637C">
            <w:pPr>
              <w:pStyle w:val="TableText0"/>
            </w:pPr>
            <w:r w:rsidRPr="00A26B04">
              <w:t>$1,131.09</w:t>
            </w:r>
          </w:p>
        </w:tc>
        <w:tc>
          <w:tcPr>
            <w:tcW w:w="1406" w:type="pct"/>
          </w:tcPr>
          <w:p w14:paraId="3DE3EC09" w14:textId="77777777" w:rsidR="000C637C" w:rsidRPr="00A26B04" w:rsidRDefault="000C637C">
            <w:pPr>
              <w:pStyle w:val="TableText0"/>
            </w:pPr>
            <w:r w:rsidRPr="00A26B04">
              <w:t>$618.90</w:t>
            </w:r>
          </w:p>
        </w:tc>
      </w:tr>
      <w:tr w:rsidR="000C637C" w:rsidRPr="00A26B04" w14:paraId="385B6F0E" w14:textId="77777777" w:rsidTr="00262C55">
        <w:tc>
          <w:tcPr>
            <w:tcW w:w="1801" w:type="pct"/>
          </w:tcPr>
          <w:p w14:paraId="79E80EC4" w14:textId="77777777" w:rsidR="000C637C" w:rsidRPr="00A26B04" w:rsidRDefault="000C637C">
            <w:pPr>
              <w:pStyle w:val="TableText0"/>
            </w:pPr>
            <w:r w:rsidRPr="00A26B04">
              <w:t>Dose duration</w:t>
            </w:r>
          </w:p>
        </w:tc>
        <w:tc>
          <w:tcPr>
            <w:tcW w:w="1793" w:type="pct"/>
          </w:tcPr>
          <w:p w14:paraId="568B7029" w14:textId="77777777" w:rsidR="000C637C" w:rsidRPr="00A26B04" w:rsidRDefault="000C637C">
            <w:pPr>
              <w:pStyle w:val="TableText0"/>
            </w:pPr>
            <w:r w:rsidRPr="00A26B04">
              <w:t>2 years</w:t>
            </w:r>
          </w:p>
        </w:tc>
        <w:tc>
          <w:tcPr>
            <w:tcW w:w="1406" w:type="pct"/>
          </w:tcPr>
          <w:p w14:paraId="3E5AB195" w14:textId="77777777" w:rsidR="000C637C" w:rsidRPr="00A26B04" w:rsidRDefault="000C637C">
            <w:pPr>
              <w:pStyle w:val="TableText0"/>
            </w:pPr>
            <w:r w:rsidRPr="00A26B04">
              <w:t>2 years</w:t>
            </w:r>
          </w:p>
        </w:tc>
      </w:tr>
      <w:tr w:rsidR="000C637C" w:rsidRPr="00A26B04" w14:paraId="6E97B77E" w14:textId="77777777" w:rsidTr="00262C55">
        <w:tc>
          <w:tcPr>
            <w:tcW w:w="1801" w:type="pct"/>
          </w:tcPr>
          <w:p w14:paraId="26C04255" w14:textId="77777777" w:rsidR="000C637C" w:rsidRPr="00A26B04" w:rsidRDefault="000C637C">
            <w:pPr>
              <w:pStyle w:val="TableText0"/>
            </w:pPr>
            <w:r w:rsidRPr="00A26B04">
              <w:t>Administrations over two years</w:t>
            </w:r>
          </w:p>
        </w:tc>
        <w:tc>
          <w:tcPr>
            <w:tcW w:w="1793" w:type="pct"/>
          </w:tcPr>
          <w:p w14:paraId="38BD6CFA" w14:textId="77777777" w:rsidR="000C637C" w:rsidRPr="00A26B04" w:rsidRDefault="000C637C">
            <w:pPr>
              <w:pStyle w:val="TableText0"/>
            </w:pPr>
            <w:r w:rsidRPr="00A26B04">
              <w:t>29</w:t>
            </w:r>
          </w:p>
        </w:tc>
        <w:tc>
          <w:tcPr>
            <w:tcW w:w="1406" w:type="pct"/>
          </w:tcPr>
          <w:p w14:paraId="560A9234" w14:textId="77777777" w:rsidR="000C637C" w:rsidRPr="00A26B04" w:rsidRDefault="000C637C">
            <w:pPr>
              <w:pStyle w:val="TableText0"/>
            </w:pPr>
            <w:r w:rsidRPr="00A26B04">
              <w:t>53</w:t>
            </w:r>
          </w:p>
        </w:tc>
      </w:tr>
      <w:tr w:rsidR="000C637C" w:rsidRPr="00A26B04" w14:paraId="24200A6E" w14:textId="77777777" w:rsidTr="00262C55">
        <w:tc>
          <w:tcPr>
            <w:tcW w:w="1801" w:type="pct"/>
          </w:tcPr>
          <w:p w14:paraId="4D675E79" w14:textId="77777777" w:rsidR="000C637C" w:rsidRPr="00A26B04" w:rsidRDefault="000C637C">
            <w:pPr>
              <w:pStyle w:val="TableText0"/>
            </w:pPr>
            <w:r w:rsidRPr="00A26B04">
              <w:t>Total medicine cost over two years</w:t>
            </w:r>
          </w:p>
        </w:tc>
        <w:tc>
          <w:tcPr>
            <w:tcW w:w="1793" w:type="pct"/>
          </w:tcPr>
          <w:p w14:paraId="11A031FC" w14:textId="77777777" w:rsidR="000C637C" w:rsidRPr="00A26B04" w:rsidRDefault="000C637C">
            <w:pPr>
              <w:pStyle w:val="TableText0"/>
            </w:pPr>
            <w:r w:rsidRPr="00A26B04">
              <w:t>$32,802</w:t>
            </w:r>
          </w:p>
        </w:tc>
        <w:tc>
          <w:tcPr>
            <w:tcW w:w="1406" w:type="pct"/>
          </w:tcPr>
          <w:p w14:paraId="49AA44D9" w14:textId="77777777" w:rsidR="000C637C" w:rsidRPr="00A26B04" w:rsidRDefault="000C637C">
            <w:pPr>
              <w:pStyle w:val="TableText0"/>
            </w:pPr>
            <w:r w:rsidRPr="00A26B04">
              <w:t>$32,802</w:t>
            </w:r>
          </w:p>
        </w:tc>
      </w:tr>
    </w:tbl>
    <w:p w14:paraId="7C3CF061" w14:textId="77777777" w:rsidR="000C637C" w:rsidRDefault="000C637C" w:rsidP="00B85705">
      <w:pPr>
        <w:pStyle w:val="FooterTableFigure"/>
      </w:pPr>
      <w:r>
        <w:t xml:space="preserve">Source: Table 3.3, 140 </w:t>
      </w:r>
      <w:r w:rsidRPr="00D13A3E">
        <w:t xml:space="preserve">of the </w:t>
      </w:r>
      <w:r>
        <w:t>submission and updated by the evaluation.</w:t>
      </w:r>
    </w:p>
    <w:p w14:paraId="225D82BB" w14:textId="13CB5B2B" w:rsidR="000C637C" w:rsidRDefault="00A26B04" w:rsidP="00B85705">
      <w:pPr>
        <w:pStyle w:val="FooterTableFigure"/>
      </w:pPr>
      <w:r w:rsidRPr="00A26B04">
        <w:t>Results of the CMA</w:t>
      </w:r>
      <w:r w:rsidR="000C637C" w:rsidRPr="00A26B04">
        <w:t xml:space="preserve"> based on the revised AEMP of </w:t>
      </w:r>
      <w:r w:rsidR="005762D0" w:rsidRPr="00A26B04">
        <w:t>adalimumab</w:t>
      </w:r>
      <w:r w:rsidR="000C637C" w:rsidRPr="00A26B04">
        <w:t xml:space="preserve"> ($618.90; April 2023).</w:t>
      </w:r>
    </w:p>
    <w:p w14:paraId="2CCB6172" w14:textId="25029AD0" w:rsidR="00A26B04" w:rsidRPr="00A304A7" w:rsidRDefault="00A26B04" w:rsidP="007E1C14">
      <w:pPr>
        <w:pStyle w:val="3-BodyText"/>
      </w:pPr>
      <w:r w:rsidRPr="00A304A7">
        <w:t xml:space="preserve">The ESC advised, given its view the claim of non-inferior comparative effectiveness to adalimumab was not adequately supported, that the cost minimisation approach proposed in the submission was inappropriate. </w:t>
      </w:r>
    </w:p>
    <w:p w14:paraId="5EE39BEB" w14:textId="7F728191" w:rsidR="007B5D3F" w:rsidRPr="007B5D3F" w:rsidRDefault="008B369F" w:rsidP="002C5A40">
      <w:pPr>
        <w:pStyle w:val="4-SubsectionHeading"/>
        <w:rPr>
          <w:b w:val="0"/>
          <w:i w:val="0"/>
        </w:rPr>
      </w:pPr>
      <w:bookmarkStart w:id="40" w:name="_Toc135036639"/>
      <w:r w:rsidRPr="007B5D3F">
        <w:t>Secukinumab cost/patient/year</w:t>
      </w:r>
      <w:bookmarkEnd w:id="40"/>
    </w:p>
    <w:p w14:paraId="73B50584" w14:textId="2BD81265" w:rsidR="008B369F" w:rsidRPr="005E2E87" w:rsidRDefault="00AE2B08" w:rsidP="007E1C14">
      <w:pPr>
        <w:pStyle w:val="3-BodyText"/>
        <w:rPr>
          <w:snapToGrid/>
        </w:rPr>
      </w:pPr>
      <w:r w:rsidRPr="005E2E87">
        <w:rPr>
          <w:snapToGrid/>
        </w:rPr>
        <w:t>The d</w:t>
      </w:r>
      <w:r w:rsidR="00A7758F" w:rsidRPr="005E2E87">
        <w:rPr>
          <w:snapToGrid/>
        </w:rPr>
        <w:t xml:space="preserve">rug cost per patient for </w:t>
      </w:r>
      <w:r w:rsidRPr="005E2E87">
        <w:rPr>
          <w:snapToGrid/>
        </w:rPr>
        <w:t xml:space="preserve">secukinumab and </w:t>
      </w:r>
      <w:r w:rsidR="005762D0" w:rsidRPr="005E2E87">
        <w:rPr>
          <w:snapToGrid/>
        </w:rPr>
        <w:t>adalimumab</w:t>
      </w:r>
      <w:r w:rsidRPr="005E2E87">
        <w:rPr>
          <w:snapToGrid/>
        </w:rPr>
        <w:t xml:space="preserve"> is presented in </w:t>
      </w:r>
      <w:r w:rsidR="008E73F6" w:rsidRPr="005E2E87">
        <w:rPr>
          <w:snapToGrid/>
        </w:rPr>
        <w:fldChar w:fldCharType="begin" w:fldLock="1"/>
      </w:r>
      <w:r w:rsidR="008E73F6" w:rsidRPr="005E2E87">
        <w:rPr>
          <w:snapToGrid/>
        </w:rPr>
        <w:instrText xml:space="preserve"> REF _Ref133931549 \h </w:instrText>
      </w:r>
      <w:r w:rsidR="00FA469D" w:rsidRPr="005E2E87">
        <w:rPr>
          <w:snapToGrid/>
        </w:rPr>
        <w:instrText xml:space="preserve"> \* MERGEFORMAT </w:instrText>
      </w:r>
      <w:r w:rsidR="008E73F6" w:rsidRPr="005E2E87">
        <w:rPr>
          <w:snapToGrid/>
        </w:rPr>
      </w:r>
      <w:r w:rsidR="008E73F6" w:rsidRPr="005E2E87">
        <w:rPr>
          <w:snapToGrid/>
        </w:rPr>
        <w:fldChar w:fldCharType="separate"/>
      </w:r>
      <w:r w:rsidR="000F75DF">
        <w:t xml:space="preserve">Table </w:t>
      </w:r>
      <w:r w:rsidR="000F75DF">
        <w:rPr>
          <w:noProof/>
        </w:rPr>
        <w:t>11</w:t>
      </w:r>
      <w:r w:rsidR="008E73F6" w:rsidRPr="005E2E87">
        <w:rPr>
          <w:snapToGrid/>
        </w:rPr>
        <w:fldChar w:fldCharType="end"/>
      </w:r>
      <w:r w:rsidR="008E73F6" w:rsidRPr="005E2E87">
        <w:rPr>
          <w:snapToGrid/>
        </w:rPr>
        <w:t>.</w:t>
      </w:r>
      <w:r w:rsidR="0040079A">
        <w:rPr>
          <w:snapToGrid/>
        </w:rPr>
        <w:t xml:space="preserve"> The cost per patient per year was based on the </w:t>
      </w:r>
      <w:r w:rsidR="00576EED">
        <w:rPr>
          <w:snapToGrid/>
        </w:rPr>
        <w:t>adalimumab</w:t>
      </w:r>
      <w:r w:rsidR="0040079A">
        <w:rPr>
          <w:snapToGrid/>
        </w:rPr>
        <w:t xml:space="preserve"> price at time of submission (</w:t>
      </w:r>
      <w:proofErr w:type="gramStart"/>
      <w:r w:rsidR="0040079A">
        <w:rPr>
          <w:snapToGrid/>
        </w:rPr>
        <w:t>i.e.</w:t>
      </w:r>
      <w:proofErr w:type="gramEnd"/>
      <w:r w:rsidR="0040079A">
        <w:rPr>
          <w:snapToGrid/>
        </w:rPr>
        <w:t xml:space="preserve"> not accounting for the price reduction which took effect on </w:t>
      </w:r>
      <w:r w:rsidR="00B85705">
        <w:rPr>
          <w:snapToGrid/>
        </w:rPr>
        <w:t>1 </w:t>
      </w:r>
      <w:r w:rsidR="0040079A">
        <w:rPr>
          <w:snapToGrid/>
        </w:rPr>
        <w:t>April</w:t>
      </w:r>
      <w:r w:rsidR="00B85705">
        <w:rPr>
          <w:snapToGrid/>
        </w:rPr>
        <w:t> </w:t>
      </w:r>
      <w:r w:rsidR="0040079A">
        <w:rPr>
          <w:snapToGrid/>
        </w:rPr>
        <w:t>2023</w:t>
      </w:r>
      <w:r w:rsidR="0062352F">
        <w:rPr>
          <w:snapToGrid/>
        </w:rPr>
        <w:t>)</w:t>
      </w:r>
      <w:r w:rsidR="0040079A">
        <w:rPr>
          <w:snapToGrid/>
        </w:rPr>
        <w:t>.</w:t>
      </w:r>
      <w:r w:rsidR="00463FB5" w:rsidRPr="005E2E87">
        <w:rPr>
          <w:snapToGrid/>
        </w:rPr>
        <w:t xml:space="preserve"> </w:t>
      </w:r>
    </w:p>
    <w:p w14:paraId="2C4706FA" w14:textId="7086A600" w:rsidR="000959F5" w:rsidRPr="00BB732D" w:rsidRDefault="000959F5" w:rsidP="000959F5">
      <w:pPr>
        <w:pStyle w:val="Caption"/>
        <w:rPr>
          <w:rStyle w:val="CommentReference"/>
          <w:b/>
          <w:szCs w:val="24"/>
        </w:rPr>
      </w:pPr>
      <w:bookmarkStart w:id="41" w:name="_Ref133931549"/>
      <w:r>
        <w:t xml:space="preserve">Table </w:t>
      </w:r>
      <w:r>
        <w:fldChar w:fldCharType="begin" w:fldLock="1"/>
      </w:r>
      <w:r>
        <w:instrText>SEQ Table \* ARABIC</w:instrText>
      </w:r>
      <w:r>
        <w:fldChar w:fldCharType="separate"/>
      </w:r>
      <w:r w:rsidR="000F75DF">
        <w:rPr>
          <w:noProof/>
        </w:rPr>
        <w:t>11</w:t>
      </w:r>
      <w:r>
        <w:fldChar w:fldCharType="end"/>
      </w:r>
      <w:bookmarkEnd w:id="41"/>
      <w:r>
        <w:t>:</w:t>
      </w:r>
      <w:r w:rsidRPr="00BB732D">
        <w:rPr>
          <w:rStyle w:val="CommentReference"/>
          <w:b/>
          <w:szCs w:val="24"/>
        </w:rPr>
        <w:t xml:space="preserve"> Drug cost per patient </w:t>
      </w:r>
      <w:r w:rsidR="001972C7">
        <w:rPr>
          <w:rStyle w:val="CommentReference"/>
          <w:b/>
          <w:szCs w:val="24"/>
        </w:rPr>
        <w:t xml:space="preserve">per year </w:t>
      </w:r>
      <w:r w:rsidRPr="00BB732D">
        <w:rPr>
          <w:rStyle w:val="CommentReference"/>
          <w:b/>
          <w:szCs w:val="24"/>
        </w:rPr>
        <w:t>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0959F5" w:rsidRPr="005E2E87" w14:paraId="44A32E83" w14:textId="77777777">
        <w:trPr>
          <w:cantSplit/>
          <w:tblHeader/>
          <w:jc w:val="center"/>
        </w:trPr>
        <w:tc>
          <w:tcPr>
            <w:tcW w:w="815" w:type="pct"/>
            <w:shd w:val="clear" w:color="auto" w:fill="auto"/>
            <w:vAlign w:val="center"/>
          </w:tcPr>
          <w:p w14:paraId="3BE377C4" w14:textId="77777777" w:rsidR="000959F5" w:rsidRPr="005E2E87" w:rsidRDefault="000959F5">
            <w:pPr>
              <w:pStyle w:val="In-tableHeading"/>
              <w:jc w:val="center"/>
            </w:pPr>
          </w:p>
        </w:tc>
        <w:tc>
          <w:tcPr>
            <w:tcW w:w="697" w:type="pct"/>
            <w:shd w:val="clear" w:color="auto" w:fill="auto"/>
            <w:vAlign w:val="center"/>
          </w:tcPr>
          <w:p w14:paraId="207676F7" w14:textId="77777777" w:rsidR="000959F5" w:rsidRPr="005E2E87" w:rsidRDefault="000959F5" w:rsidP="00B90BBB">
            <w:pPr>
              <w:pStyle w:val="In-tableHeading"/>
              <w:jc w:val="center"/>
            </w:pPr>
            <w:r w:rsidRPr="005E2E87">
              <w:t>Secukinumab</w:t>
            </w:r>
          </w:p>
          <w:p w14:paraId="7BBEB69F" w14:textId="5EC99EA9" w:rsidR="000959F5" w:rsidRPr="005E2E87" w:rsidRDefault="000959F5" w:rsidP="00B90BBB">
            <w:pPr>
              <w:pStyle w:val="In-tableHeading"/>
              <w:jc w:val="center"/>
            </w:pPr>
            <w:r w:rsidRPr="005E2E87">
              <w:t>trial dose and duration</w:t>
            </w:r>
          </w:p>
        </w:tc>
        <w:tc>
          <w:tcPr>
            <w:tcW w:w="696" w:type="pct"/>
            <w:shd w:val="clear" w:color="auto" w:fill="auto"/>
            <w:vAlign w:val="center"/>
          </w:tcPr>
          <w:p w14:paraId="5E70EA3F" w14:textId="03396027" w:rsidR="000959F5" w:rsidRPr="005E2E87" w:rsidRDefault="000959F5" w:rsidP="00B90BBB">
            <w:pPr>
              <w:pStyle w:val="In-tableHeading"/>
              <w:jc w:val="center"/>
            </w:pPr>
            <w:r w:rsidRPr="005E2E87">
              <w:t>Secukinumab</w:t>
            </w:r>
          </w:p>
          <w:p w14:paraId="2CD74FB9" w14:textId="77777777" w:rsidR="000959F5" w:rsidRPr="005E2E87" w:rsidRDefault="000959F5" w:rsidP="00B90BBB">
            <w:pPr>
              <w:pStyle w:val="In-tableHeading"/>
              <w:jc w:val="center"/>
            </w:pPr>
            <w:r w:rsidRPr="005E2E87">
              <w:t>CMA</w:t>
            </w:r>
          </w:p>
        </w:tc>
        <w:tc>
          <w:tcPr>
            <w:tcW w:w="698" w:type="pct"/>
            <w:shd w:val="clear" w:color="auto" w:fill="auto"/>
            <w:vAlign w:val="center"/>
          </w:tcPr>
          <w:p w14:paraId="5B1A4811" w14:textId="77777777" w:rsidR="000959F5" w:rsidRPr="005E2E87" w:rsidRDefault="000959F5" w:rsidP="00B90BBB">
            <w:pPr>
              <w:pStyle w:val="In-tableHeading"/>
              <w:jc w:val="center"/>
            </w:pPr>
            <w:r w:rsidRPr="005E2E87">
              <w:t>Secukinumab</w:t>
            </w:r>
          </w:p>
          <w:p w14:paraId="1A4BA88B" w14:textId="680AABEB" w:rsidR="000959F5" w:rsidRPr="005E2E87" w:rsidRDefault="000959F5" w:rsidP="00B90BBB">
            <w:pPr>
              <w:pStyle w:val="In-tableHeading"/>
              <w:jc w:val="center"/>
            </w:pPr>
            <w:r w:rsidRPr="005E2E87">
              <w:t>financial estimates</w:t>
            </w:r>
          </w:p>
        </w:tc>
        <w:tc>
          <w:tcPr>
            <w:tcW w:w="696" w:type="pct"/>
            <w:shd w:val="clear" w:color="auto" w:fill="auto"/>
            <w:vAlign w:val="center"/>
          </w:tcPr>
          <w:p w14:paraId="638D9357" w14:textId="77777777" w:rsidR="000959F5" w:rsidRPr="005E2E87" w:rsidRDefault="005762D0" w:rsidP="00B90BBB">
            <w:pPr>
              <w:pStyle w:val="In-tableHeading"/>
              <w:jc w:val="center"/>
            </w:pPr>
            <w:r w:rsidRPr="005E2E87">
              <w:t>Adalimumab</w:t>
            </w:r>
          </w:p>
          <w:p w14:paraId="495A6F4F" w14:textId="39CAA557" w:rsidR="000959F5" w:rsidRPr="005E2E87" w:rsidRDefault="000959F5" w:rsidP="00B90BBB">
            <w:pPr>
              <w:pStyle w:val="In-tableHeading"/>
              <w:jc w:val="center"/>
            </w:pPr>
            <w:r w:rsidRPr="005E2E87">
              <w:t>trial dose and duration</w:t>
            </w:r>
          </w:p>
        </w:tc>
        <w:tc>
          <w:tcPr>
            <w:tcW w:w="699" w:type="pct"/>
            <w:shd w:val="clear" w:color="auto" w:fill="auto"/>
            <w:vAlign w:val="center"/>
          </w:tcPr>
          <w:p w14:paraId="2D6D0976" w14:textId="77777777" w:rsidR="000959F5" w:rsidRPr="005E2E87" w:rsidRDefault="005762D0" w:rsidP="00B90BBB">
            <w:pPr>
              <w:pStyle w:val="In-tableHeading"/>
              <w:jc w:val="center"/>
            </w:pPr>
            <w:r w:rsidRPr="005E2E87">
              <w:t>Adalimumab</w:t>
            </w:r>
          </w:p>
          <w:p w14:paraId="4B10AC96" w14:textId="77777777" w:rsidR="000959F5" w:rsidRPr="005E2E87" w:rsidRDefault="000959F5" w:rsidP="00B90BBB">
            <w:pPr>
              <w:pStyle w:val="In-tableHeading"/>
              <w:jc w:val="center"/>
            </w:pPr>
            <w:r w:rsidRPr="005E2E87">
              <w:t>CMA</w:t>
            </w:r>
          </w:p>
        </w:tc>
        <w:tc>
          <w:tcPr>
            <w:tcW w:w="699" w:type="pct"/>
          </w:tcPr>
          <w:p w14:paraId="59B9E396" w14:textId="77777777" w:rsidR="000959F5" w:rsidRPr="005E2E87" w:rsidRDefault="005762D0" w:rsidP="00B90BBB">
            <w:pPr>
              <w:pStyle w:val="In-tableHeading"/>
              <w:jc w:val="center"/>
            </w:pPr>
            <w:r w:rsidRPr="005E2E87">
              <w:t>Adalimumab</w:t>
            </w:r>
          </w:p>
          <w:p w14:paraId="4B5CDD50" w14:textId="2E76C0DC" w:rsidR="000959F5" w:rsidRPr="005E2E87" w:rsidRDefault="000959F5" w:rsidP="00B90BBB">
            <w:pPr>
              <w:pStyle w:val="In-tableHeading"/>
              <w:jc w:val="center"/>
            </w:pPr>
            <w:r w:rsidRPr="005E2E87">
              <w:t>financial estimates</w:t>
            </w:r>
          </w:p>
        </w:tc>
      </w:tr>
      <w:tr w:rsidR="000959F5" w:rsidRPr="005E2E87" w14:paraId="7BF5D6DF" w14:textId="77777777" w:rsidTr="00B02B66">
        <w:trPr>
          <w:cantSplit/>
          <w:jc w:val="center"/>
        </w:trPr>
        <w:tc>
          <w:tcPr>
            <w:tcW w:w="815" w:type="pct"/>
            <w:shd w:val="clear" w:color="auto" w:fill="auto"/>
            <w:vAlign w:val="center"/>
          </w:tcPr>
          <w:p w14:paraId="433C395F" w14:textId="77777777" w:rsidR="000959F5" w:rsidRPr="005E2E87" w:rsidRDefault="000959F5">
            <w:pPr>
              <w:pStyle w:val="TableText0"/>
              <w:rPr>
                <w:lang w:val="en-US"/>
              </w:rPr>
            </w:pPr>
            <w:r w:rsidRPr="005E2E87">
              <w:rPr>
                <w:lang w:val="en-US"/>
              </w:rPr>
              <w:t>Mean dose/scripts</w:t>
            </w:r>
          </w:p>
        </w:tc>
        <w:tc>
          <w:tcPr>
            <w:tcW w:w="697" w:type="pct"/>
            <w:shd w:val="clear" w:color="auto" w:fill="auto"/>
            <w:vAlign w:val="center"/>
          </w:tcPr>
          <w:p w14:paraId="2FB7F87D" w14:textId="4B44954C" w:rsidR="000959F5" w:rsidRPr="005E2E87" w:rsidRDefault="000959F5" w:rsidP="00B02B66">
            <w:pPr>
              <w:pStyle w:val="TableText0"/>
              <w:jc w:val="center"/>
              <w:rPr>
                <w:bCs w:val="0"/>
                <w:lang w:val="en-US"/>
              </w:rPr>
            </w:pPr>
            <w:r w:rsidRPr="005E2E87">
              <w:rPr>
                <w:bCs w:val="0"/>
                <w:lang w:val="en-US"/>
              </w:rPr>
              <w:t>13.1 doses</w:t>
            </w:r>
            <w:r w:rsidR="001972C7" w:rsidRPr="005E2E87">
              <w:rPr>
                <w:bCs w:val="0"/>
                <w:vertAlign w:val="superscript"/>
                <w:lang w:val="en-US"/>
              </w:rPr>
              <w:t>a</w:t>
            </w:r>
          </w:p>
        </w:tc>
        <w:tc>
          <w:tcPr>
            <w:tcW w:w="696" w:type="pct"/>
            <w:shd w:val="clear" w:color="auto" w:fill="auto"/>
            <w:vAlign w:val="center"/>
          </w:tcPr>
          <w:p w14:paraId="5171C08B" w14:textId="2120559C" w:rsidR="000959F5" w:rsidRPr="005E2E87" w:rsidRDefault="001972C7" w:rsidP="00B02B66">
            <w:pPr>
              <w:pStyle w:val="TableText0"/>
              <w:jc w:val="center"/>
            </w:pPr>
            <w:r w:rsidRPr="005E2E87">
              <w:rPr>
                <w:lang w:val="en-US"/>
              </w:rPr>
              <w:t>14.5 doses</w:t>
            </w:r>
            <w:r w:rsidRPr="005E2E87">
              <w:rPr>
                <w:vertAlign w:val="superscript"/>
                <w:lang w:val="en-US"/>
              </w:rPr>
              <w:t>b</w:t>
            </w:r>
          </w:p>
        </w:tc>
        <w:tc>
          <w:tcPr>
            <w:tcW w:w="698" w:type="pct"/>
            <w:shd w:val="clear" w:color="auto" w:fill="auto"/>
            <w:vAlign w:val="center"/>
          </w:tcPr>
          <w:p w14:paraId="21B2BC19" w14:textId="2B590FC5" w:rsidR="000959F5" w:rsidRPr="005E2E87" w:rsidRDefault="001972C7">
            <w:pPr>
              <w:pStyle w:val="TableText0"/>
              <w:jc w:val="center"/>
            </w:pPr>
            <w:r w:rsidRPr="005E2E87">
              <w:rPr>
                <w:lang w:val="en-US"/>
              </w:rPr>
              <w:t>14.5 doses</w:t>
            </w:r>
            <w:r w:rsidRPr="005E2E87">
              <w:rPr>
                <w:vertAlign w:val="superscript"/>
                <w:lang w:val="en-US"/>
              </w:rPr>
              <w:t>b</w:t>
            </w:r>
            <w:r w:rsidR="00D4343E" w:rsidRPr="005E2E87">
              <w:rPr>
                <w:vertAlign w:val="superscript"/>
                <w:lang w:val="en-US"/>
              </w:rPr>
              <w:t xml:space="preserve"> </w:t>
            </w:r>
          </w:p>
        </w:tc>
        <w:tc>
          <w:tcPr>
            <w:tcW w:w="696" w:type="pct"/>
            <w:shd w:val="clear" w:color="auto" w:fill="auto"/>
            <w:vAlign w:val="center"/>
          </w:tcPr>
          <w:p w14:paraId="60E6D9C1" w14:textId="77777777" w:rsidR="000959F5" w:rsidRPr="005E2E87" w:rsidRDefault="000959F5">
            <w:pPr>
              <w:pStyle w:val="TableText0"/>
              <w:jc w:val="center"/>
              <w:rPr>
                <w:bCs w:val="0"/>
                <w:lang w:val="en-US"/>
              </w:rPr>
            </w:pPr>
            <w:r w:rsidRPr="005E2E87">
              <w:rPr>
                <w:bCs w:val="0"/>
                <w:lang w:val="en-US"/>
              </w:rPr>
              <w:t>NR</w:t>
            </w:r>
          </w:p>
        </w:tc>
        <w:tc>
          <w:tcPr>
            <w:tcW w:w="699" w:type="pct"/>
            <w:shd w:val="clear" w:color="auto" w:fill="auto"/>
            <w:vAlign w:val="center"/>
          </w:tcPr>
          <w:p w14:paraId="70A165FF" w14:textId="75EB312A" w:rsidR="000959F5" w:rsidRPr="005E2E87" w:rsidRDefault="001972C7">
            <w:pPr>
              <w:pStyle w:val="PBACTableText"/>
              <w:jc w:val="center"/>
              <w:rPr>
                <w:bCs/>
                <w:lang w:val="en-US"/>
              </w:rPr>
            </w:pPr>
            <w:r w:rsidRPr="005E2E87">
              <w:rPr>
                <w:lang w:val="en-US"/>
              </w:rPr>
              <w:t>26.5 doses</w:t>
            </w:r>
            <w:r w:rsidRPr="005E2E87">
              <w:rPr>
                <w:vertAlign w:val="superscript"/>
                <w:lang w:val="en-US"/>
              </w:rPr>
              <w:t>c</w:t>
            </w:r>
            <w:r w:rsidRPr="005E2E87">
              <w:rPr>
                <w:lang w:val="en-US"/>
              </w:rPr>
              <w:t xml:space="preserve"> </w:t>
            </w:r>
          </w:p>
        </w:tc>
        <w:tc>
          <w:tcPr>
            <w:tcW w:w="699" w:type="pct"/>
            <w:vAlign w:val="center"/>
          </w:tcPr>
          <w:p w14:paraId="17ED0C19" w14:textId="1C9DCE91" w:rsidR="000959F5" w:rsidRPr="005E2E87" w:rsidRDefault="001972C7">
            <w:pPr>
              <w:pStyle w:val="TableText0"/>
              <w:jc w:val="center"/>
              <w:rPr>
                <w:b/>
                <w:lang w:val="en-US"/>
              </w:rPr>
            </w:pPr>
            <w:r w:rsidRPr="005E2E87">
              <w:rPr>
                <w:bCs w:val="0"/>
                <w:lang w:val="en-US"/>
              </w:rPr>
              <w:t>26.5 doses</w:t>
            </w:r>
            <w:r w:rsidRPr="005E2E87">
              <w:rPr>
                <w:bCs w:val="0"/>
                <w:vertAlign w:val="superscript"/>
                <w:lang w:val="en-US"/>
              </w:rPr>
              <w:t xml:space="preserve">c </w:t>
            </w:r>
          </w:p>
        </w:tc>
      </w:tr>
      <w:tr w:rsidR="001972C7" w:rsidRPr="005E2E87" w14:paraId="4FB74F16" w14:textId="77777777" w:rsidTr="001972C7">
        <w:trPr>
          <w:cantSplit/>
          <w:jc w:val="center"/>
        </w:trPr>
        <w:tc>
          <w:tcPr>
            <w:tcW w:w="815" w:type="pct"/>
            <w:shd w:val="clear" w:color="auto" w:fill="auto"/>
            <w:vAlign w:val="center"/>
          </w:tcPr>
          <w:p w14:paraId="58D524D5" w14:textId="6B97725F" w:rsidR="001972C7" w:rsidRPr="005E2E87" w:rsidDel="001972C7" w:rsidRDefault="001972C7">
            <w:pPr>
              <w:pStyle w:val="TableText0"/>
              <w:spacing w:line="259" w:lineRule="auto"/>
              <w:rPr>
                <w:lang w:val="en-US"/>
              </w:rPr>
            </w:pPr>
            <w:r w:rsidRPr="005E2E87">
              <w:rPr>
                <w:lang w:val="en-US"/>
              </w:rPr>
              <w:t>DPMQ per script</w:t>
            </w:r>
          </w:p>
        </w:tc>
        <w:tc>
          <w:tcPr>
            <w:tcW w:w="2091" w:type="pct"/>
            <w:gridSpan w:val="3"/>
            <w:shd w:val="clear" w:color="auto" w:fill="auto"/>
            <w:vAlign w:val="center"/>
          </w:tcPr>
          <w:p w14:paraId="0BCF4A42" w14:textId="0B89AF29" w:rsidR="001972C7" w:rsidRPr="005E2E87" w:rsidDel="001972C7" w:rsidRDefault="00A93130">
            <w:pPr>
              <w:pStyle w:val="TableText0"/>
              <w:jc w:val="center"/>
              <w:rPr>
                <w:strike/>
                <w:lang w:val="en-US"/>
              </w:rPr>
            </w:pPr>
            <w:r w:rsidRPr="005E2E87">
              <w:rPr>
                <w:lang w:val="en-US"/>
              </w:rPr>
              <w:t>$1,209.00</w:t>
            </w:r>
          </w:p>
        </w:tc>
        <w:tc>
          <w:tcPr>
            <w:tcW w:w="2094" w:type="pct"/>
            <w:gridSpan w:val="3"/>
            <w:shd w:val="clear" w:color="auto" w:fill="auto"/>
            <w:vAlign w:val="center"/>
          </w:tcPr>
          <w:p w14:paraId="331BE1EF" w14:textId="3119DFDC" w:rsidR="001972C7" w:rsidRPr="005E2E87" w:rsidDel="001972C7" w:rsidRDefault="00FB1E72" w:rsidP="00CF513A">
            <w:pPr>
              <w:pStyle w:val="TableText0"/>
              <w:spacing w:line="259" w:lineRule="auto"/>
              <w:jc w:val="center"/>
              <w:rPr>
                <w:lang w:val="en-US"/>
              </w:rPr>
            </w:pPr>
            <w:r w:rsidRPr="005E2E87">
              <w:rPr>
                <w:lang w:val="en-US"/>
              </w:rPr>
              <w:t>$675.94</w:t>
            </w:r>
          </w:p>
        </w:tc>
      </w:tr>
      <w:tr w:rsidR="000959F5" w:rsidRPr="005E2E87" w14:paraId="1A0D7EF5" w14:textId="77777777">
        <w:trPr>
          <w:cantSplit/>
          <w:jc w:val="center"/>
        </w:trPr>
        <w:tc>
          <w:tcPr>
            <w:tcW w:w="815" w:type="pct"/>
            <w:shd w:val="clear" w:color="auto" w:fill="auto"/>
            <w:vAlign w:val="center"/>
          </w:tcPr>
          <w:p w14:paraId="4CCEE974" w14:textId="3CDB06C4" w:rsidR="000959F5" w:rsidRPr="005E2E87" w:rsidRDefault="000959F5">
            <w:pPr>
              <w:pStyle w:val="TableText0"/>
              <w:rPr>
                <w:lang w:val="en-US"/>
              </w:rPr>
            </w:pPr>
            <w:r w:rsidRPr="005E2E87">
              <w:rPr>
                <w:lang w:val="en-US"/>
              </w:rPr>
              <w:t>Cost/patient/year</w:t>
            </w:r>
          </w:p>
        </w:tc>
        <w:tc>
          <w:tcPr>
            <w:tcW w:w="697" w:type="pct"/>
            <w:shd w:val="clear" w:color="auto" w:fill="auto"/>
            <w:vAlign w:val="center"/>
          </w:tcPr>
          <w:p w14:paraId="38DED7FD" w14:textId="3C118106" w:rsidR="000959F5" w:rsidRPr="005E2E87" w:rsidRDefault="00ED0888">
            <w:pPr>
              <w:pStyle w:val="TableText0"/>
              <w:jc w:val="center"/>
              <w:rPr>
                <w:lang w:val="en-US"/>
              </w:rPr>
            </w:pPr>
            <w:r w:rsidRPr="005E2E87">
              <w:rPr>
                <w:lang w:val="en-US"/>
              </w:rPr>
              <w:t>$15,838</w:t>
            </w:r>
          </w:p>
        </w:tc>
        <w:tc>
          <w:tcPr>
            <w:tcW w:w="696" w:type="pct"/>
            <w:shd w:val="clear" w:color="auto" w:fill="auto"/>
            <w:vAlign w:val="center"/>
          </w:tcPr>
          <w:p w14:paraId="050FDE3A" w14:textId="4AB283FA" w:rsidR="000959F5" w:rsidRPr="005E2E87" w:rsidRDefault="006877CF">
            <w:pPr>
              <w:pStyle w:val="TableText0"/>
              <w:jc w:val="center"/>
              <w:rPr>
                <w:lang w:val="en-US"/>
              </w:rPr>
            </w:pPr>
            <w:r w:rsidRPr="005E2E87">
              <w:rPr>
                <w:lang w:val="en-US"/>
              </w:rPr>
              <w:t>$17,531</w:t>
            </w:r>
          </w:p>
        </w:tc>
        <w:tc>
          <w:tcPr>
            <w:tcW w:w="698" w:type="pct"/>
            <w:shd w:val="clear" w:color="auto" w:fill="auto"/>
            <w:vAlign w:val="center"/>
          </w:tcPr>
          <w:p w14:paraId="43885E2F" w14:textId="37C60F43" w:rsidR="000959F5" w:rsidRPr="005E2E87" w:rsidRDefault="006877CF">
            <w:pPr>
              <w:pStyle w:val="TableText0"/>
              <w:jc w:val="center"/>
              <w:rPr>
                <w:lang w:val="en-US"/>
              </w:rPr>
            </w:pPr>
            <w:r w:rsidRPr="005E2E87">
              <w:rPr>
                <w:lang w:val="en-US"/>
              </w:rPr>
              <w:t>$17,531</w:t>
            </w:r>
          </w:p>
        </w:tc>
        <w:tc>
          <w:tcPr>
            <w:tcW w:w="696" w:type="pct"/>
            <w:shd w:val="clear" w:color="auto" w:fill="auto"/>
            <w:vAlign w:val="center"/>
          </w:tcPr>
          <w:p w14:paraId="61921A32" w14:textId="77777777" w:rsidR="000959F5" w:rsidRPr="005E2E87" w:rsidRDefault="000959F5">
            <w:pPr>
              <w:pStyle w:val="TableText0"/>
              <w:jc w:val="center"/>
              <w:rPr>
                <w:bCs w:val="0"/>
                <w:lang w:val="en-US"/>
              </w:rPr>
            </w:pPr>
            <w:r w:rsidRPr="005E2E87">
              <w:rPr>
                <w:bCs w:val="0"/>
                <w:lang w:val="en-US"/>
              </w:rPr>
              <w:t>NE</w:t>
            </w:r>
          </w:p>
        </w:tc>
        <w:tc>
          <w:tcPr>
            <w:tcW w:w="699" w:type="pct"/>
            <w:shd w:val="clear" w:color="auto" w:fill="auto"/>
            <w:vAlign w:val="center"/>
          </w:tcPr>
          <w:p w14:paraId="6E3C2B88" w14:textId="4F27C3BA" w:rsidR="000959F5" w:rsidRPr="005E2E87" w:rsidRDefault="00546C6B">
            <w:pPr>
              <w:pStyle w:val="TableText0"/>
              <w:jc w:val="center"/>
              <w:rPr>
                <w:lang w:val="en-US"/>
              </w:rPr>
            </w:pPr>
            <w:r w:rsidRPr="005E2E87">
              <w:rPr>
                <w:lang w:val="en-US"/>
              </w:rPr>
              <w:t>$17,912</w:t>
            </w:r>
          </w:p>
        </w:tc>
        <w:tc>
          <w:tcPr>
            <w:tcW w:w="699" w:type="pct"/>
            <w:vAlign w:val="center"/>
          </w:tcPr>
          <w:p w14:paraId="1412387B" w14:textId="28B2DED5" w:rsidR="000959F5" w:rsidRPr="005E2E87" w:rsidRDefault="00546C6B">
            <w:pPr>
              <w:pStyle w:val="TableText0"/>
              <w:jc w:val="center"/>
              <w:rPr>
                <w:lang w:val="en-US"/>
              </w:rPr>
            </w:pPr>
            <w:r w:rsidRPr="005E2E87">
              <w:rPr>
                <w:lang w:val="en-US"/>
              </w:rPr>
              <w:t>$17,912</w:t>
            </w:r>
          </w:p>
        </w:tc>
      </w:tr>
    </w:tbl>
    <w:p w14:paraId="4BF7DB03" w14:textId="2B53FDC2" w:rsidR="000959F5" w:rsidRDefault="000959F5" w:rsidP="000959F5">
      <w:pPr>
        <w:pStyle w:val="FooterTableFigure"/>
      </w:pPr>
      <w:r w:rsidRPr="007F1017">
        <w:t>Source</w:t>
      </w:r>
      <w:r>
        <w:t xml:space="preserve">: </w:t>
      </w:r>
      <w:r w:rsidR="00382DAF">
        <w:t xml:space="preserve">constructed during evaluation </w:t>
      </w:r>
    </w:p>
    <w:p w14:paraId="7E99E13F" w14:textId="77777777" w:rsidR="000959F5" w:rsidRDefault="000959F5" w:rsidP="000959F5">
      <w:pPr>
        <w:pStyle w:val="FooterTableFigure"/>
      </w:pPr>
      <w:r>
        <w:t xml:space="preserve">CMA= cost-minimisation approach; NE= not estimated; NR= not reported. </w:t>
      </w:r>
    </w:p>
    <w:p w14:paraId="706321F3" w14:textId="08D0A84B" w:rsidR="000959F5" w:rsidRPr="00AD1784" w:rsidRDefault="000959F5" w:rsidP="000959F5">
      <w:pPr>
        <w:pStyle w:val="FooterTableFigure"/>
      </w:pPr>
      <w:proofErr w:type="spellStart"/>
      <w:proofErr w:type="gramStart"/>
      <w:r>
        <w:rPr>
          <w:vertAlign w:val="superscript"/>
        </w:rPr>
        <w:t>a</w:t>
      </w:r>
      <w:proofErr w:type="spellEnd"/>
      <w:proofErr w:type="gramEnd"/>
      <w:r>
        <w:rPr>
          <w:vertAlign w:val="superscript"/>
        </w:rPr>
        <w:t xml:space="preserve"> </w:t>
      </w:r>
      <w:r>
        <w:t>Actual dose intensity in the trials (13.1 injections x 30</w:t>
      </w:r>
      <w:r w:rsidR="00325DC6">
        <w:t>0 mg</w:t>
      </w:r>
      <w:r>
        <w:t xml:space="preserve">) (pooled data from </w:t>
      </w:r>
      <w:r w:rsidR="00FA469D">
        <w:t>SUNSHINE</w:t>
      </w:r>
      <w:r>
        <w:t xml:space="preserve"> and </w:t>
      </w:r>
      <w:r w:rsidR="00FA469D">
        <w:t>SUNRISE</w:t>
      </w:r>
      <w:r>
        <w:t>).</w:t>
      </w:r>
    </w:p>
    <w:p w14:paraId="52F844BE" w14:textId="3EF0CE70" w:rsidR="00E1476E" w:rsidRDefault="00E1476E" w:rsidP="00E1476E">
      <w:pPr>
        <w:pStyle w:val="FooterTableFigure"/>
      </w:pPr>
      <w:r w:rsidRPr="002B0530">
        <w:rPr>
          <w:vertAlign w:val="superscript"/>
        </w:rPr>
        <w:t>b</w:t>
      </w:r>
      <w:r>
        <w:t xml:space="preserve"> Average</w:t>
      </w:r>
      <w:r w:rsidR="001972C7">
        <w:t>d over</w:t>
      </w:r>
      <w:r>
        <w:t xml:space="preserve"> 2-year</w:t>
      </w:r>
      <w:r w:rsidR="001972C7">
        <w:t>s</w:t>
      </w:r>
      <w:r>
        <w:t xml:space="preserve"> treatment (16x30</w:t>
      </w:r>
      <w:r w:rsidR="00325DC6">
        <w:t>0 mg</w:t>
      </w:r>
      <w:r>
        <w:t xml:space="preserve"> doses in year 1 and 13x30</w:t>
      </w:r>
      <w:r w:rsidR="00325DC6">
        <w:t>0 mg</w:t>
      </w:r>
      <w:r>
        <w:t xml:space="preserve"> in year 2).</w:t>
      </w:r>
    </w:p>
    <w:p w14:paraId="5715AECA" w14:textId="39E54468" w:rsidR="00614B68" w:rsidRDefault="00E1476E" w:rsidP="008A68B9">
      <w:pPr>
        <w:pStyle w:val="FooterTableFigure"/>
      </w:pPr>
      <w:r w:rsidRPr="002B0530">
        <w:rPr>
          <w:vertAlign w:val="superscript"/>
        </w:rPr>
        <w:t>c</w:t>
      </w:r>
      <w:r>
        <w:t xml:space="preserve"> Average</w:t>
      </w:r>
      <w:r w:rsidR="001972C7">
        <w:t>d over</w:t>
      </w:r>
      <w:r>
        <w:t xml:space="preserve"> 2-year</w:t>
      </w:r>
      <w:r w:rsidR="001972C7">
        <w:t>s</w:t>
      </w:r>
      <w:r>
        <w:t xml:space="preserve"> treatment (27x8</w:t>
      </w:r>
      <w:r w:rsidR="00325DC6">
        <w:t>0 mg</w:t>
      </w:r>
      <w:r>
        <w:t xml:space="preserve"> doses in year 1 and 26x8</w:t>
      </w:r>
      <w:r w:rsidR="00325DC6">
        <w:t>0 mg</w:t>
      </w:r>
      <w:r>
        <w:t xml:space="preserve"> in year 2). </w:t>
      </w:r>
    </w:p>
    <w:p w14:paraId="268768EF" w14:textId="2895A979" w:rsidR="00B60939" w:rsidRPr="00C9624D" w:rsidRDefault="00B60939" w:rsidP="002B05A1">
      <w:pPr>
        <w:pStyle w:val="4-SubsectionHeading"/>
      </w:pPr>
      <w:bookmarkStart w:id="42" w:name="_Toc22897647"/>
      <w:bookmarkStart w:id="43" w:name="_Toc135036640"/>
      <w:r w:rsidRPr="00C9624D">
        <w:t>Estimated PBS usage &amp; financial implications</w:t>
      </w:r>
      <w:bookmarkEnd w:id="42"/>
      <w:bookmarkEnd w:id="43"/>
    </w:p>
    <w:p w14:paraId="491DE060" w14:textId="1E181DF1" w:rsidR="00091C2B" w:rsidRPr="00091C2B" w:rsidRDefault="00C25D9C" w:rsidP="007E1C14">
      <w:pPr>
        <w:pStyle w:val="3-BodyText"/>
        <w:rPr>
          <w:color w:val="0066FF"/>
        </w:rPr>
      </w:pPr>
      <w:r>
        <w:t xml:space="preserve">This submission </w:t>
      </w:r>
      <w:r w:rsidR="00B201A4">
        <w:t>w</w:t>
      </w:r>
      <w:r w:rsidR="004E657B">
        <w:t>as</w:t>
      </w:r>
      <w:r>
        <w:t xml:space="preserve"> not</w:t>
      </w:r>
      <w:r w:rsidR="004E657B">
        <w:t xml:space="preserve"> </w:t>
      </w:r>
      <w:r>
        <w:t>considered by DUSC</w:t>
      </w:r>
      <w:r w:rsidR="006373E4">
        <w:t>.</w:t>
      </w:r>
    </w:p>
    <w:p w14:paraId="3D08D434" w14:textId="395D79E4" w:rsidR="0071751E" w:rsidRPr="00A304A7" w:rsidRDefault="00091C2B" w:rsidP="007E1C14">
      <w:pPr>
        <w:pStyle w:val="3-BodyText"/>
        <w:rPr>
          <w:color w:val="0066FF"/>
        </w:rPr>
      </w:pPr>
      <w:r w:rsidRPr="00A304A7">
        <w:t xml:space="preserve">The submission used a market share approach to estimate the extent of use and financial implications of listing secukinumab for the treatment of moderate to severe HS on the PBS. </w:t>
      </w:r>
      <w:r w:rsidR="000E0BFA" w:rsidRPr="00A304A7">
        <w:t xml:space="preserve">The market size of HS was approximated by </w:t>
      </w:r>
      <w:r w:rsidR="003245B7" w:rsidRPr="00A304A7">
        <w:t>using</w:t>
      </w:r>
      <w:r w:rsidR="007158B4" w:rsidRPr="00A304A7">
        <w:t xml:space="preserve"> </w:t>
      </w:r>
      <w:r w:rsidR="000E0BFA" w:rsidRPr="00A304A7">
        <w:t>Medicare statistics to derive</w:t>
      </w:r>
      <w:r w:rsidR="0071751E" w:rsidRPr="00A304A7">
        <w:t xml:space="preserve"> the number of </w:t>
      </w:r>
      <w:r w:rsidR="005762D0" w:rsidRPr="00A304A7">
        <w:t>adalimumab</w:t>
      </w:r>
      <w:r w:rsidR="000E0BFA" w:rsidRPr="00A304A7">
        <w:t xml:space="preserve"> </w:t>
      </w:r>
      <w:r w:rsidR="0071751E" w:rsidRPr="00A304A7">
        <w:t xml:space="preserve">prescriptions </w:t>
      </w:r>
      <w:r w:rsidR="000E0BFA" w:rsidRPr="00A304A7">
        <w:t xml:space="preserve">for the </w:t>
      </w:r>
      <w:r w:rsidR="0071751E" w:rsidRPr="00A304A7">
        <w:t xml:space="preserve">treatment of HS </w:t>
      </w:r>
      <w:r w:rsidR="000E0BFA" w:rsidRPr="00A304A7">
        <w:t>following</w:t>
      </w:r>
      <w:r w:rsidR="0071751E" w:rsidRPr="00A304A7">
        <w:t xml:space="preserve"> its </w:t>
      </w:r>
      <w:r w:rsidR="000E0BFA" w:rsidRPr="00A304A7">
        <w:t>inclusion</w:t>
      </w:r>
      <w:r w:rsidR="00A10BBC" w:rsidRPr="00A304A7">
        <w:t xml:space="preserve"> o</w:t>
      </w:r>
      <w:r w:rsidR="00390E6F" w:rsidRPr="00A304A7">
        <w:t>n the PBS</w:t>
      </w:r>
      <w:r w:rsidR="0071751E" w:rsidRPr="00A304A7">
        <w:t xml:space="preserve"> in July 2017</w:t>
      </w:r>
      <w:r w:rsidR="000E0BFA" w:rsidRPr="00A304A7">
        <w:t>.</w:t>
      </w:r>
      <w:r w:rsidR="0071751E" w:rsidRPr="00A304A7">
        <w:t xml:space="preserve"> </w:t>
      </w:r>
      <w:r w:rsidR="005D0727" w:rsidRPr="00A304A7">
        <w:t>T</w:t>
      </w:r>
      <w:r w:rsidR="0071751E" w:rsidRPr="00A304A7">
        <w:t xml:space="preserve">he </w:t>
      </w:r>
      <w:r w:rsidR="000A4116" w:rsidRPr="00A304A7">
        <w:t xml:space="preserve">submission assumed </w:t>
      </w:r>
      <w:r w:rsidR="00626A35" w:rsidRPr="00A304A7">
        <w:t xml:space="preserve">that a proportion of patients failing </w:t>
      </w:r>
      <w:r w:rsidR="005762D0" w:rsidRPr="00A304A7">
        <w:t>adalimumab</w:t>
      </w:r>
      <w:r w:rsidR="00626A35" w:rsidRPr="00A304A7">
        <w:t xml:space="preserve"> would receive secukinumab as a second line therapy. The </w:t>
      </w:r>
      <w:r w:rsidR="0008526F" w:rsidRPr="00A304A7">
        <w:t xml:space="preserve">assumed </w:t>
      </w:r>
      <w:r w:rsidR="00626A35" w:rsidRPr="00A304A7">
        <w:t xml:space="preserve">use as second line therapy represents an expansion of the HS market. </w:t>
      </w:r>
      <w:r w:rsidR="006373E4" w:rsidRPr="00A304A7">
        <w:t>U</w:t>
      </w:r>
      <w:r w:rsidR="0071751E" w:rsidRPr="00A304A7" w:rsidDel="00626A35">
        <w:t xml:space="preserve">ptake rate and proportion of </w:t>
      </w:r>
      <w:r w:rsidR="005D0727" w:rsidRPr="00A304A7" w:rsidDel="00626A35">
        <w:t xml:space="preserve">use </w:t>
      </w:r>
      <w:r w:rsidR="0071751E" w:rsidRPr="00A304A7" w:rsidDel="00626A35">
        <w:t>in second</w:t>
      </w:r>
      <w:r w:rsidR="005D0727" w:rsidRPr="00A304A7" w:rsidDel="00626A35">
        <w:t xml:space="preserve"> line</w:t>
      </w:r>
      <w:r w:rsidR="0071751E" w:rsidRPr="00A304A7" w:rsidDel="00626A35">
        <w:t xml:space="preserve"> </w:t>
      </w:r>
      <w:r w:rsidR="005D0727" w:rsidRPr="00A304A7" w:rsidDel="00626A35">
        <w:t xml:space="preserve">treatment </w:t>
      </w:r>
      <w:proofErr w:type="gramStart"/>
      <w:r w:rsidR="0071751E" w:rsidRPr="00A304A7" w:rsidDel="00626A35">
        <w:t>subsequent to</w:t>
      </w:r>
      <w:proofErr w:type="gramEnd"/>
      <w:r w:rsidR="0071751E" w:rsidRPr="00A304A7" w:rsidDel="00626A35">
        <w:t xml:space="preserve"> </w:t>
      </w:r>
      <w:r w:rsidR="005762D0" w:rsidRPr="00A304A7">
        <w:t>adalimumab</w:t>
      </w:r>
      <w:r w:rsidR="0071751E" w:rsidRPr="00A304A7" w:rsidDel="00626A35">
        <w:t xml:space="preserve"> failure</w:t>
      </w:r>
      <w:r w:rsidR="005D0727" w:rsidRPr="00A304A7" w:rsidDel="00626A35">
        <w:t xml:space="preserve"> were assumed in the submission.</w:t>
      </w:r>
      <w:r w:rsidR="003209C0" w:rsidRPr="00A304A7" w:rsidDel="00626A35">
        <w:t xml:space="preserve"> </w:t>
      </w:r>
      <w:r w:rsidR="003209C0" w:rsidRPr="00A304A7">
        <w:t xml:space="preserve">The key inputs for the financial estimates are shown </w:t>
      </w:r>
      <w:r w:rsidR="003209C0" w:rsidRPr="00A304A7">
        <w:lastRenderedPageBreak/>
        <w:t xml:space="preserve">in </w:t>
      </w:r>
      <w:r w:rsidR="003209C0" w:rsidRPr="00A304A7">
        <w:fldChar w:fldCharType="begin" w:fldLock="1"/>
      </w:r>
      <w:r w:rsidR="003209C0" w:rsidRPr="00A304A7">
        <w:instrText xml:space="preserve"> REF _Ref133825226 \h </w:instrText>
      </w:r>
      <w:r w:rsidR="00A304A7" w:rsidRPr="00A304A7">
        <w:instrText xml:space="preserve"> \* MERGEFORMAT </w:instrText>
      </w:r>
      <w:r w:rsidR="003209C0" w:rsidRPr="00A304A7">
        <w:fldChar w:fldCharType="separate"/>
      </w:r>
      <w:r w:rsidR="000F75DF">
        <w:t xml:space="preserve">Table </w:t>
      </w:r>
      <w:r w:rsidR="000F75DF">
        <w:rPr>
          <w:noProof/>
        </w:rPr>
        <w:t>12</w:t>
      </w:r>
      <w:r w:rsidR="003209C0" w:rsidRPr="00A304A7">
        <w:fldChar w:fldCharType="end"/>
      </w:r>
      <w:r w:rsidR="003209C0" w:rsidRPr="00A304A7">
        <w:t>.</w:t>
      </w:r>
    </w:p>
    <w:p w14:paraId="3EDB8BF3" w14:textId="25964B83" w:rsidR="0091375A" w:rsidRDefault="0091375A" w:rsidP="0091375A">
      <w:pPr>
        <w:pStyle w:val="Caption"/>
      </w:pPr>
      <w:bookmarkStart w:id="44" w:name="_Ref133825226"/>
      <w:r>
        <w:t xml:space="preserve">Table </w:t>
      </w:r>
      <w:r>
        <w:fldChar w:fldCharType="begin" w:fldLock="1"/>
      </w:r>
      <w:r>
        <w:instrText>SEQ Table \* ARABIC</w:instrText>
      </w:r>
      <w:r>
        <w:fldChar w:fldCharType="separate"/>
      </w:r>
      <w:r w:rsidR="000F75DF">
        <w:rPr>
          <w:noProof/>
        </w:rPr>
        <w:t>12</w:t>
      </w:r>
      <w:r>
        <w:fldChar w:fldCharType="end"/>
      </w:r>
      <w:bookmarkEnd w:id="44"/>
      <w:r>
        <w:t xml:space="preserve">. </w:t>
      </w:r>
      <w:r w:rsidRPr="00B05360">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668"/>
        <w:gridCol w:w="3636"/>
      </w:tblGrid>
      <w:tr w:rsidR="00E42F73" w:rsidRPr="005E2E87" w14:paraId="7AFD013A" w14:textId="77777777" w:rsidTr="00FA469D">
        <w:trPr>
          <w:tblHeader/>
        </w:trPr>
        <w:tc>
          <w:tcPr>
            <w:tcW w:w="950" w:type="pct"/>
            <w:shd w:val="clear" w:color="auto" w:fill="auto"/>
            <w:vAlign w:val="center"/>
          </w:tcPr>
          <w:p w14:paraId="45C2C4CE" w14:textId="370E9AAB" w:rsidR="00E42F73" w:rsidRPr="005E2E87" w:rsidRDefault="004658B5" w:rsidP="007925DF">
            <w:pPr>
              <w:pStyle w:val="In-tableHeading"/>
            </w:pPr>
            <w:r w:rsidRPr="005E2E87">
              <w:t>Parameter</w:t>
            </w:r>
          </w:p>
        </w:tc>
        <w:tc>
          <w:tcPr>
            <w:tcW w:w="2034" w:type="pct"/>
            <w:shd w:val="clear" w:color="auto" w:fill="auto"/>
            <w:vAlign w:val="center"/>
          </w:tcPr>
          <w:p w14:paraId="5C04F956" w14:textId="559E8DB1" w:rsidR="00E42F73" w:rsidRPr="005E2E87" w:rsidRDefault="004658B5" w:rsidP="007925DF">
            <w:pPr>
              <w:pStyle w:val="In-tableHeading"/>
            </w:pPr>
            <w:r w:rsidRPr="005E2E87">
              <w:t>Value applied and source</w:t>
            </w:r>
          </w:p>
        </w:tc>
        <w:tc>
          <w:tcPr>
            <w:tcW w:w="2016" w:type="pct"/>
            <w:shd w:val="clear" w:color="auto" w:fill="auto"/>
            <w:vAlign w:val="center"/>
          </w:tcPr>
          <w:p w14:paraId="45DE44AA" w14:textId="4713F72E" w:rsidR="00E42F73" w:rsidRPr="005E2E87" w:rsidRDefault="004658B5" w:rsidP="007925DF">
            <w:pPr>
              <w:pStyle w:val="In-tableHeading"/>
            </w:pPr>
            <w:r w:rsidRPr="005E2E87">
              <w:t>Comment</w:t>
            </w:r>
          </w:p>
        </w:tc>
      </w:tr>
      <w:tr w:rsidR="000745CE" w:rsidRPr="005E2E87" w14:paraId="4BEF206D" w14:textId="77777777" w:rsidTr="00FA469D">
        <w:tc>
          <w:tcPr>
            <w:tcW w:w="950" w:type="pct"/>
            <w:shd w:val="clear" w:color="auto" w:fill="auto"/>
            <w:vAlign w:val="center"/>
          </w:tcPr>
          <w:p w14:paraId="5724F53F" w14:textId="051C2A85" w:rsidR="000745CE" w:rsidRPr="005E2E87" w:rsidRDefault="00CD7509" w:rsidP="000745CE">
            <w:pPr>
              <w:pStyle w:val="TableText0"/>
              <w:rPr>
                <w:lang w:val="en-US"/>
              </w:rPr>
            </w:pPr>
            <w:r w:rsidRPr="005E2E87">
              <w:t xml:space="preserve">Historic </w:t>
            </w:r>
            <w:r w:rsidR="00715557" w:rsidRPr="005E2E87">
              <w:t xml:space="preserve"># </w:t>
            </w:r>
            <w:r w:rsidRPr="005E2E87">
              <w:t xml:space="preserve">of </w:t>
            </w:r>
            <w:r w:rsidR="005762D0" w:rsidRPr="005E2E87">
              <w:t>adalimumab</w:t>
            </w:r>
            <w:r w:rsidRPr="005E2E87">
              <w:t xml:space="preserve"> </w:t>
            </w:r>
            <w:r w:rsidR="00715557" w:rsidRPr="005E2E87">
              <w:t xml:space="preserve">scripts </w:t>
            </w:r>
            <w:r w:rsidRPr="005E2E87">
              <w:t>for HS</w:t>
            </w:r>
          </w:p>
        </w:tc>
        <w:tc>
          <w:tcPr>
            <w:tcW w:w="2034" w:type="pct"/>
            <w:shd w:val="clear" w:color="auto" w:fill="auto"/>
            <w:vAlign w:val="center"/>
          </w:tcPr>
          <w:p w14:paraId="2DCFC2E3" w14:textId="77777777" w:rsidR="000745CE" w:rsidRPr="005E2E87" w:rsidRDefault="000745CE" w:rsidP="000745CE">
            <w:pPr>
              <w:pStyle w:val="TableText0"/>
              <w:keepNext w:val="0"/>
              <w:widowControl w:val="0"/>
            </w:pPr>
            <w:r w:rsidRPr="005E2E87">
              <w:t xml:space="preserve"> Yr 2017: 931 </w:t>
            </w:r>
          </w:p>
          <w:p w14:paraId="16745A2E" w14:textId="77777777" w:rsidR="000745CE" w:rsidRPr="005E2E87" w:rsidRDefault="000745CE" w:rsidP="000745CE">
            <w:pPr>
              <w:pStyle w:val="TableText0"/>
              <w:keepNext w:val="0"/>
              <w:widowControl w:val="0"/>
            </w:pPr>
            <w:r w:rsidRPr="005E2E87">
              <w:t xml:space="preserve"> Yr 2018: 4,268 </w:t>
            </w:r>
          </w:p>
          <w:p w14:paraId="08B456C7" w14:textId="77777777" w:rsidR="000745CE" w:rsidRPr="005E2E87" w:rsidRDefault="000745CE" w:rsidP="000745CE">
            <w:pPr>
              <w:pStyle w:val="TableText0"/>
              <w:keepNext w:val="0"/>
              <w:widowControl w:val="0"/>
            </w:pPr>
            <w:r w:rsidRPr="005E2E87">
              <w:t xml:space="preserve"> Yr 2019: 6,014 </w:t>
            </w:r>
          </w:p>
          <w:p w14:paraId="0971CF63" w14:textId="77777777" w:rsidR="000745CE" w:rsidRPr="005E2E87" w:rsidRDefault="000745CE" w:rsidP="000745CE">
            <w:pPr>
              <w:pStyle w:val="TableText0"/>
              <w:keepNext w:val="0"/>
              <w:widowControl w:val="0"/>
            </w:pPr>
            <w:r w:rsidRPr="005E2E87">
              <w:t xml:space="preserve"> Yr 2020: 7,011 </w:t>
            </w:r>
          </w:p>
          <w:p w14:paraId="6E2DBA31" w14:textId="77777777" w:rsidR="000745CE" w:rsidRPr="005E2E87" w:rsidRDefault="000745CE" w:rsidP="000745CE">
            <w:pPr>
              <w:pStyle w:val="TableText0"/>
              <w:keepNext w:val="0"/>
              <w:widowControl w:val="0"/>
            </w:pPr>
            <w:r w:rsidRPr="005E2E87">
              <w:t xml:space="preserve"> Yr 2021: 9,262 </w:t>
            </w:r>
          </w:p>
          <w:p w14:paraId="16CFC631" w14:textId="792FB7DB" w:rsidR="006339EE" w:rsidRPr="005E2E87" w:rsidRDefault="000745CE" w:rsidP="000745CE">
            <w:pPr>
              <w:pStyle w:val="TableText0"/>
            </w:pPr>
            <w:r w:rsidRPr="005E2E87">
              <w:t xml:space="preserve"> Yr 2022: 11,454</w:t>
            </w:r>
          </w:p>
          <w:p w14:paraId="3014C41F" w14:textId="26794EC6" w:rsidR="000745CE" w:rsidRPr="005E2E87" w:rsidRDefault="000745CE" w:rsidP="000745CE">
            <w:pPr>
              <w:pStyle w:val="TableText0"/>
            </w:pPr>
            <w:r w:rsidRPr="005E2E87">
              <w:t xml:space="preserve"> </w:t>
            </w:r>
          </w:p>
          <w:p w14:paraId="743108F0" w14:textId="2A287596" w:rsidR="000745CE" w:rsidRPr="005E2E87" w:rsidRDefault="00E457EA" w:rsidP="000745CE">
            <w:pPr>
              <w:pStyle w:val="TableText0"/>
            </w:pPr>
            <w:r w:rsidRPr="005E2E87">
              <w:t>M</w:t>
            </w:r>
            <w:r w:rsidR="006900E9" w:rsidRPr="005E2E87">
              <w:t xml:space="preserve">ean annual growth </w:t>
            </w:r>
            <w:r w:rsidR="00B3046D" w:rsidRPr="005E2E87">
              <w:t xml:space="preserve">of </w:t>
            </w:r>
            <w:r w:rsidR="006900E9" w:rsidRPr="005E2E87">
              <w:t>2,105 scripts</w:t>
            </w:r>
            <w:r w:rsidR="00B3046D" w:rsidRPr="005E2E87">
              <w:t xml:space="preserve"> yearly</w:t>
            </w:r>
            <w:r w:rsidR="00CD7509" w:rsidRPr="005E2E87">
              <w:t xml:space="preserve"> </w:t>
            </w:r>
            <w:r w:rsidR="00592829" w:rsidRPr="005E2E87">
              <w:t>used to project utilisation in subsequent years</w:t>
            </w:r>
            <w:r w:rsidR="00B3046D" w:rsidRPr="005E2E87">
              <w:t>.</w:t>
            </w:r>
          </w:p>
          <w:p w14:paraId="2974F923" w14:textId="0F2599EC" w:rsidR="000745CE" w:rsidRPr="005E2E87" w:rsidRDefault="000745CE" w:rsidP="000745CE">
            <w:pPr>
              <w:pStyle w:val="TableText0"/>
              <w:rPr>
                <w:lang w:val="en-US"/>
              </w:rPr>
            </w:pPr>
            <w:r w:rsidRPr="005E2E87">
              <w:rPr>
                <w:lang w:val="en-US"/>
              </w:rPr>
              <w:t>Based on Medicare Statistic</w:t>
            </w:r>
            <w:r w:rsidR="00E8716E" w:rsidRPr="005E2E87">
              <w:rPr>
                <w:lang w:val="en-US"/>
              </w:rPr>
              <w:t xml:space="preserve">s of </w:t>
            </w:r>
            <w:r w:rsidR="005762D0" w:rsidRPr="005E2E87">
              <w:rPr>
                <w:lang w:val="en-US"/>
              </w:rPr>
              <w:t>adalimumab</w:t>
            </w:r>
            <w:r w:rsidR="004C030D" w:rsidRPr="005E2E87">
              <w:rPr>
                <w:lang w:val="en-US"/>
              </w:rPr>
              <w:t xml:space="preserve"> utilisation</w:t>
            </w:r>
            <w:r w:rsidR="00E8716E" w:rsidRPr="005E2E87">
              <w:rPr>
                <w:lang w:val="en-US"/>
              </w:rPr>
              <w:t xml:space="preserve"> in HS</w:t>
            </w:r>
            <w:r w:rsidR="00FB0110" w:rsidRPr="005E2E87">
              <w:rPr>
                <w:lang w:val="en-US"/>
              </w:rPr>
              <w:t>.</w:t>
            </w:r>
          </w:p>
        </w:tc>
        <w:tc>
          <w:tcPr>
            <w:tcW w:w="2016" w:type="pct"/>
            <w:shd w:val="clear" w:color="auto" w:fill="auto"/>
            <w:vAlign w:val="center"/>
          </w:tcPr>
          <w:p w14:paraId="078672CF" w14:textId="15F9D80B" w:rsidR="000745CE" w:rsidRPr="005E2E87" w:rsidRDefault="007B7B53" w:rsidP="000745CE">
            <w:pPr>
              <w:pStyle w:val="TableText0"/>
              <w:rPr>
                <w:lang w:val="en-US"/>
              </w:rPr>
            </w:pPr>
            <w:r>
              <w:t>E</w:t>
            </w:r>
            <w:r w:rsidR="00576EED">
              <w:t>stimating annual growth based on the number of adalimumab scripts since listing may overestimate the rate of growth over the long term, as this was the first listing for HS and there was likely a prevalent pool of patients in this period</w:t>
            </w:r>
            <w:r w:rsidR="004C030D" w:rsidRPr="005E2E87">
              <w:t>.</w:t>
            </w:r>
          </w:p>
        </w:tc>
      </w:tr>
      <w:tr w:rsidR="006665CE" w:rsidRPr="005E2E87" w14:paraId="72C9FBDD" w14:textId="77777777" w:rsidTr="00FA469D">
        <w:tc>
          <w:tcPr>
            <w:tcW w:w="950" w:type="pct"/>
            <w:shd w:val="clear" w:color="auto" w:fill="auto"/>
            <w:vAlign w:val="center"/>
          </w:tcPr>
          <w:p w14:paraId="2FBBDC67" w14:textId="0449AE97" w:rsidR="006665CE" w:rsidRPr="005E2E87" w:rsidRDefault="006665CE" w:rsidP="006665CE">
            <w:pPr>
              <w:pStyle w:val="TableText0"/>
              <w:rPr>
                <w:lang w:val="en-US"/>
              </w:rPr>
            </w:pPr>
            <w:r w:rsidRPr="005E2E87">
              <w:rPr>
                <w:lang w:val="en-US"/>
              </w:rPr>
              <w:t>Uptake rate</w:t>
            </w:r>
          </w:p>
        </w:tc>
        <w:tc>
          <w:tcPr>
            <w:tcW w:w="2034" w:type="pct"/>
            <w:shd w:val="clear" w:color="auto" w:fill="auto"/>
            <w:vAlign w:val="center"/>
          </w:tcPr>
          <w:p w14:paraId="5D85579C" w14:textId="77777777" w:rsidR="006665CE" w:rsidRPr="005E2E87" w:rsidRDefault="006665CE" w:rsidP="006665CE">
            <w:pPr>
              <w:pStyle w:val="TableText0"/>
              <w:keepNext w:val="0"/>
              <w:widowControl w:val="0"/>
            </w:pPr>
            <w:r w:rsidRPr="005E2E87">
              <w:t>Yr 1: 10%</w:t>
            </w:r>
          </w:p>
          <w:p w14:paraId="5F7EDFED" w14:textId="77777777" w:rsidR="006665CE" w:rsidRPr="005E2E87" w:rsidRDefault="006665CE" w:rsidP="006665CE">
            <w:pPr>
              <w:pStyle w:val="TableText0"/>
              <w:keepNext w:val="0"/>
              <w:widowControl w:val="0"/>
            </w:pPr>
            <w:r w:rsidRPr="005E2E87">
              <w:t>Yr 2: 16%</w:t>
            </w:r>
          </w:p>
          <w:p w14:paraId="2161624A" w14:textId="46B281CF" w:rsidR="006665CE" w:rsidRPr="005E2E87" w:rsidRDefault="006665CE" w:rsidP="006665CE">
            <w:pPr>
              <w:pStyle w:val="TableText0"/>
              <w:keepNext w:val="0"/>
              <w:widowControl w:val="0"/>
            </w:pPr>
            <w:r w:rsidRPr="005E2E87">
              <w:t xml:space="preserve">Yr 3: </w:t>
            </w:r>
            <w:r w:rsidR="00B02B66">
              <w:t xml:space="preserve"> </w:t>
            </w:r>
            <w:r w:rsidRPr="005E2E87">
              <w:t>22%</w:t>
            </w:r>
          </w:p>
          <w:p w14:paraId="30046688" w14:textId="77777777" w:rsidR="006665CE" w:rsidRPr="005E2E87" w:rsidRDefault="006665CE" w:rsidP="006665CE">
            <w:pPr>
              <w:pStyle w:val="TableText0"/>
              <w:keepNext w:val="0"/>
              <w:widowControl w:val="0"/>
            </w:pPr>
            <w:r w:rsidRPr="005E2E87">
              <w:t>Yr 4:  28%</w:t>
            </w:r>
          </w:p>
          <w:p w14:paraId="33DE4B58" w14:textId="77777777" w:rsidR="006665CE" w:rsidRPr="005E2E87" w:rsidRDefault="006665CE" w:rsidP="006665CE">
            <w:pPr>
              <w:pStyle w:val="TableText0"/>
              <w:keepNext w:val="0"/>
              <w:widowControl w:val="0"/>
            </w:pPr>
            <w:r w:rsidRPr="005E2E87">
              <w:t>Yr 5:  34%</w:t>
            </w:r>
          </w:p>
          <w:p w14:paraId="50A326E4" w14:textId="7A353387" w:rsidR="006665CE" w:rsidRPr="005E2E87" w:rsidRDefault="006665CE" w:rsidP="006665CE">
            <w:pPr>
              <w:pStyle w:val="TableText0"/>
            </w:pPr>
            <w:r w:rsidRPr="005E2E87">
              <w:t>Yr 6:  40%</w:t>
            </w:r>
          </w:p>
          <w:p w14:paraId="550316FC" w14:textId="6606AC4A" w:rsidR="006665CE" w:rsidRPr="005E2E87" w:rsidRDefault="00675A99" w:rsidP="006665CE">
            <w:pPr>
              <w:pStyle w:val="TableText0"/>
              <w:rPr>
                <w:lang w:val="en-US"/>
              </w:rPr>
            </w:pPr>
            <w:r w:rsidRPr="005E2E87">
              <w:rPr>
                <w:lang w:val="en-US"/>
              </w:rPr>
              <w:t>Assumption</w:t>
            </w:r>
          </w:p>
        </w:tc>
        <w:tc>
          <w:tcPr>
            <w:tcW w:w="2016" w:type="pct"/>
            <w:shd w:val="clear" w:color="auto" w:fill="auto"/>
            <w:vAlign w:val="center"/>
          </w:tcPr>
          <w:p w14:paraId="7295AAE5" w14:textId="736F8138" w:rsidR="006665CE" w:rsidRPr="005E2E87" w:rsidRDefault="008276D6" w:rsidP="006665CE">
            <w:pPr>
              <w:pStyle w:val="TableText0"/>
              <w:rPr>
                <w:lang w:val="en-US"/>
              </w:rPr>
            </w:pPr>
            <w:r w:rsidRPr="0060639A">
              <w:rPr>
                <w:lang w:val="en-US"/>
              </w:rPr>
              <w:t>The</w:t>
            </w:r>
            <w:r w:rsidR="0040079A">
              <w:rPr>
                <w:lang w:val="en-US"/>
              </w:rPr>
              <w:t xml:space="preserve"> evaluation</w:t>
            </w:r>
            <w:r w:rsidRPr="0060639A">
              <w:rPr>
                <w:lang w:val="en-US"/>
              </w:rPr>
              <w:t xml:space="preserve"> considered u</w:t>
            </w:r>
            <w:r w:rsidR="00160EC0" w:rsidRPr="0060639A">
              <w:rPr>
                <w:lang w:val="en-US"/>
              </w:rPr>
              <w:t>ptake</w:t>
            </w:r>
            <w:r w:rsidR="00160EC0" w:rsidRPr="005E2E87">
              <w:rPr>
                <w:lang w:val="en-US"/>
              </w:rPr>
              <w:t xml:space="preserve"> in later years may </w:t>
            </w:r>
            <w:proofErr w:type="gramStart"/>
            <w:r w:rsidR="00160EC0" w:rsidRPr="005E2E87">
              <w:rPr>
                <w:lang w:val="en-US"/>
              </w:rPr>
              <w:t>be overestimated</w:t>
            </w:r>
            <w:proofErr w:type="gramEnd"/>
            <w:r w:rsidR="00160EC0" w:rsidRPr="005E2E87">
              <w:rPr>
                <w:lang w:val="en-US"/>
              </w:rPr>
              <w:t xml:space="preserve"> given the unclear </w:t>
            </w:r>
            <w:r w:rsidR="00F01CAF" w:rsidRPr="005E2E87">
              <w:rPr>
                <w:lang w:val="en-US"/>
              </w:rPr>
              <w:t xml:space="preserve">clinical </w:t>
            </w:r>
            <w:r w:rsidR="00160EC0" w:rsidRPr="005E2E87">
              <w:rPr>
                <w:lang w:val="en-US"/>
              </w:rPr>
              <w:t>benefit of secukinumab</w:t>
            </w:r>
            <w:r w:rsidR="00053B04" w:rsidRPr="005E2E87">
              <w:rPr>
                <w:lang w:val="en-US"/>
              </w:rPr>
              <w:t xml:space="preserve"> presented in the submission</w:t>
            </w:r>
            <w:r w:rsidR="00135ED9" w:rsidRPr="005E2E87">
              <w:rPr>
                <w:lang w:val="en-US"/>
              </w:rPr>
              <w:t>.</w:t>
            </w:r>
          </w:p>
        </w:tc>
      </w:tr>
      <w:tr w:rsidR="00B0394B" w:rsidRPr="005E2E87" w14:paraId="512A8938" w14:textId="77777777" w:rsidTr="00FA469D">
        <w:tc>
          <w:tcPr>
            <w:tcW w:w="950" w:type="pct"/>
            <w:shd w:val="clear" w:color="auto" w:fill="auto"/>
            <w:vAlign w:val="center"/>
          </w:tcPr>
          <w:p w14:paraId="1F4C70A3" w14:textId="7232255B" w:rsidR="00B0394B" w:rsidRPr="005E2E87" w:rsidRDefault="00B0394B" w:rsidP="00B0394B">
            <w:pPr>
              <w:pStyle w:val="TableText0"/>
              <w:rPr>
                <w:lang w:val="en-US"/>
              </w:rPr>
            </w:pPr>
            <w:r w:rsidRPr="005E2E87">
              <w:t xml:space="preserve">Patients failing </w:t>
            </w:r>
            <w:r w:rsidR="005762D0" w:rsidRPr="005E2E87">
              <w:t>adalimumab</w:t>
            </w:r>
            <w:r w:rsidRPr="005E2E87">
              <w:t xml:space="preserve"> </w:t>
            </w:r>
          </w:p>
        </w:tc>
        <w:tc>
          <w:tcPr>
            <w:tcW w:w="2034" w:type="pct"/>
            <w:shd w:val="clear" w:color="auto" w:fill="auto"/>
            <w:vAlign w:val="center"/>
          </w:tcPr>
          <w:p w14:paraId="6CD48768" w14:textId="47DE9D1B" w:rsidR="002717EF" w:rsidRPr="005E2E87" w:rsidRDefault="002717EF" w:rsidP="00B0394B">
            <w:pPr>
              <w:pStyle w:val="TableText0"/>
            </w:pPr>
            <w:r w:rsidRPr="005E2E87">
              <w:t xml:space="preserve">10% </w:t>
            </w:r>
            <w:r w:rsidR="002D682B" w:rsidRPr="005E2E87">
              <w:t xml:space="preserve">relative to </w:t>
            </w:r>
            <w:r w:rsidRPr="005E2E87">
              <w:t xml:space="preserve">secukinumab use </w:t>
            </w:r>
            <w:r w:rsidR="00055382" w:rsidRPr="005E2E87">
              <w:t>yearly.</w:t>
            </w:r>
          </w:p>
          <w:p w14:paraId="0C4392A7" w14:textId="77777777" w:rsidR="00864BBC" w:rsidRPr="005E2E87" w:rsidRDefault="00864BBC" w:rsidP="00B0394B">
            <w:pPr>
              <w:pStyle w:val="TableText0"/>
            </w:pPr>
          </w:p>
          <w:p w14:paraId="5289CDB1" w14:textId="05892C62" w:rsidR="00B0394B" w:rsidRPr="005E2E87" w:rsidRDefault="00B3264B" w:rsidP="00B0394B">
            <w:pPr>
              <w:pStyle w:val="TableText0"/>
              <w:rPr>
                <w:lang w:val="en-US"/>
              </w:rPr>
            </w:pPr>
            <w:r w:rsidRPr="005E2E87">
              <w:rPr>
                <w:lang w:val="en-US"/>
              </w:rPr>
              <w:t>Assumption</w:t>
            </w:r>
          </w:p>
        </w:tc>
        <w:tc>
          <w:tcPr>
            <w:tcW w:w="2016" w:type="pct"/>
            <w:shd w:val="clear" w:color="auto" w:fill="auto"/>
            <w:vAlign w:val="center"/>
          </w:tcPr>
          <w:p w14:paraId="0BA4ED26" w14:textId="2B7E16F5" w:rsidR="00B0394B" w:rsidRPr="005E2E87" w:rsidRDefault="004E657B" w:rsidP="00B0394B">
            <w:pPr>
              <w:pStyle w:val="TableText0"/>
              <w:rPr>
                <w:lang w:val="en-US"/>
              </w:rPr>
            </w:pPr>
            <w:r w:rsidRPr="005E2E87">
              <w:t xml:space="preserve">The submission assumed that 10% of secukinumab usage was attributable to patients who failed adalimumab and would receive secukinumab as a second line therapy. </w:t>
            </w:r>
            <w:r w:rsidR="00B3264B" w:rsidRPr="005E2E87">
              <w:rPr>
                <w:lang w:val="en-US"/>
              </w:rPr>
              <w:t xml:space="preserve">The use of secukinumab in second line after </w:t>
            </w:r>
            <w:r w:rsidR="005762D0" w:rsidRPr="005E2E87">
              <w:rPr>
                <w:lang w:val="en-US"/>
              </w:rPr>
              <w:t>adalimumab</w:t>
            </w:r>
            <w:r w:rsidR="00B3264B" w:rsidRPr="005E2E87">
              <w:rPr>
                <w:lang w:val="en-US"/>
              </w:rPr>
              <w:t xml:space="preserve"> failure was </w:t>
            </w:r>
            <w:proofErr w:type="gramStart"/>
            <w:r w:rsidR="00B3264B" w:rsidRPr="005E2E87">
              <w:rPr>
                <w:lang w:val="en-US"/>
              </w:rPr>
              <w:t>likely underestimated</w:t>
            </w:r>
            <w:proofErr w:type="gramEnd"/>
            <w:r w:rsidR="001404D0" w:rsidRPr="005E2E87">
              <w:rPr>
                <w:lang w:val="en-US"/>
              </w:rPr>
              <w:t xml:space="preserve"> given the</w:t>
            </w:r>
            <w:r w:rsidR="00E050F6" w:rsidRPr="005E2E87">
              <w:rPr>
                <w:lang w:val="en-US"/>
              </w:rPr>
              <w:t xml:space="preserve"> proportion of </w:t>
            </w:r>
            <w:r w:rsidR="00FA469D" w:rsidRPr="005E2E87">
              <w:rPr>
                <w:lang w:val="en-US"/>
              </w:rPr>
              <w:t xml:space="preserve">HS </w:t>
            </w:r>
            <w:r w:rsidR="00E050F6" w:rsidRPr="005E2E87">
              <w:rPr>
                <w:lang w:val="en-US"/>
              </w:rPr>
              <w:t>patients</w:t>
            </w:r>
            <w:r w:rsidR="00FA469D" w:rsidRPr="005E2E87">
              <w:rPr>
                <w:lang w:val="en-US"/>
              </w:rPr>
              <w:t xml:space="preserve"> receiving adalimumab</w:t>
            </w:r>
            <w:r w:rsidR="0094206D" w:rsidRPr="005E2E87">
              <w:rPr>
                <w:lang w:val="en-US"/>
              </w:rPr>
              <w:t xml:space="preserve"> without an observed clinical response</w:t>
            </w:r>
            <w:r w:rsidR="004B5A54" w:rsidRPr="005E2E87">
              <w:rPr>
                <w:lang w:val="en-US"/>
              </w:rPr>
              <w:t xml:space="preserve"> </w:t>
            </w:r>
            <w:r w:rsidR="00711E73" w:rsidRPr="005E2E87" w:rsidDel="0094206D">
              <w:rPr>
                <w:lang w:val="en-US"/>
              </w:rPr>
              <w:t>in real world evidence</w:t>
            </w:r>
            <w:r w:rsidR="00FA469D" w:rsidRPr="005E2E87">
              <w:rPr>
                <w:vertAlign w:val="superscript"/>
                <w:lang w:val="en-US"/>
              </w:rPr>
              <w:t>a</w:t>
            </w:r>
            <w:r w:rsidR="00711E73" w:rsidRPr="005E2E87" w:rsidDel="0094206D">
              <w:rPr>
                <w:lang w:val="en-US"/>
              </w:rPr>
              <w:t xml:space="preserve"> </w:t>
            </w:r>
            <w:r w:rsidR="00711E73" w:rsidRPr="005E2E87">
              <w:rPr>
                <w:lang w:val="en-US"/>
              </w:rPr>
              <w:t>(29</w:t>
            </w:r>
            <w:r w:rsidR="00516C82" w:rsidRPr="005E2E87">
              <w:rPr>
                <w:lang w:val="en-US"/>
              </w:rPr>
              <w:t xml:space="preserve">.5%) and the </w:t>
            </w:r>
            <w:r w:rsidR="00AE5991" w:rsidRPr="005E2E87">
              <w:rPr>
                <w:lang w:val="en-US"/>
              </w:rPr>
              <w:t xml:space="preserve">lack of </w:t>
            </w:r>
            <w:r w:rsidR="0094206D" w:rsidRPr="005E2E87">
              <w:rPr>
                <w:lang w:val="en-US"/>
              </w:rPr>
              <w:t xml:space="preserve">other </w:t>
            </w:r>
            <w:r w:rsidR="00705227" w:rsidRPr="005E2E87">
              <w:rPr>
                <w:lang w:val="en-US"/>
              </w:rPr>
              <w:t xml:space="preserve">pharmaceutical </w:t>
            </w:r>
            <w:r w:rsidR="00642C45" w:rsidRPr="005E2E87">
              <w:rPr>
                <w:lang w:val="en-US"/>
              </w:rPr>
              <w:t>treatment options</w:t>
            </w:r>
            <w:r w:rsidR="00D5557A" w:rsidRPr="005E2E87">
              <w:rPr>
                <w:lang w:val="en-US"/>
              </w:rPr>
              <w:t xml:space="preserve"> after </w:t>
            </w:r>
            <w:r w:rsidR="005762D0" w:rsidRPr="005E2E87">
              <w:rPr>
                <w:lang w:val="en-US"/>
              </w:rPr>
              <w:t>adalimumab</w:t>
            </w:r>
            <w:r w:rsidR="00D5557A" w:rsidRPr="005E2E87">
              <w:rPr>
                <w:lang w:val="en-US"/>
              </w:rPr>
              <w:t xml:space="preserve"> failure</w:t>
            </w:r>
            <w:r w:rsidR="00642C45" w:rsidRPr="005E2E87">
              <w:rPr>
                <w:lang w:val="en-US"/>
              </w:rPr>
              <w:t xml:space="preserve"> </w:t>
            </w:r>
            <w:r w:rsidR="0094206D" w:rsidRPr="005E2E87">
              <w:rPr>
                <w:lang w:val="en-US"/>
              </w:rPr>
              <w:t xml:space="preserve">on </w:t>
            </w:r>
            <w:r w:rsidR="00642C45" w:rsidRPr="005E2E87">
              <w:rPr>
                <w:lang w:val="en-US"/>
              </w:rPr>
              <w:t>the PBS</w:t>
            </w:r>
            <w:r w:rsidR="00D5557A" w:rsidRPr="005E2E87">
              <w:rPr>
                <w:lang w:val="en-US"/>
              </w:rPr>
              <w:t>.</w:t>
            </w:r>
          </w:p>
        </w:tc>
      </w:tr>
    </w:tbl>
    <w:p w14:paraId="3235D907" w14:textId="25D9CCAB" w:rsidR="00E74828" w:rsidRDefault="00E42F73" w:rsidP="00E74828">
      <w:pPr>
        <w:pStyle w:val="FooterTableFigure"/>
      </w:pPr>
      <w:r w:rsidRPr="007925DF">
        <w:t>Source:</w:t>
      </w:r>
      <w:r w:rsidR="0039601F">
        <w:t xml:space="preserve"> </w:t>
      </w:r>
      <w:r w:rsidR="00E74828">
        <w:t xml:space="preserve">Table 4.2, p144, Table 4.3, p144, Table 4.6, p148 and Table 4.7, p150, </w:t>
      </w:r>
      <w:r w:rsidR="00E74828" w:rsidRPr="00D13A3E">
        <w:t xml:space="preserve">of the </w:t>
      </w:r>
      <w:r w:rsidR="00E74828">
        <w:t>submission.</w:t>
      </w:r>
    </w:p>
    <w:p w14:paraId="5450F3EE" w14:textId="7DF4FEF1" w:rsidR="00690756" w:rsidRDefault="00690756" w:rsidP="004C4EEC">
      <w:pPr>
        <w:pStyle w:val="FooterTableFigure"/>
      </w:pPr>
      <w:r>
        <w:t>HS= hidradenitis suppurative</w:t>
      </w:r>
      <w:r w:rsidDel="00690756">
        <w:t>;</w:t>
      </w:r>
      <w:r>
        <w:t xml:space="preserve"> </w:t>
      </w:r>
      <w:r w:rsidR="008A1631">
        <w:t xml:space="preserve">PBS = Pharmaceutical Benefits Scheme. </w:t>
      </w:r>
    </w:p>
    <w:p w14:paraId="3F2C973A" w14:textId="1F43924B" w:rsidR="004C4EEC" w:rsidRPr="007925DF" w:rsidRDefault="00214190" w:rsidP="007925DF">
      <w:pPr>
        <w:pStyle w:val="FooterTableFigure"/>
      </w:pPr>
      <w:r w:rsidRPr="00214190">
        <w:rPr>
          <w:vertAlign w:val="superscript"/>
        </w:rPr>
        <w:t>a</w:t>
      </w:r>
      <w:r>
        <w:t xml:space="preserve"> </w:t>
      </w:r>
      <w:r w:rsidRPr="00F07553">
        <w:t xml:space="preserve">Gulliver, W., Alavi, A., Wiseman, M.C., Gooderham, M.J., Rao, J., Alam, M.S., Papp, K.A., Desjardins, O. and Jean, C. (2021), Real-world effectiveness of adalimumab in patients with moderate-to-severe hidradenitis suppurativa: the 1-year SOLACE study. J Eur Acad Dermatol Venereol, 35: 2431-2439. </w:t>
      </w:r>
      <w:hyperlink r:id="rId17" w:history="1">
        <w:r w:rsidR="00667E0A" w:rsidRPr="00042995">
          <w:rPr>
            <w:rStyle w:val="Hyperlink"/>
          </w:rPr>
          <w:t>https://doi</w:t>
        </w:r>
      </w:hyperlink>
      <w:r w:rsidRPr="00F07553">
        <w:t>.org/10.1111/jdv.17598</w:t>
      </w:r>
    </w:p>
    <w:p w14:paraId="743A1D25" w14:textId="514735D5" w:rsidR="00871A2D" w:rsidRPr="002068A0" w:rsidRDefault="00871A2D" w:rsidP="007E1C14">
      <w:pPr>
        <w:pStyle w:val="3-BodyText"/>
      </w:pPr>
      <w:r w:rsidRPr="000902D9">
        <w:t xml:space="preserve">The total </w:t>
      </w:r>
      <w:r w:rsidR="00715557">
        <w:t xml:space="preserve">net </w:t>
      </w:r>
      <w:r w:rsidRPr="000902D9">
        <w:t xml:space="preserve">cost to the PBS/RPBS of listing </w:t>
      </w:r>
      <w:r>
        <w:t>secukinumab</w:t>
      </w:r>
      <w:r w:rsidRPr="000902D9">
        <w:t xml:space="preserve"> was estimated </w:t>
      </w:r>
      <w:r>
        <w:t>to be</w:t>
      </w:r>
      <w:r w:rsidRPr="000902D9">
        <w:t xml:space="preserve"> </w:t>
      </w:r>
      <w:r w:rsidR="00B85705" w:rsidRPr="00B85705">
        <w:rPr>
          <w:lang w:val="en-AU"/>
        </w:rPr>
        <w:t>$0 to &lt; $10 million</w:t>
      </w:r>
      <w:r w:rsidR="00B85705" w:rsidRPr="00B85705" w:rsidDel="00B85705">
        <w:rPr>
          <w:lang w:val="en-AU"/>
        </w:rPr>
        <w:t xml:space="preserve"> </w:t>
      </w:r>
      <w:r w:rsidRPr="000902D9">
        <w:t xml:space="preserve">in Year </w:t>
      </w:r>
      <w:r>
        <w:t xml:space="preserve">6, and </w:t>
      </w:r>
      <w:r w:rsidRPr="000902D9">
        <w:t xml:space="preserve">a total of </w:t>
      </w:r>
      <w:r w:rsidR="00B85705" w:rsidRPr="00B85705">
        <w:rPr>
          <w:lang w:val="en-AU"/>
        </w:rPr>
        <w:t>$0 to &lt; $10 million</w:t>
      </w:r>
      <w:r w:rsidR="00B85705" w:rsidRPr="00B85705" w:rsidDel="00B85705">
        <w:rPr>
          <w:lang w:val="en-AU"/>
        </w:rPr>
        <w:t xml:space="preserve"> </w:t>
      </w:r>
      <w:r w:rsidRPr="000902D9">
        <w:t>in the first 6 years of listing</w:t>
      </w:r>
      <w:r w:rsidR="008A1631">
        <w:t>, see</w:t>
      </w:r>
      <w:r w:rsidR="00901DE3">
        <w:t xml:space="preserve"> </w:t>
      </w:r>
      <w:r w:rsidR="00206815">
        <w:fldChar w:fldCharType="begin" w:fldLock="1"/>
      </w:r>
      <w:r w:rsidR="00206815">
        <w:instrText xml:space="preserve"> REF _Ref133835341 \h </w:instrText>
      </w:r>
      <w:r w:rsidR="00206815">
        <w:fldChar w:fldCharType="separate"/>
      </w:r>
      <w:r w:rsidR="000F75DF">
        <w:t xml:space="preserve">Table </w:t>
      </w:r>
      <w:r w:rsidR="000F75DF">
        <w:rPr>
          <w:noProof/>
        </w:rPr>
        <w:t>13</w:t>
      </w:r>
      <w:r w:rsidR="00206815">
        <w:fldChar w:fldCharType="end"/>
      </w:r>
      <w:r w:rsidRPr="008902EF">
        <w:t>.</w:t>
      </w:r>
      <w:r w:rsidR="003867BB">
        <w:t xml:space="preserve"> </w:t>
      </w:r>
    </w:p>
    <w:p w14:paraId="38EC053C" w14:textId="447F811A" w:rsidR="00C25D9C" w:rsidRPr="00606FBA" w:rsidRDefault="00E16AD8" w:rsidP="00E16AD8">
      <w:pPr>
        <w:pStyle w:val="Caption"/>
      </w:pPr>
      <w:bookmarkStart w:id="45" w:name="_Ref104805295"/>
      <w:bookmarkStart w:id="46" w:name="_Ref133835341"/>
      <w:r>
        <w:lastRenderedPageBreak/>
        <w:t xml:space="preserve">Table </w:t>
      </w:r>
      <w:bookmarkEnd w:id="45"/>
      <w:r w:rsidR="0091375A">
        <w:fldChar w:fldCharType="begin" w:fldLock="1"/>
      </w:r>
      <w:r w:rsidR="0091375A">
        <w:instrText xml:space="preserve"> SEQ Table \* ARABIC </w:instrText>
      </w:r>
      <w:r w:rsidR="0091375A">
        <w:fldChar w:fldCharType="separate"/>
      </w:r>
      <w:r w:rsidR="000F75DF">
        <w:rPr>
          <w:noProof/>
        </w:rPr>
        <w:t>13</w:t>
      </w:r>
      <w:r w:rsidR="0091375A">
        <w:fldChar w:fldCharType="end"/>
      </w:r>
      <w:bookmarkEnd w:id="46"/>
      <w:r>
        <w:t>:</w:t>
      </w:r>
      <w:r w:rsidR="002A2F50" w:rsidRPr="00606FBA">
        <w:rPr>
          <w:rStyle w:val="CommentReference"/>
          <w:b/>
          <w:szCs w:val="24"/>
        </w:rPr>
        <w:t xml:space="preserve"> Estimated use and financial implications</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4"/>
        <w:gridCol w:w="1102"/>
        <w:gridCol w:w="1102"/>
        <w:gridCol w:w="1102"/>
        <w:gridCol w:w="1102"/>
        <w:gridCol w:w="1177"/>
        <w:gridCol w:w="1179"/>
      </w:tblGrid>
      <w:tr w:rsidR="00385A9D" w:rsidRPr="005E2E87" w14:paraId="43A2A3A1" w14:textId="77777777" w:rsidTr="00B821F8">
        <w:trPr>
          <w:trHeight w:val="57"/>
          <w:tblHeader/>
        </w:trPr>
        <w:tc>
          <w:tcPr>
            <w:tcW w:w="1311" w:type="pct"/>
            <w:shd w:val="clear" w:color="auto" w:fill="auto"/>
            <w:vAlign w:val="center"/>
          </w:tcPr>
          <w:p w14:paraId="0A4E41E1" w14:textId="77777777" w:rsidR="00385A9D" w:rsidRPr="005E2E87" w:rsidRDefault="00385A9D" w:rsidP="00103AD0">
            <w:pPr>
              <w:pStyle w:val="In-tableHeading"/>
              <w:jc w:val="center"/>
            </w:pPr>
          </w:p>
        </w:tc>
        <w:tc>
          <w:tcPr>
            <w:tcW w:w="601" w:type="pct"/>
            <w:shd w:val="clear" w:color="auto" w:fill="auto"/>
            <w:vAlign w:val="center"/>
          </w:tcPr>
          <w:p w14:paraId="77420B6F" w14:textId="77777777" w:rsidR="00385A9D" w:rsidRPr="005E2E87" w:rsidRDefault="00385A9D" w:rsidP="00103AD0">
            <w:pPr>
              <w:pStyle w:val="In-tableHeading"/>
              <w:jc w:val="center"/>
            </w:pPr>
            <w:r w:rsidRPr="005E2E87">
              <w:t>Year 1</w:t>
            </w:r>
          </w:p>
        </w:tc>
        <w:tc>
          <w:tcPr>
            <w:tcW w:w="601" w:type="pct"/>
            <w:shd w:val="clear" w:color="auto" w:fill="auto"/>
            <w:vAlign w:val="center"/>
          </w:tcPr>
          <w:p w14:paraId="3BBD9218" w14:textId="77777777" w:rsidR="00385A9D" w:rsidRPr="005E2E87" w:rsidRDefault="00385A9D" w:rsidP="00103AD0">
            <w:pPr>
              <w:pStyle w:val="In-tableHeading"/>
              <w:jc w:val="center"/>
            </w:pPr>
            <w:r w:rsidRPr="005E2E87">
              <w:t>Year 2</w:t>
            </w:r>
          </w:p>
        </w:tc>
        <w:tc>
          <w:tcPr>
            <w:tcW w:w="601" w:type="pct"/>
            <w:shd w:val="clear" w:color="auto" w:fill="auto"/>
            <w:vAlign w:val="center"/>
          </w:tcPr>
          <w:p w14:paraId="729A646E" w14:textId="77777777" w:rsidR="00385A9D" w:rsidRPr="005E2E87" w:rsidRDefault="00385A9D" w:rsidP="00103AD0">
            <w:pPr>
              <w:pStyle w:val="In-tableHeading"/>
              <w:jc w:val="center"/>
            </w:pPr>
            <w:r w:rsidRPr="005E2E87">
              <w:t>Year 3</w:t>
            </w:r>
          </w:p>
        </w:tc>
        <w:tc>
          <w:tcPr>
            <w:tcW w:w="601" w:type="pct"/>
            <w:shd w:val="clear" w:color="auto" w:fill="auto"/>
            <w:vAlign w:val="center"/>
          </w:tcPr>
          <w:p w14:paraId="280BB544" w14:textId="77777777" w:rsidR="00385A9D" w:rsidRPr="005E2E87" w:rsidRDefault="00385A9D" w:rsidP="00103AD0">
            <w:pPr>
              <w:pStyle w:val="In-tableHeading"/>
              <w:jc w:val="center"/>
            </w:pPr>
            <w:r w:rsidRPr="005E2E87">
              <w:t>Year 4</w:t>
            </w:r>
          </w:p>
        </w:tc>
        <w:tc>
          <w:tcPr>
            <w:tcW w:w="642" w:type="pct"/>
            <w:shd w:val="clear" w:color="auto" w:fill="auto"/>
            <w:vAlign w:val="center"/>
          </w:tcPr>
          <w:p w14:paraId="6435BB5B" w14:textId="77777777" w:rsidR="00385A9D" w:rsidRPr="005E2E87" w:rsidRDefault="00385A9D" w:rsidP="00103AD0">
            <w:pPr>
              <w:pStyle w:val="In-tableHeading"/>
              <w:jc w:val="center"/>
            </w:pPr>
            <w:r w:rsidRPr="005E2E87">
              <w:t>Year 5</w:t>
            </w:r>
          </w:p>
        </w:tc>
        <w:tc>
          <w:tcPr>
            <w:tcW w:w="642" w:type="pct"/>
          </w:tcPr>
          <w:p w14:paraId="7C618119" w14:textId="77777777" w:rsidR="00385A9D" w:rsidRPr="005E2E87" w:rsidRDefault="00385A9D" w:rsidP="00103AD0">
            <w:pPr>
              <w:pStyle w:val="In-tableHeading"/>
              <w:jc w:val="center"/>
            </w:pPr>
            <w:r w:rsidRPr="005E2E87">
              <w:t>Year 6</w:t>
            </w:r>
          </w:p>
        </w:tc>
      </w:tr>
      <w:tr w:rsidR="00385A9D" w:rsidRPr="005E2E87" w14:paraId="3C519059" w14:textId="77777777" w:rsidTr="00B821F8">
        <w:trPr>
          <w:trHeight w:val="57"/>
        </w:trPr>
        <w:tc>
          <w:tcPr>
            <w:tcW w:w="5000" w:type="pct"/>
            <w:gridSpan w:val="7"/>
            <w:shd w:val="clear" w:color="auto" w:fill="auto"/>
            <w:vAlign w:val="center"/>
          </w:tcPr>
          <w:p w14:paraId="516C2197" w14:textId="77777777" w:rsidR="00385A9D" w:rsidRPr="005E2E87" w:rsidRDefault="00385A9D" w:rsidP="00103AD0">
            <w:pPr>
              <w:pStyle w:val="In-tableHeading"/>
              <w:rPr>
                <w:color w:val="000000"/>
              </w:rPr>
            </w:pPr>
            <w:r w:rsidRPr="005E2E87">
              <w:rPr>
                <w:color w:val="000000"/>
              </w:rPr>
              <w:t>Estimated extent of use</w:t>
            </w:r>
          </w:p>
        </w:tc>
      </w:tr>
      <w:tr w:rsidR="00385A9D" w:rsidRPr="005E2E87" w14:paraId="1CEE4D09" w14:textId="77777777" w:rsidTr="00B821F8">
        <w:trPr>
          <w:trHeight w:val="57"/>
        </w:trPr>
        <w:tc>
          <w:tcPr>
            <w:tcW w:w="1311" w:type="pct"/>
            <w:shd w:val="clear" w:color="auto" w:fill="auto"/>
            <w:vAlign w:val="center"/>
          </w:tcPr>
          <w:p w14:paraId="229A1EDF" w14:textId="77777777" w:rsidR="00385A9D" w:rsidRPr="005E2E87" w:rsidRDefault="00385A9D" w:rsidP="00103AD0">
            <w:pPr>
              <w:pStyle w:val="TableText0"/>
              <w:rPr>
                <w:rFonts w:ascii="Times" w:hAnsi="Times"/>
              </w:rPr>
            </w:pPr>
            <w:r w:rsidRPr="005E2E87">
              <w:t>Number of scripts dispensed</w:t>
            </w:r>
            <w:r w:rsidRPr="005E2E87">
              <w:rPr>
                <w:vertAlign w:val="superscript"/>
              </w:rPr>
              <w:t>a</w:t>
            </w:r>
          </w:p>
        </w:tc>
        <w:tc>
          <w:tcPr>
            <w:tcW w:w="601" w:type="pct"/>
            <w:shd w:val="clear" w:color="auto" w:fill="auto"/>
            <w:vAlign w:val="center"/>
          </w:tcPr>
          <w:p w14:paraId="0D9F25C2" w14:textId="54990604" w:rsidR="00385A9D" w:rsidRPr="00B85705" w:rsidRDefault="000A591F" w:rsidP="00103AD0">
            <w:pPr>
              <w:pStyle w:val="PBACTableText"/>
              <w:spacing w:before="0" w:after="0"/>
              <w:jc w:val="center"/>
              <w:rPr>
                <w:color w:val="000000"/>
                <w:vertAlign w:val="superscript"/>
              </w:rPr>
            </w:pPr>
            <w:r w:rsidRPr="000A591F">
              <w:rPr>
                <w:rFonts w:hint="eastAsia"/>
                <w:color w:val="000000"/>
                <w:w w:val="15"/>
                <w:shd w:val="solid" w:color="000000" w:fill="000000"/>
                <w:fitText w:val="45" w:id="-1167937280"/>
                <w14:textFill>
                  <w14:solidFill>
                    <w14:srgbClr w14:val="000000">
                      <w14:alpha w14:val="100000"/>
                    </w14:srgbClr>
                  </w14:solidFill>
                </w14:textFill>
              </w:rPr>
              <w:t xml:space="preserve">　</w:t>
            </w:r>
            <w:r w:rsidRPr="000A591F">
              <w:rPr>
                <w:color w:val="000000"/>
                <w:w w:val="15"/>
                <w:shd w:val="solid" w:color="000000" w:fill="000000"/>
                <w:fitText w:val="45" w:id="-1167937280"/>
                <w14:textFill>
                  <w14:solidFill>
                    <w14:srgbClr w14:val="000000">
                      <w14:alpha w14:val="100000"/>
                    </w14:srgbClr>
                  </w14:solidFill>
                </w14:textFill>
              </w:rPr>
              <w:t>|</w:t>
            </w:r>
            <w:r w:rsidRPr="000A591F">
              <w:rPr>
                <w:rFonts w:hint="eastAsia"/>
                <w:color w:val="000000"/>
                <w:spacing w:val="-30"/>
                <w:w w:val="15"/>
                <w:shd w:val="solid" w:color="000000" w:fill="000000"/>
                <w:fitText w:val="45" w:id="-1167937280"/>
                <w14:textFill>
                  <w14:solidFill>
                    <w14:srgbClr w14:val="000000">
                      <w14:alpha w14:val="100000"/>
                    </w14:srgbClr>
                  </w14:solidFill>
                </w14:textFill>
              </w:rPr>
              <w:t xml:space="preserve">　</w:t>
            </w:r>
            <w:r w:rsidR="00B85705">
              <w:rPr>
                <w:vertAlign w:val="superscript"/>
              </w:rPr>
              <w:t>1</w:t>
            </w:r>
          </w:p>
        </w:tc>
        <w:tc>
          <w:tcPr>
            <w:tcW w:w="601" w:type="pct"/>
            <w:shd w:val="clear" w:color="auto" w:fill="auto"/>
            <w:vAlign w:val="center"/>
          </w:tcPr>
          <w:p w14:paraId="2D7847AA" w14:textId="299A1AB8" w:rsidR="00385A9D" w:rsidRPr="005E2E87" w:rsidRDefault="000A591F" w:rsidP="00103AD0">
            <w:pPr>
              <w:pStyle w:val="PBACTableText"/>
              <w:spacing w:before="0" w:after="0"/>
              <w:jc w:val="center"/>
              <w:rPr>
                <w:color w:val="000000"/>
              </w:rPr>
            </w:pPr>
            <w:r w:rsidRPr="000A591F">
              <w:rPr>
                <w:rFonts w:hint="eastAsia"/>
                <w:color w:val="000000"/>
                <w:w w:val="15"/>
                <w:shd w:val="solid" w:color="000000" w:fill="000000"/>
                <w:fitText w:val="45" w:id="-1167937279"/>
                <w14:textFill>
                  <w14:solidFill>
                    <w14:srgbClr w14:val="000000">
                      <w14:alpha w14:val="100000"/>
                    </w14:srgbClr>
                  </w14:solidFill>
                </w14:textFill>
              </w:rPr>
              <w:t xml:space="preserve">　</w:t>
            </w:r>
            <w:r w:rsidRPr="000A591F">
              <w:rPr>
                <w:color w:val="000000"/>
                <w:w w:val="15"/>
                <w:shd w:val="solid" w:color="000000" w:fill="000000"/>
                <w:fitText w:val="45" w:id="-1167937279"/>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9"/>
                <w14:textFill>
                  <w14:solidFill>
                    <w14:srgbClr w14:val="000000">
                      <w14:alpha w14:val="100000"/>
                    </w14:srgbClr>
                  </w14:solidFill>
                </w14:textFill>
              </w:rPr>
              <w:t xml:space="preserve">　</w:t>
            </w:r>
            <w:r w:rsidR="00B85705">
              <w:rPr>
                <w:vertAlign w:val="superscript"/>
              </w:rPr>
              <w:t>1</w:t>
            </w:r>
          </w:p>
        </w:tc>
        <w:tc>
          <w:tcPr>
            <w:tcW w:w="601" w:type="pct"/>
            <w:shd w:val="clear" w:color="auto" w:fill="auto"/>
            <w:vAlign w:val="center"/>
          </w:tcPr>
          <w:p w14:paraId="7A620378" w14:textId="31BDA55C" w:rsidR="00385A9D" w:rsidRPr="005E2E87" w:rsidRDefault="000A591F" w:rsidP="00103AD0">
            <w:pPr>
              <w:pStyle w:val="PBACTableText"/>
              <w:spacing w:before="0" w:after="0"/>
              <w:jc w:val="center"/>
              <w:rPr>
                <w:color w:val="000000"/>
              </w:rPr>
            </w:pPr>
            <w:r w:rsidRPr="000A591F">
              <w:rPr>
                <w:rFonts w:hint="eastAsia"/>
                <w:color w:val="000000"/>
                <w:w w:val="15"/>
                <w:shd w:val="solid" w:color="000000" w:fill="000000"/>
                <w:fitText w:val="45" w:id="-1167937278"/>
                <w14:textFill>
                  <w14:solidFill>
                    <w14:srgbClr w14:val="000000">
                      <w14:alpha w14:val="100000"/>
                    </w14:srgbClr>
                  </w14:solidFill>
                </w14:textFill>
              </w:rPr>
              <w:t xml:space="preserve">　</w:t>
            </w:r>
            <w:r w:rsidRPr="000A591F">
              <w:rPr>
                <w:color w:val="000000"/>
                <w:w w:val="15"/>
                <w:shd w:val="solid" w:color="000000" w:fill="000000"/>
                <w:fitText w:val="45" w:id="-1167937278"/>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8"/>
                <w14:textFill>
                  <w14:solidFill>
                    <w14:srgbClr w14:val="000000">
                      <w14:alpha w14:val="100000"/>
                    </w14:srgbClr>
                  </w14:solidFill>
                </w14:textFill>
              </w:rPr>
              <w:t xml:space="preserve">　</w:t>
            </w:r>
            <w:r w:rsidR="00B85705">
              <w:rPr>
                <w:vertAlign w:val="superscript"/>
              </w:rPr>
              <w:t>1</w:t>
            </w:r>
          </w:p>
        </w:tc>
        <w:tc>
          <w:tcPr>
            <w:tcW w:w="601" w:type="pct"/>
            <w:shd w:val="clear" w:color="auto" w:fill="auto"/>
            <w:vAlign w:val="center"/>
          </w:tcPr>
          <w:p w14:paraId="1D2C1413" w14:textId="74FAD3E4" w:rsidR="00385A9D" w:rsidRPr="005E2E87" w:rsidRDefault="000A591F" w:rsidP="00103AD0">
            <w:pPr>
              <w:pStyle w:val="PBACTableText"/>
              <w:spacing w:before="0" w:after="0"/>
              <w:jc w:val="center"/>
              <w:rPr>
                <w:color w:val="000000"/>
              </w:rPr>
            </w:pPr>
            <w:r w:rsidRPr="000A591F">
              <w:rPr>
                <w:rFonts w:hint="eastAsia"/>
                <w:color w:val="000000"/>
                <w:w w:val="15"/>
                <w:shd w:val="solid" w:color="000000" w:fill="000000"/>
                <w:fitText w:val="45" w:id="-1167937277"/>
                <w14:textFill>
                  <w14:solidFill>
                    <w14:srgbClr w14:val="000000">
                      <w14:alpha w14:val="100000"/>
                    </w14:srgbClr>
                  </w14:solidFill>
                </w14:textFill>
              </w:rPr>
              <w:t xml:space="preserve">　</w:t>
            </w:r>
            <w:r w:rsidRPr="000A591F">
              <w:rPr>
                <w:color w:val="000000"/>
                <w:w w:val="15"/>
                <w:shd w:val="solid" w:color="000000" w:fill="000000"/>
                <w:fitText w:val="45" w:id="-1167937277"/>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7"/>
                <w14:textFill>
                  <w14:solidFill>
                    <w14:srgbClr w14:val="000000">
                      <w14:alpha w14:val="100000"/>
                    </w14:srgbClr>
                  </w14:solidFill>
                </w14:textFill>
              </w:rPr>
              <w:t xml:space="preserve">　</w:t>
            </w:r>
            <w:r w:rsidR="00B85705">
              <w:rPr>
                <w:vertAlign w:val="superscript"/>
              </w:rPr>
              <w:t>2</w:t>
            </w:r>
          </w:p>
        </w:tc>
        <w:tc>
          <w:tcPr>
            <w:tcW w:w="642" w:type="pct"/>
            <w:shd w:val="clear" w:color="auto" w:fill="auto"/>
            <w:vAlign w:val="center"/>
          </w:tcPr>
          <w:p w14:paraId="3F0ACB95" w14:textId="0A9CE054" w:rsidR="00385A9D" w:rsidRPr="005E2E87" w:rsidRDefault="000A591F" w:rsidP="00103AD0">
            <w:pPr>
              <w:pStyle w:val="PBACTableText"/>
              <w:spacing w:before="0" w:after="0"/>
              <w:jc w:val="center"/>
              <w:rPr>
                <w:color w:val="000000"/>
              </w:rPr>
            </w:pPr>
            <w:r w:rsidRPr="000F75DF">
              <w:rPr>
                <w:rFonts w:hint="eastAsia"/>
                <w:color w:val="000000"/>
                <w:w w:val="15"/>
                <w:shd w:val="solid" w:color="000000" w:fill="000000"/>
                <w:fitText w:val="15" w:id="-1167937276"/>
                <w14:textFill>
                  <w14:solidFill>
                    <w14:srgbClr w14:val="000000">
                      <w14:alpha w14:val="100000"/>
                    </w14:srgbClr>
                  </w14:solidFill>
                </w14:textFill>
              </w:rPr>
              <w:t xml:space="preserve">　</w:t>
            </w:r>
            <w:r w:rsidRPr="000F75DF">
              <w:rPr>
                <w:color w:val="000000"/>
                <w:w w:val="15"/>
                <w:shd w:val="solid" w:color="000000" w:fill="000000"/>
                <w:fitText w:val="15" w:id="-1167937276"/>
                <w14:textFill>
                  <w14:solidFill>
                    <w14:srgbClr w14:val="000000">
                      <w14:alpha w14:val="100000"/>
                    </w14:srgbClr>
                  </w14:solidFill>
                </w14:textFill>
              </w:rPr>
              <w:t>|</w:t>
            </w:r>
            <w:r w:rsidRPr="000F75DF">
              <w:rPr>
                <w:rFonts w:hint="eastAsia"/>
                <w:color w:val="000000"/>
                <w:spacing w:val="-50"/>
                <w:w w:val="15"/>
                <w:shd w:val="solid" w:color="000000" w:fill="000000"/>
                <w:fitText w:val="15" w:id="-1167937276"/>
                <w14:textFill>
                  <w14:solidFill>
                    <w14:srgbClr w14:val="000000">
                      <w14:alpha w14:val="100000"/>
                    </w14:srgbClr>
                  </w14:solidFill>
                </w14:textFill>
              </w:rPr>
              <w:t xml:space="preserve">　</w:t>
            </w:r>
            <w:r w:rsidR="00B85705">
              <w:rPr>
                <w:vertAlign w:val="superscript"/>
              </w:rPr>
              <w:t>2</w:t>
            </w:r>
          </w:p>
        </w:tc>
        <w:tc>
          <w:tcPr>
            <w:tcW w:w="642" w:type="pct"/>
            <w:vAlign w:val="center"/>
          </w:tcPr>
          <w:p w14:paraId="1C30F331" w14:textId="77557584" w:rsidR="00385A9D" w:rsidRPr="005E2E87" w:rsidRDefault="000A591F" w:rsidP="00103AD0">
            <w:pPr>
              <w:pStyle w:val="PBACTableText"/>
              <w:spacing w:before="0" w:after="0"/>
              <w:jc w:val="center"/>
              <w:rPr>
                <w:color w:val="000000"/>
              </w:rPr>
            </w:pPr>
            <w:r w:rsidRPr="000F75DF">
              <w:rPr>
                <w:rFonts w:hint="eastAsia"/>
                <w:color w:val="000000"/>
                <w:w w:val="15"/>
                <w:shd w:val="solid" w:color="000000" w:fill="000000"/>
                <w:fitText w:val="15" w:id="-1167937275"/>
                <w14:textFill>
                  <w14:solidFill>
                    <w14:srgbClr w14:val="000000">
                      <w14:alpha w14:val="100000"/>
                    </w14:srgbClr>
                  </w14:solidFill>
                </w14:textFill>
              </w:rPr>
              <w:t xml:space="preserve">　</w:t>
            </w:r>
            <w:r w:rsidRPr="000F75DF">
              <w:rPr>
                <w:color w:val="000000"/>
                <w:w w:val="15"/>
                <w:shd w:val="solid" w:color="000000" w:fill="000000"/>
                <w:fitText w:val="15" w:id="-1167937275"/>
                <w14:textFill>
                  <w14:solidFill>
                    <w14:srgbClr w14:val="000000">
                      <w14:alpha w14:val="100000"/>
                    </w14:srgbClr>
                  </w14:solidFill>
                </w14:textFill>
              </w:rPr>
              <w:t>|</w:t>
            </w:r>
            <w:r w:rsidRPr="000F75DF">
              <w:rPr>
                <w:rFonts w:hint="eastAsia"/>
                <w:color w:val="000000"/>
                <w:spacing w:val="-50"/>
                <w:w w:val="15"/>
                <w:shd w:val="solid" w:color="000000" w:fill="000000"/>
                <w:fitText w:val="15" w:id="-1167937275"/>
                <w14:textFill>
                  <w14:solidFill>
                    <w14:srgbClr w14:val="000000">
                      <w14:alpha w14:val="100000"/>
                    </w14:srgbClr>
                  </w14:solidFill>
                </w14:textFill>
              </w:rPr>
              <w:t xml:space="preserve">　</w:t>
            </w:r>
            <w:r w:rsidR="00B85705">
              <w:rPr>
                <w:vertAlign w:val="superscript"/>
              </w:rPr>
              <w:t>3</w:t>
            </w:r>
          </w:p>
        </w:tc>
      </w:tr>
      <w:tr w:rsidR="00385A9D" w:rsidRPr="005E2E87" w14:paraId="1E699D47" w14:textId="77777777" w:rsidTr="00B821F8">
        <w:trPr>
          <w:trHeight w:val="57"/>
        </w:trPr>
        <w:tc>
          <w:tcPr>
            <w:tcW w:w="5000" w:type="pct"/>
            <w:gridSpan w:val="7"/>
            <w:shd w:val="clear" w:color="auto" w:fill="auto"/>
            <w:vAlign w:val="center"/>
          </w:tcPr>
          <w:p w14:paraId="7D0E0884" w14:textId="714D103F" w:rsidR="00385A9D" w:rsidRPr="005E2E87" w:rsidRDefault="00385A9D" w:rsidP="00103AD0">
            <w:pPr>
              <w:pStyle w:val="In-tableHeading"/>
            </w:pPr>
            <w:r w:rsidRPr="005E2E87">
              <w:t xml:space="preserve">Estimated financial implications of </w:t>
            </w:r>
            <w:r w:rsidR="006720C5" w:rsidRPr="005E2E87">
              <w:t>secukinumab</w:t>
            </w:r>
          </w:p>
        </w:tc>
      </w:tr>
      <w:tr w:rsidR="001F6B68" w:rsidRPr="005E2E87" w14:paraId="4B4ACF1A" w14:textId="77777777" w:rsidTr="00B821F8">
        <w:trPr>
          <w:trHeight w:val="57"/>
        </w:trPr>
        <w:tc>
          <w:tcPr>
            <w:tcW w:w="1311" w:type="pct"/>
            <w:shd w:val="clear" w:color="auto" w:fill="auto"/>
            <w:vAlign w:val="center"/>
          </w:tcPr>
          <w:p w14:paraId="467993BD" w14:textId="618A57F1" w:rsidR="001F6B68" w:rsidRPr="005E2E87" w:rsidRDefault="001F6B68" w:rsidP="00103AD0">
            <w:pPr>
              <w:pStyle w:val="TableText0"/>
              <w:rPr>
                <w:szCs w:val="20"/>
              </w:rPr>
            </w:pPr>
            <w:r w:rsidRPr="005E2E87">
              <w:rPr>
                <w:szCs w:val="20"/>
              </w:rPr>
              <w:t>Cost to PBS/RPBS less copayments</w:t>
            </w:r>
          </w:p>
        </w:tc>
        <w:tc>
          <w:tcPr>
            <w:tcW w:w="601" w:type="pct"/>
            <w:shd w:val="clear" w:color="auto" w:fill="auto"/>
            <w:vAlign w:val="center"/>
          </w:tcPr>
          <w:p w14:paraId="4125A2B6" w14:textId="34F7D417" w:rsidR="001F6B68" w:rsidRPr="005E2E87" w:rsidRDefault="000A591F" w:rsidP="00103AD0">
            <w:pPr>
              <w:pStyle w:val="PBACTableText"/>
              <w:spacing w:before="0" w:after="0"/>
              <w:jc w:val="center"/>
            </w:pPr>
            <w:r w:rsidRPr="000A591F">
              <w:rPr>
                <w:rFonts w:hint="eastAsia"/>
                <w:color w:val="000000"/>
                <w:w w:val="15"/>
                <w:shd w:val="solid" w:color="000000" w:fill="000000"/>
                <w:fitText w:val="45" w:id="-1167937274"/>
                <w14:textFill>
                  <w14:solidFill>
                    <w14:srgbClr w14:val="000000">
                      <w14:alpha w14:val="100000"/>
                    </w14:srgbClr>
                  </w14:solidFill>
                </w14:textFill>
              </w:rPr>
              <w:t xml:space="preserve">　</w:t>
            </w:r>
            <w:r w:rsidRPr="000A591F">
              <w:rPr>
                <w:color w:val="000000"/>
                <w:w w:val="15"/>
                <w:shd w:val="solid" w:color="000000" w:fill="000000"/>
                <w:fitText w:val="45" w:id="-1167937274"/>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4"/>
                <w14:textFill>
                  <w14:solidFill>
                    <w14:srgbClr w14:val="000000">
                      <w14:alpha w14:val="100000"/>
                    </w14:srgbClr>
                  </w14:solidFill>
                </w14:textFill>
              </w:rPr>
              <w:t xml:space="preserve">　</w:t>
            </w:r>
            <w:r w:rsidR="00B85705">
              <w:rPr>
                <w:vertAlign w:val="superscript"/>
              </w:rPr>
              <w:t>4</w:t>
            </w:r>
          </w:p>
        </w:tc>
        <w:tc>
          <w:tcPr>
            <w:tcW w:w="601" w:type="pct"/>
            <w:shd w:val="clear" w:color="auto" w:fill="auto"/>
            <w:vAlign w:val="center"/>
          </w:tcPr>
          <w:p w14:paraId="5BDFECEB" w14:textId="47A5A296" w:rsidR="001F6B68" w:rsidRPr="005E2E87" w:rsidRDefault="000A591F" w:rsidP="00103AD0">
            <w:pPr>
              <w:pStyle w:val="PBACTableText"/>
              <w:spacing w:before="0" w:after="0"/>
              <w:jc w:val="center"/>
            </w:pPr>
            <w:r w:rsidRPr="000A591F">
              <w:rPr>
                <w:rFonts w:hint="eastAsia"/>
                <w:color w:val="000000"/>
                <w:w w:val="15"/>
                <w:shd w:val="solid" w:color="000000" w:fill="000000"/>
                <w:fitText w:val="45" w:id="-1167937273"/>
                <w14:textFill>
                  <w14:solidFill>
                    <w14:srgbClr w14:val="000000">
                      <w14:alpha w14:val="100000"/>
                    </w14:srgbClr>
                  </w14:solidFill>
                </w14:textFill>
              </w:rPr>
              <w:t xml:space="preserve">　</w:t>
            </w:r>
            <w:r w:rsidRPr="000A591F">
              <w:rPr>
                <w:color w:val="000000"/>
                <w:w w:val="15"/>
                <w:shd w:val="solid" w:color="000000" w:fill="000000"/>
                <w:fitText w:val="45" w:id="-1167937273"/>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3"/>
                <w14:textFill>
                  <w14:solidFill>
                    <w14:srgbClr w14:val="000000">
                      <w14:alpha w14:val="100000"/>
                    </w14:srgbClr>
                  </w14:solidFill>
                </w14:textFill>
              </w:rPr>
              <w:t xml:space="preserve">　</w:t>
            </w:r>
            <w:r w:rsidR="00B85705">
              <w:rPr>
                <w:vertAlign w:val="superscript"/>
              </w:rPr>
              <w:t>4</w:t>
            </w:r>
          </w:p>
        </w:tc>
        <w:tc>
          <w:tcPr>
            <w:tcW w:w="601" w:type="pct"/>
            <w:shd w:val="clear" w:color="auto" w:fill="auto"/>
            <w:vAlign w:val="center"/>
          </w:tcPr>
          <w:p w14:paraId="3890D42E" w14:textId="0AF3373A" w:rsidR="001F6B68" w:rsidRPr="005E2E87" w:rsidRDefault="000A591F" w:rsidP="00103AD0">
            <w:pPr>
              <w:pStyle w:val="PBACTableText"/>
              <w:spacing w:before="0" w:after="0"/>
              <w:jc w:val="center"/>
            </w:pPr>
            <w:r w:rsidRPr="000A591F">
              <w:rPr>
                <w:rFonts w:hint="eastAsia"/>
                <w:color w:val="000000"/>
                <w:w w:val="15"/>
                <w:shd w:val="solid" w:color="000000" w:fill="000000"/>
                <w:fitText w:val="45" w:id="-1167937272"/>
                <w14:textFill>
                  <w14:solidFill>
                    <w14:srgbClr w14:val="000000">
                      <w14:alpha w14:val="100000"/>
                    </w14:srgbClr>
                  </w14:solidFill>
                </w14:textFill>
              </w:rPr>
              <w:t xml:space="preserve">　</w:t>
            </w:r>
            <w:r w:rsidRPr="000A591F">
              <w:rPr>
                <w:color w:val="000000"/>
                <w:w w:val="15"/>
                <w:shd w:val="solid" w:color="000000" w:fill="000000"/>
                <w:fitText w:val="45" w:id="-1167937272"/>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2"/>
                <w14:textFill>
                  <w14:solidFill>
                    <w14:srgbClr w14:val="000000">
                      <w14:alpha w14:val="100000"/>
                    </w14:srgbClr>
                  </w14:solidFill>
                </w14:textFill>
              </w:rPr>
              <w:t xml:space="preserve">　</w:t>
            </w:r>
            <w:r w:rsidR="00B85705">
              <w:rPr>
                <w:vertAlign w:val="superscript"/>
              </w:rPr>
              <w:t>4</w:t>
            </w:r>
          </w:p>
        </w:tc>
        <w:tc>
          <w:tcPr>
            <w:tcW w:w="601" w:type="pct"/>
            <w:shd w:val="clear" w:color="auto" w:fill="auto"/>
            <w:vAlign w:val="center"/>
          </w:tcPr>
          <w:p w14:paraId="2728B643" w14:textId="001BB4D2" w:rsidR="001F6B68" w:rsidRPr="005E2E87" w:rsidRDefault="000A591F" w:rsidP="00103AD0">
            <w:pPr>
              <w:pStyle w:val="PBACTableText"/>
              <w:spacing w:before="0" w:after="0"/>
              <w:jc w:val="center"/>
            </w:pPr>
            <w:r w:rsidRPr="000A591F">
              <w:rPr>
                <w:rFonts w:hint="eastAsia"/>
                <w:color w:val="000000"/>
                <w:w w:val="15"/>
                <w:shd w:val="solid" w:color="000000" w:fill="000000"/>
                <w:fitText w:val="45" w:id="-1167937271"/>
                <w14:textFill>
                  <w14:solidFill>
                    <w14:srgbClr w14:val="000000">
                      <w14:alpha w14:val="100000"/>
                    </w14:srgbClr>
                  </w14:solidFill>
                </w14:textFill>
              </w:rPr>
              <w:t xml:space="preserve">　</w:t>
            </w:r>
            <w:r w:rsidRPr="000A591F">
              <w:rPr>
                <w:color w:val="000000"/>
                <w:w w:val="15"/>
                <w:shd w:val="solid" w:color="000000" w:fill="000000"/>
                <w:fitText w:val="45" w:id="-1167937271"/>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1"/>
                <w14:textFill>
                  <w14:solidFill>
                    <w14:srgbClr w14:val="000000">
                      <w14:alpha w14:val="100000"/>
                    </w14:srgbClr>
                  </w14:solidFill>
                </w14:textFill>
              </w:rPr>
              <w:t xml:space="preserve">　</w:t>
            </w:r>
            <w:r w:rsidR="00B85705">
              <w:rPr>
                <w:vertAlign w:val="superscript"/>
              </w:rPr>
              <w:t>4</w:t>
            </w:r>
          </w:p>
        </w:tc>
        <w:tc>
          <w:tcPr>
            <w:tcW w:w="642" w:type="pct"/>
            <w:shd w:val="clear" w:color="auto" w:fill="auto"/>
            <w:vAlign w:val="center"/>
          </w:tcPr>
          <w:p w14:paraId="5FE5021A" w14:textId="230AA4FA" w:rsidR="001F6B68" w:rsidRPr="005E2E87" w:rsidRDefault="000A591F" w:rsidP="00103AD0">
            <w:pPr>
              <w:pStyle w:val="PBACTableText"/>
              <w:spacing w:before="0" w:after="0"/>
              <w:jc w:val="center"/>
            </w:pPr>
            <w:r w:rsidRPr="000F75DF">
              <w:rPr>
                <w:rFonts w:hint="eastAsia"/>
                <w:color w:val="000000"/>
                <w:w w:val="15"/>
                <w:shd w:val="solid" w:color="000000" w:fill="000000"/>
                <w:fitText w:val="15" w:id="-1167937270"/>
                <w14:textFill>
                  <w14:solidFill>
                    <w14:srgbClr w14:val="000000">
                      <w14:alpha w14:val="100000"/>
                    </w14:srgbClr>
                  </w14:solidFill>
                </w14:textFill>
              </w:rPr>
              <w:t xml:space="preserve">　</w:t>
            </w:r>
            <w:r w:rsidRPr="000F75DF">
              <w:rPr>
                <w:color w:val="000000"/>
                <w:w w:val="15"/>
                <w:shd w:val="solid" w:color="000000" w:fill="000000"/>
                <w:fitText w:val="15" w:id="-1167937270"/>
                <w14:textFill>
                  <w14:solidFill>
                    <w14:srgbClr w14:val="000000">
                      <w14:alpha w14:val="100000"/>
                    </w14:srgbClr>
                  </w14:solidFill>
                </w14:textFill>
              </w:rPr>
              <w:t>|</w:t>
            </w:r>
            <w:r w:rsidRPr="000F75DF">
              <w:rPr>
                <w:rFonts w:hint="eastAsia"/>
                <w:color w:val="000000"/>
                <w:spacing w:val="-50"/>
                <w:w w:val="15"/>
                <w:shd w:val="solid" w:color="000000" w:fill="000000"/>
                <w:fitText w:val="15" w:id="-1167937270"/>
                <w14:textFill>
                  <w14:solidFill>
                    <w14:srgbClr w14:val="000000">
                      <w14:alpha w14:val="100000"/>
                    </w14:srgbClr>
                  </w14:solidFill>
                </w14:textFill>
              </w:rPr>
              <w:t xml:space="preserve">　</w:t>
            </w:r>
            <w:r w:rsidR="00B85705">
              <w:rPr>
                <w:vertAlign w:val="superscript"/>
              </w:rPr>
              <w:t>5</w:t>
            </w:r>
          </w:p>
        </w:tc>
        <w:tc>
          <w:tcPr>
            <w:tcW w:w="642" w:type="pct"/>
            <w:vAlign w:val="center"/>
          </w:tcPr>
          <w:p w14:paraId="6F8E9082" w14:textId="44FD6956" w:rsidR="001F6B68" w:rsidRPr="005E2E87" w:rsidRDefault="000A591F" w:rsidP="00103AD0">
            <w:pPr>
              <w:pStyle w:val="PBACTableText"/>
              <w:spacing w:before="0" w:after="0"/>
              <w:jc w:val="center"/>
            </w:pPr>
            <w:r w:rsidRPr="000F75DF">
              <w:rPr>
                <w:rFonts w:hint="eastAsia"/>
                <w:color w:val="000000"/>
                <w:w w:val="15"/>
                <w:shd w:val="solid" w:color="000000" w:fill="000000"/>
                <w:fitText w:val="15" w:id="-1167937269"/>
                <w14:textFill>
                  <w14:solidFill>
                    <w14:srgbClr w14:val="000000">
                      <w14:alpha w14:val="100000"/>
                    </w14:srgbClr>
                  </w14:solidFill>
                </w14:textFill>
              </w:rPr>
              <w:t xml:space="preserve">　</w:t>
            </w:r>
            <w:r w:rsidRPr="000F75DF">
              <w:rPr>
                <w:color w:val="000000"/>
                <w:w w:val="15"/>
                <w:shd w:val="solid" w:color="000000" w:fill="000000"/>
                <w:fitText w:val="15" w:id="-1167937269"/>
                <w14:textFill>
                  <w14:solidFill>
                    <w14:srgbClr w14:val="000000">
                      <w14:alpha w14:val="100000"/>
                    </w14:srgbClr>
                  </w14:solidFill>
                </w14:textFill>
              </w:rPr>
              <w:t>|</w:t>
            </w:r>
            <w:r w:rsidRPr="000F75DF">
              <w:rPr>
                <w:rFonts w:hint="eastAsia"/>
                <w:color w:val="000000"/>
                <w:spacing w:val="-50"/>
                <w:w w:val="15"/>
                <w:shd w:val="solid" w:color="000000" w:fill="000000"/>
                <w:fitText w:val="15" w:id="-1167937269"/>
                <w14:textFill>
                  <w14:solidFill>
                    <w14:srgbClr w14:val="000000">
                      <w14:alpha w14:val="100000"/>
                    </w14:srgbClr>
                  </w14:solidFill>
                </w14:textFill>
              </w:rPr>
              <w:t xml:space="preserve">　</w:t>
            </w:r>
            <w:r w:rsidR="00B85705">
              <w:rPr>
                <w:vertAlign w:val="superscript"/>
              </w:rPr>
              <w:t>5</w:t>
            </w:r>
          </w:p>
        </w:tc>
      </w:tr>
      <w:tr w:rsidR="00385A9D" w:rsidRPr="005E2E87" w14:paraId="344AC0E2" w14:textId="77777777" w:rsidTr="00B821F8">
        <w:trPr>
          <w:trHeight w:val="57"/>
        </w:trPr>
        <w:tc>
          <w:tcPr>
            <w:tcW w:w="5000" w:type="pct"/>
            <w:gridSpan w:val="7"/>
            <w:shd w:val="clear" w:color="auto" w:fill="auto"/>
            <w:vAlign w:val="center"/>
          </w:tcPr>
          <w:p w14:paraId="0FF7E64D" w14:textId="264EC9D3" w:rsidR="00385A9D" w:rsidRPr="004E657B" w:rsidRDefault="00385A9D" w:rsidP="00103AD0">
            <w:pPr>
              <w:pStyle w:val="TableText0"/>
              <w:rPr>
                <w:b/>
                <w:bCs w:val="0"/>
              </w:rPr>
            </w:pPr>
            <w:r w:rsidRPr="004E657B">
              <w:rPr>
                <w:b/>
                <w:bCs w:val="0"/>
              </w:rPr>
              <w:t xml:space="preserve">Estimated financial implications for </w:t>
            </w:r>
            <w:r w:rsidR="005762D0" w:rsidRPr="004E657B">
              <w:rPr>
                <w:b/>
                <w:bCs w:val="0"/>
              </w:rPr>
              <w:t>adalimumab</w:t>
            </w:r>
          </w:p>
        </w:tc>
      </w:tr>
      <w:tr w:rsidR="006A3F86" w:rsidRPr="005E2E87" w14:paraId="0CE077D9" w14:textId="77777777" w:rsidTr="00B821F8">
        <w:trPr>
          <w:trHeight w:val="57"/>
        </w:trPr>
        <w:tc>
          <w:tcPr>
            <w:tcW w:w="1311" w:type="pct"/>
            <w:shd w:val="clear" w:color="auto" w:fill="auto"/>
            <w:vAlign w:val="center"/>
          </w:tcPr>
          <w:p w14:paraId="40F6A2C5" w14:textId="135CB323" w:rsidR="006A3F86" w:rsidRPr="005E2E87" w:rsidRDefault="006A3F86" w:rsidP="00103AD0">
            <w:pPr>
              <w:pStyle w:val="TableText0"/>
              <w:rPr>
                <w:szCs w:val="20"/>
              </w:rPr>
            </w:pPr>
            <w:r w:rsidRPr="005E2E87">
              <w:rPr>
                <w:szCs w:val="20"/>
              </w:rPr>
              <w:t>Cost to PBS/RPBS less copayments</w:t>
            </w:r>
          </w:p>
        </w:tc>
        <w:tc>
          <w:tcPr>
            <w:tcW w:w="601" w:type="pct"/>
            <w:shd w:val="clear" w:color="auto" w:fill="auto"/>
            <w:vAlign w:val="center"/>
          </w:tcPr>
          <w:p w14:paraId="50CF2446" w14:textId="7189E52B" w:rsidR="006A3F86" w:rsidRPr="005E2E87" w:rsidRDefault="000A591F" w:rsidP="00103AD0">
            <w:pPr>
              <w:pStyle w:val="PBACTableText"/>
              <w:spacing w:before="0" w:after="0"/>
              <w:jc w:val="center"/>
            </w:pPr>
            <w:r w:rsidRPr="000A591F">
              <w:rPr>
                <w:rFonts w:hint="eastAsia"/>
                <w:color w:val="000000"/>
                <w:w w:val="15"/>
                <w:shd w:val="solid" w:color="000000" w:fill="000000"/>
                <w:fitText w:val="45" w:id="-1167937268"/>
                <w14:textFill>
                  <w14:solidFill>
                    <w14:srgbClr w14:val="000000">
                      <w14:alpha w14:val="100000"/>
                    </w14:srgbClr>
                  </w14:solidFill>
                </w14:textFill>
              </w:rPr>
              <w:t xml:space="preserve">　</w:t>
            </w:r>
            <w:r w:rsidRPr="000A591F">
              <w:rPr>
                <w:color w:val="000000"/>
                <w:w w:val="15"/>
                <w:shd w:val="solid" w:color="000000" w:fill="000000"/>
                <w:fitText w:val="45" w:id="-1167937268"/>
                <w14:textFill>
                  <w14:solidFill>
                    <w14:srgbClr w14:val="000000">
                      <w14:alpha w14:val="100000"/>
                    </w14:srgbClr>
                  </w14:solidFill>
                </w14:textFill>
              </w:rPr>
              <w:t>|</w:t>
            </w:r>
            <w:r w:rsidRPr="000A591F">
              <w:rPr>
                <w:rFonts w:hint="eastAsia"/>
                <w:color w:val="000000"/>
                <w:spacing w:val="-30"/>
                <w:w w:val="15"/>
                <w:shd w:val="solid" w:color="000000" w:fill="000000"/>
                <w:fitText w:val="45" w:id="-1167937268"/>
                <w14:textFill>
                  <w14:solidFill>
                    <w14:srgbClr w14:val="000000">
                      <w14:alpha w14:val="100000"/>
                    </w14:srgbClr>
                  </w14:solidFill>
                </w14:textFill>
              </w:rPr>
              <w:t xml:space="preserve">　</w:t>
            </w:r>
            <w:r w:rsidR="00B85705">
              <w:rPr>
                <w:vertAlign w:val="superscript"/>
              </w:rPr>
              <w:t>6</w:t>
            </w:r>
          </w:p>
        </w:tc>
        <w:tc>
          <w:tcPr>
            <w:tcW w:w="601" w:type="pct"/>
            <w:shd w:val="clear" w:color="auto" w:fill="auto"/>
            <w:vAlign w:val="center"/>
          </w:tcPr>
          <w:p w14:paraId="35AF80ED" w14:textId="141EB42F" w:rsidR="006A3F86" w:rsidRPr="005E2E87" w:rsidRDefault="000A591F" w:rsidP="00103AD0">
            <w:pPr>
              <w:pStyle w:val="PBACTableText"/>
              <w:spacing w:before="0" w:after="0"/>
              <w:jc w:val="center"/>
            </w:pPr>
            <w:r w:rsidRPr="000A591F">
              <w:rPr>
                <w:rFonts w:hint="eastAsia"/>
                <w:color w:val="000000"/>
                <w:w w:val="15"/>
                <w:shd w:val="solid" w:color="000000" w:fill="000000"/>
                <w:fitText w:val="45" w:id="-1167937267"/>
                <w14:textFill>
                  <w14:solidFill>
                    <w14:srgbClr w14:val="000000">
                      <w14:alpha w14:val="100000"/>
                    </w14:srgbClr>
                  </w14:solidFill>
                </w14:textFill>
              </w:rPr>
              <w:t xml:space="preserve">　</w:t>
            </w:r>
            <w:r w:rsidRPr="000A591F">
              <w:rPr>
                <w:color w:val="000000"/>
                <w:w w:val="15"/>
                <w:shd w:val="solid" w:color="000000" w:fill="000000"/>
                <w:fitText w:val="45" w:id="-1167937267"/>
                <w14:textFill>
                  <w14:solidFill>
                    <w14:srgbClr w14:val="000000">
                      <w14:alpha w14:val="100000"/>
                    </w14:srgbClr>
                  </w14:solidFill>
                </w14:textFill>
              </w:rPr>
              <w:t>|</w:t>
            </w:r>
            <w:r w:rsidRPr="000A591F">
              <w:rPr>
                <w:rFonts w:hint="eastAsia"/>
                <w:color w:val="000000"/>
                <w:spacing w:val="-30"/>
                <w:w w:val="15"/>
                <w:shd w:val="solid" w:color="000000" w:fill="000000"/>
                <w:fitText w:val="45" w:id="-1167937267"/>
                <w14:textFill>
                  <w14:solidFill>
                    <w14:srgbClr w14:val="000000">
                      <w14:alpha w14:val="100000"/>
                    </w14:srgbClr>
                  </w14:solidFill>
                </w14:textFill>
              </w:rPr>
              <w:t xml:space="preserve">　</w:t>
            </w:r>
            <w:r w:rsidR="00B85705">
              <w:rPr>
                <w:vertAlign w:val="superscript"/>
              </w:rPr>
              <w:t>6</w:t>
            </w:r>
          </w:p>
        </w:tc>
        <w:tc>
          <w:tcPr>
            <w:tcW w:w="601" w:type="pct"/>
            <w:shd w:val="clear" w:color="auto" w:fill="auto"/>
            <w:vAlign w:val="center"/>
          </w:tcPr>
          <w:p w14:paraId="28F1C25D" w14:textId="65A5CE6A" w:rsidR="006A3F86" w:rsidRPr="005E2E87" w:rsidRDefault="000A591F" w:rsidP="00103AD0">
            <w:pPr>
              <w:pStyle w:val="PBACTableText"/>
              <w:spacing w:before="0" w:after="0"/>
              <w:jc w:val="center"/>
            </w:pPr>
            <w:r w:rsidRPr="000A591F">
              <w:rPr>
                <w:rFonts w:hint="eastAsia"/>
                <w:color w:val="000000"/>
                <w:w w:val="15"/>
                <w:shd w:val="solid" w:color="000000" w:fill="000000"/>
                <w:fitText w:val="45" w:id="-1167937266"/>
                <w14:textFill>
                  <w14:solidFill>
                    <w14:srgbClr w14:val="000000">
                      <w14:alpha w14:val="100000"/>
                    </w14:srgbClr>
                  </w14:solidFill>
                </w14:textFill>
              </w:rPr>
              <w:t xml:space="preserve">　</w:t>
            </w:r>
            <w:r w:rsidRPr="000A591F">
              <w:rPr>
                <w:color w:val="000000"/>
                <w:w w:val="15"/>
                <w:shd w:val="solid" w:color="000000" w:fill="000000"/>
                <w:fitText w:val="45" w:id="-1167937266"/>
                <w14:textFill>
                  <w14:solidFill>
                    <w14:srgbClr w14:val="000000">
                      <w14:alpha w14:val="100000"/>
                    </w14:srgbClr>
                  </w14:solidFill>
                </w14:textFill>
              </w:rPr>
              <w:t>|</w:t>
            </w:r>
            <w:r w:rsidRPr="000A591F">
              <w:rPr>
                <w:rFonts w:hint="eastAsia"/>
                <w:color w:val="000000"/>
                <w:spacing w:val="-30"/>
                <w:w w:val="15"/>
                <w:shd w:val="solid" w:color="000000" w:fill="000000"/>
                <w:fitText w:val="45" w:id="-1167937266"/>
                <w14:textFill>
                  <w14:solidFill>
                    <w14:srgbClr w14:val="000000">
                      <w14:alpha w14:val="100000"/>
                    </w14:srgbClr>
                  </w14:solidFill>
                </w14:textFill>
              </w:rPr>
              <w:t xml:space="preserve">　</w:t>
            </w:r>
            <w:r w:rsidR="00B85705">
              <w:rPr>
                <w:vertAlign w:val="superscript"/>
              </w:rPr>
              <w:t>6</w:t>
            </w:r>
          </w:p>
        </w:tc>
        <w:tc>
          <w:tcPr>
            <w:tcW w:w="601" w:type="pct"/>
            <w:shd w:val="clear" w:color="auto" w:fill="auto"/>
            <w:vAlign w:val="center"/>
          </w:tcPr>
          <w:p w14:paraId="5DBA4173" w14:textId="1B819210" w:rsidR="006A3F86" w:rsidRPr="005E2E87" w:rsidRDefault="000A591F" w:rsidP="00103AD0">
            <w:pPr>
              <w:pStyle w:val="PBACTableText"/>
              <w:spacing w:before="0" w:after="0"/>
              <w:jc w:val="center"/>
            </w:pPr>
            <w:r w:rsidRPr="000A591F">
              <w:rPr>
                <w:rFonts w:hint="eastAsia"/>
                <w:color w:val="000000"/>
                <w:w w:val="15"/>
                <w:shd w:val="solid" w:color="000000" w:fill="000000"/>
                <w:fitText w:val="45" w:id="-1167937265"/>
                <w14:textFill>
                  <w14:solidFill>
                    <w14:srgbClr w14:val="000000">
                      <w14:alpha w14:val="100000"/>
                    </w14:srgbClr>
                  </w14:solidFill>
                </w14:textFill>
              </w:rPr>
              <w:t xml:space="preserve">　</w:t>
            </w:r>
            <w:r w:rsidRPr="000A591F">
              <w:rPr>
                <w:color w:val="000000"/>
                <w:w w:val="15"/>
                <w:shd w:val="solid" w:color="000000" w:fill="000000"/>
                <w:fitText w:val="45" w:id="-1167937265"/>
                <w14:textFill>
                  <w14:solidFill>
                    <w14:srgbClr w14:val="000000">
                      <w14:alpha w14:val="100000"/>
                    </w14:srgbClr>
                  </w14:solidFill>
                </w14:textFill>
              </w:rPr>
              <w:t>|</w:t>
            </w:r>
            <w:r w:rsidRPr="000A591F">
              <w:rPr>
                <w:rFonts w:hint="eastAsia"/>
                <w:color w:val="000000"/>
                <w:spacing w:val="-30"/>
                <w:w w:val="15"/>
                <w:shd w:val="solid" w:color="000000" w:fill="000000"/>
                <w:fitText w:val="45" w:id="-1167937265"/>
                <w14:textFill>
                  <w14:solidFill>
                    <w14:srgbClr w14:val="000000">
                      <w14:alpha w14:val="100000"/>
                    </w14:srgbClr>
                  </w14:solidFill>
                </w14:textFill>
              </w:rPr>
              <w:t xml:space="preserve">　</w:t>
            </w:r>
            <w:r w:rsidR="00B85705">
              <w:rPr>
                <w:vertAlign w:val="superscript"/>
              </w:rPr>
              <w:t>6</w:t>
            </w:r>
          </w:p>
        </w:tc>
        <w:tc>
          <w:tcPr>
            <w:tcW w:w="642" w:type="pct"/>
            <w:shd w:val="clear" w:color="auto" w:fill="auto"/>
            <w:vAlign w:val="center"/>
          </w:tcPr>
          <w:p w14:paraId="4D6DC68C" w14:textId="72B1BF2A" w:rsidR="006A3F86" w:rsidRPr="005E2E87" w:rsidRDefault="000A591F" w:rsidP="00103AD0">
            <w:pPr>
              <w:pStyle w:val="PBACTableText"/>
              <w:spacing w:before="0" w:after="0"/>
              <w:jc w:val="center"/>
            </w:pPr>
            <w:r w:rsidRPr="000F75DF">
              <w:rPr>
                <w:rFonts w:hint="eastAsia"/>
                <w:color w:val="000000"/>
                <w:w w:val="15"/>
                <w:shd w:val="solid" w:color="000000" w:fill="000000"/>
                <w:fitText w:val="15" w:id="-1167937264"/>
                <w14:textFill>
                  <w14:solidFill>
                    <w14:srgbClr w14:val="000000">
                      <w14:alpha w14:val="100000"/>
                    </w14:srgbClr>
                  </w14:solidFill>
                </w14:textFill>
              </w:rPr>
              <w:t xml:space="preserve">　</w:t>
            </w:r>
            <w:r w:rsidRPr="000F75DF">
              <w:rPr>
                <w:color w:val="000000"/>
                <w:w w:val="15"/>
                <w:shd w:val="solid" w:color="000000" w:fill="000000"/>
                <w:fitText w:val="15" w:id="-1167937264"/>
                <w14:textFill>
                  <w14:solidFill>
                    <w14:srgbClr w14:val="000000">
                      <w14:alpha w14:val="100000"/>
                    </w14:srgbClr>
                  </w14:solidFill>
                </w14:textFill>
              </w:rPr>
              <w:t>|</w:t>
            </w:r>
            <w:r w:rsidRPr="000F75DF">
              <w:rPr>
                <w:rFonts w:hint="eastAsia"/>
                <w:color w:val="000000"/>
                <w:spacing w:val="-50"/>
                <w:w w:val="15"/>
                <w:shd w:val="solid" w:color="000000" w:fill="000000"/>
                <w:fitText w:val="15" w:id="-1167937264"/>
                <w14:textFill>
                  <w14:solidFill>
                    <w14:srgbClr w14:val="000000">
                      <w14:alpha w14:val="100000"/>
                    </w14:srgbClr>
                  </w14:solidFill>
                </w14:textFill>
              </w:rPr>
              <w:t xml:space="preserve">　</w:t>
            </w:r>
            <w:r w:rsidR="00B85705">
              <w:rPr>
                <w:vertAlign w:val="superscript"/>
              </w:rPr>
              <w:t>6</w:t>
            </w:r>
          </w:p>
        </w:tc>
        <w:tc>
          <w:tcPr>
            <w:tcW w:w="642" w:type="pct"/>
            <w:vAlign w:val="center"/>
          </w:tcPr>
          <w:p w14:paraId="0766C6AC" w14:textId="6B0DA6C6" w:rsidR="006A3F86" w:rsidRPr="005E2E87" w:rsidRDefault="000A591F" w:rsidP="00103AD0">
            <w:pPr>
              <w:pStyle w:val="PBACTableText"/>
              <w:spacing w:before="0" w:after="0"/>
              <w:jc w:val="center"/>
            </w:pPr>
            <w:r w:rsidRPr="000F75DF">
              <w:rPr>
                <w:rFonts w:hint="eastAsia"/>
                <w:color w:val="000000"/>
                <w:w w:val="15"/>
                <w:shd w:val="solid" w:color="000000" w:fill="000000"/>
                <w:fitText w:val="15" w:id="-1167937280"/>
                <w14:textFill>
                  <w14:solidFill>
                    <w14:srgbClr w14:val="000000">
                      <w14:alpha w14:val="100000"/>
                    </w14:srgbClr>
                  </w14:solidFill>
                </w14:textFill>
              </w:rPr>
              <w:t xml:space="preserve">　</w:t>
            </w:r>
            <w:r w:rsidRPr="000F75DF">
              <w:rPr>
                <w:color w:val="000000"/>
                <w:w w:val="15"/>
                <w:shd w:val="solid" w:color="000000" w:fill="000000"/>
                <w:fitText w:val="15" w:id="-1167937280"/>
                <w14:textFill>
                  <w14:solidFill>
                    <w14:srgbClr w14:val="000000">
                      <w14:alpha w14:val="100000"/>
                    </w14:srgbClr>
                  </w14:solidFill>
                </w14:textFill>
              </w:rPr>
              <w:t>|</w:t>
            </w:r>
            <w:r w:rsidRPr="000F75DF">
              <w:rPr>
                <w:rFonts w:hint="eastAsia"/>
                <w:color w:val="000000"/>
                <w:spacing w:val="-50"/>
                <w:w w:val="15"/>
                <w:shd w:val="solid" w:color="000000" w:fill="000000"/>
                <w:fitText w:val="15" w:id="-1167937280"/>
                <w14:textFill>
                  <w14:solidFill>
                    <w14:srgbClr w14:val="000000">
                      <w14:alpha w14:val="100000"/>
                    </w14:srgbClr>
                  </w14:solidFill>
                </w14:textFill>
              </w:rPr>
              <w:t xml:space="preserve">　</w:t>
            </w:r>
            <w:r w:rsidR="00B85705">
              <w:rPr>
                <w:vertAlign w:val="superscript"/>
              </w:rPr>
              <w:t>6</w:t>
            </w:r>
          </w:p>
        </w:tc>
      </w:tr>
      <w:tr w:rsidR="00385A9D" w:rsidRPr="005E2E87" w14:paraId="4FA07BD8" w14:textId="77777777" w:rsidTr="00B821F8">
        <w:trPr>
          <w:trHeight w:val="57"/>
        </w:trPr>
        <w:tc>
          <w:tcPr>
            <w:tcW w:w="5000" w:type="pct"/>
            <w:gridSpan w:val="7"/>
            <w:shd w:val="clear" w:color="auto" w:fill="auto"/>
            <w:vAlign w:val="center"/>
          </w:tcPr>
          <w:p w14:paraId="1A627EA0" w14:textId="37F15E8B" w:rsidR="00385A9D" w:rsidRPr="005E2E87" w:rsidRDefault="00385A9D" w:rsidP="00103AD0">
            <w:pPr>
              <w:pStyle w:val="In-tableHeading"/>
            </w:pPr>
            <w:r w:rsidRPr="005E2E87">
              <w:t>Net financial implications</w:t>
            </w:r>
            <w:r w:rsidRPr="005E2E87">
              <w:rPr>
                <w:color w:val="4BACC6" w:themeColor="accent5"/>
              </w:rPr>
              <w:t xml:space="preserve"> </w:t>
            </w:r>
          </w:p>
        </w:tc>
      </w:tr>
      <w:tr w:rsidR="00D37B90" w:rsidRPr="005E2E87" w14:paraId="3F33D4C6" w14:textId="77777777" w:rsidTr="00B821F8">
        <w:trPr>
          <w:trHeight w:val="57"/>
        </w:trPr>
        <w:tc>
          <w:tcPr>
            <w:tcW w:w="1311" w:type="pct"/>
            <w:shd w:val="clear" w:color="auto" w:fill="auto"/>
            <w:vAlign w:val="center"/>
          </w:tcPr>
          <w:p w14:paraId="5ABBDE64" w14:textId="77777777" w:rsidR="00D37B90" w:rsidRPr="005E2E87" w:rsidRDefault="00D37B90" w:rsidP="00103AD0">
            <w:pPr>
              <w:pStyle w:val="TableText0"/>
              <w:rPr>
                <w:szCs w:val="20"/>
              </w:rPr>
            </w:pPr>
            <w:r w:rsidRPr="005E2E87">
              <w:rPr>
                <w:szCs w:val="20"/>
              </w:rPr>
              <w:t>Net cost to PBS/RPBS</w:t>
            </w:r>
          </w:p>
        </w:tc>
        <w:tc>
          <w:tcPr>
            <w:tcW w:w="601" w:type="pct"/>
            <w:shd w:val="clear" w:color="auto" w:fill="auto"/>
          </w:tcPr>
          <w:p w14:paraId="744F82C2" w14:textId="16B0E6F5" w:rsidR="00D37B90" w:rsidRPr="005E2E87" w:rsidRDefault="000A591F" w:rsidP="00103AD0">
            <w:pPr>
              <w:pStyle w:val="TableText0"/>
              <w:jc w:val="center"/>
            </w:pPr>
            <w:r w:rsidRPr="000A591F">
              <w:rPr>
                <w:rFonts w:hint="eastAsia"/>
                <w:color w:val="000000"/>
                <w:w w:val="15"/>
                <w:shd w:val="solid" w:color="000000" w:fill="000000"/>
                <w:fitText w:val="45" w:id="-1167937279"/>
                <w14:textFill>
                  <w14:solidFill>
                    <w14:srgbClr w14:val="000000">
                      <w14:alpha w14:val="100000"/>
                    </w14:srgbClr>
                  </w14:solidFill>
                </w14:textFill>
              </w:rPr>
              <w:t xml:space="preserve">　</w:t>
            </w:r>
            <w:r w:rsidRPr="000A591F">
              <w:rPr>
                <w:color w:val="000000"/>
                <w:w w:val="15"/>
                <w:shd w:val="solid" w:color="000000" w:fill="000000"/>
                <w:fitText w:val="45" w:id="-1167937279"/>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9"/>
                <w14:textFill>
                  <w14:solidFill>
                    <w14:srgbClr w14:val="000000">
                      <w14:alpha w14:val="100000"/>
                    </w14:srgbClr>
                  </w14:solidFill>
                </w14:textFill>
              </w:rPr>
              <w:t xml:space="preserve">　</w:t>
            </w:r>
            <w:r w:rsidR="00B85705">
              <w:rPr>
                <w:vertAlign w:val="superscript"/>
              </w:rPr>
              <w:t>4</w:t>
            </w:r>
          </w:p>
        </w:tc>
        <w:tc>
          <w:tcPr>
            <w:tcW w:w="601" w:type="pct"/>
            <w:shd w:val="clear" w:color="auto" w:fill="auto"/>
          </w:tcPr>
          <w:p w14:paraId="295843EA" w14:textId="71EF00CF" w:rsidR="00D37B90" w:rsidRPr="005E2E87" w:rsidRDefault="000A591F" w:rsidP="00103AD0">
            <w:pPr>
              <w:pStyle w:val="TableText0"/>
              <w:jc w:val="center"/>
            </w:pPr>
            <w:r w:rsidRPr="000A591F">
              <w:rPr>
                <w:rFonts w:hint="eastAsia"/>
                <w:color w:val="000000"/>
                <w:w w:val="15"/>
                <w:shd w:val="solid" w:color="000000" w:fill="000000"/>
                <w:fitText w:val="45" w:id="-1167937278"/>
                <w14:textFill>
                  <w14:solidFill>
                    <w14:srgbClr w14:val="000000">
                      <w14:alpha w14:val="100000"/>
                    </w14:srgbClr>
                  </w14:solidFill>
                </w14:textFill>
              </w:rPr>
              <w:t xml:space="preserve">　</w:t>
            </w:r>
            <w:r w:rsidRPr="000A591F">
              <w:rPr>
                <w:color w:val="000000"/>
                <w:w w:val="15"/>
                <w:shd w:val="solid" w:color="000000" w:fill="000000"/>
                <w:fitText w:val="45" w:id="-1167937278"/>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8"/>
                <w14:textFill>
                  <w14:solidFill>
                    <w14:srgbClr w14:val="000000">
                      <w14:alpha w14:val="100000"/>
                    </w14:srgbClr>
                  </w14:solidFill>
                </w14:textFill>
              </w:rPr>
              <w:t xml:space="preserve">　</w:t>
            </w:r>
            <w:r w:rsidR="00B85705">
              <w:rPr>
                <w:vertAlign w:val="superscript"/>
              </w:rPr>
              <w:t>4</w:t>
            </w:r>
          </w:p>
        </w:tc>
        <w:tc>
          <w:tcPr>
            <w:tcW w:w="601" w:type="pct"/>
            <w:shd w:val="clear" w:color="auto" w:fill="auto"/>
          </w:tcPr>
          <w:p w14:paraId="3A32302A" w14:textId="57E975FC" w:rsidR="00D37B90" w:rsidRPr="005E2E87" w:rsidRDefault="000A591F" w:rsidP="00103AD0">
            <w:pPr>
              <w:pStyle w:val="TableText0"/>
              <w:jc w:val="center"/>
            </w:pPr>
            <w:r w:rsidRPr="000A591F">
              <w:rPr>
                <w:rFonts w:hint="eastAsia"/>
                <w:color w:val="000000"/>
                <w:w w:val="15"/>
                <w:shd w:val="solid" w:color="000000" w:fill="000000"/>
                <w:fitText w:val="45" w:id="-1167937277"/>
                <w14:textFill>
                  <w14:solidFill>
                    <w14:srgbClr w14:val="000000">
                      <w14:alpha w14:val="100000"/>
                    </w14:srgbClr>
                  </w14:solidFill>
                </w14:textFill>
              </w:rPr>
              <w:t xml:space="preserve">　</w:t>
            </w:r>
            <w:r w:rsidRPr="000A591F">
              <w:rPr>
                <w:color w:val="000000"/>
                <w:w w:val="15"/>
                <w:shd w:val="solid" w:color="000000" w:fill="000000"/>
                <w:fitText w:val="45" w:id="-1167937277"/>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7"/>
                <w14:textFill>
                  <w14:solidFill>
                    <w14:srgbClr w14:val="000000">
                      <w14:alpha w14:val="100000"/>
                    </w14:srgbClr>
                  </w14:solidFill>
                </w14:textFill>
              </w:rPr>
              <w:t xml:space="preserve">　</w:t>
            </w:r>
            <w:r w:rsidR="00B85705">
              <w:rPr>
                <w:vertAlign w:val="superscript"/>
              </w:rPr>
              <w:t>4</w:t>
            </w:r>
          </w:p>
        </w:tc>
        <w:tc>
          <w:tcPr>
            <w:tcW w:w="601" w:type="pct"/>
            <w:shd w:val="clear" w:color="auto" w:fill="auto"/>
          </w:tcPr>
          <w:p w14:paraId="326E9207" w14:textId="0EC39614" w:rsidR="00D37B90" w:rsidRPr="005E2E87" w:rsidRDefault="000A591F" w:rsidP="00103AD0">
            <w:pPr>
              <w:pStyle w:val="TableText0"/>
              <w:jc w:val="center"/>
            </w:pPr>
            <w:r w:rsidRPr="000A591F">
              <w:rPr>
                <w:rFonts w:hint="eastAsia"/>
                <w:color w:val="000000"/>
                <w:w w:val="15"/>
                <w:shd w:val="solid" w:color="000000" w:fill="000000"/>
                <w:fitText w:val="45" w:id="-1167937276"/>
                <w14:textFill>
                  <w14:solidFill>
                    <w14:srgbClr w14:val="000000">
                      <w14:alpha w14:val="100000"/>
                    </w14:srgbClr>
                  </w14:solidFill>
                </w14:textFill>
              </w:rPr>
              <w:t xml:space="preserve">　</w:t>
            </w:r>
            <w:r w:rsidRPr="000A591F">
              <w:rPr>
                <w:color w:val="000000"/>
                <w:w w:val="15"/>
                <w:shd w:val="solid" w:color="000000" w:fill="000000"/>
                <w:fitText w:val="45" w:id="-1167937276"/>
                <w14:textFill>
                  <w14:solidFill>
                    <w14:srgbClr w14:val="000000">
                      <w14:alpha w14:val="100000"/>
                    </w14:srgbClr>
                  </w14:solidFill>
                </w14:textFill>
              </w:rPr>
              <w:t>|</w:t>
            </w:r>
            <w:r w:rsidRPr="000A591F">
              <w:rPr>
                <w:rFonts w:hint="eastAsia"/>
                <w:color w:val="000000"/>
                <w:spacing w:val="-30"/>
                <w:w w:val="15"/>
                <w:shd w:val="solid" w:color="000000" w:fill="000000"/>
                <w:fitText w:val="45" w:id="-1167937276"/>
                <w14:textFill>
                  <w14:solidFill>
                    <w14:srgbClr w14:val="000000">
                      <w14:alpha w14:val="100000"/>
                    </w14:srgbClr>
                  </w14:solidFill>
                </w14:textFill>
              </w:rPr>
              <w:t xml:space="preserve">　</w:t>
            </w:r>
            <w:r w:rsidR="00B85705">
              <w:rPr>
                <w:vertAlign w:val="superscript"/>
              </w:rPr>
              <w:t>4</w:t>
            </w:r>
          </w:p>
        </w:tc>
        <w:tc>
          <w:tcPr>
            <w:tcW w:w="642" w:type="pct"/>
            <w:shd w:val="clear" w:color="auto" w:fill="auto"/>
          </w:tcPr>
          <w:p w14:paraId="56E4D70E" w14:textId="078AF362" w:rsidR="00D37B90" w:rsidRPr="005E2E87" w:rsidRDefault="000A591F" w:rsidP="00103AD0">
            <w:pPr>
              <w:pStyle w:val="TableText0"/>
              <w:jc w:val="center"/>
            </w:pPr>
            <w:r w:rsidRPr="000F75DF">
              <w:rPr>
                <w:rFonts w:hint="eastAsia"/>
                <w:color w:val="000000"/>
                <w:w w:val="15"/>
                <w:shd w:val="solid" w:color="000000" w:fill="000000"/>
                <w:fitText w:val="15" w:id="-1167937275"/>
                <w14:textFill>
                  <w14:solidFill>
                    <w14:srgbClr w14:val="000000">
                      <w14:alpha w14:val="100000"/>
                    </w14:srgbClr>
                  </w14:solidFill>
                </w14:textFill>
              </w:rPr>
              <w:t xml:space="preserve">　</w:t>
            </w:r>
            <w:r w:rsidRPr="000F75DF">
              <w:rPr>
                <w:color w:val="000000"/>
                <w:w w:val="15"/>
                <w:shd w:val="solid" w:color="000000" w:fill="000000"/>
                <w:fitText w:val="15" w:id="-1167937275"/>
                <w14:textFill>
                  <w14:solidFill>
                    <w14:srgbClr w14:val="000000">
                      <w14:alpha w14:val="100000"/>
                    </w14:srgbClr>
                  </w14:solidFill>
                </w14:textFill>
              </w:rPr>
              <w:t>|</w:t>
            </w:r>
            <w:r w:rsidRPr="000F75DF">
              <w:rPr>
                <w:rFonts w:hint="eastAsia"/>
                <w:color w:val="000000"/>
                <w:spacing w:val="-50"/>
                <w:w w:val="15"/>
                <w:shd w:val="solid" w:color="000000" w:fill="000000"/>
                <w:fitText w:val="15" w:id="-1167937275"/>
                <w14:textFill>
                  <w14:solidFill>
                    <w14:srgbClr w14:val="000000">
                      <w14:alpha w14:val="100000"/>
                    </w14:srgbClr>
                  </w14:solidFill>
                </w14:textFill>
              </w:rPr>
              <w:t xml:space="preserve">　</w:t>
            </w:r>
            <w:r w:rsidR="00B85705">
              <w:rPr>
                <w:vertAlign w:val="superscript"/>
              </w:rPr>
              <w:t>4</w:t>
            </w:r>
          </w:p>
        </w:tc>
        <w:tc>
          <w:tcPr>
            <w:tcW w:w="642" w:type="pct"/>
          </w:tcPr>
          <w:p w14:paraId="241B1CFD" w14:textId="7E9661A0" w:rsidR="00D37B90" w:rsidRPr="005E2E87" w:rsidRDefault="000A591F" w:rsidP="00103AD0">
            <w:pPr>
              <w:pStyle w:val="TableText0"/>
              <w:jc w:val="center"/>
            </w:pPr>
            <w:r w:rsidRPr="000F75DF">
              <w:rPr>
                <w:rFonts w:hint="eastAsia"/>
                <w:color w:val="000000"/>
                <w:w w:val="15"/>
                <w:shd w:val="solid" w:color="000000" w:fill="000000"/>
                <w:fitText w:val="15" w:id="-1167937274"/>
                <w14:textFill>
                  <w14:solidFill>
                    <w14:srgbClr w14:val="000000">
                      <w14:alpha w14:val="100000"/>
                    </w14:srgbClr>
                  </w14:solidFill>
                </w14:textFill>
              </w:rPr>
              <w:t xml:space="preserve">　</w:t>
            </w:r>
            <w:r w:rsidRPr="000F75DF">
              <w:rPr>
                <w:color w:val="000000"/>
                <w:w w:val="15"/>
                <w:shd w:val="solid" w:color="000000" w:fill="000000"/>
                <w:fitText w:val="15" w:id="-1167937274"/>
                <w14:textFill>
                  <w14:solidFill>
                    <w14:srgbClr w14:val="000000">
                      <w14:alpha w14:val="100000"/>
                    </w14:srgbClr>
                  </w14:solidFill>
                </w14:textFill>
              </w:rPr>
              <w:t>|</w:t>
            </w:r>
            <w:r w:rsidRPr="000F75DF">
              <w:rPr>
                <w:rFonts w:hint="eastAsia"/>
                <w:color w:val="000000"/>
                <w:spacing w:val="-50"/>
                <w:w w:val="15"/>
                <w:shd w:val="solid" w:color="000000" w:fill="000000"/>
                <w:fitText w:val="15" w:id="-1167937274"/>
                <w14:textFill>
                  <w14:solidFill>
                    <w14:srgbClr w14:val="000000">
                      <w14:alpha w14:val="100000"/>
                    </w14:srgbClr>
                  </w14:solidFill>
                </w14:textFill>
              </w:rPr>
              <w:t xml:space="preserve">　</w:t>
            </w:r>
            <w:r w:rsidR="00B85705">
              <w:rPr>
                <w:vertAlign w:val="superscript"/>
              </w:rPr>
              <w:t>4</w:t>
            </w:r>
          </w:p>
        </w:tc>
      </w:tr>
    </w:tbl>
    <w:p w14:paraId="2196F9B9" w14:textId="5DE81E6F" w:rsidR="00620C25" w:rsidRPr="00103AD0" w:rsidRDefault="00620C25" w:rsidP="00103AD0">
      <w:pPr>
        <w:pStyle w:val="FooterTableFigure"/>
        <w:spacing w:after="0"/>
        <w:rPr>
          <w:rStyle w:val="CommentReference"/>
          <w:sz w:val="18"/>
          <w:szCs w:val="18"/>
        </w:rPr>
      </w:pPr>
      <w:r w:rsidRPr="00103AD0">
        <w:rPr>
          <w:szCs w:val="18"/>
        </w:rPr>
        <w:t>Source: Table</w:t>
      </w:r>
      <w:r w:rsidR="00725E35" w:rsidRPr="00103AD0">
        <w:rPr>
          <w:szCs w:val="18"/>
        </w:rPr>
        <w:t xml:space="preserve"> 4.</w:t>
      </w:r>
      <w:r w:rsidR="00F62EDC" w:rsidRPr="00103AD0">
        <w:rPr>
          <w:szCs w:val="18"/>
        </w:rPr>
        <w:t>7</w:t>
      </w:r>
      <w:r w:rsidR="00C2276E" w:rsidRPr="00103AD0">
        <w:rPr>
          <w:szCs w:val="18"/>
        </w:rPr>
        <w:t>, p</w:t>
      </w:r>
      <w:r w:rsidR="00050981" w:rsidRPr="00103AD0">
        <w:rPr>
          <w:szCs w:val="18"/>
        </w:rPr>
        <w:t>150</w:t>
      </w:r>
      <w:r w:rsidR="00725E35" w:rsidRPr="00103AD0">
        <w:rPr>
          <w:szCs w:val="18"/>
        </w:rPr>
        <w:t>.</w:t>
      </w:r>
      <w:r w:rsidRPr="00103AD0">
        <w:rPr>
          <w:szCs w:val="18"/>
        </w:rPr>
        <w:t xml:space="preserve"> </w:t>
      </w:r>
      <w:r w:rsidR="00667E0A" w:rsidRPr="00103AD0">
        <w:rPr>
          <w:szCs w:val="18"/>
        </w:rPr>
        <w:t>O</w:t>
      </w:r>
      <w:r w:rsidRPr="00103AD0">
        <w:rPr>
          <w:szCs w:val="18"/>
        </w:rPr>
        <w:t>f the submission</w:t>
      </w:r>
      <w:r w:rsidR="00050981" w:rsidRPr="00103AD0">
        <w:rPr>
          <w:szCs w:val="18"/>
        </w:rPr>
        <w:t>.</w:t>
      </w:r>
    </w:p>
    <w:p w14:paraId="158FF8DC" w14:textId="4D41F11B" w:rsidR="000736D5" w:rsidRPr="00103AD0" w:rsidRDefault="000736D5" w:rsidP="00103AD0">
      <w:pPr>
        <w:pStyle w:val="FooterTableFigure"/>
        <w:spacing w:after="0"/>
        <w:rPr>
          <w:szCs w:val="18"/>
          <w:vertAlign w:val="superscript"/>
        </w:rPr>
      </w:pPr>
      <w:r w:rsidRPr="00103AD0">
        <w:rPr>
          <w:szCs w:val="18"/>
        </w:rPr>
        <w:t>PBS = Pharmaceutical Benefits Scheme; RPBS = Repatriation Pharmaceutical Benefits Scheme.</w:t>
      </w:r>
    </w:p>
    <w:p w14:paraId="65E99FBE" w14:textId="07E17890" w:rsidR="00E466F3" w:rsidRPr="00103AD0" w:rsidRDefault="00E466F3" w:rsidP="00103AD0">
      <w:pPr>
        <w:pStyle w:val="FooterTableFigure"/>
        <w:spacing w:after="0"/>
        <w:rPr>
          <w:szCs w:val="18"/>
        </w:rPr>
      </w:pPr>
      <w:r w:rsidRPr="00103AD0">
        <w:rPr>
          <w:szCs w:val="18"/>
          <w:vertAlign w:val="superscript"/>
        </w:rPr>
        <w:t>a</w:t>
      </w:r>
      <w:r w:rsidR="00606FBA" w:rsidRPr="00103AD0">
        <w:rPr>
          <w:szCs w:val="18"/>
        </w:rPr>
        <w:t xml:space="preserve"> </w:t>
      </w:r>
      <w:r w:rsidRPr="00103AD0">
        <w:rPr>
          <w:szCs w:val="18"/>
        </w:rPr>
        <w:t xml:space="preserve">Assuming </w:t>
      </w:r>
      <w:r w:rsidR="005F2D17" w:rsidRPr="00103AD0">
        <w:rPr>
          <w:szCs w:val="18"/>
        </w:rPr>
        <w:t xml:space="preserve">1:1 script equivalence with </w:t>
      </w:r>
      <w:r w:rsidR="005762D0" w:rsidRPr="00103AD0">
        <w:rPr>
          <w:szCs w:val="18"/>
        </w:rPr>
        <w:t>adalimumab</w:t>
      </w:r>
      <w:r w:rsidRPr="00103AD0">
        <w:rPr>
          <w:szCs w:val="18"/>
        </w:rPr>
        <w:t xml:space="preserve"> as estimated by the submission.</w:t>
      </w:r>
    </w:p>
    <w:p w14:paraId="4E4070D9" w14:textId="323F9FDE" w:rsidR="00B821F8" w:rsidRPr="002857DE" w:rsidRDefault="000F712E" w:rsidP="002857DE">
      <w:pPr>
        <w:pStyle w:val="FooterTableFigure"/>
        <w:spacing w:after="0"/>
        <w:rPr>
          <w:szCs w:val="18"/>
        </w:rPr>
      </w:pPr>
      <w:r w:rsidRPr="00103AD0">
        <w:rPr>
          <w:szCs w:val="18"/>
        </w:rPr>
        <w:t xml:space="preserve">on the revised DPMQ of secukinumab cost-minimised on the basis of the updated price of </w:t>
      </w:r>
      <w:r w:rsidR="005762D0" w:rsidRPr="00103AD0">
        <w:rPr>
          <w:szCs w:val="18"/>
        </w:rPr>
        <w:t>adalimumab</w:t>
      </w:r>
      <w:r w:rsidRPr="00103AD0">
        <w:rPr>
          <w:szCs w:val="18"/>
        </w:rPr>
        <w:t xml:space="preserve"> ($618.90; April 2023).</w:t>
      </w:r>
    </w:p>
    <w:p w14:paraId="27AF535F" w14:textId="77777777" w:rsidR="002857DE" w:rsidRDefault="002857DE" w:rsidP="00103AD0">
      <w:pPr>
        <w:rPr>
          <w:rFonts w:ascii="Arial Narrow" w:hAnsi="Arial Narrow"/>
          <w:i/>
          <w:sz w:val="18"/>
          <w:szCs w:val="18"/>
        </w:rPr>
      </w:pPr>
    </w:p>
    <w:p w14:paraId="29118C1B" w14:textId="2DC98991" w:rsidR="00103AD0" w:rsidRPr="00103AD0" w:rsidRDefault="00103AD0" w:rsidP="00103AD0">
      <w:pPr>
        <w:rPr>
          <w:rFonts w:ascii="Arial Narrow" w:hAnsi="Arial Narrow"/>
          <w:i/>
          <w:sz w:val="18"/>
          <w:szCs w:val="18"/>
        </w:rPr>
      </w:pPr>
      <w:r w:rsidRPr="00103AD0">
        <w:rPr>
          <w:rFonts w:ascii="Arial Narrow" w:hAnsi="Arial Narrow"/>
          <w:i/>
          <w:sz w:val="18"/>
          <w:szCs w:val="18"/>
        </w:rPr>
        <w:t xml:space="preserve">The redacted values correspond to the following ranges: </w:t>
      </w:r>
    </w:p>
    <w:p w14:paraId="2138A7A7" w14:textId="585F0C26" w:rsidR="00103AD0" w:rsidRPr="00103AD0" w:rsidRDefault="00103AD0" w:rsidP="00103AD0">
      <w:pPr>
        <w:rPr>
          <w:rFonts w:ascii="Arial Narrow" w:hAnsi="Arial Narrow"/>
          <w:i/>
          <w:sz w:val="18"/>
          <w:szCs w:val="18"/>
        </w:rPr>
      </w:pPr>
      <w:r w:rsidRPr="00103AD0">
        <w:rPr>
          <w:rFonts w:ascii="Arial Narrow" w:hAnsi="Arial Narrow"/>
          <w:i/>
          <w:sz w:val="18"/>
          <w:szCs w:val="18"/>
          <w:vertAlign w:val="superscript"/>
        </w:rPr>
        <w:t>1</w:t>
      </w:r>
      <w:r w:rsidRPr="00103AD0">
        <w:rPr>
          <w:rFonts w:ascii="Arial Narrow" w:hAnsi="Arial Narrow"/>
          <w:i/>
          <w:sz w:val="18"/>
          <w:szCs w:val="18"/>
        </w:rPr>
        <w:t xml:space="preserve"> 500 to &lt; 5,000</w:t>
      </w:r>
    </w:p>
    <w:p w14:paraId="1584675B" w14:textId="535AC85B" w:rsidR="00103AD0" w:rsidRPr="00103AD0" w:rsidRDefault="00103AD0" w:rsidP="00103AD0">
      <w:pPr>
        <w:rPr>
          <w:rFonts w:ascii="Arial Narrow" w:hAnsi="Arial Narrow"/>
          <w:i/>
          <w:sz w:val="18"/>
          <w:szCs w:val="18"/>
        </w:rPr>
      </w:pPr>
      <w:r w:rsidRPr="00103AD0">
        <w:rPr>
          <w:rFonts w:ascii="Arial Narrow" w:hAnsi="Arial Narrow"/>
          <w:i/>
          <w:sz w:val="18"/>
          <w:szCs w:val="18"/>
          <w:vertAlign w:val="superscript"/>
        </w:rPr>
        <w:t>2</w:t>
      </w:r>
      <w:r w:rsidRPr="00103AD0">
        <w:rPr>
          <w:rFonts w:ascii="Arial Narrow" w:hAnsi="Arial Narrow"/>
          <w:i/>
          <w:sz w:val="18"/>
          <w:szCs w:val="18"/>
        </w:rPr>
        <w:t xml:space="preserve"> 5,000 to &lt; 10,000</w:t>
      </w:r>
    </w:p>
    <w:p w14:paraId="137DDA4D" w14:textId="040EE4D1" w:rsidR="00103AD0" w:rsidRPr="00103AD0" w:rsidRDefault="00103AD0" w:rsidP="00103AD0">
      <w:pPr>
        <w:rPr>
          <w:rFonts w:ascii="Arial Narrow" w:hAnsi="Arial Narrow"/>
          <w:i/>
          <w:sz w:val="18"/>
          <w:szCs w:val="18"/>
        </w:rPr>
      </w:pPr>
      <w:r w:rsidRPr="00103AD0">
        <w:rPr>
          <w:rFonts w:ascii="Arial Narrow" w:hAnsi="Arial Narrow"/>
          <w:i/>
          <w:sz w:val="18"/>
          <w:szCs w:val="18"/>
          <w:vertAlign w:val="superscript"/>
        </w:rPr>
        <w:t>3</w:t>
      </w:r>
      <w:r w:rsidRPr="00103AD0">
        <w:rPr>
          <w:rFonts w:ascii="Arial Narrow" w:hAnsi="Arial Narrow"/>
          <w:i/>
          <w:sz w:val="18"/>
          <w:szCs w:val="18"/>
        </w:rPr>
        <w:t xml:space="preserve"> </w:t>
      </w:r>
      <w:r>
        <w:rPr>
          <w:rFonts w:ascii="Arial Narrow" w:hAnsi="Arial Narrow"/>
          <w:i/>
          <w:sz w:val="18"/>
          <w:szCs w:val="18"/>
        </w:rPr>
        <w:t>10</w:t>
      </w:r>
      <w:r w:rsidRPr="00103AD0">
        <w:rPr>
          <w:rFonts w:ascii="Arial Narrow" w:hAnsi="Arial Narrow"/>
          <w:i/>
          <w:sz w:val="18"/>
          <w:szCs w:val="18"/>
        </w:rPr>
        <w:t>,000 to &lt;</w:t>
      </w:r>
      <w:r>
        <w:rPr>
          <w:rFonts w:ascii="Arial Narrow" w:hAnsi="Arial Narrow"/>
          <w:i/>
          <w:sz w:val="18"/>
          <w:szCs w:val="18"/>
        </w:rPr>
        <w:t> 2</w:t>
      </w:r>
      <w:r w:rsidRPr="00103AD0">
        <w:rPr>
          <w:rFonts w:ascii="Arial Narrow" w:hAnsi="Arial Narrow"/>
          <w:i/>
          <w:sz w:val="18"/>
          <w:szCs w:val="18"/>
        </w:rPr>
        <w:t>0,000</w:t>
      </w:r>
    </w:p>
    <w:p w14:paraId="5E2C7BB3" w14:textId="7374A354" w:rsidR="00103AD0" w:rsidRPr="00103AD0" w:rsidRDefault="00103AD0" w:rsidP="00103AD0">
      <w:pPr>
        <w:rPr>
          <w:rFonts w:ascii="Arial Narrow" w:hAnsi="Arial Narrow"/>
          <w:i/>
          <w:sz w:val="18"/>
          <w:szCs w:val="18"/>
        </w:rPr>
      </w:pPr>
      <w:r w:rsidRPr="00103AD0">
        <w:rPr>
          <w:rFonts w:ascii="Arial Narrow" w:hAnsi="Arial Narrow"/>
          <w:i/>
          <w:sz w:val="18"/>
          <w:szCs w:val="18"/>
          <w:vertAlign w:val="superscript"/>
        </w:rPr>
        <w:t>4</w:t>
      </w:r>
      <w:r w:rsidRPr="00103AD0">
        <w:rPr>
          <w:rFonts w:ascii="Arial Narrow" w:hAnsi="Arial Narrow"/>
          <w:i/>
          <w:sz w:val="18"/>
          <w:szCs w:val="18"/>
        </w:rPr>
        <w:t xml:space="preserve"> $0 to &lt; $10 million</w:t>
      </w:r>
    </w:p>
    <w:p w14:paraId="6B925B4D" w14:textId="567CB022" w:rsidR="00103AD0" w:rsidRPr="00103AD0" w:rsidRDefault="00103AD0" w:rsidP="00103AD0">
      <w:pPr>
        <w:rPr>
          <w:rFonts w:ascii="Arial Narrow" w:hAnsi="Arial Narrow"/>
          <w:i/>
          <w:sz w:val="18"/>
          <w:szCs w:val="18"/>
        </w:rPr>
      </w:pPr>
      <w:r w:rsidRPr="00103AD0">
        <w:rPr>
          <w:rFonts w:ascii="Arial Narrow" w:hAnsi="Arial Narrow"/>
          <w:i/>
          <w:sz w:val="18"/>
          <w:szCs w:val="18"/>
          <w:vertAlign w:val="superscript"/>
        </w:rPr>
        <w:t>5</w:t>
      </w:r>
      <w:r w:rsidRPr="00103AD0">
        <w:rPr>
          <w:rFonts w:ascii="Arial Narrow" w:hAnsi="Arial Narrow"/>
          <w:i/>
          <w:sz w:val="18"/>
          <w:szCs w:val="18"/>
        </w:rPr>
        <w:t xml:space="preserve"> $10 million to &lt; $20 million</w:t>
      </w:r>
    </w:p>
    <w:p w14:paraId="68C59640" w14:textId="797304F8" w:rsidR="00103AD0" w:rsidRPr="00103AD0" w:rsidRDefault="00103AD0" w:rsidP="00103AD0">
      <w:pPr>
        <w:spacing w:after="120"/>
        <w:rPr>
          <w:rFonts w:ascii="Arial Narrow" w:hAnsi="Arial Narrow"/>
          <w:i/>
          <w:sz w:val="18"/>
          <w:szCs w:val="18"/>
        </w:rPr>
      </w:pPr>
      <w:r w:rsidRPr="00103AD0">
        <w:rPr>
          <w:rFonts w:ascii="Arial Narrow" w:hAnsi="Arial Narrow"/>
          <w:i/>
          <w:sz w:val="18"/>
          <w:szCs w:val="18"/>
          <w:vertAlign w:val="superscript"/>
        </w:rPr>
        <w:t>6</w:t>
      </w:r>
      <w:r w:rsidRPr="00103AD0">
        <w:rPr>
          <w:rFonts w:ascii="Arial Narrow" w:hAnsi="Arial Narrow"/>
          <w:i/>
          <w:sz w:val="18"/>
          <w:szCs w:val="18"/>
        </w:rPr>
        <w:t xml:space="preserve"> net cost saving</w:t>
      </w:r>
    </w:p>
    <w:p w14:paraId="6DD4E61E" w14:textId="42E92FC9" w:rsidR="00685EE8" w:rsidRPr="005E2E87" w:rsidRDefault="00584D7A" w:rsidP="007E1C14">
      <w:pPr>
        <w:pStyle w:val="3-BodyText"/>
      </w:pPr>
      <w:r w:rsidRPr="005E2E87">
        <w:t xml:space="preserve">As a result of the additional usage of secukinumab among patients in the </w:t>
      </w:r>
      <w:r w:rsidR="005762D0" w:rsidRPr="005E2E87">
        <w:t>adalimumab</w:t>
      </w:r>
      <w:r w:rsidRPr="005E2E87">
        <w:t xml:space="preserve"> failure subgroup, there was a net cost to the PBS/RPBS associated with the listing of </w:t>
      </w:r>
      <w:r w:rsidR="00A72EFB" w:rsidRPr="005E2E87">
        <w:t>secukinumab</w:t>
      </w:r>
      <w:r w:rsidRPr="005E2E87">
        <w:t xml:space="preserve"> for HS</w:t>
      </w:r>
      <w:r w:rsidR="008D1B4E" w:rsidRPr="005E2E87">
        <w:t>.</w:t>
      </w:r>
      <w:r w:rsidR="00F91D61" w:rsidRPr="005E2E87">
        <w:t xml:space="preserve"> </w:t>
      </w:r>
      <w:r w:rsidR="006F0382" w:rsidRPr="005E2E87">
        <w:t>T</w:t>
      </w:r>
      <w:r w:rsidR="00877586" w:rsidRPr="005E2E87">
        <w:t xml:space="preserve">he </w:t>
      </w:r>
      <w:r w:rsidR="00B94F21" w:rsidRPr="005E2E87">
        <w:t>u</w:t>
      </w:r>
      <w:r w:rsidR="006F0382" w:rsidRPr="005E2E87">
        <w:t>tilisation</w:t>
      </w:r>
      <w:r w:rsidR="00877586" w:rsidRPr="005E2E87">
        <w:t xml:space="preserve"> and financial implications </w:t>
      </w:r>
      <w:r w:rsidR="006F0382" w:rsidRPr="005E2E87">
        <w:t xml:space="preserve">may have been </w:t>
      </w:r>
      <w:r w:rsidR="000A4745" w:rsidRPr="005E2E87">
        <w:t>underestimated</w:t>
      </w:r>
      <w:r w:rsidR="006F0382" w:rsidRPr="005E2E87">
        <w:t xml:space="preserve"> for the following reasons</w:t>
      </w:r>
      <w:r w:rsidR="001B16DC" w:rsidRPr="005E2E87">
        <w:t xml:space="preserve"> (</w:t>
      </w:r>
      <w:r w:rsidR="001B16DC" w:rsidRPr="005E2E87">
        <w:fldChar w:fldCharType="begin" w:fldLock="1"/>
      </w:r>
      <w:r w:rsidR="001B16DC" w:rsidRPr="005E2E87">
        <w:instrText xml:space="preserve"> REF _Ref134430139 \h </w:instrText>
      </w:r>
      <w:r w:rsidR="00C56A2F" w:rsidRPr="005E2E87">
        <w:instrText xml:space="preserve"> \* MERGEFORMAT </w:instrText>
      </w:r>
      <w:r w:rsidR="001B16DC" w:rsidRPr="005E2E87">
        <w:fldChar w:fldCharType="separate"/>
      </w:r>
      <w:r w:rsidR="000F75DF">
        <w:t xml:space="preserve">Table </w:t>
      </w:r>
      <w:r w:rsidR="000F75DF">
        <w:rPr>
          <w:noProof/>
        </w:rPr>
        <w:t>14</w:t>
      </w:r>
      <w:r w:rsidR="001B16DC" w:rsidRPr="005E2E87">
        <w:fldChar w:fldCharType="end"/>
      </w:r>
      <w:r w:rsidR="00A4442B" w:rsidRPr="005E2E87">
        <w:t>)</w:t>
      </w:r>
      <w:r w:rsidR="006F0382" w:rsidRPr="005E2E87">
        <w:t>:</w:t>
      </w:r>
    </w:p>
    <w:p w14:paraId="6160493C" w14:textId="7E500030" w:rsidR="0062251D" w:rsidRPr="005E2E87" w:rsidRDefault="00B41486" w:rsidP="007E1C14">
      <w:pPr>
        <w:pStyle w:val="ListParagraph"/>
      </w:pPr>
      <w:r w:rsidRPr="005E2E87">
        <w:t xml:space="preserve">The submission </w:t>
      </w:r>
      <w:r w:rsidR="0012554B" w:rsidRPr="005E2E87">
        <w:t xml:space="preserve">assumed </w:t>
      </w:r>
      <w:r w:rsidRPr="005E2E87">
        <w:t>that</w:t>
      </w:r>
      <w:r w:rsidR="009C1E44" w:rsidRPr="005E2E87">
        <w:t xml:space="preserve"> 10% of secukinumab usage was attributable to</w:t>
      </w:r>
      <w:r w:rsidRPr="005E2E87">
        <w:t xml:space="preserve"> patients who failed </w:t>
      </w:r>
      <w:r w:rsidR="005762D0" w:rsidRPr="005E2E87">
        <w:t>adalimumab</w:t>
      </w:r>
      <w:r w:rsidRPr="005E2E87">
        <w:t xml:space="preserve"> </w:t>
      </w:r>
      <w:r w:rsidR="009C1E44" w:rsidRPr="005E2E87">
        <w:t>and would receive secukinumab as a second line therapy</w:t>
      </w:r>
      <w:r w:rsidR="009F3F41" w:rsidRPr="005E2E87">
        <w:t>.</w:t>
      </w:r>
      <w:r w:rsidRPr="005E2E87">
        <w:t xml:space="preserve"> </w:t>
      </w:r>
      <w:r w:rsidR="00A52465" w:rsidRPr="005E2E87">
        <w:t xml:space="preserve">The </w:t>
      </w:r>
      <w:r w:rsidR="002F3717" w:rsidRPr="005E2E87">
        <w:t>utilisation</w:t>
      </w:r>
      <w:r w:rsidR="00A52465" w:rsidRPr="005E2E87">
        <w:t xml:space="preserve"> of </w:t>
      </w:r>
      <w:r w:rsidR="002F3717" w:rsidRPr="005E2E87">
        <w:t>secukinumab</w:t>
      </w:r>
      <w:r w:rsidR="00A52465" w:rsidRPr="005E2E87">
        <w:t>, attributed</w:t>
      </w:r>
      <w:r w:rsidR="00204622" w:rsidRPr="005E2E87">
        <w:t xml:space="preserve"> to patients who </w:t>
      </w:r>
      <w:r w:rsidR="00A52465" w:rsidRPr="005E2E87">
        <w:t xml:space="preserve">did not respond to </w:t>
      </w:r>
      <w:r w:rsidR="002F3717" w:rsidRPr="005E2E87">
        <w:t>adalimumab</w:t>
      </w:r>
      <w:r w:rsidR="00A52465" w:rsidRPr="005E2E87">
        <w:t>,</w:t>
      </w:r>
      <w:r w:rsidR="00204622" w:rsidRPr="005E2E87">
        <w:t xml:space="preserve"> </w:t>
      </w:r>
      <w:r w:rsidR="0093151A" w:rsidRPr="005E2E87">
        <w:t xml:space="preserve">should </w:t>
      </w:r>
      <w:r w:rsidR="00B461B3" w:rsidRPr="005E2E87">
        <w:t>have been</w:t>
      </w:r>
      <w:r w:rsidR="0093151A" w:rsidRPr="005E2E87">
        <w:t xml:space="preserve"> </w:t>
      </w:r>
      <w:r w:rsidR="00F31706" w:rsidRPr="005E2E87">
        <w:t>relative to</w:t>
      </w:r>
      <w:r w:rsidR="009F3468" w:rsidRPr="005E2E87">
        <w:t xml:space="preserve"> </w:t>
      </w:r>
      <w:r w:rsidR="00BF09E0" w:rsidRPr="005E2E87">
        <w:t>patients receiving adalimumab</w:t>
      </w:r>
      <w:r w:rsidR="00A52465" w:rsidRPr="005E2E87">
        <w:t>, rather than being implemented as</w:t>
      </w:r>
      <w:r w:rsidR="009F3468" w:rsidRPr="005E2E87">
        <w:t xml:space="preserve"> a </w:t>
      </w:r>
      <w:r w:rsidR="00881D89" w:rsidRPr="005E2E87">
        <w:t xml:space="preserve">fixed proportion of </w:t>
      </w:r>
      <w:r w:rsidR="00BF09E0" w:rsidRPr="005E2E87">
        <w:t>secukinumab usage</w:t>
      </w:r>
      <w:r w:rsidR="00A52465" w:rsidRPr="005E2E87">
        <w:t>.</w:t>
      </w:r>
      <w:r w:rsidR="00881D89" w:rsidRPr="005E2E87">
        <w:t xml:space="preserve"> </w:t>
      </w:r>
      <w:r w:rsidR="009F3F41" w:rsidRPr="005E2E87">
        <w:t>The submission</w:t>
      </w:r>
      <w:r w:rsidR="00D31313" w:rsidRPr="005E2E87">
        <w:t xml:space="preserve"> </w:t>
      </w:r>
      <w:r w:rsidR="00BC12EE" w:rsidRPr="005E2E87">
        <w:t>did</w:t>
      </w:r>
      <w:r w:rsidRPr="005E2E87">
        <w:t xml:space="preserve"> not provide sufficient evidence to support the proposed failure rate assumption</w:t>
      </w:r>
      <w:r w:rsidR="00884ED1" w:rsidRPr="005E2E87">
        <w:t xml:space="preserve"> (equivalent</w:t>
      </w:r>
      <w:r w:rsidRPr="005E2E87">
        <w:t xml:space="preserve"> to an </w:t>
      </w:r>
      <w:r w:rsidR="005762D0" w:rsidRPr="005E2E87">
        <w:t>adalimumab</w:t>
      </w:r>
      <w:r w:rsidRPr="005E2E87">
        <w:t xml:space="preserve"> failure rate of 1% in </w:t>
      </w:r>
      <w:r w:rsidR="001862D7" w:rsidRPr="005E2E87">
        <w:t>Year</w:t>
      </w:r>
      <w:r w:rsidRPr="005E2E87">
        <w:t xml:space="preserve"> 1 to 7% of total scripts in </w:t>
      </w:r>
      <w:r w:rsidR="001862D7" w:rsidRPr="005E2E87">
        <w:t>Year</w:t>
      </w:r>
      <w:r w:rsidRPr="005E2E87">
        <w:t xml:space="preserve"> 6</w:t>
      </w:r>
      <w:r w:rsidR="00884ED1" w:rsidRPr="005E2E87">
        <w:t xml:space="preserve">). </w:t>
      </w:r>
      <w:r w:rsidR="002B3540" w:rsidRPr="005E2E87">
        <w:t>R</w:t>
      </w:r>
      <w:r w:rsidR="00E55351" w:rsidRPr="005E2E87">
        <w:t xml:space="preserve">eal world evidence suggests that in approximately 30% of </w:t>
      </w:r>
      <w:r w:rsidR="005762D0" w:rsidRPr="005E2E87">
        <w:t>adalimumab</w:t>
      </w:r>
      <w:r w:rsidR="00E55351" w:rsidRPr="005E2E87">
        <w:t xml:space="preserve"> patients a clinical response is not observed. Given the lack of further pharmaceutical treatment options available to HS patients</w:t>
      </w:r>
      <w:r w:rsidR="002B3540" w:rsidRPr="005E2E87">
        <w:t xml:space="preserve"> the </w:t>
      </w:r>
      <w:r w:rsidR="0008526F" w:rsidRPr="005E2E87">
        <w:t xml:space="preserve">assumed </w:t>
      </w:r>
      <w:r w:rsidR="001913C8" w:rsidRPr="005E2E87">
        <w:t xml:space="preserve">rate of secukinumab after </w:t>
      </w:r>
      <w:r w:rsidR="005762D0" w:rsidRPr="005E2E87">
        <w:t>adalimumab</w:t>
      </w:r>
      <w:r w:rsidR="001913C8" w:rsidRPr="005E2E87">
        <w:t xml:space="preserve"> failure may be underestimated. Based </w:t>
      </w:r>
      <w:r w:rsidR="00F55833" w:rsidRPr="005E2E87">
        <w:t xml:space="preserve">on </w:t>
      </w:r>
      <w:r w:rsidR="00884ED1" w:rsidRPr="005E2E87">
        <w:t xml:space="preserve">the assumption that 20% of </w:t>
      </w:r>
      <w:r w:rsidR="005762D0" w:rsidRPr="005E2E87">
        <w:t>adalimumab</w:t>
      </w:r>
      <w:r w:rsidR="00884ED1" w:rsidRPr="005E2E87">
        <w:t xml:space="preserve"> scripts will require subsequent secukinumab due to failure of </w:t>
      </w:r>
      <w:r w:rsidR="005762D0" w:rsidRPr="005E2E87">
        <w:t>adalimumab</w:t>
      </w:r>
      <w:r w:rsidR="00295C68" w:rsidRPr="005E2E87">
        <w:t xml:space="preserve"> </w:t>
      </w:r>
      <w:r w:rsidR="00CB636C" w:rsidRPr="005E2E87">
        <w:t xml:space="preserve">the </w:t>
      </w:r>
      <w:r w:rsidR="00875DE4" w:rsidRPr="005E2E87">
        <w:t>net cost to PBS/RPBS increase</w:t>
      </w:r>
      <w:r w:rsidR="007C4ADB" w:rsidRPr="005E2E87">
        <w:t>d</w:t>
      </w:r>
      <w:r w:rsidRPr="005E2E87" w:rsidDel="007C4ADB">
        <w:t xml:space="preserve"> </w:t>
      </w:r>
      <w:r w:rsidR="006D4C69">
        <w:t xml:space="preserve">to </w:t>
      </w:r>
      <w:r w:rsidR="00103AD0" w:rsidRPr="00B85705">
        <w:rPr>
          <w:lang w:val="en-AU"/>
        </w:rPr>
        <w:t>$0 to &lt; $10 million</w:t>
      </w:r>
      <w:r w:rsidR="00103AD0" w:rsidRPr="00B85705" w:rsidDel="00B85705">
        <w:rPr>
          <w:lang w:val="en-AU"/>
        </w:rPr>
        <w:t xml:space="preserve"> </w:t>
      </w:r>
      <w:r w:rsidR="007C4ADB" w:rsidRPr="005E2E87">
        <w:t>in Year 6.</w:t>
      </w:r>
    </w:p>
    <w:p w14:paraId="40BC2DB4" w14:textId="14E6F058" w:rsidR="00FE10D5" w:rsidRDefault="00027882" w:rsidP="007E1C14">
      <w:pPr>
        <w:pStyle w:val="ListParagraph"/>
      </w:pPr>
      <w:r w:rsidRPr="005E2E87">
        <w:rPr>
          <w:rFonts w:eastAsia="Calibri" w:cs="Calibri"/>
        </w:rPr>
        <w:t xml:space="preserve">The submission assumed that all patients using secukinumab would receive </w:t>
      </w:r>
      <w:r w:rsidR="00EB4880" w:rsidRPr="005E2E87">
        <w:rPr>
          <w:rFonts w:eastAsia="Calibri" w:cs="Calibri"/>
        </w:rPr>
        <w:t xml:space="preserve">Q4W maintenance dosing. </w:t>
      </w:r>
      <w:r w:rsidRPr="005E2E87">
        <w:t>This underestimated the net cost to the PBS/RPBS of the proposed listing.</w:t>
      </w:r>
      <w:r w:rsidRPr="005E2E87">
        <w:rPr>
          <w:rFonts w:eastAsia="Calibri"/>
        </w:rPr>
        <w:t xml:space="preserve"> </w:t>
      </w:r>
      <w:r w:rsidRPr="005E2E87">
        <w:t>T</w:t>
      </w:r>
      <w:r w:rsidR="007D2570" w:rsidRPr="005E2E87">
        <w:t xml:space="preserve">he submission has not identified </w:t>
      </w:r>
      <w:r w:rsidR="003867BB" w:rsidRPr="005E2E87">
        <w:t xml:space="preserve">what proportion of patients may benefit from </w:t>
      </w:r>
      <w:r w:rsidR="00EB4880" w:rsidRPr="005E2E87">
        <w:t xml:space="preserve">the Q2W </w:t>
      </w:r>
      <w:r w:rsidR="003867BB" w:rsidRPr="005E2E87">
        <w:t>dosing schedule.</w:t>
      </w:r>
      <w:r w:rsidR="007D2570" w:rsidRPr="005E2E87">
        <w:t xml:space="preserve"> </w:t>
      </w:r>
      <w:r w:rsidR="00C74E17" w:rsidRPr="005E2E87">
        <w:t>While the proportion of patients that may utilise secukinumab Q2W in the maintenance phase remains unclear, a</w:t>
      </w:r>
      <w:r w:rsidR="00314700" w:rsidRPr="005E2E87">
        <w:t xml:space="preserve">ssuming 10% </w:t>
      </w:r>
      <w:r w:rsidR="00A85537" w:rsidRPr="005E2E87">
        <w:t xml:space="preserve">of </w:t>
      </w:r>
      <w:r w:rsidR="00483B23" w:rsidRPr="005E2E87">
        <w:t>secukinumab usa</w:t>
      </w:r>
      <w:r w:rsidR="009F0BCC" w:rsidRPr="005E2E87">
        <w:t xml:space="preserve">ge </w:t>
      </w:r>
      <w:r w:rsidR="00F437EF" w:rsidRPr="005E2E87">
        <w:t>is Q2W</w:t>
      </w:r>
      <w:r w:rsidR="006C43DF" w:rsidRPr="005E2E87">
        <w:t xml:space="preserve">, the </w:t>
      </w:r>
      <w:r w:rsidR="00143A78" w:rsidRPr="005E2E87">
        <w:t>resulting</w:t>
      </w:r>
      <w:r w:rsidR="006C43DF" w:rsidRPr="005E2E87">
        <w:t xml:space="preserve"> net cost to the </w:t>
      </w:r>
      <w:r w:rsidR="006C43DF" w:rsidRPr="005E2E87">
        <w:lastRenderedPageBreak/>
        <w:t>P</w:t>
      </w:r>
      <w:r w:rsidR="00B4076C" w:rsidRPr="005E2E87">
        <w:t>BS/RPBS</w:t>
      </w:r>
      <w:r w:rsidR="00536FD6" w:rsidRPr="005E2E87">
        <w:t xml:space="preserve"> increases</w:t>
      </w:r>
      <w:r w:rsidR="00F437EF" w:rsidRPr="005E2E87">
        <w:t xml:space="preserve"> </w:t>
      </w:r>
      <w:r w:rsidR="003D49A8">
        <w:t xml:space="preserve">to </w:t>
      </w:r>
      <w:r w:rsidR="00103AD0" w:rsidRPr="00B85705">
        <w:rPr>
          <w:lang w:val="en-AU"/>
        </w:rPr>
        <w:t>$0 to &lt; $10 million</w:t>
      </w:r>
      <w:r w:rsidR="00103AD0" w:rsidRPr="00B85705" w:rsidDel="00B85705">
        <w:rPr>
          <w:lang w:val="en-AU"/>
        </w:rPr>
        <w:t xml:space="preserve"> </w:t>
      </w:r>
      <w:r w:rsidR="00366EC7" w:rsidRPr="005E2E87">
        <w:t>in Year 6.</w:t>
      </w:r>
      <w:r w:rsidR="007B03DA">
        <w:t xml:space="preserve"> </w:t>
      </w:r>
    </w:p>
    <w:p w14:paraId="09A88E24" w14:textId="5E243370" w:rsidR="007B03DA" w:rsidRPr="005E2E87" w:rsidRDefault="007B03DA" w:rsidP="007E1C14">
      <w:pPr>
        <w:pStyle w:val="ListParagraph"/>
      </w:pPr>
      <w:r w:rsidRPr="005E2E87">
        <w:t>The proposed dosage in the draft PI is 300 mg administered subcutaneously with initial dosing at weeks 0, 1, 2, 3, and 4, which is equivalent to 5 vials over 5 weeks of treatment. However, the submission assumed that the initiation phase with secukinumab requires only 4 vials/syringes and included the 5</w:t>
      </w:r>
      <w:r w:rsidRPr="005E2E87">
        <w:rPr>
          <w:vertAlign w:val="superscript"/>
        </w:rPr>
        <w:t>th</w:t>
      </w:r>
      <w:r w:rsidRPr="005E2E87">
        <w:t xml:space="preserve"> vial in the balance of supply period.</w:t>
      </w:r>
    </w:p>
    <w:p w14:paraId="72A9AE57" w14:textId="3328CD4F" w:rsidR="00067C9B" w:rsidRDefault="00067C9B" w:rsidP="00067C9B">
      <w:pPr>
        <w:pStyle w:val="Caption"/>
      </w:pPr>
      <w:bookmarkStart w:id="47" w:name="_Ref134430139"/>
      <w:r>
        <w:t xml:space="preserve">Table </w:t>
      </w:r>
      <w:r>
        <w:fldChar w:fldCharType="begin" w:fldLock="1"/>
      </w:r>
      <w:r>
        <w:instrText>SEQ Table \* ARABIC</w:instrText>
      </w:r>
      <w:r>
        <w:fldChar w:fldCharType="separate"/>
      </w:r>
      <w:r w:rsidR="000F75DF">
        <w:rPr>
          <w:noProof/>
        </w:rPr>
        <w:t>14</w:t>
      </w:r>
      <w:r>
        <w:fldChar w:fldCharType="end"/>
      </w:r>
      <w:bookmarkEnd w:id="47"/>
      <w:r w:rsidR="000814DA">
        <w:t>:</w:t>
      </w:r>
      <w:r>
        <w:t xml:space="preserve"> </w:t>
      </w:r>
      <w:r w:rsidR="001B16DC">
        <w:t>Key s</w:t>
      </w:r>
      <w:r>
        <w:t>ensitivity analysis</w:t>
      </w:r>
      <w:r w:rsidR="001B16DC">
        <w:t xml:space="preserve"> </w:t>
      </w:r>
      <w:r w:rsidR="001B16DC" w:rsidRPr="006F7024">
        <w:t>results for the proposed listing of secukinumab</w:t>
      </w:r>
    </w:p>
    <w:tbl>
      <w:tblPr>
        <w:tblW w:w="5000" w:type="pct"/>
        <w:tblLayout w:type="fixed"/>
        <w:tblLook w:val="04A0" w:firstRow="1" w:lastRow="0" w:firstColumn="1" w:lastColumn="0" w:noHBand="0" w:noVBand="1"/>
      </w:tblPr>
      <w:tblGrid>
        <w:gridCol w:w="1413"/>
        <w:gridCol w:w="1268"/>
        <w:gridCol w:w="1268"/>
        <w:gridCol w:w="1268"/>
        <w:gridCol w:w="1268"/>
        <w:gridCol w:w="1268"/>
        <w:gridCol w:w="1264"/>
      </w:tblGrid>
      <w:tr w:rsidR="00277B06" w:rsidRPr="002442C0" w14:paraId="425DA8F7" w14:textId="77777777" w:rsidTr="00103AD0">
        <w:trPr>
          <w:trHeight w:val="20"/>
        </w:trPr>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DD534" w14:textId="77777777" w:rsidR="001D24DB" w:rsidRPr="002442C0" w:rsidRDefault="001D24DB" w:rsidP="00103AD0">
            <w:pPr>
              <w:pStyle w:val="TableText0"/>
              <w:rPr>
                <w:b/>
                <w:sz w:val="18"/>
                <w:szCs w:val="18"/>
              </w:rPr>
            </w:pPr>
            <w:r w:rsidRPr="002442C0">
              <w:rPr>
                <w:b/>
                <w:sz w:val="18"/>
                <w:szCs w:val="18"/>
              </w:rPr>
              <w:t> </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14:paraId="0BE8E344" w14:textId="77777777" w:rsidR="001D24DB" w:rsidRPr="002442C0" w:rsidRDefault="001D24DB" w:rsidP="00103AD0">
            <w:pPr>
              <w:pStyle w:val="TableText0"/>
              <w:jc w:val="center"/>
              <w:rPr>
                <w:b/>
                <w:sz w:val="18"/>
                <w:szCs w:val="18"/>
              </w:rPr>
            </w:pPr>
            <w:r w:rsidRPr="002442C0">
              <w:rPr>
                <w:b/>
                <w:sz w:val="18"/>
                <w:szCs w:val="18"/>
              </w:rPr>
              <w:t>Year 1</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14:paraId="00636419" w14:textId="77777777" w:rsidR="001D24DB" w:rsidRPr="002442C0" w:rsidRDefault="001D24DB" w:rsidP="00103AD0">
            <w:pPr>
              <w:pStyle w:val="TableText0"/>
              <w:jc w:val="center"/>
              <w:rPr>
                <w:b/>
                <w:sz w:val="18"/>
                <w:szCs w:val="18"/>
              </w:rPr>
            </w:pPr>
            <w:r w:rsidRPr="002442C0">
              <w:rPr>
                <w:b/>
                <w:sz w:val="18"/>
                <w:szCs w:val="18"/>
              </w:rPr>
              <w:t>Year 2</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14:paraId="0003D5FF" w14:textId="77777777" w:rsidR="001D24DB" w:rsidRPr="002442C0" w:rsidRDefault="001D24DB" w:rsidP="00103AD0">
            <w:pPr>
              <w:pStyle w:val="TableText0"/>
              <w:jc w:val="center"/>
              <w:rPr>
                <w:b/>
                <w:sz w:val="18"/>
                <w:szCs w:val="18"/>
              </w:rPr>
            </w:pPr>
            <w:r w:rsidRPr="002442C0">
              <w:rPr>
                <w:b/>
                <w:sz w:val="18"/>
                <w:szCs w:val="18"/>
              </w:rPr>
              <w:t>Year 3</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14:paraId="2E3552FC" w14:textId="77777777" w:rsidR="001D24DB" w:rsidRPr="002442C0" w:rsidRDefault="001D24DB" w:rsidP="00103AD0">
            <w:pPr>
              <w:pStyle w:val="TableText0"/>
              <w:jc w:val="center"/>
              <w:rPr>
                <w:b/>
                <w:sz w:val="18"/>
                <w:szCs w:val="18"/>
              </w:rPr>
            </w:pPr>
            <w:r w:rsidRPr="002442C0">
              <w:rPr>
                <w:b/>
                <w:sz w:val="18"/>
                <w:szCs w:val="18"/>
              </w:rPr>
              <w:t>Year 4</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14:paraId="4EBD4A00" w14:textId="77777777" w:rsidR="001D24DB" w:rsidRPr="002442C0" w:rsidRDefault="001D24DB" w:rsidP="00103AD0">
            <w:pPr>
              <w:pStyle w:val="TableText0"/>
              <w:jc w:val="center"/>
              <w:rPr>
                <w:b/>
                <w:sz w:val="18"/>
                <w:szCs w:val="18"/>
              </w:rPr>
            </w:pPr>
            <w:r w:rsidRPr="002442C0">
              <w:rPr>
                <w:b/>
                <w:sz w:val="18"/>
                <w:szCs w:val="18"/>
              </w:rPr>
              <w:t>Year 5</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14:paraId="4ECCCC0F" w14:textId="70386BA6" w:rsidR="001D24DB" w:rsidRPr="002442C0" w:rsidRDefault="001D24DB" w:rsidP="00103AD0">
            <w:pPr>
              <w:pStyle w:val="TableText0"/>
              <w:jc w:val="center"/>
              <w:rPr>
                <w:b/>
                <w:sz w:val="18"/>
                <w:szCs w:val="18"/>
              </w:rPr>
            </w:pPr>
            <w:r w:rsidRPr="002442C0">
              <w:rPr>
                <w:b/>
                <w:sz w:val="18"/>
                <w:szCs w:val="18"/>
              </w:rPr>
              <w:t>Year 6</w:t>
            </w:r>
          </w:p>
        </w:tc>
      </w:tr>
      <w:tr w:rsidR="00277B06" w:rsidRPr="002442C0" w14:paraId="028F5B72" w14:textId="77777777" w:rsidTr="00103AD0">
        <w:trPr>
          <w:trHeight w:val="20"/>
        </w:trPr>
        <w:tc>
          <w:tcPr>
            <w:tcW w:w="784" w:type="pct"/>
            <w:tcBorders>
              <w:top w:val="nil"/>
              <w:left w:val="single" w:sz="4" w:space="0" w:color="auto"/>
              <w:bottom w:val="single" w:sz="4" w:space="0" w:color="auto"/>
              <w:right w:val="single" w:sz="4" w:space="0" w:color="auto"/>
            </w:tcBorders>
            <w:shd w:val="clear" w:color="auto" w:fill="auto"/>
            <w:vAlign w:val="center"/>
            <w:hideMark/>
          </w:tcPr>
          <w:p w14:paraId="7635E113" w14:textId="77777777" w:rsidR="001040D3" w:rsidRPr="002442C0" w:rsidRDefault="001040D3" w:rsidP="00103AD0">
            <w:pPr>
              <w:pStyle w:val="TableText0"/>
              <w:rPr>
                <w:b/>
                <w:sz w:val="18"/>
                <w:szCs w:val="18"/>
              </w:rPr>
            </w:pPr>
            <w:r w:rsidRPr="002442C0">
              <w:rPr>
                <w:b/>
                <w:sz w:val="18"/>
                <w:szCs w:val="18"/>
                <w:lang w:val="en-US"/>
              </w:rPr>
              <w:t>Base case</w:t>
            </w:r>
          </w:p>
        </w:tc>
        <w:tc>
          <w:tcPr>
            <w:tcW w:w="703" w:type="pct"/>
            <w:tcBorders>
              <w:top w:val="nil"/>
              <w:left w:val="nil"/>
              <w:bottom w:val="single" w:sz="4" w:space="0" w:color="auto"/>
              <w:right w:val="single" w:sz="4" w:space="0" w:color="auto"/>
            </w:tcBorders>
            <w:shd w:val="clear" w:color="auto" w:fill="auto"/>
            <w:noWrap/>
            <w:hideMark/>
          </w:tcPr>
          <w:p w14:paraId="0C087DC2" w14:textId="66D7A0CB" w:rsidR="001040D3" w:rsidRPr="00103AD0" w:rsidRDefault="000A591F" w:rsidP="00103AD0">
            <w:pPr>
              <w:pStyle w:val="TableText0"/>
              <w:rPr>
                <w:b/>
                <w:bCs w:val="0"/>
                <w:sz w:val="18"/>
                <w:szCs w:val="18"/>
                <w:vertAlign w:val="superscript"/>
              </w:rPr>
            </w:pPr>
            <w:r w:rsidRPr="000A591F">
              <w:rPr>
                <w:color w:val="000000"/>
                <w:spacing w:val="45"/>
                <w:shd w:val="solid" w:color="000000" w:fill="000000"/>
                <w:fitText w:val="330" w:id="-1167937273"/>
                <w14:textFill>
                  <w14:solidFill>
                    <w14:srgbClr w14:val="000000">
                      <w14:alpha w14:val="100000"/>
                    </w14:srgbClr>
                  </w14:solidFill>
                </w14:textFill>
              </w:rPr>
              <w:t>|||</w:t>
            </w:r>
            <w:r w:rsidRPr="000A591F">
              <w:rPr>
                <w:color w:val="000000"/>
                <w:spacing w:val="15"/>
                <w:shd w:val="solid" w:color="000000" w:fill="000000"/>
                <w:fitText w:val="330" w:id="-1167937273"/>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3CCD25A9" w14:textId="02B4492A" w:rsidR="001040D3" w:rsidRPr="002442C0" w:rsidRDefault="000A591F" w:rsidP="00103AD0">
            <w:pPr>
              <w:pStyle w:val="TableText0"/>
              <w:rPr>
                <w:b/>
                <w:bCs w:val="0"/>
                <w:sz w:val="18"/>
                <w:szCs w:val="18"/>
              </w:rPr>
            </w:pPr>
            <w:r w:rsidRPr="000A591F">
              <w:rPr>
                <w:color w:val="000000"/>
                <w:spacing w:val="45"/>
                <w:shd w:val="solid" w:color="000000" w:fill="000000"/>
                <w:fitText w:val="330" w:id="-1167937272"/>
                <w14:textFill>
                  <w14:solidFill>
                    <w14:srgbClr w14:val="000000">
                      <w14:alpha w14:val="100000"/>
                    </w14:srgbClr>
                  </w14:solidFill>
                </w14:textFill>
              </w:rPr>
              <w:t>|||</w:t>
            </w:r>
            <w:r w:rsidRPr="000A591F">
              <w:rPr>
                <w:color w:val="000000"/>
                <w:spacing w:val="15"/>
                <w:shd w:val="solid" w:color="000000" w:fill="000000"/>
                <w:fitText w:val="330" w:id="-1167937272"/>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252AA85A" w14:textId="5F970530" w:rsidR="001040D3" w:rsidRPr="002442C0" w:rsidRDefault="000A591F" w:rsidP="00103AD0">
            <w:pPr>
              <w:pStyle w:val="TableText0"/>
              <w:rPr>
                <w:b/>
                <w:bCs w:val="0"/>
                <w:sz w:val="18"/>
                <w:szCs w:val="18"/>
              </w:rPr>
            </w:pPr>
            <w:r w:rsidRPr="000A591F">
              <w:rPr>
                <w:color w:val="000000"/>
                <w:spacing w:val="45"/>
                <w:shd w:val="solid" w:color="000000" w:fill="000000"/>
                <w:fitText w:val="330" w:id="-1167937271"/>
                <w14:textFill>
                  <w14:solidFill>
                    <w14:srgbClr w14:val="000000">
                      <w14:alpha w14:val="100000"/>
                    </w14:srgbClr>
                  </w14:solidFill>
                </w14:textFill>
              </w:rPr>
              <w:t>|||</w:t>
            </w:r>
            <w:r w:rsidRPr="000A591F">
              <w:rPr>
                <w:color w:val="000000"/>
                <w:spacing w:val="15"/>
                <w:shd w:val="solid" w:color="000000" w:fill="000000"/>
                <w:fitText w:val="330" w:id="-1167937271"/>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70894402" w14:textId="7D77AE7D" w:rsidR="001040D3" w:rsidRPr="002442C0" w:rsidRDefault="000A591F" w:rsidP="00103AD0">
            <w:pPr>
              <w:pStyle w:val="TableText0"/>
              <w:rPr>
                <w:b/>
                <w:bCs w:val="0"/>
                <w:sz w:val="18"/>
                <w:szCs w:val="18"/>
              </w:rPr>
            </w:pPr>
            <w:r w:rsidRPr="000A591F">
              <w:rPr>
                <w:color w:val="000000"/>
                <w:spacing w:val="45"/>
                <w:shd w:val="solid" w:color="000000" w:fill="000000"/>
                <w:fitText w:val="330" w:id="-1167937270"/>
                <w14:textFill>
                  <w14:solidFill>
                    <w14:srgbClr w14:val="000000">
                      <w14:alpha w14:val="100000"/>
                    </w14:srgbClr>
                  </w14:solidFill>
                </w14:textFill>
              </w:rPr>
              <w:t>|||</w:t>
            </w:r>
            <w:r w:rsidRPr="000A591F">
              <w:rPr>
                <w:color w:val="000000"/>
                <w:spacing w:val="15"/>
                <w:shd w:val="solid" w:color="000000" w:fill="000000"/>
                <w:fitText w:val="330" w:id="-1167937270"/>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5D02ED39" w14:textId="0266684F" w:rsidR="001040D3" w:rsidRPr="002442C0" w:rsidRDefault="000A591F" w:rsidP="00103AD0">
            <w:pPr>
              <w:pStyle w:val="TableText0"/>
              <w:rPr>
                <w:b/>
                <w:bCs w:val="0"/>
                <w:sz w:val="18"/>
                <w:szCs w:val="18"/>
              </w:rPr>
            </w:pPr>
            <w:r w:rsidRPr="000A591F">
              <w:rPr>
                <w:color w:val="000000"/>
                <w:spacing w:val="45"/>
                <w:shd w:val="solid" w:color="000000" w:fill="000000"/>
                <w:fitText w:val="330" w:id="-1167937269"/>
                <w14:textFill>
                  <w14:solidFill>
                    <w14:srgbClr w14:val="000000">
                      <w14:alpha w14:val="100000"/>
                    </w14:srgbClr>
                  </w14:solidFill>
                </w14:textFill>
              </w:rPr>
              <w:t>|||</w:t>
            </w:r>
            <w:r w:rsidRPr="000A591F">
              <w:rPr>
                <w:color w:val="000000"/>
                <w:spacing w:val="15"/>
                <w:shd w:val="solid" w:color="000000" w:fill="000000"/>
                <w:fitText w:val="330" w:id="-1167937269"/>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54537E25" w14:textId="6D2CCEA7" w:rsidR="001040D3" w:rsidRPr="002442C0" w:rsidRDefault="000A591F" w:rsidP="00103AD0">
            <w:pPr>
              <w:pStyle w:val="TableText0"/>
              <w:rPr>
                <w:b/>
                <w:bCs w:val="0"/>
                <w:sz w:val="18"/>
                <w:szCs w:val="18"/>
              </w:rPr>
            </w:pPr>
            <w:r w:rsidRPr="000A591F">
              <w:rPr>
                <w:color w:val="000000"/>
                <w:spacing w:val="45"/>
                <w:shd w:val="solid" w:color="000000" w:fill="000000"/>
                <w:fitText w:val="330" w:id="-1167937268"/>
                <w14:textFill>
                  <w14:solidFill>
                    <w14:srgbClr w14:val="000000">
                      <w14:alpha w14:val="100000"/>
                    </w14:srgbClr>
                  </w14:solidFill>
                </w14:textFill>
              </w:rPr>
              <w:t>|||</w:t>
            </w:r>
            <w:r w:rsidRPr="000A591F">
              <w:rPr>
                <w:color w:val="000000"/>
                <w:spacing w:val="15"/>
                <w:shd w:val="solid" w:color="000000" w:fill="000000"/>
                <w:fitText w:val="330" w:id="-1167937268"/>
                <w14:textFill>
                  <w14:solidFill>
                    <w14:srgbClr w14:val="000000">
                      <w14:alpha w14:val="100000"/>
                    </w14:srgbClr>
                  </w14:solidFill>
                </w14:textFill>
              </w:rPr>
              <w:t>|</w:t>
            </w:r>
            <w:r w:rsidR="00103AD0">
              <w:t xml:space="preserve"> </w:t>
            </w:r>
            <w:r w:rsidR="00103AD0">
              <w:rPr>
                <w:vertAlign w:val="superscript"/>
              </w:rPr>
              <w:t>1</w:t>
            </w:r>
          </w:p>
        </w:tc>
      </w:tr>
      <w:tr w:rsidR="001D24DB" w:rsidRPr="002442C0" w14:paraId="065E1DF5" w14:textId="77777777" w:rsidTr="00103AD0">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A7BF2D" w14:textId="52BA0E2A" w:rsidR="001D24DB" w:rsidRPr="002442C0" w:rsidRDefault="001D24DB" w:rsidP="00103AD0">
            <w:pPr>
              <w:pStyle w:val="TableText0"/>
              <w:rPr>
                <w:b/>
                <w:sz w:val="18"/>
                <w:szCs w:val="18"/>
              </w:rPr>
            </w:pPr>
            <w:r w:rsidRPr="002442C0">
              <w:rPr>
                <w:b/>
                <w:sz w:val="18"/>
                <w:szCs w:val="18"/>
              </w:rPr>
              <w:t>Secukinumab usage subsequent to adalimumab failure (</w:t>
            </w:r>
            <w:r w:rsidR="003325C2" w:rsidRPr="002442C0">
              <w:rPr>
                <w:b/>
                <w:sz w:val="18"/>
                <w:szCs w:val="18"/>
              </w:rPr>
              <w:t xml:space="preserve">base case 10% </w:t>
            </w:r>
            <w:r w:rsidR="00EB35FF" w:rsidRPr="002442C0">
              <w:rPr>
                <w:b/>
                <w:sz w:val="18"/>
                <w:szCs w:val="18"/>
              </w:rPr>
              <w:t>relative to secukinumab use</w:t>
            </w:r>
            <w:r w:rsidR="003325C2" w:rsidRPr="002442C0">
              <w:rPr>
                <w:b/>
                <w:sz w:val="18"/>
                <w:szCs w:val="18"/>
              </w:rPr>
              <w:t xml:space="preserve"> →</w:t>
            </w:r>
            <w:r w:rsidRPr="002442C0">
              <w:rPr>
                <w:b/>
                <w:sz w:val="18"/>
                <w:szCs w:val="18"/>
              </w:rPr>
              <w:t>20% of adalimumab use)</w:t>
            </w:r>
          </w:p>
        </w:tc>
      </w:tr>
      <w:tr w:rsidR="00277B06" w:rsidRPr="002442C0" w14:paraId="1EB04517" w14:textId="77777777" w:rsidTr="00103AD0">
        <w:trPr>
          <w:trHeight w:val="2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3AFF61A" w14:textId="77777777" w:rsidR="00277B06" w:rsidRPr="002442C0" w:rsidRDefault="00277B06" w:rsidP="00103AD0">
            <w:pPr>
              <w:pStyle w:val="TableText0"/>
              <w:rPr>
                <w:sz w:val="18"/>
                <w:szCs w:val="18"/>
              </w:rPr>
            </w:pPr>
            <w:r w:rsidRPr="002442C0">
              <w:rPr>
                <w:sz w:val="18"/>
                <w:szCs w:val="18"/>
              </w:rPr>
              <w:t>Net cost to PBS/ RPBS</w:t>
            </w:r>
          </w:p>
        </w:tc>
        <w:tc>
          <w:tcPr>
            <w:tcW w:w="703" w:type="pct"/>
            <w:tcBorders>
              <w:top w:val="nil"/>
              <w:left w:val="nil"/>
              <w:bottom w:val="single" w:sz="4" w:space="0" w:color="auto"/>
              <w:right w:val="single" w:sz="4" w:space="0" w:color="auto"/>
            </w:tcBorders>
            <w:shd w:val="clear" w:color="auto" w:fill="auto"/>
            <w:noWrap/>
            <w:hideMark/>
          </w:tcPr>
          <w:p w14:paraId="708122D4" w14:textId="63370C64" w:rsidR="00277B06" w:rsidRPr="002442C0" w:rsidRDefault="000A591F" w:rsidP="00103AD0">
            <w:pPr>
              <w:pStyle w:val="TableText0"/>
              <w:rPr>
                <w:sz w:val="18"/>
                <w:szCs w:val="18"/>
              </w:rPr>
            </w:pPr>
            <w:r w:rsidRPr="000A591F">
              <w:rPr>
                <w:color w:val="000000"/>
                <w:spacing w:val="45"/>
                <w:shd w:val="solid" w:color="000000" w:fill="000000"/>
                <w:fitText w:val="330" w:id="-1167937267"/>
                <w14:textFill>
                  <w14:solidFill>
                    <w14:srgbClr w14:val="000000">
                      <w14:alpha w14:val="100000"/>
                    </w14:srgbClr>
                  </w14:solidFill>
                </w14:textFill>
              </w:rPr>
              <w:t>|||</w:t>
            </w:r>
            <w:r w:rsidRPr="000A591F">
              <w:rPr>
                <w:color w:val="000000"/>
                <w:spacing w:val="15"/>
                <w:shd w:val="solid" w:color="000000" w:fill="000000"/>
                <w:fitText w:val="330" w:id="-1167937267"/>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252201A0" w14:textId="16D31A25" w:rsidR="00277B06" w:rsidRPr="002442C0" w:rsidRDefault="000A591F" w:rsidP="00103AD0">
            <w:pPr>
              <w:pStyle w:val="TableText0"/>
              <w:rPr>
                <w:sz w:val="18"/>
                <w:szCs w:val="18"/>
              </w:rPr>
            </w:pPr>
            <w:r w:rsidRPr="000A591F">
              <w:rPr>
                <w:color w:val="000000"/>
                <w:spacing w:val="45"/>
                <w:shd w:val="solid" w:color="000000" w:fill="000000"/>
                <w:fitText w:val="330" w:id="-1167937266"/>
                <w14:textFill>
                  <w14:solidFill>
                    <w14:srgbClr w14:val="000000">
                      <w14:alpha w14:val="100000"/>
                    </w14:srgbClr>
                  </w14:solidFill>
                </w14:textFill>
              </w:rPr>
              <w:t>|||</w:t>
            </w:r>
            <w:r w:rsidRPr="000A591F">
              <w:rPr>
                <w:color w:val="000000"/>
                <w:spacing w:val="15"/>
                <w:shd w:val="solid" w:color="000000" w:fill="000000"/>
                <w:fitText w:val="330" w:id="-1167937266"/>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24A50C1A" w14:textId="49C631D6" w:rsidR="00277B06" w:rsidRPr="002442C0" w:rsidRDefault="000A591F" w:rsidP="00103AD0">
            <w:pPr>
              <w:pStyle w:val="TableText0"/>
              <w:rPr>
                <w:sz w:val="18"/>
                <w:szCs w:val="18"/>
              </w:rPr>
            </w:pPr>
            <w:r w:rsidRPr="000A591F">
              <w:rPr>
                <w:color w:val="000000"/>
                <w:spacing w:val="45"/>
                <w:shd w:val="solid" w:color="000000" w:fill="000000"/>
                <w:fitText w:val="330" w:id="-1167937265"/>
                <w14:textFill>
                  <w14:solidFill>
                    <w14:srgbClr w14:val="000000">
                      <w14:alpha w14:val="100000"/>
                    </w14:srgbClr>
                  </w14:solidFill>
                </w14:textFill>
              </w:rPr>
              <w:t>|||</w:t>
            </w:r>
            <w:r w:rsidRPr="000A591F">
              <w:rPr>
                <w:color w:val="000000"/>
                <w:spacing w:val="15"/>
                <w:shd w:val="solid" w:color="000000" w:fill="000000"/>
                <w:fitText w:val="330" w:id="-1167937265"/>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6ACE0507" w14:textId="3D75F438" w:rsidR="00277B06" w:rsidRPr="002442C0" w:rsidRDefault="000A591F" w:rsidP="00103AD0">
            <w:pPr>
              <w:pStyle w:val="TableText0"/>
              <w:rPr>
                <w:sz w:val="18"/>
                <w:szCs w:val="18"/>
              </w:rPr>
            </w:pPr>
            <w:r w:rsidRPr="000A591F">
              <w:rPr>
                <w:color w:val="000000"/>
                <w:spacing w:val="45"/>
                <w:shd w:val="solid" w:color="000000" w:fill="000000"/>
                <w:fitText w:val="330" w:id="-1167937264"/>
                <w14:textFill>
                  <w14:solidFill>
                    <w14:srgbClr w14:val="000000">
                      <w14:alpha w14:val="100000"/>
                    </w14:srgbClr>
                  </w14:solidFill>
                </w14:textFill>
              </w:rPr>
              <w:t>|||</w:t>
            </w:r>
            <w:r w:rsidRPr="000A591F">
              <w:rPr>
                <w:color w:val="000000"/>
                <w:spacing w:val="15"/>
                <w:shd w:val="solid" w:color="000000" w:fill="000000"/>
                <w:fitText w:val="330" w:id="-1167937264"/>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7CA3D799" w14:textId="56A72C4F" w:rsidR="00277B06" w:rsidRPr="002442C0" w:rsidRDefault="000A591F" w:rsidP="00103AD0">
            <w:pPr>
              <w:pStyle w:val="TableText0"/>
              <w:rPr>
                <w:sz w:val="18"/>
                <w:szCs w:val="18"/>
              </w:rPr>
            </w:pPr>
            <w:r w:rsidRPr="000A591F">
              <w:rPr>
                <w:color w:val="000000"/>
                <w:spacing w:val="45"/>
                <w:shd w:val="solid" w:color="000000" w:fill="000000"/>
                <w:fitText w:val="330" w:id="-1167937280"/>
                <w14:textFill>
                  <w14:solidFill>
                    <w14:srgbClr w14:val="000000">
                      <w14:alpha w14:val="100000"/>
                    </w14:srgbClr>
                  </w14:solidFill>
                </w14:textFill>
              </w:rPr>
              <w:t>|||</w:t>
            </w:r>
            <w:r w:rsidRPr="000A591F">
              <w:rPr>
                <w:color w:val="000000"/>
                <w:spacing w:val="15"/>
                <w:shd w:val="solid" w:color="000000" w:fill="000000"/>
                <w:fitText w:val="330" w:id="-1167937280"/>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349304BD" w14:textId="00B9F45D" w:rsidR="00277B06" w:rsidRPr="002442C0" w:rsidRDefault="000A591F" w:rsidP="00103AD0">
            <w:pPr>
              <w:pStyle w:val="TableText0"/>
              <w:rPr>
                <w:sz w:val="18"/>
                <w:szCs w:val="18"/>
              </w:rPr>
            </w:pPr>
            <w:r w:rsidRPr="000A591F">
              <w:rPr>
                <w:color w:val="000000"/>
                <w:spacing w:val="45"/>
                <w:shd w:val="solid" w:color="000000" w:fill="000000"/>
                <w:fitText w:val="330" w:id="-1167937279"/>
                <w14:textFill>
                  <w14:solidFill>
                    <w14:srgbClr w14:val="000000">
                      <w14:alpha w14:val="100000"/>
                    </w14:srgbClr>
                  </w14:solidFill>
                </w14:textFill>
              </w:rPr>
              <w:t>|||</w:t>
            </w:r>
            <w:r w:rsidRPr="000A591F">
              <w:rPr>
                <w:color w:val="000000"/>
                <w:spacing w:val="15"/>
                <w:shd w:val="solid" w:color="000000" w:fill="000000"/>
                <w:fitText w:val="330" w:id="-1167937279"/>
                <w14:textFill>
                  <w14:solidFill>
                    <w14:srgbClr w14:val="000000">
                      <w14:alpha w14:val="100000"/>
                    </w14:srgbClr>
                  </w14:solidFill>
                </w14:textFill>
              </w:rPr>
              <w:t>|</w:t>
            </w:r>
            <w:r w:rsidR="00103AD0">
              <w:t xml:space="preserve"> </w:t>
            </w:r>
            <w:r w:rsidR="00103AD0">
              <w:rPr>
                <w:vertAlign w:val="superscript"/>
              </w:rPr>
              <w:t>1</w:t>
            </w:r>
          </w:p>
        </w:tc>
      </w:tr>
      <w:tr w:rsidR="00277B06" w:rsidRPr="002442C0" w14:paraId="6A722541" w14:textId="77777777" w:rsidTr="00103AD0">
        <w:trPr>
          <w:trHeight w:val="2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2E26177" w14:textId="77777777" w:rsidR="00B77BA9" w:rsidRPr="002442C0" w:rsidRDefault="00B77BA9" w:rsidP="00103AD0">
            <w:pPr>
              <w:pStyle w:val="TableText0"/>
              <w:rPr>
                <w:sz w:val="18"/>
                <w:szCs w:val="18"/>
              </w:rPr>
            </w:pPr>
            <w:r w:rsidRPr="002442C0">
              <w:rPr>
                <w:sz w:val="18"/>
                <w:szCs w:val="18"/>
              </w:rPr>
              <w:t>Change from baseline</w:t>
            </w:r>
          </w:p>
        </w:tc>
        <w:tc>
          <w:tcPr>
            <w:tcW w:w="703" w:type="pct"/>
            <w:tcBorders>
              <w:top w:val="nil"/>
              <w:left w:val="nil"/>
              <w:bottom w:val="single" w:sz="4" w:space="0" w:color="auto"/>
              <w:right w:val="single" w:sz="4" w:space="0" w:color="auto"/>
            </w:tcBorders>
            <w:shd w:val="clear" w:color="auto" w:fill="auto"/>
            <w:noWrap/>
            <w:hideMark/>
          </w:tcPr>
          <w:p w14:paraId="21C1EE78" w14:textId="76582D5D" w:rsidR="00B77BA9" w:rsidRPr="002442C0" w:rsidRDefault="00277B06" w:rsidP="00103AD0">
            <w:pPr>
              <w:pStyle w:val="TableText0"/>
              <w:rPr>
                <w:sz w:val="18"/>
                <w:szCs w:val="18"/>
              </w:rPr>
            </w:pPr>
            <w:r w:rsidRPr="002442C0">
              <w:t>7</w:t>
            </w:r>
            <w:r w:rsidR="00B77BA9" w:rsidRPr="002442C0">
              <w:t>00%</w:t>
            </w:r>
          </w:p>
        </w:tc>
        <w:tc>
          <w:tcPr>
            <w:tcW w:w="703" w:type="pct"/>
            <w:tcBorders>
              <w:top w:val="nil"/>
              <w:left w:val="nil"/>
              <w:bottom w:val="single" w:sz="4" w:space="0" w:color="auto"/>
              <w:right w:val="single" w:sz="4" w:space="0" w:color="auto"/>
            </w:tcBorders>
            <w:shd w:val="clear" w:color="auto" w:fill="auto"/>
            <w:noWrap/>
            <w:hideMark/>
          </w:tcPr>
          <w:p w14:paraId="27E63C13" w14:textId="095D3582" w:rsidR="00B77BA9" w:rsidRPr="002442C0" w:rsidRDefault="00277B06" w:rsidP="00103AD0">
            <w:pPr>
              <w:pStyle w:val="TableText0"/>
              <w:rPr>
                <w:sz w:val="18"/>
                <w:szCs w:val="18"/>
              </w:rPr>
            </w:pPr>
            <w:r w:rsidRPr="002442C0">
              <w:t>7</w:t>
            </w:r>
            <w:r w:rsidR="00B77BA9" w:rsidRPr="002442C0">
              <w:t>45%</w:t>
            </w:r>
          </w:p>
        </w:tc>
        <w:tc>
          <w:tcPr>
            <w:tcW w:w="703" w:type="pct"/>
            <w:tcBorders>
              <w:top w:val="nil"/>
              <w:left w:val="nil"/>
              <w:bottom w:val="single" w:sz="4" w:space="0" w:color="auto"/>
              <w:right w:val="single" w:sz="4" w:space="0" w:color="auto"/>
            </w:tcBorders>
            <w:shd w:val="clear" w:color="auto" w:fill="auto"/>
            <w:noWrap/>
            <w:hideMark/>
          </w:tcPr>
          <w:p w14:paraId="469B6D82" w14:textId="71F37E73" w:rsidR="00B77BA9" w:rsidRPr="002442C0" w:rsidRDefault="00277B06" w:rsidP="00103AD0">
            <w:pPr>
              <w:pStyle w:val="TableText0"/>
              <w:rPr>
                <w:sz w:val="18"/>
                <w:szCs w:val="18"/>
              </w:rPr>
            </w:pPr>
            <w:r w:rsidRPr="002442C0">
              <w:t>7</w:t>
            </w:r>
            <w:r w:rsidR="00B77BA9" w:rsidRPr="002442C0">
              <w:t>12%</w:t>
            </w:r>
          </w:p>
        </w:tc>
        <w:tc>
          <w:tcPr>
            <w:tcW w:w="703" w:type="pct"/>
            <w:tcBorders>
              <w:top w:val="nil"/>
              <w:left w:val="nil"/>
              <w:bottom w:val="single" w:sz="4" w:space="0" w:color="auto"/>
              <w:right w:val="single" w:sz="4" w:space="0" w:color="auto"/>
            </w:tcBorders>
            <w:shd w:val="clear" w:color="auto" w:fill="auto"/>
            <w:noWrap/>
            <w:hideMark/>
          </w:tcPr>
          <w:p w14:paraId="53C4EE70" w14:textId="2C2D19A9" w:rsidR="00B77BA9" w:rsidRPr="002442C0" w:rsidRDefault="00277B06" w:rsidP="00103AD0">
            <w:pPr>
              <w:pStyle w:val="TableText0"/>
              <w:rPr>
                <w:sz w:val="18"/>
                <w:szCs w:val="18"/>
              </w:rPr>
            </w:pPr>
            <w:r w:rsidRPr="002442C0">
              <w:t>4</w:t>
            </w:r>
            <w:r w:rsidR="00B77BA9" w:rsidRPr="002442C0">
              <w:t>11%</w:t>
            </w:r>
          </w:p>
        </w:tc>
        <w:tc>
          <w:tcPr>
            <w:tcW w:w="703" w:type="pct"/>
            <w:tcBorders>
              <w:top w:val="nil"/>
              <w:left w:val="nil"/>
              <w:bottom w:val="single" w:sz="4" w:space="0" w:color="auto"/>
              <w:right w:val="single" w:sz="4" w:space="0" w:color="auto"/>
            </w:tcBorders>
            <w:shd w:val="clear" w:color="auto" w:fill="auto"/>
            <w:noWrap/>
            <w:hideMark/>
          </w:tcPr>
          <w:p w14:paraId="44FC3333" w14:textId="404F99B5" w:rsidR="00B77BA9" w:rsidRPr="002442C0" w:rsidRDefault="00277B06" w:rsidP="00103AD0">
            <w:pPr>
              <w:pStyle w:val="TableText0"/>
              <w:rPr>
                <w:sz w:val="18"/>
                <w:szCs w:val="18"/>
              </w:rPr>
            </w:pPr>
            <w:r w:rsidRPr="002442C0">
              <w:t>2</w:t>
            </w:r>
            <w:r w:rsidR="00B77BA9" w:rsidRPr="002442C0">
              <w:t>83%</w:t>
            </w:r>
          </w:p>
        </w:tc>
        <w:tc>
          <w:tcPr>
            <w:tcW w:w="703" w:type="pct"/>
            <w:tcBorders>
              <w:top w:val="nil"/>
              <w:left w:val="nil"/>
              <w:bottom w:val="single" w:sz="4" w:space="0" w:color="auto"/>
              <w:right w:val="single" w:sz="4" w:space="0" w:color="auto"/>
            </w:tcBorders>
            <w:shd w:val="clear" w:color="auto" w:fill="auto"/>
            <w:noWrap/>
            <w:hideMark/>
          </w:tcPr>
          <w:p w14:paraId="1A4516AD" w14:textId="51668B24" w:rsidR="00B77BA9" w:rsidRPr="002442C0" w:rsidRDefault="00277B06" w:rsidP="00103AD0">
            <w:pPr>
              <w:pStyle w:val="TableText0"/>
              <w:rPr>
                <w:sz w:val="18"/>
                <w:szCs w:val="18"/>
              </w:rPr>
            </w:pPr>
            <w:r w:rsidRPr="002442C0">
              <w:t>1</w:t>
            </w:r>
            <w:r w:rsidR="00B77BA9" w:rsidRPr="002442C0">
              <w:t>93%</w:t>
            </w:r>
          </w:p>
        </w:tc>
      </w:tr>
      <w:tr w:rsidR="001D24DB" w:rsidRPr="002442C0" w14:paraId="140E2547" w14:textId="77777777" w:rsidTr="00103AD0">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A7B66C" w14:textId="1FAABD83" w:rsidR="001D24DB" w:rsidRPr="002442C0" w:rsidRDefault="001D24DB" w:rsidP="00103AD0">
            <w:pPr>
              <w:pStyle w:val="TableText0"/>
              <w:rPr>
                <w:b/>
                <w:sz w:val="18"/>
                <w:szCs w:val="18"/>
              </w:rPr>
            </w:pPr>
            <w:r w:rsidRPr="002442C0">
              <w:rPr>
                <w:b/>
                <w:sz w:val="18"/>
                <w:szCs w:val="18"/>
              </w:rPr>
              <w:t xml:space="preserve">Revised script equivalence </w:t>
            </w:r>
            <w:r w:rsidR="003325C2" w:rsidRPr="002442C0">
              <w:rPr>
                <w:b/>
                <w:sz w:val="18"/>
                <w:szCs w:val="18"/>
              </w:rPr>
              <w:t xml:space="preserve">(base case </w:t>
            </w:r>
            <w:r w:rsidR="00EB35FF" w:rsidRPr="002442C0">
              <w:rPr>
                <w:b/>
                <w:sz w:val="18"/>
                <w:szCs w:val="18"/>
              </w:rPr>
              <w:t xml:space="preserve">1:1 </w:t>
            </w:r>
            <w:r w:rsidR="003325C2" w:rsidRPr="002442C0">
              <w:rPr>
                <w:b/>
                <w:sz w:val="18"/>
                <w:szCs w:val="18"/>
              </w:rPr>
              <w:t xml:space="preserve">→ </w:t>
            </w:r>
            <w:r w:rsidR="00EB35FF" w:rsidRPr="002442C0">
              <w:rPr>
                <w:b/>
                <w:sz w:val="18"/>
                <w:szCs w:val="18"/>
              </w:rPr>
              <w:t>1:0.8 in initiation</w:t>
            </w:r>
            <w:r w:rsidR="0001111E" w:rsidRPr="002442C0">
              <w:rPr>
                <w:b/>
                <w:sz w:val="18"/>
                <w:szCs w:val="18"/>
              </w:rPr>
              <w:t xml:space="preserve">, </w:t>
            </w:r>
            <w:r w:rsidR="00EB35FF" w:rsidRPr="002442C0">
              <w:rPr>
                <w:b/>
                <w:sz w:val="18"/>
                <w:szCs w:val="18"/>
              </w:rPr>
              <w:t>1.33:1 in BoS</w:t>
            </w:r>
            <w:r w:rsidR="00112295" w:rsidRPr="002442C0">
              <w:rPr>
                <w:b/>
                <w:sz w:val="18"/>
                <w:szCs w:val="18"/>
              </w:rPr>
              <w:t xml:space="preserve"> and 1:1 in main</w:t>
            </w:r>
            <w:r w:rsidR="007555B7" w:rsidRPr="002442C0">
              <w:rPr>
                <w:b/>
                <w:sz w:val="18"/>
                <w:szCs w:val="18"/>
              </w:rPr>
              <w:t>tenance</w:t>
            </w:r>
            <w:r w:rsidR="00EB35FF" w:rsidRPr="002442C0">
              <w:rPr>
                <w:b/>
                <w:sz w:val="18"/>
                <w:szCs w:val="18"/>
              </w:rPr>
              <w:t>)</w:t>
            </w:r>
          </w:p>
        </w:tc>
      </w:tr>
      <w:tr w:rsidR="00277B06" w:rsidRPr="002442C0" w14:paraId="152BFC10" w14:textId="77777777" w:rsidTr="00103AD0">
        <w:trPr>
          <w:trHeight w:val="2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DB8D8AD" w14:textId="77777777" w:rsidR="00D219D6" w:rsidRPr="002442C0" w:rsidRDefault="00D219D6" w:rsidP="00103AD0">
            <w:pPr>
              <w:pStyle w:val="TableText0"/>
              <w:rPr>
                <w:sz w:val="18"/>
                <w:szCs w:val="18"/>
              </w:rPr>
            </w:pPr>
            <w:r w:rsidRPr="002442C0">
              <w:rPr>
                <w:sz w:val="18"/>
                <w:szCs w:val="18"/>
              </w:rPr>
              <w:t>Net cost to PBS/RPBS</w:t>
            </w:r>
          </w:p>
        </w:tc>
        <w:tc>
          <w:tcPr>
            <w:tcW w:w="703" w:type="pct"/>
            <w:tcBorders>
              <w:top w:val="nil"/>
              <w:left w:val="nil"/>
              <w:bottom w:val="single" w:sz="4" w:space="0" w:color="auto"/>
              <w:right w:val="single" w:sz="4" w:space="0" w:color="auto"/>
            </w:tcBorders>
            <w:shd w:val="clear" w:color="auto" w:fill="auto"/>
            <w:noWrap/>
            <w:hideMark/>
          </w:tcPr>
          <w:p w14:paraId="375D546B" w14:textId="44C29B51" w:rsidR="00D219D6" w:rsidRPr="002442C0" w:rsidRDefault="000A591F" w:rsidP="00103AD0">
            <w:pPr>
              <w:pStyle w:val="TableText0"/>
              <w:rPr>
                <w:sz w:val="18"/>
                <w:szCs w:val="18"/>
              </w:rPr>
            </w:pPr>
            <w:r w:rsidRPr="000A591F">
              <w:rPr>
                <w:color w:val="000000"/>
                <w:spacing w:val="45"/>
                <w:shd w:val="solid" w:color="000000" w:fill="000000"/>
                <w:fitText w:val="330" w:id="-1167937278"/>
                <w14:textFill>
                  <w14:solidFill>
                    <w14:srgbClr w14:val="000000">
                      <w14:alpha w14:val="100000"/>
                    </w14:srgbClr>
                  </w14:solidFill>
                </w14:textFill>
              </w:rPr>
              <w:t>|||</w:t>
            </w:r>
            <w:r w:rsidRPr="000A591F">
              <w:rPr>
                <w:color w:val="000000"/>
                <w:spacing w:val="15"/>
                <w:shd w:val="solid" w:color="000000" w:fill="000000"/>
                <w:fitText w:val="330" w:id="-1167937278"/>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127C522F" w14:textId="3A36009F" w:rsidR="00D219D6" w:rsidRPr="002442C0" w:rsidRDefault="000A591F" w:rsidP="00103AD0">
            <w:pPr>
              <w:pStyle w:val="TableText0"/>
              <w:rPr>
                <w:sz w:val="18"/>
                <w:szCs w:val="18"/>
              </w:rPr>
            </w:pPr>
            <w:r w:rsidRPr="000A591F">
              <w:rPr>
                <w:color w:val="000000"/>
                <w:spacing w:val="45"/>
                <w:shd w:val="solid" w:color="000000" w:fill="000000"/>
                <w:fitText w:val="330" w:id="-1167937277"/>
                <w14:textFill>
                  <w14:solidFill>
                    <w14:srgbClr w14:val="000000">
                      <w14:alpha w14:val="100000"/>
                    </w14:srgbClr>
                  </w14:solidFill>
                </w14:textFill>
              </w:rPr>
              <w:t>|||</w:t>
            </w:r>
            <w:r w:rsidRPr="000A591F">
              <w:rPr>
                <w:color w:val="000000"/>
                <w:spacing w:val="15"/>
                <w:shd w:val="solid" w:color="000000" w:fill="000000"/>
                <w:fitText w:val="330" w:id="-1167937277"/>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46698939" w14:textId="3B86B762" w:rsidR="00D219D6" w:rsidRPr="002442C0" w:rsidRDefault="000A591F" w:rsidP="00103AD0">
            <w:pPr>
              <w:pStyle w:val="TableText0"/>
              <w:rPr>
                <w:sz w:val="18"/>
                <w:szCs w:val="18"/>
              </w:rPr>
            </w:pPr>
            <w:r w:rsidRPr="000A591F">
              <w:rPr>
                <w:color w:val="000000"/>
                <w:spacing w:val="45"/>
                <w:shd w:val="solid" w:color="000000" w:fill="000000"/>
                <w:fitText w:val="330" w:id="-1167937276"/>
                <w14:textFill>
                  <w14:solidFill>
                    <w14:srgbClr w14:val="000000">
                      <w14:alpha w14:val="100000"/>
                    </w14:srgbClr>
                  </w14:solidFill>
                </w14:textFill>
              </w:rPr>
              <w:t>|||</w:t>
            </w:r>
            <w:r w:rsidRPr="000A591F">
              <w:rPr>
                <w:color w:val="000000"/>
                <w:spacing w:val="15"/>
                <w:shd w:val="solid" w:color="000000" w:fill="000000"/>
                <w:fitText w:val="330" w:id="-1167937276"/>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59C239BB" w14:textId="088D9B2D" w:rsidR="00D219D6" w:rsidRPr="002442C0" w:rsidRDefault="000A591F" w:rsidP="00103AD0">
            <w:pPr>
              <w:pStyle w:val="TableText0"/>
              <w:rPr>
                <w:sz w:val="18"/>
                <w:szCs w:val="18"/>
              </w:rPr>
            </w:pPr>
            <w:r w:rsidRPr="000A591F">
              <w:rPr>
                <w:color w:val="000000"/>
                <w:spacing w:val="45"/>
                <w:shd w:val="solid" w:color="000000" w:fill="000000"/>
                <w:fitText w:val="330" w:id="-1167937275"/>
                <w14:textFill>
                  <w14:solidFill>
                    <w14:srgbClr w14:val="000000">
                      <w14:alpha w14:val="100000"/>
                    </w14:srgbClr>
                  </w14:solidFill>
                </w14:textFill>
              </w:rPr>
              <w:t>|||</w:t>
            </w:r>
            <w:r w:rsidRPr="000A591F">
              <w:rPr>
                <w:color w:val="000000"/>
                <w:spacing w:val="15"/>
                <w:shd w:val="solid" w:color="000000" w:fill="000000"/>
                <w:fitText w:val="330" w:id="-1167937275"/>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0B2D959A" w14:textId="180B677B" w:rsidR="00D219D6" w:rsidRPr="002442C0" w:rsidRDefault="000A591F" w:rsidP="00103AD0">
            <w:pPr>
              <w:pStyle w:val="TableText0"/>
              <w:rPr>
                <w:sz w:val="18"/>
                <w:szCs w:val="18"/>
              </w:rPr>
            </w:pPr>
            <w:r w:rsidRPr="000A591F">
              <w:rPr>
                <w:color w:val="000000"/>
                <w:spacing w:val="45"/>
                <w:shd w:val="solid" w:color="000000" w:fill="000000"/>
                <w:fitText w:val="330" w:id="-1167937274"/>
                <w14:textFill>
                  <w14:solidFill>
                    <w14:srgbClr w14:val="000000">
                      <w14:alpha w14:val="100000"/>
                    </w14:srgbClr>
                  </w14:solidFill>
                </w14:textFill>
              </w:rPr>
              <w:t>|||</w:t>
            </w:r>
            <w:r w:rsidRPr="000A591F">
              <w:rPr>
                <w:color w:val="000000"/>
                <w:spacing w:val="15"/>
                <w:shd w:val="solid" w:color="000000" w:fill="000000"/>
                <w:fitText w:val="330" w:id="-1167937274"/>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6ED0E02D" w14:textId="5DA4D850" w:rsidR="00D219D6" w:rsidRPr="002442C0" w:rsidRDefault="000A591F" w:rsidP="00103AD0">
            <w:pPr>
              <w:pStyle w:val="TableText0"/>
              <w:rPr>
                <w:sz w:val="18"/>
                <w:szCs w:val="18"/>
              </w:rPr>
            </w:pPr>
            <w:r w:rsidRPr="000A591F">
              <w:rPr>
                <w:color w:val="000000"/>
                <w:spacing w:val="45"/>
                <w:shd w:val="solid" w:color="000000" w:fill="000000"/>
                <w:fitText w:val="330" w:id="-1167937273"/>
                <w14:textFill>
                  <w14:solidFill>
                    <w14:srgbClr w14:val="000000">
                      <w14:alpha w14:val="100000"/>
                    </w14:srgbClr>
                  </w14:solidFill>
                </w14:textFill>
              </w:rPr>
              <w:t>|||</w:t>
            </w:r>
            <w:r w:rsidRPr="000A591F">
              <w:rPr>
                <w:color w:val="000000"/>
                <w:spacing w:val="15"/>
                <w:shd w:val="solid" w:color="000000" w:fill="000000"/>
                <w:fitText w:val="330" w:id="-1167937273"/>
                <w14:textFill>
                  <w14:solidFill>
                    <w14:srgbClr w14:val="000000">
                      <w14:alpha w14:val="100000"/>
                    </w14:srgbClr>
                  </w14:solidFill>
                </w14:textFill>
              </w:rPr>
              <w:t>|</w:t>
            </w:r>
            <w:r w:rsidR="00103AD0">
              <w:t xml:space="preserve"> </w:t>
            </w:r>
            <w:r w:rsidR="00103AD0">
              <w:rPr>
                <w:vertAlign w:val="superscript"/>
              </w:rPr>
              <w:t>1</w:t>
            </w:r>
          </w:p>
        </w:tc>
      </w:tr>
      <w:tr w:rsidR="00277B06" w:rsidRPr="002442C0" w14:paraId="23987005" w14:textId="77777777" w:rsidTr="00103AD0">
        <w:trPr>
          <w:trHeight w:val="2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35C545B3" w14:textId="77777777" w:rsidR="00FC6418" w:rsidRPr="002442C0" w:rsidRDefault="00FC6418" w:rsidP="00103AD0">
            <w:pPr>
              <w:pStyle w:val="TableText0"/>
              <w:rPr>
                <w:sz w:val="18"/>
                <w:szCs w:val="18"/>
              </w:rPr>
            </w:pPr>
            <w:r w:rsidRPr="002442C0">
              <w:rPr>
                <w:sz w:val="18"/>
                <w:szCs w:val="18"/>
              </w:rPr>
              <w:t>Change from baseline</w:t>
            </w:r>
          </w:p>
        </w:tc>
        <w:tc>
          <w:tcPr>
            <w:tcW w:w="703" w:type="pct"/>
            <w:tcBorders>
              <w:top w:val="nil"/>
              <w:left w:val="nil"/>
              <w:bottom w:val="single" w:sz="4" w:space="0" w:color="auto"/>
              <w:right w:val="single" w:sz="4" w:space="0" w:color="auto"/>
            </w:tcBorders>
            <w:shd w:val="clear" w:color="auto" w:fill="auto"/>
            <w:noWrap/>
            <w:hideMark/>
          </w:tcPr>
          <w:p w14:paraId="6C0FAF67" w14:textId="29DABA28" w:rsidR="00FC6418" w:rsidRPr="002442C0" w:rsidRDefault="00FC6418" w:rsidP="00103AD0">
            <w:pPr>
              <w:pStyle w:val="TableText0"/>
              <w:rPr>
                <w:sz w:val="18"/>
                <w:szCs w:val="18"/>
              </w:rPr>
            </w:pPr>
            <w:r w:rsidRPr="002442C0">
              <w:t>18%</w:t>
            </w:r>
          </w:p>
        </w:tc>
        <w:tc>
          <w:tcPr>
            <w:tcW w:w="703" w:type="pct"/>
            <w:tcBorders>
              <w:top w:val="nil"/>
              <w:left w:val="nil"/>
              <w:bottom w:val="single" w:sz="4" w:space="0" w:color="auto"/>
              <w:right w:val="single" w:sz="4" w:space="0" w:color="auto"/>
            </w:tcBorders>
            <w:shd w:val="clear" w:color="auto" w:fill="auto"/>
            <w:noWrap/>
            <w:hideMark/>
          </w:tcPr>
          <w:p w14:paraId="30C8F848" w14:textId="5951245B" w:rsidR="00FC6418" w:rsidRPr="002442C0" w:rsidRDefault="00FC6418" w:rsidP="00103AD0">
            <w:pPr>
              <w:pStyle w:val="TableText0"/>
              <w:rPr>
                <w:sz w:val="18"/>
                <w:szCs w:val="18"/>
              </w:rPr>
            </w:pPr>
            <w:r w:rsidRPr="002442C0">
              <w:t>10%</w:t>
            </w:r>
          </w:p>
        </w:tc>
        <w:tc>
          <w:tcPr>
            <w:tcW w:w="703" w:type="pct"/>
            <w:tcBorders>
              <w:top w:val="nil"/>
              <w:left w:val="nil"/>
              <w:bottom w:val="single" w:sz="4" w:space="0" w:color="auto"/>
              <w:right w:val="single" w:sz="4" w:space="0" w:color="auto"/>
            </w:tcBorders>
            <w:shd w:val="clear" w:color="auto" w:fill="auto"/>
            <w:noWrap/>
            <w:hideMark/>
          </w:tcPr>
          <w:p w14:paraId="28E9B15B" w14:textId="4AC9A7D3" w:rsidR="00FC6418" w:rsidRPr="002442C0" w:rsidRDefault="00FC6418" w:rsidP="00103AD0">
            <w:pPr>
              <w:pStyle w:val="TableText0"/>
              <w:rPr>
                <w:sz w:val="18"/>
                <w:szCs w:val="18"/>
              </w:rPr>
            </w:pPr>
            <w:r w:rsidRPr="002442C0">
              <w:t>11%</w:t>
            </w:r>
          </w:p>
        </w:tc>
        <w:tc>
          <w:tcPr>
            <w:tcW w:w="703" w:type="pct"/>
            <w:tcBorders>
              <w:top w:val="nil"/>
              <w:left w:val="nil"/>
              <w:bottom w:val="single" w:sz="4" w:space="0" w:color="auto"/>
              <w:right w:val="single" w:sz="4" w:space="0" w:color="auto"/>
            </w:tcBorders>
            <w:shd w:val="clear" w:color="auto" w:fill="auto"/>
            <w:noWrap/>
            <w:hideMark/>
          </w:tcPr>
          <w:p w14:paraId="2845C9AD" w14:textId="45716D8D" w:rsidR="00FC6418" w:rsidRPr="002442C0" w:rsidRDefault="00FC6418" w:rsidP="00103AD0">
            <w:pPr>
              <w:pStyle w:val="TableText0"/>
              <w:rPr>
                <w:sz w:val="18"/>
                <w:szCs w:val="18"/>
              </w:rPr>
            </w:pPr>
            <w:r w:rsidRPr="002442C0">
              <w:t>18%</w:t>
            </w:r>
          </w:p>
        </w:tc>
        <w:tc>
          <w:tcPr>
            <w:tcW w:w="703" w:type="pct"/>
            <w:tcBorders>
              <w:top w:val="nil"/>
              <w:left w:val="nil"/>
              <w:bottom w:val="single" w:sz="4" w:space="0" w:color="auto"/>
              <w:right w:val="single" w:sz="4" w:space="0" w:color="auto"/>
            </w:tcBorders>
            <w:shd w:val="clear" w:color="auto" w:fill="auto"/>
            <w:noWrap/>
            <w:hideMark/>
          </w:tcPr>
          <w:p w14:paraId="1856AE9E" w14:textId="15B2D833" w:rsidR="00FC6418" w:rsidRPr="002442C0" w:rsidRDefault="00FC6418" w:rsidP="00103AD0">
            <w:pPr>
              <w:pStyle w:val="TableText0"/>
              <w:rPr>
                <w:sz w:val="18"/>
                <w:szCs w:val="18"/>
              </w:rPr>
            </w:pPr>
            <w:r w:rsidRPr="002442C0">
              <w:t>18%</w:t>
            </w:r>
          </w:p>
        </w:tc>
        <w:tc>
          <w:tcPr>
            <w:tcW w:w="703" w:type="pct"/>
            <w:tcBorders>
              <w:top w:val="nil"/>
              <w:left w:val="nil"/>
              <w:bottom w:val="single" w:sz="4" w:space="0" w:color="auto"/>
              <w:right w:val="single" w:sz="4" w:space="0" w:color="auto"/>
            </w:tcBorders>
            <w:shd w:val="clear" w:color="auto" w:fill="auto"/>
            <w:noWrap/>
            <w:hideMark/>
          </w:tcPr>
          <w:p w14:paraId="5075A2C9" w14:textId="307312E6" w:rsidR="00FC6418" w:rsidRPr="002442C0" w:rsidRDefault="00FC6418" w:rsidP="00103AD0">
            <w:pPr>
              <w:pStyle w:val="TableText0"/>
              <w:rPr>
                <w:sz w:val="18"/>
                <w:szCs w:val="18"/>
              </w:rPr>
            </w:pPr>
            <w:r w:rsidRPr="002442C0">
              <w:t>18%</w:t>
            </w:r>
          </w:p>
        </w:tc>
      </w:tr>
      <w:tr w:rsidR="001D24DB" w:rsidRPr="002442C0" w14:paraId="2D5DFE37" w14:textId="77777777" w:rsidTr="00103AD0">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67275D" w14:textId="754E3E72" w:rsidR="001D24DB" w:rsidRPr="002442C0" w:rsidRDefault="001D24DB" w:rsidP="00103AD0">
            <w:pPr>
              <w:pStyle w:val="TableText0"/>
              <w:rPr>
                <w:b/>
                <w:sz w:val="18"/>
                <w:szCs w:val="18"/>
              </w:rPr>
            </w:pPr>
            <w:r w:rsidRPr="002442C0">
              <w:rPr>
                <w:b/>
                <w:sz w:val="18"/>
                <w:szCs w:val="18"/>
              </w:rPr>
              <w:t>Utilisation of secukinumab Q2W (maintenance)</w:t>
            </w:r>
            <w:r w:rsidR="003325C2" w:rsidRPr="002442C0">
              <w:rPr>
                <w:b/>
                <w:sz w:val="18"/>
                <w:szCs w:val="18"/>
              </w:rPr>
              <w:t xml:space="preserve"> (base case 0% → 10%)</w:t>
            </w:r>
          </w:p>
        </w:tc>
      </w:tr>
      <w:tr w:rsidR="00277B06" w:rsidRPr="002442C0" w14:paraId="5A564822" w14:textId="77777777" w:rsidTr="00103AD0">
        <w:trPr>
          <w:trHeight w:val="2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09EE5F3F" w14:textId="77777777" w:rsidR="002D422D" w:rsidRPr="002442C0" w:rsidRDefault="002D422D" w:rsidP="00103AD0">
            <w:pPr>
              <w:pStyle w:val="TableText0"/>
              <w:rPr>
                <w:sz w:val="18"/>
                <w:szCs w:val="18"/>
              </w:rPr>
            </w:pPr>
            <w:r w:rsidRPr="002442C0">
              <w:rPr>
                <w:sz w:val="18"/>
                <w:szCs w:val="18"/>
              </w:rPr>
              <w:t>Net cost to PBS/RPBS</w:t>
            </w:r>
          </w:p>
        </w:tc>
        <w:tc>
          <w:tcPr>
            <w:tcW w:w="703" w:type="pct"/>
            <w:tcBorders>
              <w:top w:val="nil"/>
              <w:left w:val="nil"/>
              <w:bottom w:val="single" w:sz="4" w:space="0" w:color="auto"/>
              <w:right w:val="single" w:sz="4" w:space="0" w:color="auto"/>
            </w:tcBorders>
            <w:shd w:val="clear" w:color="auto" w:fill="auto"/>
            <w:noWrap/>
            <w:hideMark/>
          </w:tcPr>
          <w:p w14:paraId="18C8B082" w14:textId="402A403E" w:rsidR="002D422D" w:rsidRPr="00103AD0" w:rsidRDefault="000A591F" w:rsidP="00103AD0">
            <w:pPr>
              <w:pStyle w:val="TableText0"/>
              <w:rPr>
                <w:sz w:val="18"/>
                <w:szCs w:val="18"/>
                <w:highlight w:val="darkGray"/>
              </w:rPr>
            </w:pPr>
            <w:r w:rsidRPr="000A591F">
              <w:rPr>
                <w:color w:val="000000"/>
                <w:spacing w:val="45"/>
                <w:shd w:val="solid" w:color="000000" w:fill="000000"/>
                <w:fitText w:val="330" w:id="-1167937272"/>
                <w14:textFill>
                  <w14:solidFill>
                    <w14:srgbClr w14:val="000000">
                      <w14:alpha w14:val="100000"/>
                    </w14:srgbClr>
                  </w14:solidFill>
                </w14:textFill>
              </w:rPr>
              <w:t>|||</w:t>
            </w:r>
            <w:r w:rsidRPr="000A591F">
              <w:rPr>
                <w:color w:val="000000"/>
                <w:spacing w:val="15"/>
                <w:shd w:val="solid" w:color="000000" w:fill="000000"/>
                <w:fitText w:val="330" w:id="-1167937272"/>
                <w14:textFill>
                  <w14:solidFill>
                    <w14:srgbClr w14:val="000000">
                      <w14:alpha w14:val="100000"/>
                    </w14:srgbClr>
                  </w14:solidFill>
                </w14:textFill>
              </w:rPr>
              <w:t>|</w:t>
            </w:r>
            <w:r w:rsidR="00103AD0" w:rsidRPr="00103AD0">
              <w:t xml:space="preserve"> </w:t>
            </w:r>
            <w:r w:rsidR="00103AD0" w:rsidRP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66281CAD" w14:textId="35784E31" w:rsidR="002D422D" w:rsidRPr="002442C0" w:rsidRDefault="000A591F" w:rsidP="00103AD0">
            <w:pPr>
              <w:pStyle w:val="TableText0"/>
              <w:rPr>
                <w:sz w:val="18"/>
                <w:szCs w:val="18"/>
              </w:rPr>
            </w:pPr>
            <w:r w:rsidRPr="000A591F">
              <w:rPr>
                <w:color w:val="000000"/>
                <w:spacing w:val="45"/>
                <w:shd w:val="solid" w:color="000000" w:fill="000000"/>
                <w:fitText w:val="330" w:id="-1167937271"/>
                <w14:textFill>
                  <w14:solidFill>
                    <w14:srgbClr w14:val="000000">
                      <w14:alpha w14:val="100000"/>
                    </w14:srgbClr>
                  </w14:solidFill>
                </w14:textFill>
              </w:rPr>
              <w:t>|||</w:t>
            </w:r>
            <w:r w:rsidRPr="000A591F">
              <w:rPr>
                <w:color w:val="000000"/>
                <w:spacing w:val="15"/>
                <w:shd w:val="solid" w:color="000000" w:fill="000000"/>
                <w:fitText w:val="330" w:id="-1167937271"/>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2BE1148E" w14:textId="225945A1" w:rsidR="002D422D" w:rsidRPr="002442C0" w:rsidRDefault="000A591F" w:rsidP="00103AD0">
            <w:pPr>
              <w:pStyle w:val="TableText0"/>
              <w:rPr>
                <w:sz w:val="18"/>
                <w:szCs w:val="18"/>
              </w:rPr>
            </w:pPr>
            <w:r w:rsidRPr="000A591F">
              <w:rPr>
                <w:color w:val="000000"/>
                <w:spacing w:val="45"/>
                <w:shd w:val="solid" w:color="000000" w:fill="000000"/>
                <w:fitText w:val="330" w:id="-1167937270"/>
                <w14:textFill>
                  <w14:solidFill>
                    <w14:srgbClr w14:val="000000">
                      <w14:alpha w14:val="100000"/>
                    </w14:srgbClr>
                  </w14:solidFill>
                </w14:textFill>
              </w:rPr>
              <w:t>|||</w:t>
            </w:r>
            <w:r w:rsidRPr="000A591F">
              <w:rPr>
                <w:color w:val="000000"/>
                <w:spacing w:val="15"/>
                <w:shd w:val="solid" w:color="000000" w:fill="000000"/>
                <w:fitText w:val="330" w:id="-1167937270"/>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74DE6127" w14:textId="4CC53D45" w:rsidR="002D422D" w:rsidRPr="002442C0" w:rsidRDefault="000A591F" w:rsidP="00103AD0">
            <w:pPr>
              <w:pStyle w:val="TableText0"/>
              <w:rPr>
                <w:sz w:val="18"/>
                <w:szCs w:val="18"/>
              </w:rPr>
            </w:pPr>
            <w:r w:rsidRPr="000A591F">
              <w:rPr>
                <w:color w:val="000000"/>
                <w:spacing w:val="45"/>
                <w:shd w:val="solid" w:color="000000" w:fill="000000"/>
                <w:fitText w:val="330" w:id="-1167937269"/>
                <w14:textFill>
                  <w14:solidFill>
                    <w14:srgbClr w14:val="000000">
                      <w14:alpha w14:val="100000"/>
                    </w14:srgbClr>
                  </w14:solidFill>
                </w14:textFill>
              </w:rPr>
              <w:t>|||</w:t>
            </w:r>
            <w:r w:rsidRPr="000A591F">
              <w:rPr>
                <w:color w:val="000000"/>
                <w:spacing w:val="15"/>
                <w:shd w:val="solid" w:color="000000" w:fill="000000"/>
                <w:fitText w:val="330" w:id="-1167937269"/>
                <w14:textFill>
                  <w14:solidFill>
                    <w14:srgbClr w14:val="000000">
                      <w14:alpha w14:val="100000"/>
                    </w14:srgbClr>
                  </w14:solidFill>
                </w14:textFill>
              </w:rPr>
              <w:t>|</w:t>
            </w:r>
            <w:r w:rsidR="00103AD0">
              <w:t xml:space="preserve"> </w:t>
            </w:r>
            <w:r w:rsid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1241FFA5" w14:textId="681453CF" w:rsidR="002D422D" w:rsidRPr="00103AD0" w:rsidRDefault="000A591F" w:rsidP="00103AD0">
            <w:pPr>
              <w:pStyle w:val="TableText0"/>
              <w:rPr>
                <w:sz w:val="18"/>
                <w:szCs w:val="18"/>
                <w:highlight w:val="darkGray"/>
              </w:rPr>
            </w:pPr>
            <w:r w:rsidRPr="000A591F">
              <w:rPr>
                <w:color w:val="000000"/>
                <w:spacing w:val="45"/>
                <w:shd w:val="solid" w:color="000000" w:fill="000000"/>
                <w:fitText w:val="330" w:id="-1167937268"/>
                <w14:textFill>
                  <w14:solidFill>
                    <w14:srgbClr w14:val="000000">
                      <w14:alpha w14:val="100000"/>
                    </w14:srgbClr>
                  </w14:solidFill>
                </w14:textFill>
              </w:rPr>
              <w:t>|||</w:t>
            </w:r>
            <w:r w:rsidRPr="000A591F">
              <w:rPr>
                <w:color w:val="000000"/>
                <w:spacing w:val="15"/>
                <w:shd w:val="solid" w:color="000000" w:fill="000000"/>
                <w:fitText w:val="330" w:id="-1167937268"/>
                <w14:textFill>
                  <w14:solidFill>
                    <w14:srgbClr w14:val="000000">
                      <w14:alpha w14:val="100000"/>
                    </w14:srgbClr>
                  </w14:solidFill>
                </w14:textFill>
              </w:rPr>
              <w:t>|</w:t>
            </w:r>
            <w:r w:rsidR="00103AD0" w:rsidRPr="00103AD0">
              <w:t xml:space="preserve"> </w:t>
            </w:r>
            <w:r w:rsidR="00103AD0" w:rsidRPr="00103AD0">
              <w:rPr>
                <w:vertAlign w:val="superscript"/>
              </w:rPr>
              <w:t>1</w:t>
            </w:r>
          </w:p>
        </w:tc>
        <w:tc>
          <w:tcPr>
            <w:tcW w:w="703" w:type="pct"/>
            <w:tcBorders>
              <w:top w:val="nil"/>
              <w:left w:val="nil"/>
              <w:bottom w:val="single" w:sz="4" w:space="0" w:color="auto"/>
              <w:right w:val="single" w:sz="4" w:space="0" w:color="auto"/>
            </w:tcBorders>
            <w:shd w:val="clear" w:color="auto" w:fill="auto"/>
            <w:noWrap/>
            <w:hideMark/>
          </w:tcPr>
          <w:p w14:paraId="08F914C4" w14:textId="58767CF0" w:rsidR="002D422D" w:rsidRPr="00103AD0" w:rsidRDefault="000A591F" w:rsidP="00103AD0">
            <w:pPr>
              <w:pStyle w:val="TableText0"/>
              <w:rPr>
                <w:sz w:val="18"/>
                <w:szCs w:val="18"/>
                <w:highlight w:val="darkGray"/>
              </w:rPr>
            </w:pPr>
            <w:r w:rsidRPr="000A591F">
              <w:rPr>
                <w:color w:val="000000"/>
                <w:spacing w:val="45"/>
                <w:shd w:val="solid" w:color="000000" w:fill="000000"/>
                <w:fitText w:val="330" w:id="-1167937267"/>
                <w14:textFill>
                  <w14:solidFill>
                    <w14:srgbClr w14:val="000000">
                      <w14:alpha w14:val="100000"/>
                    </w14:srgbClr>
                  </w14:solidFill>
                </w14:textFill>
              </w:rPr>
              <w:t>|||</w:t>
            </w:r>
            <w:r w:rsidRPr="000A591F">
              <w:rPr>
                <w:color w:val="000000"/>
                <w:spacing w:val="15"/>
                <w:shd w:val="solid" w:color="000000" w:fill="000000"/>
                <w:fitText w:val="330" w:id="-1167937267"/>
                <w14:textFill>
                  <w14:solidFill>
                    <w14:srgbClr w14:val="000000">
                      <w14:alpha w14:val="100000"/>
                    </w14:srgbClr>
                  </w14:solidFill>
                </w14:textFill>
              </w:rPr>
              <w:t>|</w:t>
            </w:r>
            <w:r w:rsidR="00103AD0" w:rsidRPr="00103AD0">
              <w:t xml:space="preserve"> </w:t>
            </w:r>
            <w:r w:rsidR="00103AD0" w:rsidRPr="00103AD0">
              <w:rPr>
                <w:vertAlign w:val="superscript"/>
              </w:rPr>
              <w:t>1</w:t>
            </w:r>
          </w:p>
        </w:tc>
      </w:tr>
      <w:tr w:rsidR="00277B06" w:rsidRPr="002442C0" w14:paraId="6920347E" w14:textId="77777777" w:rsidTr="00103AD0">
        <w:trPr>
          <w:trHeight w:val="2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154A6D8C" w14:textId="77777777" w:rsidR="006D0CDA" w:rsidRPr="002442C0" w:rsidRDefault="006D0CDA" w:rsidP="00103AD0">
            <w:pPr>
              <w:pStyle w:val="TableText0"/>
              <w:rPr>
                <w:sz w:val="18"/>
                <w:szCs w:val="18"/>
              </w:rPr>
            </w:pPr>
            <w:r w:rsidRPr="002442C0">
              <w:rPr>
                <w:sz w:val="18"/>
                <w:szCs w:val="18"/>
              </w:rPr>
              <w:t>Change from baseline</w:t>
            </w:r>
          </w:p>
        </w:tc>
        <w:tc>
          <w:tcPr>
            <w:tcW w:w="703" w:type="pct"/>
            <w:tcBorders>
              <w:top w:val="nil"/>
              <w:left w:val="nil"/>
              <w:bottom w:val="single" w:sz="4" w:space="0" w:color="auto"/>
              <w:right w:val="single" w:sz="4" w:space="0" w:color="auto"/>
            </w:tcBorders>
            <w:shd w:val="clear" w:color="auto" w:fill="auto"/>
            <w:noWrap/>
            <w:hideMark/>
          </w:tcPr>
          <w:p w14:paraId="63595173" w14:textId="6CD45650" w:rsidR="006D0CDA" w:rsidRPr="002442C0" w:rsidRDefault="006D0CDA" w:rsidP="00103AD0">
            <w:pPr>
              <w:pStyle w:val="TableText0"/>
              <w:rPr>
                <w:sz w:val="18"/>
                <w:szCs w:val="18"/>
              </w:rPr>
            </w:pPr>
            <w:r w:rsidRPr="002442C0">
              <w:t>34%</w:t>
            </w:r>
          </w:p>
        </w:tc>
        <w:tc>
          <w:tcPr>
            <w:tcW w:w="703" w:type="pct"/>
            <w:tcBorders>
              <w:top w:val="nil"/>
              <w:left w:val="nil"/>
              <w:bottom w:val="single" w:sz="4" w:space="0" w:color="auto"/>
              <w:right w:val="single" w:sz="4" w:space="0" w:color="auto"/>
            </w:tcBorders>
            <w:shd w:val="clear" w:color="auto" w:fill="auto"/>
            <w:noWrap/>
            <w:hideMark/>
          </w:tcPr>
          <w:p w14:paraId="74968E74" w14:textId="29001C8C" w:rsidR="006D0CDA" w:rsidRPr="002442C0" w:rsidRDefault="006D0CDA" w:rsidP="00103AD0">
            <w:pPr>
              <w:pStyle w:val="TableText0"/>
              <w:rPr>
                <w:sz w:val="18"/>
                <w:szCs w:val="18"/>
              </w:rPr>
            </w:pPr>
            <w:r w:rsidRPr="002442C0">
              <w:t>74%</w:t>
            </w:r>
          </w:p>
        </w:tc>
        <w:tc>
          <w:tcPr>
            <w:tcW w:w="703" w:type="pct"/>
            <w:tcBorders>
              <w:top w:val="nil"/>
              <w:left w:val="nil"/>
              <w:bottom w:val="single" w:sz="4" w:space="0" w:color="auto"/>
              <w:right w:val="single" w:sz="4" w:space="0" w:color="auto"/>
            </w:tcBorders>
            <w:shd w:val="clear" w:color="auto" w:fill="auto"/>
            <w:noWrap/>
            <w:hideMark/>
          </w:tcPr>
          <w:p w14:paraId="4EE3E4A3" w14:textId="0453E67A" w:rsidR="006D0CDA" w:rsidRPr="002442C0" w:rsidRDefault="006D0CDA" w:rsidP="00103AD0">
            <w:pPr>
              <w:pStyle w:val="TableText0"/>
              <w:rPr>
                <w:sz w:val="18"/>
                <w:szCs w:val="18"/>
              </w:rPr>
            </w:pPr>
            <w:r w:rsidRPr="002442C0">
              <w:t>114%</w:t>
            </w:r>
          </w:p>
        </w:tc>
        <w:tc>
          <w:tcPr>
            <w:tcW w:w="703" w:type="pct"/>
            <w:tcBorders>
              <w:top w:val="nil"/>
              <w:left w:val="nil"/>
              <w:bottom w:val="single" w:sz="4" w:space="0" w:color="auto"/>
              <w:right w:val="single" w:sz="4" w:space="0" w:color="auto"/>
            </w:tcBorders>
            <w:shd w:val="clear" w:color="auto" w:fill="auto"/>
            <w:noWrap/>
            <w:hideMark/>
          </w:tcPr>
          <w:p w14:paraId="17C71BA8" w14:textId="21BD91F7" w:rsidR="006D0CDA" w:rsidRPr="002442C0" w:rsidRDefault="006D0CDA" w:rsidP="00103AD0">
            <w:pPr>
              <w:pStyle w:val="TableText0"/>
              <w:rPr>
                <w:sz w:val="18"/>
                <w:szCs w:val="18"/>
              </w:rPr>
            </w:pPr>
            <w:r w:rsidRPr="002442C0">
              <w:t>97%</w:t>
            </w:r>
          </w:p>
        </w:tc>
        <w:tc>
          <w:tcPr>
            <w:tcW w:w="703" w:type="pct"/>
            <w:tcBorders>
              <w:top w:val="nil"/>
              <w:left w:val="nil"/>
              <w:bottom w:val="single" w:sz="4" w:space="0" w:color="auto"/>
              <w:right w:val="single" w:sz="4" w:space="0" w:color="auto"/>
            </w:tcBorders>
            <w:shd w:val="clear" w:color="auto" w:fill="auto"/>
            <w:noWrap/>
            <w:hideMark/>
          </w:tcPr>
          <w:p w14:paraId="4C7CB8B9" w14:textId="00957AB0" w:rsidR="006D0CDA" w:rsidRPr="002442C0" w:rsidRDefault="006D0CDA" w:rsidP="00103AD0">
            <w:pPr>
              <w:pStyle w:val="TableText0"/>
              <w:rPr>
                <w:sz w:val="18"/>
                <w:szCs w:val="18"/>
              </w:rPr>
            </w:pPr>
            <w:r w:rsidRPr="002442C0">
              <w:t>97%</w:t>
            </w:r>
          </w:p>
        </w:tc>
        <w:tc>
          <w:tcPr>
            <w:tcW w:w="703" w:type="pct"/>
            <w:tcBorders>
              <w:top w:val="nil"/>
              <w:left w:val="nil"/>
              <w:bottom w:val="single" w:sz="4" w:space="0" w:color="auto"/>
              <w:right w:val="single" w:sz="4" w:space="0" w:color="auto"/>
            </w:tcBorders>
            <w:shd w:val="clear" w:color="auto" w:fill="auto"/>
            <w:noWrap/>
            <w:hideMark/>
          </w:tcPr>
          <w:p w14:paraId="67C76FFD" w14:textId="01907022" w:rsidR="006D0CDA" w:rsidRPr="002442C0" w:rsidRDefault="006D0CDA" w:rsidP="00103AD0">
            <w:pPr>
              <w:pStyle w:val="TableText0"/>
              <w:rPr>
                <w:sz w:val="18"/>
                <w:szCs w:val="18"/>
              </w:rPr>
            </w:pPr>
            <w:r w:rsidRPr="002442C0">
              <w:t>97%</w:t>
            </w:r>
          </w:p>
        </w:tc>
      </w:tr>
    </w:tbl>
    <w:p w14:paraId="138AC215" w14:textId="77777777" w:rsidR="001D24DB" w:rsidRDefault="001D24DB" w:rsidP="001D24DB">
      <w:pPr>
        <w:pStyle w:val="FooterTableFigure"/>
      </w:pPr>
      <w:r>
        <w:t xml:space="preserve">Source: Produced during the evaluation using the updated adalimumab AEMP April 2023. </w:t>
      </w:r>
    </w:p>
    <w:p w14:paraId="4D446037" w14:textId="77777777" w:rsidR="001D24DB" w:rsidRDefault="001D24DB" w:rsidP="00103AD0">
      <w:pPr>
        <w:pStyle w:val="FooterTableFigure"/>
        <w:spacing w:after="0"/>
      </w:pPr>
      <w:r>
        <w:t>PBS = Pharmaceutical Benefits Scheme; Q2W = once every 2 weeks; RPBS = Repatriated Pharmaceutical Benefits Scheme.</w:t>
      </w:r>
    </w:p>
    <w:p w14:paraId="51924A48" w14:textId="77777777" w:rsidR="00103AD0" w:rsidRPr="00103AD0" w:rsidRDefault="00103AD0" w:rsidP="00103AD0">
      <w:pPr>
        <w:rPr>
          <w:rFonts w:ascii="Arial Narrow" w:hAnsi="Arial Narrow"/>
          <w:i/>
          <w:sz w:val="18"/>
          <w:szCs w:val="18"/>
        </w:rPr>
      </w:pPr>
      <w:r w:rsidRPr="00103AD0">
        <w:rPr>
          <w:rFonts w:ascii="Arial Narrow" w:hAnsi="Arial Narrow"/>
          <w:i/>
          <w:sz w:val="18"/>
          <w:szCs w:val="18"/>
        </w:rPr>
        <w:t xml:space="preserve">The redacted values correspond to the following ranges: </w:t>
      </w:r>
    </w:p>
    <w:p w14:paraId="74387DC0" w14:textId="3528D735" w:rsidR="00103AD0" w:rsidRPr="00103AD0" w:rsidRDefault="00103AD0" w:rsidP="00103AD0">
      <w:pPr>
        <w:spacing w:after="120"/>
        <w:rPr>
          <w:rFonts w:ascii="Arial Narrow" w:hAnsi="Arial Narrow"/>
          <w:i/>
          <w:sz w:val="18"/>
          <w:szCs w:val="18"/>
        </w:rPr>
      </w:pPr>
      <w:r w:rsidRPr="00103AD0">
        <w:rPr>
          <w:rFonts w:ascii="Arial Narrow" w:hAnsi="Arial Narrow"/>
          <w:i/>
          <w:sz w:val="18"/>
          <w:szCs w:val="18"/>
          <w:vertAlign w:val="superscript"/>
        </w:rPr>
        <w:t>1</w:t>
      </w:r>
      <w:r w:rsidRPr="00103AD0">
        <w:rPr>
          <w:rFonts w:ascii="Arial Narrow" w:hAnsi="Arial Narrow"/>
          <w:i/>
          <w:sz w:val="18"/>
          <w:szCs w:val="18"/>
        </w:rPr>
        <w:t xml:space="preserve"> $0 to &lt; $10 million</w:t>
      </w:r>
    </w:p>
    <w:p w14:paraId="10F038E8" w14:textId="32B38059" w:rsidR="00F21D8C" w:rsidRDefault="00F21D8C" w:rsidP="007E1C14">
      <w:pPr>
        <w:pStyle w:val="3-BodyText"/>
      </w:pPr>
      <w:r w:rsidRPr="002442C0">
        <w:t>The utilisation and financial estimates are highly sensitive to the number of patients who use secukinumab as a second line therapy (</w:t>
      </w:r>
      <w:proofErr w:type="gramStart"/>
      <w:r w:rsidRPr="002442C0">
        <w:t>i.e.</w:t>
      </w:r>
      <w:proofErr w:type="gramEnd"/>
      <w:r w:rsidRPr="002442C0">
        <w:t xml:space="preserve"> subsequent to adalimumab), as all use in this line of therapy represents an incremental cost. </w:t>
      </w:r>
    </w:p>
    <w:p w14:paraId="16F847AA" w14:textId="1D31B734" w:rsidR="00F21D8C" w:rsidDel="00FB7B76" w:rsidRDefault="002259BC" w:rsidP="001D24DB">
      <w:pPr>
        <w:pStyle w:val="3-BodyText"/>
      </w:pPr>
      <w:r w:rsidRPr="00A304A7">
        <w:t>The ESC considered the assumption that only 10% of patients would likely escalate to a Q2W dose represented an underestimate and was of this view this was likely to be much higher in practice. The ESC considered the submission underestimated the proportion of patients who failed adalimumab and subsequently moved to secukinumab</w:t>
      </w:r>
      <w:r w:rsidR="004E657B" w:rsidRPr="00A304A7">
        <w:t xml:space="preserve"> (equivalent to an adalimumab failure rate of 1% in Year 1 to 7% of total scripts in Year 6)</w:t>
      </w:r>
      <w:r w:rsidRPr="00A304A7">
        <w:t>.</w:t>
      </w:r>
    </w:p>
    <w:p w14:paraId="77273852" w14:textId="1FA3BABE" w:rsidR="00163A6B" w:rsidRPr="00163A6B" w:rsidRDefault="00576972" w:rsidP="00163A6B">
      <w:pPr>
        <w:pStyle w:val="4-SubsectionHeading"/>
        <w:rPr>
          <w:rFonts w:eastAsia="Times New Roman" w:cs="Arial"/>
          <w:b w:val="0"/>
          <w:i w:val="0"/>
          <w:snapToGrid w:val="0"/>
          <w:color w:val="0066FF"/>
          <w:spacing w:val="0"/>
          <w:kern w:val="0"/>
          <w:sz w:val="24"/>
          <w:szCs w:val="24"/>
        </w:rPr>
      </w:pPr>
      <w:bookmarkStart w:id="48" w:name="_Toc22897649"/>
      <w:bookmarkStart w:id="49" w:name="_Toc135036642"/>
      <w:r w:rsidRPr="00C9624D">
        <w:t>Financial Management – Risk Sharing Arrangements</w:t>
      </w:r>
      <w:bookmarkEnd w:id="48"/>
      <w:bookmarkEnd w:id="49"/>
    </w:p>
    <w:p w14:paraId="79DB85C1" w14:textId="16E840AC" w:rsidR="002442C0" w:rsidRPr="00A304A7" w:rsidRDefault="00163A6B" w:rsidP="007E1C14">
      <w:pPr>
        <w:pStyle w:val="3-BodyText"/>
        <w:rPr>
          <w:color w:val="0066FF"/>
        </w:rPr>
      </w:pPr>
      <w:r w:rsidRPr="00163A6B">
        <w:t xml:space="preserve">The submission expects that secukinumab will be required to enter the same Risk Sharing Arrangement (RSA) as </w:t>
      </w:r>
      <w:r w:rsidR="005762D0">
        <w:t>adalimumab</w:t>
      </w:r>
      <w:r w:rsidRPr="00163A6B">
        <w:t xml:space="preserve"> for HS. Additionally, the submission requested an increase in the current RSA cap to capture the additional use of secukinumab due to patients who are inadequately managed with </w:t>
      </w:r>
      <w:r w:rsidR="005762D0">
        <w:t>adalimumab</w:t>
      </w:r>
      <w:r w:rsidRPr="00163A6B">
        <w:t xml:space="preserve"> (</w:t>
      </w:r>
      <w:r w:rsidR="005762D0">
        <w:t>adalimumab</w:t>
      </w:r>
      <w:r w:rsidRPr="00163A6B">
        <w:t xml:space="preserve"> failure group). The</w:t>
      </w:r>
      <w:r w:rsidR="008276D6">
        <w:t xml:space="preserve"> </w:t>
      </w:r>
      <w:r w:rsidR="008276D6" w:rsidRPr="00375EB6">
        <w:t>submission stated the</w:t>
      </w:r>
      <w:r w:rsidRPr="00163A6B">
        <w:t xml:space="preserve"> request is supported on the basis that under the proposed pricing, secukinumab would be at least as cost-effective as </w:t>
      </w:r>
      <w:r w:rsidR="005762D0">
        <w:t>adalimumab</w:t>
      </w:r>
      <w:r w:rsidRPr="00163A6B">
        <w:t xml:space="preserve"> (and more cost-effective for these patients who have no other viable treatment options). </w:t>
      </w:r>
    </w:p>
    <w:p w14:paraId="49EA65EB" w14:textId="2DD62F39" w:rsidR="00A304A7" w:rsidRDefault="00A304A7" w:rsidP="00AE1635">
      <w:pPr>
        <w:ind w:firstLine="709"/>
      </w:pPr>
      <w:r w:rsidRPr="00C33D30">
        <w:rPr>
          <w:rFonts w:asciiTheme="minorHAnsi" w:hAnsiTheme="minorHAnsi"/>
          <w:i/>
        </w:rPr>
        <w:lastRenderedPageBreak/>
        <w:t>For more detail on PBAC’s view, see section 7 PBAC outcome.</w:t>
      </w:r>
    </w:p>
    <w:p w14:paraId="3790EB7A" w14:textId="77777777" w:rsidR="00A304A7" w:rsidRPr="0090150D" w:rsidRDefault="00A304A7" w:rsidP="003D1CBD">
      <w:pPr>
        <w:pStyle w:val="2-SectionHeading"/>
      </w:pPr>
      <w:bookmarkStart w:id="50" w:name="_Hlk76381249"/>
      <w:bookmarkStart w:id="51" w:name="_Hlk76377955"/>
      <w:bookmarkStart w:id="52" w:name="_Hlk138321418"/>
      <w:r w:rsidRPr="0090150D">
        <w:t>PBAC Outcome</w:t>
      </w:r>
    </w:p>
    <w:p w14:paraId="6577C503" w14:textId="0CDE67E4" w:rsidR="00F20207" w:rsidRDefault="00A304A7" w:rsidP="003D1CBD">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 did not recommen</w:t>
      </w:r>
      <w:r w:rsidR="00532D23">
        <w:rPr>
          <w:rFonts w:asciiTheme="minorHAnsi" w:hAnsiTheme="minorHAnsi"/>
          <w:snapToGrid w:val="0"/>
          <w:lang w:val="en-GB"/>
        </w:rPr>
        <w:t>d the General Schedule, Authority Required listing of secukinumab (SEC) for the treatment of moderate to severe hidradenitis suppurativa (HS). The Committee considered there was a high clinical need for additional therapies for the treatment of HS</w:t>
      </w:r>
      <w:r w:rsidR="00BB544E">
        <w:rPr>
          <w:rFonts w:asciiTheme="minorHAnsi" w:hAnsiTheme="minorHAnsi"/>
          <w:snapToGrid w:val="0"/>
          <w:lang w:val="en-GB"/>
        </w:rPr>
        <w:t xml:space="preserve">. </w:t>
      </w:r>
      <w:r w:rsidR="00D12A2B" w:rsidRPr="00D12A2B">
        <w:rPr>
          <w:rFonts w:asciiTheme="minorHAnsi" w:hAnsiTheme="minorHAnsi"/>
          <w:snapToGrid w:val="0"/>
          <w:lang w:val="en-GB"/>
        </w:rPr>
        <w:t xml:space="preserve">The PBAC considered </w:t>
      </w:r>
      <w:r w:rsidR="00CD0DB7">
        <w:rPr>
          <w:rFonts w:asciiTheme="minorHAnsi" w:hAnsiTheme="minorHAnsi"/>
          <w:snapToGrid w:val="0"/>
          <w:lang w:val="en-GB"/>
        </w:rPr>
        <w:t>SEC provide</w:t>
      </w:r>
      <w:r w:rsidR="003331CD">
        <w:rPr>
          <w:rFonts w:asciiTheme="minorHAnsi" w:hAnsiTheme="minorHAnsi"/>
          <w:snapToGrid w:val="0"/>
          <w:lang w:val="en-GB"/>
        </w:rPr>
        <w:t>s</w:t>
      </w:r>
      <w:r w:rsidR="00CD0DB7">
        <w:rPr>
          <w:rFonts w:asciiTheme="minorHAnsi" w:hAnsiTheme="minorHAnsi"/>
          <w:snapToGrid w:val="0"/>
          <w:lang w:val="en-GB"/>
        </w:rPr>
        <w:t xml:space="preserve"> a modest benefit compared to placebo but the claim </w:t>
      </w:r>
      <w:r w:rsidR="00CD0DB7" w:rsidRPr="00CD0DB7">
        <w:rPr>
          <w:rFonts w:asciiTheme="minorHAnsi" w:hAnsiTheme="minorHAnsi"/>
          <w:snapToGrid w:val="0"/>
          <w:lang w:val="en-GB"/>
        </w:rPr>
        <w:t xml:space="preserve">that SEC was non-inferior to </w:t>
      </w:r>
      <w:r w:rsidR="00576EED">
        <w:rPr>
          <w:rFonts w:asciiTheme="minorHAnsi" w:hAnsiTheme="minorHAnsi"/>
          <w:snapToGrid w:val="0"/>
          <w:lang w:val="en-GB"/>
        </w:rPr>
        <w:t>adalimumab (</w:t>
      </w:r>
      <w:r w:rsidR="00CD0DB7" w:rsidRPr="00CD0DB7">
        <w:rPr>
          <w:rFonts w:asciiTheme="minorHAnsi" w:hAnsiTheme="minorHAnsi"/>
          <w:snapToGrid w:val="0"/>
          <w:lang w:val="en-GB"/>
        </w:rPr>
        <w:t>ADA</w:t>
      </w:r>
      <w:r w:rsidR="00576EED">
        <w:rPr>
          <w:rFonts w:asciiTheme="minorHAnsi" w:hAnsiTheme="minorHAnsi"/>
          <w:snapToGrid w:val="0"/>
          <w:lang w:val="en-GB"/>
        </w:rPr>
        <w:t>)</w:t>
      </w:r>
      <w:r w:rsidR="00CD0DB7" w:rsidRPr="00CD0DB7">
        <w:rPr>
          <w:rFonts w:asciiTheme="minorHAnsi" w:hAnsiTheme="minorHAnsi"/>
          <w:snapToGrid w:val="0"/>
          <w:lang w:val="en-GB"/>
        </w:rPr>
        <w:t xml:space="preserve"> in terms of effectiveness was uncertain. The PBAC considered the extent of uncertainty regarding the </w:t>
      </w:r>
      <w:r w:rsidR="002E4480">
        <w:rPr>
          <w:rFonts w:asciiTheme="minorHAnsi" w:hAnsiTheme="minorHAnsi"/>
          <w:snapToGrid w:val="0"/>
          <w:lang w:val="en-GB"/>
        </w:rPr>
        <w:t>effectiveness</w:t>
      </w:r>
      <w:r w:rsidR="002E4480" w:rsidRPr="00CD0DB7">
        <w:rPr>
          <w:rFonts w:asciiTheme="minorHAnsi" w:hAnsiTheme="minorHAnsi"/>
          <w:snapToGrid w:val="0"/>
          <w:lang w:val="en-GB"/>
        </w:rPr>
        <w:t xml:space="preserve"> </w:t>
      </w:r>
      <w:r w:rsidR="00CD0DB7" w:rsidRPr="00CD0DB7">
        <w:rPr>
          <w:rFonts w:asciiTheme="minorHAnsi" w:hAnsiTheme="minorHAnsi"/>
          <w:snapToGrid w:val="0"/>
          <w:lang w:val="en-GB"/>
        </w:rPr>
        <w:t xml:space="preserve">claim may be acceptable in the context of the high clinical need if there </w:t>
      </w:r>
      <w:r w:rsidR="004F4EC2">
        <w:rPr>
          <w:rFonts w:asciiTheme="minorHAnsi" w:hAnsiTheme="minorHAnsi"/>
          <w:snapToGrid w:val="0"/>
          <w:lang w:val="en-GB"/>
        </w:rPr>
        <w:t>was additional certainty regarding the cost minimised price for SEC and the net PBS/RPBS cost</w:t>
      </w:r>
      <w:r w:rsidR="00CD0DB7">
        <w:rPr>
          <w:rFonts w:asciiTheme="minorHAnsi" w:hAnsiTheme="minorHAnsi"/>
          <w:snapToGrid w:val="0"/>
          <w:lang w:val="en-GB"/>
        </w:rPr>
        <w:t xml:space="preserve">. </w:t>
      </w:r>
    </w:p>
    <w:p w14:paraId="5CCD9EEB" w14:textId="6C57EF9E" w:rsidR="00F20207" w:rsidRPr="00361D29" w:rsidRDefault="00F20207" w:rsidP="003D1CBD">
      <w:pPr>
        <w:widowControl w:val="0"/>
        <w:numPr>
          <w:ilvl w:val="1"/>
          <w:numId w:val="1"/>
        </w:numPr>
        <w:spacing w:after="120"/>
        <w:rPr>
          <w:rFonts w:asciiTheme="minorHAnsi" w:hAnsiTheme="minorHAnsi"/>
          <w:snapToGrid w:val="0"/>
          <w:lang w:val="en-GB"/>
        </w:rPr>
      </w:pPr>
      <w:r w:rsidRPr="00361D29">
        <w:rPr>
          <w:rFonts w:asciiTheme="minorHAnsi" w:hAnsiTheme="minorHAnsi"/>
          <w:snapToGrid w:val="0"/>
          <w:lang w:val="en-GB"/>
        </w:rPr>
        <w:t xml:space="preserve">The primary reason for this outcome was due to the </w:t>
      </w:r>
      <w:r w:rsidR="00E667F1">
        <w:rPr>
          <w:rFonts w:asciiTheme="minorHAnsi" w:hAnsiTheme="minorHAnsi"/>
          <w:snapToGrid w:val="0"/>
          <w:lang w:val="en-GB"/>
        </w:rPr>
        <w:t>economic evaluation</w:t>
      </w:r>
      <w:r w:rsidR="00375EB6">
        <w:rPr>
          <w:rFonts w:asciiTheme="minorHAnsi" w:hAnsiTheme="minorHAnsi"/>
          <w:snapToGrid w:val="0"/>
          <w:lang w:val="en-GB"/>
        </w:rPr>
        <w:t xml:space="preserve">. </w:t>
      </w:r>
    </w:p>
    <w:p w14:paraId="114BA62F" w14:textId="4B44428F" w:rsidR="00A304A7" w:rsidRDefault="000A7825" w:rsidP="003D1CB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there was a high need for additional </w:t>
      </w:r>
      <w:r w:rsidR="00F20207">
        <w:rPr>
          <w:rFonts w:asciiTheme="minorHAnsi" w:hAnsiTheme="minorHAnsi"/>
          <w:snapToGrid w:val="0"/>
          <w:lang w:val="en-GB"/>
        </w:rPr>
        <w:t xml:space="preserve">pharmacological </w:t>
      </w:r>
      <w:r>
        <w:rPr>
          <w:rFonts w:asciiTheme="minorHAnsi" w:hAnsiTheme="minorHAnsi"/>
          <w:snapToGrid w:val="0"/>
          <w:lang w:val="en-GB"/>
        </w:rPr>
        <w:t>treatment options</w:t>
      </w:r>
      <w:r w:rsidR="00F20207">
        <w:rPr>
          <w:rFonts w:asciiTheme="minorHAnsi" w:hAnsiTheme="minorHAnsi"/>
          <w:snapToGrid w:val="0"/>
          <w:lang w:val="en-GB"/>
        </w:rPr>
        <w:t xml:space="preserve"> for HS, as ADA was currently the only therapy subsidised for moderate to severe HS after other options such as antibiotics have been found to be ineffective or not tolerated. The Committee </w:t>
      </w:r>
      <w:r>
        <w:rPr>
          <w:rFonts w:asciiTheme="minorHAnsi" w:hAnsiTheme="minorHAnsi"/>
          <w:snapToGrid w:val="0"/>
          <w:lang w:val="en-GB"/>
        </w:rPr>
        <w:t>noted there was strong consumer support for additional treatment options for HS, and further noted the comments from patients and clinicians described the</w:t>
      </w:r>
      <w:r w:rsidR="00F20207">
        <w:rPr>
          <w:rFonts w:asciiTheme="minorHAnsi" w:hAnsiTheme="minorHAnsi"/>
          <w:snapToGrid w:val="0"/>
          <w:lang w:val="en-GB"/>
        </w:rPr>
        <w:t xml:space="preserve"> historical</w:t>
      </w:r>
      <w:r>
        <w:rPr>
          <w:rFonts w:asciiTheme="minorHAnsi" w:hAnsiTheme="minorHAnsi"/>
          <w:snapToGrid w:val="0"/>
          <w:lang w:val="en-GB"/>
        </w:rPr>
        <w:t xml:space="preserve"> underdiagnosis of HS in practice, and the severe burden of disease and impacts on </w:t>
      </w:r>
      <w:proofErr w:type="gramStart"/>
      <w:r>
        <w:rPr>
          <w:rFonts w:asciiTheme="minorHAnsi" w:hAnsiTheme="minorHAnsi"/>
          <w:snapToGrid w:val="0"/>
          <w:lang w:val="en-GB"/>
        </w:rPr>
        <w:t>quality of life</w:t>
      </w:r>
      <w:proofErr w:type="gramEnd"/>
      <w:r>
        <w:rPr>
          <w:rFonts w:asciiTheme="minorHAnsi" w:hAnsiTheme="minorHAnsi"/>
          <w:snapToGrid w:val="0"/>
          <w:lang w:val="en-GB"/>
        </w:rPr>
        <w:t xml:space="preserve"> people with HS experienced (discussed further in </w:t>
      </w:r>
      <w:r w:rsidR="0071102F">
        <w:rPr>
          <w:rFonts w:asciiTheme="minorHAnsi" w:hAnsiTheme="minorHAnsi"/>
          <w:snapToGrid w:val="0"/>
          <w:lang w:val="en-GB"/>
        </w:rPr>
        <w:t>’Consumer comments’</w:t>
      </w:r>
      <w:r>
        <w:rPr>
          <w:rFonts w:asciiTheme="minorHAnsi" w:hAnsiTheme="minorHAnsi"/>
          <w:snapToGrid w:val="0"/>
          <w:lang w:val="en-GB"/>
        </w:rPr>
        <w:t>). The PBAC also noted the comments described that for some patients, the effectiveness of current treatments had waned over time, with painful</w:t>
      </w:r>
      <w:r w:rsidR="0071102F">
        <w:rPr>
          <w:rFonts w:asciiTheme="minorHAnsi" w:hAnsiTheme="minorHAnsi"/>
          <w:snapToGrid w:val="0"/>
          <w:lang w:val="en-GB"/>
        </w:rPr>
        <w:t xml:space="preserve"> and repeated</w:t>
      </w:r>
      <w:r>
        <w:rPr>
          <w:rFonts w:asciiTheme="minorHAnsi" w:hAnsiTheme="minorHAnsi"/>
          <w:snapToGrid w:val="0"/>
          <w:lang w:val="en-GB"/>
        </w:rPr>
        <w:t xml:space="preserve"> surgical procedures among the limited options available.</w:t>
      </w:r>
    </w:p>
    <w:p w14:paraId="7DEBA239" w14:textId="5EAF1B52" w:rsidR="000A7825" w:rsidRPr="00CE42B4" w:rsidRDefault="00E6052E" w:rsidP="003D1CBD">
      <w:pPr>
        <w:widowControl w:val="0"/>
        <w:numPr>
          <w:ilvl w:val="1"/>
          <w:numId w:val="1"/>
        </w:numPr>
        <w:spacing w:after="120"/>
        <w:rPr>
          <w:rFonts w:asciiTheme="minorHAnsi" w:hAnsiTheme="minorHAnsi"/>
          <w:snapToGrid w:val="0"/>
          <w:lang w:val="en-GB"/>
        </w:rPr>
      </w:pPr>
      <w:r w:rsidRPr="00E6052E">
        <w:rPr>
          <w:rFonts w:asciiTheme="minorHAnsi" w:hAnsiTheme="minorHAnsi"/>
          <w:snapToGrid w:val="0"/>
          <w:lang w:val="en-GB"/>
        </w:rPr>
        <w:t xml:space="preserve">The Committee noted that patients in the SEC trials had response to therapy measured later than what currently occurs </w:t>
      </w:r>
      <w:r w:rsidR="000C0F36">
        <w:rPr>
          <w:rFonts w:asciiTheme="minorHAnsi" w:hAnsiTheme="minorHAnsi"/>
          <w:snapToGrid w:val="0"/>
          <w:lang w:val="en-GB"/>
        </w:rPr>
        <w:t>with the</w:t>
      </w:r>
      <w:r w:rsidR="000C0F36" w:rsidRPr="00E6052E">
        <w:rPr>
          <w:rFonts w:asciiTheme="minorHAnsi" w:hAnsiTheme="minorHAnsi"/>
          <w:snapToGrid w:val="0"/>
          <w:lang w:val="en-GB"/>
        </w:rPr>
        <w:t xml:space="preserve"> </w:t>
      </w:r>
      <w:r w:rsidRPr="00E6052E">
        <w:rPr>
          <w:rFonts w:asciiTheme="minorHAnsi" w:hAnsiTheme="minorHAnsi"/>
          <w:snapToGrid w:val="0"/>
          <w:lang w:val="en-GB"/>
        </w:rPr>
        <w:t>ADA</w:t>
      </w:r>
      <w:r w:rsidR="000C0F36">
        <w:rPr>
          <w:rFonts w:asciiTheme="minorHAnsi" w:hAnsiTheme="minorHAnsi"/>
          <w:snapToGrid w:val="0"/>
          <w:lang w:val="en-GB"/>
        </w:rPr>
        <w:t xml:space="preserve"> PBS listing</w:t>
      </w:r>
      <w:r w:rsidRPr="00E6052E">
        <w:rPr>
          <w:rFonts w:asciiTheme="minorHAnsi" w:hAnsiTheme="minorHAnsi"/>
          <w:snapToGrid w:val="0"/>
          <w:lang w:val="en-GB"/>
        </w:rPr>
        <w:t xml:space="preserve"> (after 16 weeks </w:t>
      </w:r>
      <w:r w:rsidR="000C0F36">
        <w:rPr>
          <w:rFonts w:asciiTheme="minorHAnsi" w:hAnsiTheme="minorHAnsi"/>
          <w:snapToGrid w:val="0"/>
          <w:lang w:val="en-GB"/>
        </w:rPr>
        <w:t>versus</w:t>
      </w:r>
      <w:r w:rsidRPr="00E6052E">
        <w:rPr>
          <w:rFonts w:asciiTheme="minorHAnsi" w:hAnsiTheme="minorHAnsi"/>
          <w:snapToGrid w:val="0"/>
          <w:lang w:val="en-GB"/>
        </w:rPr>
        <w:t xml:space="preserve"> 12-16 weeks for the</w:t>
      </w:r>
      <w:r>
        <w:rPr>
          <w:rFonts w:asciiTheme="minorHAnsi" w:hAnsiTheme="minorHAnsi"/>
          <w:snapToGrid w:val="0"/>
          <w:lang w:val="en-GB"/>
        </w:rPr>
        <w:t xml:space="preserve"> ADA</w:t>
      </w:r>
      <w:r w:rsidRPr="00E6052E">
        <w:rPr>
          <w:rFonts w:asciiTheme="minorHAnsi" w:hAnsiTheme="minorHAnsi"/>
          <w:snapToGrid w:val="0"/>
          <w:lang w:val="en-GB"/>
        </w:rPr>
        <w:t xml:space="preserve"> listing) and that patients were not required to have trialled and not responded to prior antibiotics to be eligible for the SEC trials (the current </w:t>
      </w:r>
      <w:r w:rsidR="000C0F36">
        <w:rPr>
          <w:rFonts w:asciiTheme="minorHAnsi" w:hAnsiTheme="minorHAnsi"/>
          <w:snapToGrid w:val="0"/>
          <w:lang w:val="en-GB"/>
        </w:rPr>
        <w:t xml:space="preserve">ADA </w:t>
      </w:r>
      <w:r w:rsidRPr="00E6052E">
        <w:rPr>
          <w:rFonts w:asciiTheme="minorHAnsi" w:hAnsiTheme="minorHAnsi"/>
          <w:snapToGrid w:val="0"/>
          <w:lang w:val="en-GB"/>
        </w:rPr>
        <w:t xml:space="preserve">PBS listing requires two prior courses). However, the PBAC noted that more than 80% of the </w:t>
      </w:r>
      <w:r w:rsidR="003331CD">
        <w:rPr>
          <w:rFonts w:asciiTheme="minorHAnsi" w:hAnsiTheme="minorHAnsi"/>
          <w:snapToGrid w:val="0"/>
          <w:lang w:val="en-GB"/>
        </w:rPr>
        <w:t xml:space="preserve">SEC </w:t>
      </w:r>
      <w:r w:rsidRPr="00E6052E">
        <w:rPr>
          <w:rFonts w:asciiTheme="minorHAnsi" w:hAnsiTheme="minorHAnsi"/>
          <w:snapToGrid w:val="0"/>
          <w:lang w:val="en-GB"/>
        </w:rPr>
        <w:t xml:space="preserve">trial population had previously received systemic antibiotics in the period since diagnosis (paragraph </w:t>
      </w:r>
      <w:r w:rsidR="0071102F">
        <w:rPr>
          <w:rFonts w:asciiTheme="minorHAnsi" w:hAnsiTheme="minorHAnsi"/>
          <w:snapToGrid w:val="0"/>
          <w:lang w:val="en-GB"/>
        </w:rPr>
        <w:fldChar w:fldCharType="begin" w:fldLock="1"/>
      </w:r>
      <w:r w:rsidR="0071102F">
        <w:rPr>
          <w:rFonts w:asciiTheme="minorHAnsi" w:hAnsiTheme="minorHAnsi"/>
          <w:snapToGrid w:val="0"/>
          <w:lang w:val="en-GB"/>
        </w:rPr>
        <w:instrText xml:space="preserve"> REF _Ref141946360 \r \h </w:instrText>
      </w:r>
      <w:r w:rsidR="0071102F">
        <w:rPr>
          <w:rFonts w:asciiTheme="minorHAnsi" w:hAnsiTheme="minorHAnsi"/>
          <w:snapToGrid w:val="0"/>
          <w:lang w:val="en-GB"/>
        </w:rPr>
      </w:r>
      <w:r w:rsidR="0071102F">
        <w:rPr>
          <w:rFonts w:asciiTheme="minorHAnsi" w:hAnsiTheme="minorHAnsi"/>
          <w:snapToGrid w:val="0"/>
          <w:lang w:val="en-GB"/>
        </w:rPr>
        <w:fldChar w:fldCharType="separate"/>
      </w:r>
      <w:r w:rsidR="000F75DF">
        <w:rPr>
          <w:rFonts w:asciiTheme="minorHAnsi" w:hAnsiTheme="minorHAnsi"/>
          <w:snapToGrid w:val="0"/>
          <w:lang w:val="en-GB"/>
        </w:rPr>
        <w:t>6.14</w:t>
      </w:r>
      <w:r w:rsidR="0071102F">
        <w:rPr>
          <w:rFonts w:asciiTheme="minorHAnsi" w:hAnsiTheme="minorHAnsi"/>
          <w:snapToGrid w:val="0"/>
          <w:lang w:val="en-GB"/>
        </w:rPr>
        <w:fldChar w:fldCharType="end"/>
      </w:r>
      <w:r w:rsidRPr="00E6052E">
        <w:rPr>
          <w:rFonts w:asciiTheme="minorHAnsi" w:hAnsiTheme="minorHAnsi"/>
          <w:snapToGrid w:val="0"/>
          <w:lang w:val="en-GB"/>
        </w:rPr>
        <w:t xml:space="preserve"> refers) and agreed with the ESC that the SEC trials were likely to be</w:t>
      </w:r>
      <w:r w:rsidR="000C0F36">
        <w:rPr>
          <w:rFonts w:asciiTheme="minorHAnsi" w:hAnsiTheme="minorHAnsi"/>
          <w:snapToGrid w:val="0"/>
          <w:lang w:val="en-GB"/>
        </w:rPr>
        <w:t xml:space="preserve"> broadly</w:t>
      </w:r>
      <w:r w:rsidRPr="00E6052E">
        <w:rPr>
          <w:rFonts w:asciiTheme="minorHAnsi" w:hAnsiTheme="minorHAnsi"/>
          <w:snapToGrid w:val="0"/>
          <w:lang w:val="en-GB"/>
        </w:rPr>
        <w:t xml:space="preserve"> generalisable to the PBS population. On that basis, the PBAC considered it was reasonable that a future listing of SEC for HS should be under the same conditions as the current listings for ADA</w:t>
      </w:r>
      <w:r>
        <w:rPr>
          <w:rFonts w:asciiTheme="minorHAnsi" w:hAnsiTheme="minorHAnsi"/>
          <w:snapToGrid w:val="0"/>
          <w:lang w:val="en-GB"/>
        </w:rPr>
        <w:t>, however it may be reasonable to allow response to SEC to be assessed at 16-20 weeks (rather than 12-16 weeks) with appropriate quantities and repeats for initial treatment</w:t>
      </w:r>
      <w:r w:rsidRPr="00E6052E">
        <w:rPr>
          <w:rFonts w:asciiTheme="minorHAnsi" w:hAnsiTheme="minorHAnsi"/>
          <w:snapToGrid w:val="0"/>
          <w:lang w:val="en-GB"/>
        </w:rPr>
        <w:t>.</w:t>
      </w:r>
    </w:p>
    <w:p w14:paraId="04145478" w14:textId="5BD0BA27" w:rsidR="00A304A7" w:rsidRPr="00CE42B4" w:rsidRDefault="00897783" w:rsidP="003D1CB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 nominated comparator of ADA was reasonable. </w:t>
      </w:r>
    </w:p>
    <w:p w14:paraId="10AB4E80" w14:textId="4E5D4337" w:rsidR="006461F6" w:rsidRDefault="006461F6" w:rsidP="003D1CBD">
      <w:pPr>
        <w:widowControl w:val="0"/>
        <w:numPr>
          <w:ilvl w:val="1"/>
          <w:numId w:val="1"/>
        </w:numPr>
        <w:spacing w:after="120"/>
        <w:rPr>
          <w:rFonts w:asciiTheme="minorHAnsi" w:hAnsiTheme="minorHAnsi"/>
          <w:snapToGrid w:val="0"/>
          <w:lang w:val="en-GB"/>
        </w:rPr>
      </w:pPr>
      <w:r w:rsidRPr="006461F6">
        <w:rPr>
          <w:rFonts w:asciiTheme="minorHAnsi" w:hAnsiTheme="minorHAnsi"/>
          <w:snapToGrid w:val="0"/>
          <w:lang w:val="en-GB"/>
        </w:rPr>
        <w:t xml:space="preserve">The PBAC noted the submission was supported by two randomised controlled trials comparing </w:t>
      </w:r>
      <w:r w:rsidR="00D12EAE">
        <w:rPr>
          <w:rFonts w:asciiTheme="minorHAnsi" w:hAnsiTheme="minorHAnsi"/>
          <w:snapToGrid w:val="0"/>
          <w:lang w:val="en-GB"/>
        </w:rPr>
        <w:t>SEC</w:t>
      </w:r>
      <w:r w:rsidRPr="006461F6">
        <w:rPr>
          <w:rFonts w:asciiTheme="minorHAnsi" w:hAnsiTheme="minorHAnsi"/>
          <w:snapToGrid w:val="0"/>
          <w:lang w:val="en-GB"/>
        </w:rPr>
        <w:t xml:space="preserve"> to placebo (SUNSHINE and SUNRISE), and the indirect comparison </w:t>
      </w:r>
      <w:r w:rsidR="00F03615">
        <w:rPr>
          <w:rFonts w:asciiTheme="minorHAnsi" w:hAnsiTheme="minorHAnsi"/>
          <w:snapToGrid w:val="0"/>
          <w:lang w:val="en-GB"/>
        </w:rPr>
        <w:t xml:space="preserve">(ITC) </w:t>
      </w:r>
      <w:r w:rsidRPr="006461F6">
        <w:rPr>
          <w:rFonts w:asciiTheme="minorHAnsi" w:hAnsiTheme="minorHAnsi"/>
          <w:snapToGrid w:val="0"/>
          <w:lang w:val="en-GB"/>
        </w:rPr>
        <w:t xml:space="preserve">was informed by four ADA </w:t>
      </w:r>
      <w:r w:rsidR="000C0F36">
        <w:rPr>
          <w:rFonts w:asciiTheme="minorHAnsi" w:hAnsiTheme="minorHAnsi"/>
          <w:snapToGrid w:val="0"/>
          <w:lang w:val="en-GB"/>
        </w:rPr>
        <w:t>trials</w:t>
      </w:r>
      <w:r w:rsidR="000C0F36" w:rsidRPr="006461F6">
        <w:rPr>
          <w:rFonts w:asciiTheme="minorHAnsi" w:hAnsiTheme="minorHAnsi"/>
          <w:snapToGrid w:val="0"/>
          <w:lang w:val="en-GB"/>
        </w:rPr>
        <w:t xml:space="preserve"> </w:t>
      </w:r>
      <w:r w:rsidRPr="006461F6">
        <w:rPr>
          <w:rFonts w:asciiTheme="minorHAnsi" w:hAnsiTheme="minorHAnsi"/>
          <w:snapToGrid w:val="0"/>
          <w:lang w:val="en-GB"/>
        </w:rPr>
        <w:t xml:space="preserve">(M10-467, PIONEER I/II and SHARPS). The Committee noted the primary outcome for </w:t>
      </w:r>
      <w:r w:rsidR="00D12EAE">
        <w:rPr>
          <w:rFonts w:asciiTheme="minorHAnsi" w:hAnsiTheme="minorHAnsi"/>
          <w:snapToGrid w:val="0"/>
          <w:lang w:val="en-GB"/>
        </w:rPr>
        <w:t>most</w:t>
      </w:r>
      <w:r w:rsidR="000C0F36">
        <w:rPr>
          <w:rFonts w:asciiTheme="minorHAnsi" w:hAnsiTheme="minorHAnsi"/>
          <w:snapToGrid w:val="0"/>
          <w:lang w:val="en-GB"/>
        </w:rPr>
        <w:t xml:space="preserve"> trials</w:t>
      </w:r>
      <w:r w:rsidR="00D12EAE">
        <w:rPr>
          <w:rFonts w:asciiTheme="minorHAnsi" w:hAnsiTheme="minorHAnsi"/>
          <w:snapToGrid w:val="0"/>
          <w:lang w:val="en-GB"/>
        </w:rPr>
        <w:t xml:space="preserve"> (except M10-467)</w:t>
      </w:r>
      <w:r w:rsidRPr="006461F6">
        <w:rPr>
          <w:rFonts w:asciiTheme="minorHAnsi" w:hAnsiTheme="minorHAnsi"/>
          <w:snapToGrid w:val="0"/>
          <w:lang w:val="en-GB"/>
        </w:rPr>
        <w:t xml:space="preserve"> was a HS clinical response of at least 50% (HiSCR50)</w:t>
      </w:r>
      <w:r w:rsidR="00D12EAE">
        <w:rPr>
          <w:rFonts w:asciiTheme="minorHAnsi" w:hAnsiTheme="minorHAnsi"/>
          <w:snapToGrid w:val="0"/>
          <w:lang w:val="en-GB"/>
        </w:rPr>
        <w:t xml:space="preserve">, and study M10-467 collected HiSCR50 outcome </w:t>
      </w:r>
      <w:r w:rsidR="00D12EAE">
        <w:rPr>
          <w:rFonts w:asciiTheme="minorHAnsi" w:hAnsiTheme="minorHAnsi"/>
          <w:snapToGrid w:val="0"/>
          <w:lang w:val="en-GB"/>
        </w:rPr>
        <w:lastRenderedPageBreak/>
        <w:t>data</w:t>
      </w:r>
      <w:r w:rsidR="000C0F36">
        <w:rPr>
          <w:rFonts w:asciiTheme="minorHAnsi" w:hAnsiTheme="minorHAnsi"/>
          <w:snapToGrid w:val="0"/>
          <w:lang w:val="en-GB"/>
        </w:rPr>
        <w:t>.</w:t>
      </w:r>
      <w:r w:rsidRPr="006461F6">
        <w:rPr>
          <w:rFonts w:asciiTheme="minorHAnsi" w:hAnsiTheme="minorHAnsi"/>
          <w:snapToGrid w:val="0"/>
          <w:lang w:val="en-GB"/>
        </w:rPr>
        <w:t xml:space="preserve"> </w:t>
      </w:r>
      <w:r w:rsidR="000C0F36">
        <w:rPr>
          <w:rFonts w:asciiTheme="minorHAnsi" w:hAnsiTheme="minorHAnsi"/>
          <w:snapToGrid w:val="0"/>
          <w:lang w:val="en-GB"/>
        </w:rPr>
        <w:t>The PBAC noted</w:t>
      </w:r>
      <w:r w:rsidR="000C0F36" w:rsidRPr="006461F6">
        <w:rPr>
          <w:rFonts w:asciiTheme="minorHAnsi" w:hAnsiTheme="minorHAnsi"/>
          <w:snapToGrid w:val="0"/>
          <w:lang w:val="en-GB"/>
        </w:rPr>
        <w:t xml:space="preserve"> </w:t>
      </w:r>
      <w:r w:rsidR="00F03615">
        <w:rPr>
          <w:rFonts w:asciiTheme="minorHAnsi" w:hAnsiTheme="minorHAnsi"/>
          <w:snapToGrid w:val="0"/>
          <w:lang w:val="en-GB"/>
        </w:rPr>
        <w:t>potential exchangeability issues across the SEC and ADA trials</w:t>
      </w:r>
      <w:r w:rsidR="00D12EAE">
        <w:rPr>
          <w:rFonts w:asciiTheme="minorHAnsi" w:hAnsiTheme="minorHAnsi"/>
          <w:snapToGrid w:val="0"/>
          <w:lang w:val="en-GB"/>
        </w:rPr>
        <w:t xml:space="preserve"> (paragraphs </w:t>
      </w:r>
      <w:r w:rsidR="00D12EAE">
        <w:rPr>
          <w:rFonts w:asciiTheme="minorHAnsi" w:hAnsiTheme="minorHAnsi"/>
          <w:snapToGrid w:val="0"/>
          <w:lang w:val="en-GB"/>
        </w:rPr>
        <w:fldChar w:fldCharType="begin" w:fldLock="1"/>
      </w:r>
      <w:r w:rsidR="00D12EAE">
        <w:rPr>
          <w:rFonts w:asciiTheme="minorHAnsi" w:hAnsiTheme="minorHAnsi"/>
          <w:snapToGrid w:val="0"/>
          <w:lang w:val="en-GB"/>
        </w:rPr>
        <w:instrText xml:space="preserve"> REF _Ref142299721 \r \h </w:instrText>
      </w:r>
      <w:r w:rsidR="00D12EAE">
        <w:rPr>
          <w:rFonts w:asciiTheme="minorHAnsi" w:hAnsiTheme="minorHAnsi"/>
          <w:snapToGrid w:val="0"/>
          <w:lang w:val="en-GB"/>
        </w:rPr>
      </w:r>
      <w:r w:rsidR="00D12EAE">
        <w:rPr>
          <w:rFonts w:asciiTheme="minorHAnsi" w:hAnsiTheme="minorHAnsi"/>
          <w:snapToGrid w:val="0"/>
          <w:lang w:val="en-GB"/>
        </w:rPr>
        <w:fldChar w:fldCharType="separate"/>
      </w:r>
      <w:r w:rsidR="000F75DF">
        <w:rPr>
          <w:rFonts w:asciiTheme="minorHAnsi" w:hAnsiTheme="minorHAnsi"/>
          <w:snapToGrid w:val="0"/>
          <w:lang w:val="en-GB"/>
        </w:rPr>
        <w:t>6.7</w:t>
      </w:r>
      <w:r w:rsidR="00D12EAE">
        <w:rPr>
          <w:rFonts w:asciiTheme="minorHAnsi" w:hAnsiTheme="minorHAnsi"/>
          <w:snapToGrid w:val="0"/>
          <w:lang w:val="en-GB"/>
        </w:rPr>
        <w:fldChar w:fldCharType="end"/>
      </w:r>
      <w:r w:rsidR="00D12EAE">
        <w:rPr>
          <w:rFonts w:asciiTheme="minorHAnsi" w:hAnsiTheme="minorHAnsi"/>
          <w:snapToGrid w:val="0"/>
          <w:lang w:val="en-GB"/>
        </w:rPr>
        <w:t xml:space="preserve">, </w:t>
      </w:r>
      <w:r w:rsidR="00D12EAE">
        <w:rPr>
          <w:rFonts w:asciiTheme="minorHAnsi" w:hAnsiTheme="minorHAnsi"/>
          <w:snapToGrid w:val="0"/>
          <w:lang w:val="en-GB"/>
        </w:rPr>
        <w:fldChar w:fldCharType="begin" w:fldLock="1"/>
      </w:r>
      <w:r w:rsidR="00D12EAE">
        <w:rPr>
          <w:rFonts w:asciiTheme="minorHAnsi" w:hAnsiTheme="minorHAnsi"/>
          <w:snapToGrid w:val="0"/>
          <w:lang w:val="en-GB"/>
        </w:rPr>
        <w:instrText xml:space="preserve"> REF _Ref134695877 \r \h </w:instrText>
      </w:r>
      <w:r w:rsidR="00D12EAE">
        <w:rPr>
          <w:rFonts w:asciiTheme="minorHAnsi" w:hAnsiTheme="minorHAnsi"/>
          <w:snapToGrid w:val="0"/>
          <w:lang w:val="en-GB"/>
        </w:rPr>
      </w:r>
      <w:r w:rsidR="00D12EAE">
        <w:rPr>
          <w:rFonts w:asciiTheme="minorHAnsi" w:hAnsiTheme="minorHAnsi"/>
          <w:snapToGrid w:val="0"/>
          <w:lang w:val="en-GB"/>
        </w:rPr>
        <w:fldChar w:fldCharType="separate"/>
      </w:r>
      <w:r w:rsidR="000F75DF">
        <w:rPr>
          <w:rFonts w:asciiTheme="minorHAnsi" w:hAnsiTheme="minorHAnsi"/>
          <w:snapToGrid w:val="0"/>
          <w:lang w:val="en-GB"/>
        </w:rPr>
        <w:t>6.13</w:t>
      </w:r>
      <w:r w:rsidR="00D12EAE">
        <w:rPr>
          <w:rFonts w:asciiTheme="minorHAnsi" w:hAnsiTheme="minorHAnsi"/>
          <w:snapToGrid w:val="0"/>
          <w:lang w:val="en-GB"/>
        </w:rPr>
        <w:fldChar w:fldCharType="end"/>
      </w:r>
      <w:r w:rsidR="00D12EAE">
        <w:rPr>
          <w:rFonts w:asciiTheme="minorHAnsi" w:hAnsiTheme="minorHAnsi"/>
          <w:snapToGrid w:val="0"/>
          <w:lang w:val="en-GB"/>
        </w:rPr>
        <w:t>-</w:t>
      </w:r>
      <w:r w:rsidR="00D12EAE">
        <w:rPr>
          <w:rFonts w:asciiTheme="minorHAnsi" w:hAnsiTheme="minorHAnsi"/>
          <w:snapToGrid w:val="0"/>
          <w:lang w:val="en-GB"/>
        </w:rPr>
        <w:fldChar w:fldCharType="begin" w:fldLock="1"/>
      </w:r>
      <w:r w:rsidR="00D12EAE">
        <w:rPr>
          <w:rFonts w:asciiTheme="minorHAnsi" w:hAnsiTheme="minorHAnsi"/>
          <w:snapToGrid w:val="0"/>
          <w:lang w:val="en-GB"/>
        </w:rPr>
        <w:instrText xml:space="preserve"> REF _Ref141946360 \r \h </w:instrText>
      </w:r>
      <w:r w:rsidR="00D12EAE">
        <w:rPr>
          <w:rFonts w:asciiTheme="minorHAnsi" w:hAnsiTheme="minorHAnsi"/>
          <w:snapToGrid w:val="0"/>
          <w:lang w:val="en-GB"/>
        </w:rPr>
      </w:r>
      <w:r w:rsidR="00D12EAE">
        <w:rPr>
          <w:rFonts w:asciiTheme="minorHAnsi" w:hAnsiTheme="minorHAnsi"/>
          <w:snapToGrid w:val="0"/>
          <w:lang w:val="en-GB"/>
        </w:rPr>
        <w:fldChar w:fldCharType="separate"/>
      </w:r>
      <w:r w:rsidR="000F75DF">
        <w:rPr>
          <w:rFonts w:asciiTheme="minorHAnsi" w:hAnsiTheme="minorHAnsi"/>
          <w:snapToGrid w:val="0"/>
          <w:lang w:val="en-GB"/>
        </w:rPr>
        <w:t>6.14</w:t>
      </w:r>
      <w:r w:rsidR="00D12EAE">
        <w:rPr>
          <w:rFonts w:asciiTheme="minorHAnsi" w:hAnsiTheme="minorHAnsi"/>
          <w:snapToGrid w:val="0"/>
          <w:lang w:val="en-GB"/>
        </w:rPr>
        <w:fldChar w:fldCharType="end"/>
      </w:r>
      <w:r w:rsidR="00D12EAE">
        <w:rPr>
          <w:rFonts w:asciiTheme="minorHAnsi" w:hAnsiTheme="minorHAnsi"/>
          <w:snapToGrid w:val="0"/>
          <w:lang w:val="en-GB"/>
        </w:rPr>
        <w:t xml:space="preserve"> and 6.17 refer)</w:t>
      </w:r>
      <w:r w:rsidR="00F03615">
        <w:rPr>
          <w:rFonts w:asciiTheme="minorHAnsi" w:hAnsiTheme="minorHAnsi"/>
          <w:snapToGrid w:val="0"/>
          <w:lang w:val="en-GB"/>
        </w:rPr>
        <w:t xml:space="preserve">, in particular with </w:t>
      </w:r>
      <w:r w:rsidRPr="006461F6">
        <w:rPr>
          <w:rFonts w:asciiTheme="minorHAnsi" w:hAnsiTheme="minorHAnsi"/>
          <w:snapToGrid w:val="0"/>
          <w:lang w:val="en-GB"/>
        </w:rPr>
        <w:t xml:space="preserve">the SHARPS trial </w:t>
      </w:r>
      <w:r w:rsidR="00F03615">
        <w:rPr>
          <w:rFonts w:asciiTheme="minorHAnsi" w:hAnsiTheme="minorHAnsi"/>
          <w:snapToGrid w:val="0"/>
          <w:lang w:val="en-GB"/>
        </w:rPr>
        <w:t xml:space="preserve">which </w:t>
      </w:r>
      <w:r w:rsidRPr="006461F6">
        <w:rPr>
          <w:rFonts w:asciiTheme="minorHAnsi" w:hAnsiTheme="minorHAnsi"/>
          <w:snapToGrid w:val="0"/>
          <w:lang w:val="en-GB"/>
        </w:rPr>
        <w:t xml:space="preserve">was undertaken in a perioperative setting. </w:t>
      </w:r>
    </w:p>
    <w:p w14:paraId="2127977F" w14:textId="1EFA1FB2" w:rsidR="003D1CBD" w:rsidRPr="00861903" w:rsidRDefault="003D1CBD" w:rsidP="007E1C14">
      <w:pPr>
        <w:pStyle w:val="3-BodyText"/>
      </w:pPr>
      <w:r w:rsidRPr="00861903">
        <w:t xml:space="preserve">The PBAC noted </w:t>
      </w:r>
      <w:r w:rsidR="00861903" w:rsidRPr="00861903">
        <w:t>the HiSCR50 response rates for the two-weekly (Q2W) and four-weekly (Q4W) dosing regimens of SEC were</w:t>
      </w:r>
      <w:r w:rsidRPr="00861903">
        <w:t xml:space="preserve"> statistically significant</w:t>
      </w:r>
      <w:r w:rsidR="00D12EAE">
        <w:t>ly</w:t>
      </w:r>
      <w:r w:rsidRPr="00861903">
        <w:t xml:space="preserve"> </w:t>
      </w:r>
      <w:r w:rsidR="00861903">
        <w:t xml:space="preserve">higher than </w:t>
      </w:r>
      <w:r w:rsidRPr="00861903">
        <w:t xml:space="preserve">placebo, </w:t>
      </w:r>
      <w:r w:rsidR="00D12EAE">
        <w:t>except for</w:t>
      </w:r>
      <w:r w:rsidRPr="00861903">
        <w:t xml:space="preserve"> the Q4W arm of SUNSHINE. The PBAC also noted the SEC </w:t>
      </w:r>
      <w:r w:rsidR="00E5414E" w:rsidRPr="00861903">
        <w:t xml:space="preserve">HiSCR50 </w:t>
      </w:r>
      <w:r w:rsidRPr="00861903">
        <w:t xml:space="preserve">response rates were below 50% at 16 weeks across both trials, and the response rates </w:t>
      </w:r>
      <w:r w:rsidR="00E5414E" w:rsidRPr="00861903">
        <w:t xml:space="preserve">for the </w:t>
      </w:r>
      <w:r w:rsidRPr="00861903">
        <w:t xml:space="preserve">Q2W and Q4W regimens appeared to differ </w:t>
      </w:r>
      <w:r w:rsidR="009B43D4" w:rsidRPr="00861903">
        <w:t xml:space="preserve">across </w:t>
      </w:r>
      <w:r w:rsidRPr="00861903">
        <w:t>the SUNSHINE and SUNRISE trials, with the Q2W regimen having a higher response rate in SUNSHINE and the Q4W regimen having a higher response rate in SUNRISE. Overall, the PBAC considered</w:t>
      </w:r>
      <w:r w:rsidR="0069394C" w:rsidRPr="00861903">
        <w:t xml:space="preserve"> the available evidence indicated</w:t>
      </w:r>
      <w:r w:rsidRPr="00861903">
        <w:t xml:space="preserve"> SEC was likely </w:t>
      </w:r>
      <w:r w:rsidR="003331CD">
        <w:t>superior to</w:t>
      </w:r>
      <w:r w:rsidRPr="00861903">
        <w:t xml:space="preserve"> placebo for the treatment of HS, but its effectiveness appeared to be relatively modest. </w:t>
      </w:r>
    </w:p>
    <w:p w14:paraId="2A65BFFA" w14:textId="29C318DF" w:rsidR="003D1CBD" w:rsidRPr="003D1CBD" w:rsidRDefault="00AC502A" w:rsidP="00F626C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w:t>
      </w:r>
      <w:r w:rsidRPr="00861903">
        <w:rPr>
          <w:lang w:val="en-GB"/>
        </w:rPr>
        <w:t>HiSCR50 response rates</w:t>
      </w:r>
      <w:r>
        <w:rPr>
          <w:lang w:val="en-GB"/>
        </w:rPr>
        <w:t xml:space="preserve"> for SEC in SUNSHINE and SUNRISE were 42-46% </w:t>
      </w:r>
      <w:r w:rsidR="00F626C0">
        <w:rPr>
          <w:lang w:val="en-GB"/>
        </w:rPr>
        <w:t>(versus</w:t>
      </w:r>
      <w:r>
        <w:rPr>
          <w:lang w:val="en-GB"/>
        </w:rPr>
        <w:t xml:space="preserve"> 31-34% for placebo</w:t>
      </w:r>
      <w:r w:rsidR="00F626C0">
        <w:rPr>
          <w:lang w:val="en-GB"/>
        </w:rPr>
        <w:t xml:space="preserve">) and for ADA in </w:t>
      </w:r>
      <w:r w:rsidR="00F626C0" w:rsidRPr="006461F6">
        <w:rPr>
          <w:rFonts w:asciiTheme="minorHAnsi" w:hAnsiTheme="minorHAnsi"/>
          <w:snapToGrid w:val="0"/>
          <w:lang w:val="en-GB"/>
        </w:rPr>
        <w:t>M10-467, PIONEER I</w:t>
      </w:r>
      <w:r w:rsidR="00F626C0">
        <w:rPr>
          <w:rFonts w:asciiTheme="minorHAnsi" w:hAnsiTheme="minorHAnsi"/>
          <w:snapToGrid w:val="0"/>
          <w:lang w:val="en-GB"/>
        </w:rPr>
        <w:t xml:space="preserve"> and PIONEER </w:t>
      </w:r>
      <w:r w:rsidR="00F626C0" w:rsidRPr="006461F6">
        <w:rPr>
          <w:rFonts w:asciiTheme="minorHAnsi" w:hAnsiTheme="minorHAnsi"/>
          <w:snapToGrid w:val="0"/>
          <w:lang w:val="en-GB"/>
        </w:rPr>
        <w:t>II</w:t>
      </w:r>
      <w:r w:rsidR="00F626C0">
        <w:rPr>
          <w:rFonts w:asciiTheme="minorHAnsi" w:hAnsiTheme="minorHAnsi"/>
          <w:snapToGrid w:val="0"/>
          <w:lang w:val="en-GB"/>
        </w:rPr>
        <w:t xml:space="preserve"> were 42-59% (versus 26-28%</w:t>
      </w:r>
      <w:r w:rsidR="003331CD">
        <w:rPr>
          <w:rFonts w:asciiTheme="minorHAnsi" w:hAnsiTheme="minorHAnsi"/>
          <w:snapToGrid w:val="0"/>
          <w:lang w:val="en-GB"/>
        </w:rPr>
        <w:t xml:space="preserve"> for placebo</w:t>
      </w:r>
      <w:r w:rsidR="00F626C0">
        <w:rPr>
          <w:rFonts w:asciiTheme="minorHAnsi" w:hAnsiTheme="minorHAnsi"/>
          <w:snapToGrid w:val="0"/>
          <w:lang w:val="en-GB"/>
        </w:rPr>
        <w:t>)</w:t>
      </w:r>
      <w:r>
        <w:rPr>
          <w:lang w:val="en-GB"/>
        </w:rPr>
        <w:t>.</w:t>
      </w:r>
      <w:r w:rsidR="00F626C0">
        <w:rPr>
          <w:lang w:val="en-GB"/>
        </w:rPr>
        <w:t xml:space="preserve"> The PBAC noted the ITC</w:t>
      </w:r>
      <w:r w:rsidR="003331CD">
        <w:rPr>
          <w:lang w:val="en-GB"/>
        </w:rPr>
        <w:t>s</w:t>
      </w:r>
      <w:r w:rsidR="00F626C0">
        <w:rPr>
          <w:lang w:val="en-GB"/>
        </w:rPr>
        <w:t xml:space="preserve"> potentially suggested that the </w:t>
      </w:r>
      <w:r w:rsidR="003331CD">
        <w:rPr>
          <w:lang w:val="en-GB"/>
        </w:rPr>
        <w:t>effectiveness</w:t>
      </w:r>
      <w:r w:rsidR="00F626C0">
        <w:rPr>
          <w:lang w:val="en-GB"/>
        </w:rPr>
        <w:t xml:space="preserve"> of SEC was inferior to that of ADA, however also acknowledged exchangeability issues across the trials and the higher placebo response rate</w:t>
      </w:r>
      <w:r w:rsidR="003331CD">
        <w:rPr>
          <w:lang w:val="en-GB"/>
        </w:rPr>
        <w:t>s</w:t>
      </w:r>
      <w:r w:rsidR="00F626C0">
        <w:rPr>
          <w:lang w:val="en-GB"/>
        </w:rPr>
        <w:t xml:space="preserve"> in the SEC trials.</w:t>
      </w:r>
      <w:r w:rsidR="003D1CBD" w:rsidRPr="003D1CBD">
        <w:rPr>
          <w:lang w:val="en-GB"/>
        </w:rPr>
        <w:t xml:space="preserve"> Overall, the PBAC considered the </w:t>
      </w:r>
      <w:r w:rsidR="000121A3">
        <w:rPr>
          <w:lang w:val="en-GB"/>
        </w:rPr>
        <w:t>claim that SEC was non-inferior to ADA in terms of effectiveness was uncertain</w:t>
      </w:r>
      <w:r w:rsidR="003D1CBD" w:rsidRPr="003D1CBD">
        <w:rPr>
          <w:lang w:val="en-GB"/>
        </w:rPr>
        <w:t xml:space="preserve">. </w:t>
      </w:r>
    </w:p>
    <w:p w14:paraId="29FE9606" w14:textId="77EF89B6" w:rsidR="003D1CBD" w:rsidRDefault="003D1CBD" w:rsidP="003D1CBD">
      <w:pPr>
        <w:widowControl w:val="0"/>
        <w:numPr>
          <w:ilvl w:val="1"/>
          <w:numId w:val="1"/>
        </w:numPr>
        <w:spacing w:after="120"/>
        <w:rPr>
          <w:rFonts w:asciiTheme="minorHAnsi" w:hAnsiTheme="minorHAnsi"/>
          <w:snapToGrid w:val="0"/>
          <w:lang w:val="en-GB"/>
        </w:rPr>
      </w:pPr>
      <w:r w:rsidRPr="003D1CBD">
        <w:rPr>
          <w:rFonts w:asciiTheme="minorHAnsi" w:hAnsiTheme="minorHAnsi"/>
          <w:snapToGrid w:val="0"/>
          <w:lang w:val="en-GB"/>
        </w:rPr>
        <w:t>The PBAC noted the key safety data and ITCs did not suggest clinically important differences in comparative safety between SEC and ADA</w:t>
      </w:r>
      <w:r w:rsidR="003331CD">
        <w:rPr>
          <w:rFonts w:asciiTheme="minorHAnsi" w:hAnsiTheme="minorHAnsi"/>
          <w:snapToGrid w:val="0"/>
          <w:lang w:val="en-GB"/>
        </w:rPr>
        <w:t>,</w:t>
      </w:r>
      <w:r w:rsidRPr="003D1CBD">
        <w:rPr>
          <w:rFonts w:asciiTheme="minorHAnsi" w:hAnsiTheme="minorHAnsi"/>
          <w:snapToGrid w:val="0"/>
          <w:lang w:val="en-GB"/>
        </w:rPr>
        <w:t xml:space="preserve"> and that the </w:t>
      </w:r>
      <w:r w:rsidR="00AB5200">
        <w:rPr>
          <w:rFonts w:asciiTheme="minorHAnsi" w:hAnsiTheme="minorHAnsi"/>
          <w:snapToGrid w:val="0"/>
          <w:lang w:val="en-GB"/>
        </w:rPr>
        <w:t>safety</w:t>
      </w:r>
      <w:r w:rsidR="00AB5200" w:rsidRPr="003D1CBD">
        <w:rPr>
          <w:rFonts w:asciiTheme="minorHAnsi" w:hAnsiTheme="minorHAnsi"/>
          <w:snapToGrid w:val="0"/>
          <w:lang w:val="en-GB"/>
        </w:rPr>
        <w:t xml:space="preserve"> </w:t>
      </w:r>
      <w:r w:rsidRPr="003D1CBD">
        <w:rPr>
          <w:rFonts w:asciiTheme="minorHAnsi" w:hAnsiTheme="minorHAnsi"/>
          <w:snapToGrid w:val="0"/>
          <w:lang w:val="en-GB"/>
        </w:rPr>
        <w:t>data</w:t>
      </w:r>
      <w:r w:rsidR="003331CD">
        <w:rPr>
          <w:rFonts w:asciiTheme="minorHAnsi" w:hAnsiTheme="minorHAnsi"/>
          <w:snapToGrid w:val="0"/>
          <w:lang w:val="en-GB"/>
        </w:rPr>
        <w:t xml:space="preserve"> for SEC</w:t>
      </w:r>
      <w:r w:rsidR="00AB5200">
        <w:rPr>
          <w:rFonts w:asciiTheme="minorHAnsi" w:hAnsiTheme="minorHAnsi"/>
          <w:snapToGrid w:val="0"/>
          <w:lang w:val="en-GB"/>
        </w:rPr>
        <w:t xml:space="preserve"> in HS were</w:t>
      </w:r>
      <w:r w:rsidRPr="003D1CBD">
        <w:rPr>
          <w:rFonts w:asciiTheme="minorHAnsi" w:hAnsiTheme="minorHAnsi"/>
          <w:snapToGrid w:val="0"/>
          <w:lang w:val="en-GB"/>
        </w:rPr>
        <w:t xml:space="preserve"> consistent with the known safety profile of SEC. Overall, the PBAC considered the claim of non-inferior comparative safety of SEC and ADA to be reasonable.</w:t>
      </w:r>
      <w:r>
        <w:rPr>
          <w:rFonts w:asciiTheme="minorHAnsi" w:hAnsiTheme="minorHAnsi"/>
          <w:snapToGrid w:val="0"/>
          <w:lang w:val="en-GB"/>
        </w:rPr>
        <w:t xml:space="preserve"> </w:t>
      </w:r>
    </w:p>
    <w:p w14:paraId="4D05A5CF" w14:textId="320E06E0" w:rsidR="00173A80" w:rsidRDefault="006252BF" w:rsidP="003D1CBD">
      <w:pPr>
        <w:widowControl w:val="0"/>
        <w:numPr>
          <w:ilvl w:val="1"/>
          <w:numId w:val="1"/>
        </w:numPr>
        <w:spacing w:after="120"/>
        <w:rPr>
          <w:rFonts w:asciiTheme="minorHAnsi" w:hAnsiTheme="minorHAnsi"/>
          <w:snapToGrid w:val="0"/>
          <w:lang w:val="en-GB"/>
        </w:rPr>
      </w:pPr>
      <w:bookmarkStart w:id="53" w:name="_Ref142047153"/>
      <w:r>
        <w:rPr>
          <w:rFonts w:asciiTheme="minorHAnsi" w:hAnsiTheme="minorHAnsi"/>
          <w:snapToGrid w:val="0"/>
          <w:lang w:val="en-GB"/>
        </w:rPr>
        <w:t xml:space="preserve">The PBAC considered treatment with SEC was likely to be more costly than treatment with ADA as the submission did not account for any use of the Q2W maintenance dosing schedule or response being measured at a later timepoint than for ADA. </w:t>
      </w:r>
      <w:bookmarkEnd w:id="53"/>
    </w:p>
    <w:p w14:paraId="1804F91A" w14:textId="58C6D22B" w:rsidR="00A304A7" w:rsidRPr="00DD191A" w:rsidRDefault="0041247F" w:rsidP="00DD191A">
      <w:pPr>
        <w:widowControl w:val="0"/>
        <w:numPr>
          <w:ilvl w:val="1"/>
          <w:numId w:val="1"/>
        </w:numPr>
        <w:spacing w:after="120"/>
      </w:pPr>
      <w:bookmarkStart w:id="54" w:name="_Ref142047122"/>
      <w:r>
        <w:rPr>
          <w:rFonts w:asciiTheme="minorHAnsi" w:hAnsiTheme="minorHAnsi"/>
          <w:snapToGrid w:val="0"/>
          <w:lang w:val="en-GB"/>
        </w:rPr>
        <w:t>The PBAC noted</w:t>
      </w:r>
      <w:r w:rsidRPr="00DD191A">
        <w:rPr>
          <w:rFonts w:asciiTheme="minorHAnsi" w:hAnsiTheme="minorHAnsi"/>
          <w:snapToGrid w:val="0"/>
          <w:lang w:val="en-GB"/>
        </w:rPr>
        <w:t xml:space="preserve"> </w:t>
      </w:r>
      <w:r>
        <w:rPr>
          <w:rFonts w:asciiTheme="minorHAnsi" w:hAnsiTheme="minorHAnsi"/>
          <w:snapToGrid w:val="0"/>
          <w:lang w:val="en-GB"/>
        </w:rPr>
        <w:t xml:space="preserve">the submission estimated </w:t>
      </w:r>
      <w:r w:rsidRPr="00DD191A">
        <w:rPr>
          <w:rFonts w:asciiTheme="minorHAnsi" w:hAnsiTheme="minorHAnsi"/>
          <w:snapToGrid w:val="0"/>
          <w:lang w:val="en-GB"/>
        </w:rPr>
        <w:t>there was a net cost to the PBS/RPBS associated with the listing of</w:t>
      </w:r>
      <w:r>
        <w:rPr>
          <w:rFonts w:asciiTheme="minorHAnsi" w:hAnsiTheme="minorHAnsi"/>
          <w:snapToGrid w:val="0"/>
          <w:lang w:val="en-GB"/>
        </w:rPr>
        <w:t xml:space="preserve"> SEC</w:t>
      </w:r>
      <w:r w:rsidRPr="00DD191A">
        <w:rPr>
          <w:rFonts w:asciiTheme="minorHAnsi" w:hAnsiTheme="minorHAnsi"/>
          <w:snapToGrid w:val="0"/>
          <w:lang w:val="en-GB"/>
        </w:rPr>
        <w:t xml:space="preserve"> for HS</w:t>
      </w:r>
      <w:r>
        <w:rPr>
          <w:rFonts w:asciiTheme="minorHAnsi" w:hAnsiTheme="minorHAnsi"/>
          <w:snapToGrid w:val="0"/>
          <w:lang w:val="en-GB"/>
        </w:rPr>
        <w:t xml:space="preserve"> due to additional usage in the ADA failure subgroup</w:t>
      </w:r>
      <w:r w:rsidRPr="00DD191A">
        <w:rPr>
          <w:rFonts w:asciiTheme="minorHAnsi" w:hAnsiTheme="minorHAnsi"/>
          <w:snapToGrid w:val="0"/>
          <w:lang w:val="en-GB"/>
        </w:rPr>
        <w:t>.</w:t>
      </w:r>
      <w:r>
        <w:rPr>
          <w:rFonts w:asciiTheme="minorHAnsi" w:hAnsiTheme="minorHAnsi"/>
          <w:snapToGrid w:val="0"/>
          <w:lang w:val="en-GB"/>
        </w:rPr>
        <w:t xml:space="preserve"> </w:t>
      </w:r>
      <w:r w:rsidR="0060639A">
        <w:rPr>
          <w:rFonts w:asciiTheme="minorHAnsi" w:hAnsiTheme="minorHAnsi"/>
          <w:snapToGrid w:val="0"/>
          <w:lang w:val="en-GB"/>
        </w:rPr>
        <w:t xml:space="preserve">The PBAC considered the utilisation and financial estimates to be </w:t>
      </w:r>
      <w:r w:rsidR="006252BF">
        <w:rPr>
          <w:rFonts w:asciiTheme="minorHAnsi" w:hAnsiTheme="minorHAnsi"/>
          <w:snapToGrid w:val="0"/>
          <w:lang w:val="en-GB"/>
        </w:rPr>
        <w:t xml:space="preserve">underestimated </w:t>
      </w:r>
      <w:r>
        <w:rPr>
          <w:rFonts w:asciiTheme="minorHAnsi" w:hAnsiTheme="minorHAnsi"/>
          <w:snapToGrid w:val="0"/>
          <w:lang w:val="en-GB"/>
        </w:rPr>
        <w:t>due to underestimating</w:t>
      </w:r>
      <w:r w:rsidR="0060639A">
        <w:rPr>
          <w:rFonts w:asciiTheme="minorHAnsi" w:hAnsiTheme="minorHAnsi"/>
          <w:snapToGrid w:val="0"/>
          <w:lang w:val="en-GB"/>
        </w:rPr>
        <w:t xml:space="preserve"> the </w:t>
      </w:r>
      <w:r w:rsidR="00DD191A">
        <w:rPr>
          <w:rFonts w:asciiTheme="minorHAnsi" w:hAnsiTheme="minorHAnsi"/>
          <w:snapToGrid w:val="0"/>
          <w:lang w:val="en-GB"/>
        </w:rPr>
        <w:t xml:space="preserve">extent of use in patients </w:t>
      </w:r>
      <w:r>
        <w:rPr>
          <w:rFonts w:asciiTheme="minorHAnsi" w:hAnsiTheme="minorHAnsi"/>
          <w:snapToGrid w:val="0"/>
          <w:lang w:val="en-GB"/>
        </w:rPr>
        <w:t xml:space="preserve">who </w:t>
      </w:r>
      <w:r w:rsidR="00DD191A">
        <w:rPr>
          <w:rFonts w:asciiTheme="minorHAnsi" w:hAnsiTheme="minorHAnsi"/>
          <w:snapToGrid w:val="0"/>
          <w:lang w:val="en-GB"/>
        </w:rPr>
        <w:t xml:space="preserve">have failed ADA and </w:t>
      </w:r>
      <w:r>
        <w:rPr>
          <w:rFonts w:asciiTheme="minorHAnsi" w:hAnsiTheme="minorHAnsi"/>
          <w:snapToGrid w:val="0"/>
          <w:lang w:val="en-GB"/>
        </w:rPr>
        <w:t xml:space="preserve">not including </w:t>
      </w:r>
      <w:r w:rsidR="00DD191A">
        <w:rPr>
          <w:rFonts w:asciiTheme="minorHAnsi" w:hAnsiTheme="minorHAnsi"/>
          <w:snapToGrid w:val="0"/>
          <w:lang w:val="en-GB"/>
        </w:rPr>
        <w:t>utilisation of the Q2W maintenance dose of secukinumab.</w:t>
      </w:r>
      <w:bookmarkEnd w:id="54"/>
    </w:p>
    <w:p w14:paraId="4C7F2D06" w14:textId="2FB3505B" w:rsidR="00DD191A" w:rsidRPr="00DD191A" w:rsidRDefault="00DD191A" w:rsidP="00DD191A">
      <w:pPr>
        <w:widowControl w:val="0"/>
        <w:numPr>
          <w:ilvl w:val="1"/>
          <w:numId w:val="1"/>
        </w:numPr>
        <w:spacing w:after="120"/>
        <w:rPr>
          <w:rFonts w:asciiTheme="minorHAnsi" w:hAnsiTheme="minorHAnsi"/>
          <w:snapToGrid w:val="0"/>
          <w:u w:val="single"/>
          <w:lang w:val="en-GB"/>
        </w:rPr>
      </w:pPr>
      <w:r w:rsidRPr="00DD191A">
        <w:rPr>
          <w:rFonts w:asciiTheme="minorHAnsi" w:hAnsiTheme="minorHAnsi"/>
          <w:snapToGrid w:val="0"/>
          <w:lang w:val="en-GB"/>
        </w:rPr>
        <w:t xml:space="preserve">The PBAC considered the extent of uncertainty regarding the </w:t>
      </w:r>
      <w:r w:rsidR="003331CD">
        <w:rPr>
          <w:rFonts w:asciiTheme="minorHAnsi" w:hAnsiTheme="minorHAnsi"/>
          <w:snapToGrid w:val="0"/>
          <w:lang w:val="en-GB"/>
        </w:rPr>
        <w:t>effectiveness</w:t>
      </w:r>
      <w:r w:rsidR="003331CD" w:rsidRPr="00DD191A">
        <w:rPr>
          <w:rFonts w:asciiTheme="minorHAnsi" w:hAnsiTheme="minorHAnsi"/>
          <w:snapToGrid w:val="0"/>
          <w:lang w:val="en-GB"/>
        </w:rPr>
        <w:t xml:space="preserve"> </w:t>
      </w:r>
      <w:r w:rsidRPr="00DD191A">
        <w:rPr>
          <w:rFonts w:asciiTheme="minorHAnsi" w:hAnsiTheme="minorHAnsi"/>
          <w:snapToGrid w:val="0"/>
          <w:lang w:val="en-GB"/>
        </w:rPr>
        <w:t xml:space="preserve">claim may be acceptable in the context of the high clinical need if </w:t>
      </w:r>
      <w:r w:rsidR="003331CD">
        <w:rPr>
          <w:rFonts w:asciiTheme="minorHAnsi" w:hAnsiTheme="minorHAnsi"/>
          <w:snapToGrid w:val="0"/>
          <w:lang w:val="en-GB"/>
        </w:rPr>
        <w:t xml:space="preserve">there </w:t>
      </w:r>
      <w:r w:rsidR="0041247F">
        <w:rPr>
          <w:rFonts w:asciiTheme="minorHAnsi" w:hAnsiTheme="minorHAnsi"/>
          <w:snapToGrid w:val="0"/>
          <w:lang w:val="en-GB"/>
        </w:rPr>
        <w:t>was additional certainty regarding the cost minimised price for SEC and the net PBS/RPBS cost</w:t>
      </w:r>
      <w:r>
        <w:rPr>
          <w:rFonts w:asciiTheme="minorHAnsi" w:hAnsiTheme="minorHAnsi"/>
          <w:snapToGrid w:val="0"/>
          <w:lang w:val="en-GB"/>
        </w:rPr>
        <w:t xml:space="preserve">. In this context, the </w:t>
      </w:r>
      <w:r w:rsidR="00A304A7" w:rsidRPr="00DD191A">
        <w:rPr>
          <w:rFonts w:asciiTheme="minorHAnsi" w:hAnsiTheme="minorHAnsi"/>
          <w:snapToGrid w:val="0"/>
          <w:lang w:val="en-GB"/>
        </w:rPr>
        <w:t xml:space="preserve">PBAC considered the outstanding issues could be easily resolved in a simple resubmission for </w:t>
      </w:r>
      <w:r w:rsidR="007208D1" w:rsidRPr="00DD191A">
        <w:rPr>
          <w:rFonts w:asciiTheme="minorHAnsi" w:hAnsiTheme="minorHAnsi"/>
          <w:snapToGrid w:val="0"/>
          <w:lang w:val="en-GB"/>
        </w:rPr>
        <w:t>SEC</w:t>
      </w:r>
      <w:r w:rsidR="00A304A7" w:rsidRPr="00DD191A">
        <w:rPr>
          <w:rFonts w:asciiTheme="minorHAnsi" w:hAnsiTheme="minorHAnsi"/>
          <w:snapToGrid w:val="0"/>
          <w:lang w:val="en-GB"/>
        </w:rPr>
        <w:t xml:space="preserve"> using the early re-entry pathway. If the sponsor accepts this pathway, the following changes may address these outstanding issues without requiring further re-evaluation. </w:t>
      </w:r>
    </w:p>
    <w:p w14:paraId="5C2D460B" w14:textId="74A500CA" w:rsidR="00AE5457" w:rsidRPr="007E1C14" w:rsidRDefault="0041247F" w:rsidP="007E1C14">
      <w:pPr>
        <w:pStyle w:val="ListParagraph"/>
      </w:pPr>
      <w:r w:rsidRPr="007E1C14">
        <w:t>Present a revised CMA which a</w:t>
      </w:r>
      <w:r w:rsidR="00AE5457" w:rsidRPr="007E1C14">
        <w:t>ddress</w:t>
      </w:r>
      <w:r w:rsidRPr="007E1C14">
        <w:t>es</w:t>
      </w:r>
      <w:r w:rsidR="00AE5457" w:rsidRPr="007E1C14">
        <w:t xml:space="preserve"> the issues raised in paragraph </w:t>
      </w:r>
      <w:r w:rsidR="00AE5457" w:rsidRPr="007E1C14">
        <w:fldChar w:fldCharType="begin" w:fldLock="1"/>
      </w:r>
      <w:r w:rsidR="00AE5457" w:rsidRPr="007E1C14">
        <w:instrText xml:space="preserve"> REF _Ref142047153 \r \h </w:instrText>
      </w:r>
      <w:r w:rsidR="00AE5457" w:rsidRPr="007E1C14">
        <w:fldChar w:fldCharType="separate"/>
      </w:r>
      <w:r w:rsidR="000F75DF">
        <w:t>7.10</w:t>
      </w:r>
      <w:r w:rsidR="00AE5457" w:rsidRPr="007E1C14">
        <w:fldChar w:fldCharType="end"/>
      </w:r>
      <w:r w:rsidR="00AE5457" w:rsidRPr="007E1C14">
        <w:t>; and</w:t>
      </w:r>
    </w:p>
    <w:p w14:paraId="2A70DA35" w14:textId="4EF7C611" w:rsidR="00DD191A" w:rsidRPr="007E1C14" w:rsidRDefault="0041247F" w:rsidP="007E1C14">
      <w:pPr>
        <w:pStyle w:val="ListParagraph"/>
      </w:pPr>
      <w:r w:rsidRPr="007E1C14">
        <w:lastRenderedPageBreak/>
        <w:t>Present revised financial estimates which account for use of the Q2W regimen and more reliably estimate the extent of use in patients who have failed treatment with ADA.</w:t>
      </w:r>
      <w:r w:rsidRPr="007E1C14" w:rsidDel="0041247F">
        <w:t xml:space="preserve"> </w:t>
      </w:r>
    </w:p>
    <w:p w14:paraId="3A4433E0" w14:textId="2BE6B374" w:rsidR="00A304A7" w:rsidRPr="00DD191A" w:rsidRDefault="00EB0FAA" w:rsidP="00DD191A">
      <w:pPr>
        <w:widowControl w:val="0"/>
        <w:spacing w:after="120"/>
        <w:ind w:left="720"/>
        <w:rPr>
          <w:rFonts w:asciiTheme="minorHAnsi" w:hAnsiTheme="minorHAnsi"/>
          <w:snapToGrid w:val="0"/>
          <w:u w:val="single"/>
          <w:lang w:val="en-GB"/>
        </w:rPr>
      </w:pPr>
      <w:r w:rsidRPr="00DD191A">
        <w:rPr>
          <w:rFonts w:asciiTheme="minorHAnsi" w:hAnsiTheme="minorHAnsi"/>
          <w:snapToGrid w:val="0"/>
          <w:lang w:val="en-GB"/>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6586DCA2" w14:textId="29C3A381" w:rsidR="00A304A7" w:rsidRPr="00525B39" w:rsidRDefault="00A304A7" w:rsidP="003D1CBD">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noted that this submission is eligible for an Independent Review. </w:t>
      </w:r>
    </w:p>
    <w:p w14:paraId="1F995E52" w14:textId="77777777" w:rsidR="00A304A7" w:rsidRPr="00525B39" w:rsidRDefault="00A304A7" w:rsidP="00A304A7">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59C43FF6" w14:textId="3AED4A27" w:rsidR="00A304A7" w:rsidRPr="00525B39" w:rsidRDefault="00A304A7" w:rsidP="00A304A7">
      <w:pPr>
        <w:rPr>
          <w:rFonts w:asciiTheme="minorHAnsi" w:hAnsiTheme="minorHAnsi"/>
          <w:bCs/>
          <w:snapToGrid w:val="0"/>
          <w:lang w:val="en-GB"/>
        </w:rPr>
      </w:pPr>
      <w:r>
        <w:rPr>
          <w:rFonts w:asciiTheme="minorHAnsi" w:hAnsiTheme="minorHAnsi"/>
          <w:bCs/>
          <w:snapToGrid w:val="0"/>
          <w:lang w:val="en-GB"/>
        </w:rPr>
        <w:t>Not recommended</w:t>
      </w:r>
    </w:p>
    <w:p w14:paraId="58D6A7D8" w14:textId="77777777" w:rsidR="00A304A7" w:rsidRPr="00525B39" w:rsidRDefault="00A304A7" w:rsidP="00A304A7">
      <w:pPr>
        <w:widowControl w:val="0"/>
        <w:rPr>
          <w:rFonts w:asciiTheme="minorHAnsi" w:hAnsiTheme="minorHAnsi"/>
          <w:b/>
          <w:bCs/>
          <w:snapToGrid w:val="0"/>
        </w:rPr>
      </w:pPr>
    </w:p>
    <w:bookmarkEnd w:id="50"/>
    <w:bookmarkEnd w:id="51"/>
    <w:p w14:paraId="7E979A94" w14:textId="60C76114" w:rsidR="007E1C14" w:rsidRDefault="007E1C14" w:rsidP="007E1C14">
      <w:pPr>
        <w:pStyle w:val="2-SectionHeading"/>
        <w:rPr>
          <w:bCs/>
          <w:lang w:val="en-GB"/>
        </w:rPr>
      </w:pPr>
      <w:r w:rsidRPr="00C07617">
        <w:t>Context for Decision</w:t>
      </w:r>
    </w:p>
    <w:p w14:paraId="1912284A" w14:textId="77777777" w:rsidR="007E1C14" w:rsidRPr="007129F2" w:rsidRDefault="007E1C14" w:rsidP="007E1C14">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8A0508F" w14:textId="25D7D4AE" w:rsidR="007E1C14" w:rsidRPr="00C07617" w:rsidRDefault="007E1C14" w:rsidP="007E1C14">
      <w:pPr>
        <w:pStyle w:val="2-SectionHeading"/>
      </w:pPr>
      <w:r>
        <w:t>Sponsor’s Comment</w:t>
      </w:r>
    </w:p>
    <w:bookmarkEnd w:id="52"/>
    <w:p w14:paraId="46EF28A2" w14:textId="4146B1E9" w:rsidR="00753B29" w:rsidRPr="007E1C14" w:rsidRDefault="00DD40C1" w:rsidP="00DD40C1">
      <w:pPr>
        <w:spacing w:after="120"/>
        <w:ind w:left="709"/>
        <w:rPr>
          <w:rFonts w:asciiTheme="minorHAnsi" w:hAnsiTheme="minorHAnsi"/>
          <w:bCs/>
        </w:rPr>
      </w:pPr>
      <w:r w:rsidRPr="00DD40C1">
        <w:rPr>
          <w:rFonts w:asciiTheme="minorHAnsi" w:hAnsiTheme="minorHAnsi"/>
          <w:bCs/>
        </w:rPr>
        <w:t>Novartis is pleased to see the PBAC recognised there was a high clinical need for additional therapies for the treatment of HS and will continue to work with the PBAC to enable earliest possible access to secukinumab for HS patients.</w:t>
      </w:r>
    </w:p>
    <w:sectPr w:rsidR="00753B29" w:rsidRPr="007E1C14" w:rsidSect="007E1C14">
      <w:headerReference w:type="default" r:id="rId18"/>
      <w:footerReference w:type="defaul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75EF" w14:textId="77777777" w:rsidR="00693E26" w:rsidRDefault="00693E26" w:rsidP="00124A51">
      <w:r>
        <w:separator/>
      </w:r>
    </w:p>
    <w:p w14:paraId="4E612658" w14:textId="77777777" w:rsidR="00693E26" w:rsidRDefault="00693E26"/>
  </w:endnote>
  <w:endnote w:type="continuationSeparator" w:id="0">
    <w:p w14:paraId="6DAAF91C" w14:textId="77777777" w:rsidR="00693E26" w:rsidRDefault="00693E26" w:rsidP="00124A51">
      <w:r>
        <w:continuationSeparator/>
      </w:r>
    </w:p>
    <w:p w14:paraId="5323A786" w14:textId="77777777" w:rsidR="00693E26" w:rsidRDefault="00693E26"/>
  </w:endnote>
  <w:endnote w:type="continuationNotice" w:id="1">
    <w:p w14:paraId="0E9FB35E" w14:textId="77777777" w:rsidR="00693E26" w:rsidRDefault="00693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News Gothic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B2712F" w:rsidRDefault="00B2712F" w:rsidP="00753B29">
    <w:pPr>
      <w:pStyle w:val="Footer"/>
      <w:jc w:val="center"/>
    </w:pPr>
  </w:p>
  <w:bookmarkStart w:id="56" w:name="_Hlk76375156"/>
  <w:bookmarkStart w:id="57" w:name="_Hlk138321463"/>
  <w:p w14:paraId="37484CD3" w14:textId="7BBCFF1B" w:rsidR="00B2712F" w:rsidRPr="00A304A7" w:rsidRDefault="00A304A7" w:rsidP="00A304A7">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56"/>
    <w:bookmarkEnd w:id="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02CD" w14:textId="77777777" w:rsidR="00693E26" w:rsidRDefault="00693E26" w:rsidP="00124A51">
      <w:r>
        <w:separator/>
      </w:r>
    </w:p>
    <w:p w14:paraId="03085AED" w14:textId="77777777" w:rsidR="00693E26" w:rsidRDefault="00693E26"/>
  </w:footnote>
  <w:footnote w:type="continuationSeparator" w:id="0">
    <w:p w14:paraId="5707F01C" w14:textId="77777777" w:rsidR="00693E26" w:rsidRDefault="00693E26" w:rsidP="00124A51">
      <w:r>
        <w:continuationSeparator/>
      </w:r>
    </w:p>
    <w:p w14:paraId="66933B8F" w14:textId="77777777" w:rsidR="00693E26" w:rsidRDefault="00693E26"/>
  </w:footnote>
  <w:footnote w:type="continuationNotice" w:id="1">
    <w:p w14:paraId="525366E2" w14:textId="77777777" w:rsidR="00693E26" w:rsidRDefault="00693E26"/>
  </w:footnote>
  <w:footnote w:id="2">
    <w:p w14:paraId="2A3C0C99" w14:textId="0AE386D1" w:rsidR="00B2712F" w:rsidRPr="004C78FF" w:rsidRDefault="00B2712F">
      <w:pPr>
        <w:pStyle w:val="FootnoteText"/>
        <w:rPr>
          <w:lang w:val="en-US"/>
        </w:rPr>
      </w:pPr>
      <w:r>
        <w:rPr>
          <w:rStyle w:val="FootnoteReference"/>
        </w:rPr>
        <w:footnoteRef/>
      </w:r>
      <w:r>
        <w:t xml:space="preserve"> </w:t>
      </w:r>
      <w:r w:rsidRPr="00111D29">
        <w:t xml:space="preserve">Vekic &amp; Cains, 2017, Hidradenitis suppurativa – Management, comorbidities and monitoring. </w:t>
      </w:r>
      <w:r w:rsidRPr="00175F07">
        <w:rPr>
          <w:i/>
          <w:iCs/>
        </w:rPr>
        <w:t>Australian Family Physician</w:t>
      </w:r>
      <w:r w:rsidRPr="00111D29">
        <w:t>, Vol 46, Issue 8.</w:t>
      </w:r>
    </w:p>
  </w:footnote>
  <w:footnote w:id="3">
    <w:p w14:paraId="20AC74DF" w14:textId="29EDE0F8" w:rsidR="00B2712F" w:rsidRDefault="00B2712F">
      <w:pPr>
        <w:pStyle w:val="FootnoteText"/>
      </w:pPr>
      <w:r>
        <w:rPr>
          <w:rStyle w:val="FootnoteReference"/>
        </w:rPr>
        <w:footnoteRef/>
      </w:r>
      <w:r>
        <w:t xml:space="preserve"> Survivorship bias refers to </w:t>
      </w:r>
      <w:r w:rsidRPr="0053512C">
        <w:t>a type of sample selection bias that occurs when an interpretation mistakes a visible successful subgroup as the entire group</w:t>
      </w:r>
      <w:r>
        <w:t>.</w:t>
      </w:r>
    </w:p>
  </w:footnote>
  <w:footnote w:id="4">
    <w:p w14:paraId="707BE4AE" w14:textId="272BC379" w:rsidR="00B2712F" w:rsidRPr="009E62C2" w:rsidRDefault="00B2712F">
      <w:pPr>
        <w:pStyle w:val="FootnoteText"/>
        <w:rPr>
          <w:lang w:val="en-US"/>
        </w:rPr>
      </w:pPr>
      <w:r>
        <w:rPr>
          <w:rStyle w:val="FootnoteReference"/>
        </w:rPr>
        <w:footnoteRef/>
      </w:r>
      <w:r>
        <w:t xml:space="preserve"> </w:t>
      </w:r>
      <w:r w:rsidRPr="009C61F9">
        <w:t>Bechara FG et al.</w:t>
      </w:r>
      <w:r>
        <w:t>, (2021),</w:t>
      </w:r>
      <w:r w:rsidRPr="009C61F9">
        <w:t xml:space="preserve"> Efficacy and Safety of </w:t>
      </w:r>
      <w:r>
        <w:t>Adalimumab</w:t>
      </w:r>
      <w:r w:rsidRPr="009C61F9">
        <w:t xml:space="preserve"> in Conjunction With Surgery in Moderate to Severe Hidradenitis Suppurativa: The SHARPS Randomized Clinical Trial. </w:t>
      </w:r>
      <w:r w:rsidRPr="009E62C2">
        <w:rPr>
          <w:i/>
          <w:iCs/>
        </w:rPr>
        <w:t>JAMA Surg.</w:t>
      </w:r>
      <w:r w:rsidRPr="009C61F9">
        <w:t xml:space="preserve"> Nov 1;156(11):1001-1009.</w:t>
      </w:r>
    </w:p>
  </w:footnote>
  <w:footnote w:id="5">
    <w:p w14:paraId="439A06B1" w14:textId="04F35274" w:rsidR="00F33F1A" w:rsidRDefault="00F33F1A">
      <w:pPr>
        <w:pStyle w:val="FootnoteText"/>
      </w:pPr>
      <w:r>
        <w:rPr>
          <w:rStyle w:val="FootnoteReference"/>
        </w:rPr>
        <w:footnoteRef/>
      </w:r>
      <w:r>
        <w:t xml:space="preserve"> </w:t>
      </w:r>
      <w:r w:rsidR="00E46713" w:rsidRPr="00E46713">
        <w:t>Horváth, B., Janse, I. C., Blok, J. L., Driessen, R. J., Boer, J., Mekkes, J. R., Prens, E. P., &amp; van der Zee, H. H. (2017). Hurley Staging Refined: A Proposal by the Dutch Hidradenitis Suppurativa Expert Group. Acta dermato-venereologica, 97(3), 412–413. https://doi.org/10.2340/00015555-2513</w:t>
      </w:r>
    </w:p>
  </w:footnote>
  <w:footnote w:id="6">
    <w:p w14:paraId="02899714" w14:textId="27197521" w:rsidR="005D717E" w:rsidRDefault="005D717E">
      <w:pPr>
        <w:pStyle w:val="FootnoteText"/>
      </w:pPr>
      <w:r>
        <w:rPr>
          <w:rStyle w:val="FootnoteReference"/>
        </w:rPr>
        <w:footnoteRef/>
      </w:r>
      <w:r>
        <w:t xml:space="preserve"> </w:t>
      </w:r>
      <w:r w:rsidRPr="005D717E">
        <w:t>Lu, J. W., et al. (2021). "Efficacy and safety of adalimumab in hidradenitis suppurativa: A systematic review and meta-analysis of randomized controlled trials." Medicine 100:22: e26190.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586C" w14:textId="48D6DC03" w:rsidR="00A304A7" w:rsidRPr="007E1C14" w:rsidRDefault="007E1C14" w:rsidP="00A304A7">
    <w:pPr>
      <w:pStyle w:val="Header"/>
      <w:ind w:left="360"/>
      <w:rPr>
        <w:rFonts w:asciiTheme="minorHAnsi" w:hAnsiTheme="minorHAnsi"/>
        <w:i/>
      </w:rPr>
    </w:pPr>
    <w:bookmarkStart w:id="55" w:name="_Hlk76375146"/>
    <w:r w:rsidRPr="007E1C14">
      <w:rPr>
        <w:rFonts w:asciiTheme="minorHAnsi" w:hAnsiTheme="minorHAnsi"/>
        <w:i/>
      </w:rPr>
      <w:t>Public Summary Document</w:t>
    </w:r>
    <w:r w:rsidR="00A304A7" w:rsidRPr="007E1C14">
      <w:rPr>
        <w:rFonts w:asciiTheme="minorHAnsi" w:hAnsiTheme="minorHAnsi"/>
        <w:i/>
      </w:rPr>
      <w:t xml:space="preserve"> – July 2023 PBAC Meeting</w:t>
    </w:r>
  </w:p>
  <w:bookmarkEnd w:id="55"/>
  <w:p w14:paraId="03AF943B" w14:textId="77777777" w:rsidR="00B2712F" w:rsidRPr="008C7ECB" w:rsidRDefault="00B27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30DB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138DD"/>
    <w:multiLevelType w:val="hybridMultilevel"/>
    <w:tmpl w:val="95EE5F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B6274A"/>
    <w:multiLevelType w:val="hybridMultilevel"/>
    <w:tmpl w:val="5FFE1FE8"/>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4649A1"/>
    <w:multiLevelType w:val="hybridMultilevel"/>
    <w:tmpl w:val="66AAE85C"/>
    <w:lvl w:ilvl="0" w:tplc="9E4A00A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A9F4AD9"/>
    <w:multiLevelType w:val="multilevel"/>
    <w:tmpl w:val="63182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361C"/>
    <w:multiLevelType w:val="hybridMultilevel"/>
    <w:tmpl w:val="661001F8"/>
    <w:lvl w:ilvl="0" w:tplc="FD241C28">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C7A14"/>
    <w:multiLevelType w:val="hybridMultilevel"/>
    <w:tmpl w:val="59325C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6467B8"/>
    <w:multiLevelType w:val="hybridMultilevel"/>
    <w:tmpl w:val="705CEA5C"/>
    <w:lvl w:ilvl="0" w:tplc="77E0440C">
      <w:start w:val="1"/>
      <w:numFmt w:val="bullet"/>
      <w:lvlText w:val="◦"/>
      <w:lvlJc w:val="left"/>
      <w:pPr>
        <w:tabs>
          <w:tab w:val="num" w:pos="720"/>
        </w:tabs>
        <w:ind w:left="720" w:hanging="360"/>
      </w:pPr>
      <w:rPr>
        <w:rFonts w:ascii="Calibri" w:hAnsi="Calibri" w:hint="default"/>
      </w:rPr>
    </w:lvl>
    <w:lvl w:ilvl="1" w:tplc="DF80D3D6">
      <w:start w:val="1"/>
      <w:numFmt w:val="bullet"/>
      <w:lvlText w:val="◦"/>
      <w:lvlJc w:val="left"/>
      <w:pPr>
        <w:tabs>
          <w:tab w:val="num" w:pos="1440"/>
        </w:tabs>
        <w:ind w:left="1440" w:hanging="360"/>
      </w:pPr>
      <w:rPr>
        <w:rFonts w:ascii="Calibri" w:hAnsi="Calibri" w:hint="default"/>
      </w:rPr>
    </w:lvl>
    <w:lvl w:ilvl="2" w:tplc="470AA27C" w:tentative="1">
      <w:start w:val="1"/>
      <w:numFmt w:val="bullet"/>
      <w:lvlText w:val="◦"/>
      <w:lvlJc w:val="left"/>
      <w:pPr>
        <w:tabs>
          <w:tab w:val="num" w:pos="2160"/>
        </w:tabs>
        <w:ind w:left="2160" w:hanging="360"/>
      </w:pPr>
      <w:rPr>
        <w:rFonts w:ascii="Calibri" w:hAnsi="Calibri" w:hint="default"/>
      </w:rPr>
    </w:lvl>
    <w:lvl w:ilvl="3" w:tplc="0C22ED4C" w:tentative="1">
      <w:start w:val="1"/>
      <w:numFmt w:val="bullet"/>
      <w:lvlText w:val="◦"/>
      <w:lvlJc w:val="left"/>
      <w:pPr>
        <w:tabs>
          <w:tab w:val="num" w:pos="2880"/>
        </w:tabs>
        <w:ind w:left="2880" w:hanging="360"/>
      </w:pPr>
      <w:rPr>
        <w:rFonts w:ascii="Calibri" w:hAnsi="Calibri" w:hint="default"/>
      </w:rPr>
    </w:lvl>
    <w:lvl w:ilvl="4" w:tplc="0268C57C" w:tentative="1">
      <w:start w:val="1"/>
      <w:numFmt w:val="bullet"/>
      <w:lvlText w:val="◦"/>
      <w:lvlJc w:val="left"/>
      <w:pPr>
        <w:tabs>
          <w:tab w:val="num" w:pos="3600"/>
        </w:tabs>
        <w:ind w:left="3600" w:hanging="360"/>
      </w:pPr>
      <w:rPr>
        <w:rFonts w:ascii="Calibri" w:hAnsi="Calibri" w:hint="default"/>
      </w:rPr>
    </w:lvl>
    <w:lvl w:ilvl="5" w:tplc="AD04DF76" w:tentative="1">
      <w:start w:val="1"/>
      <w:numFmt w:val="bullet"/>
      <w:lvlText w:val="◦"/>
      <w:lvlJc w:val="left"/>
      <w:pPr>
        <w:tabs>
          <w:tab w:val="num" w:pos="4320"/>
        </w:tabs>
        <w:ind w:left="4320" w:hanging="360"/>
      </w:pPr>
      <w:rPr>
        <w:rFonts w:ascii="Calibri" w:hAnsi="Calibri" w:hint="default"/>
      </w:rPr>
    </w:lvl>
    <w:lvl w:ilvl="6" w:tplc="5C92AED8" w:tentative="1">
      <w:start w:val="1"/>
      <w:numFmt w:val="bullet"/>
      <w:lvlText w:val="◦"/>
      <w:lvlJc w:val="left"/>
      <w:pPr>
        <w:tabs>
          <w:tab w:val="num" w:pos="5040"/>
        </w:tabs>
        <w:ind w:left="5040" w:hanging="360"/>
      </w:pPr>
      <w:rPr>
        <w:rFonts w:ascii="Calibri" w:hAnsi="Calibri" w:hint="default"/>
      </w:rPr>
    </w:lvl>
    <w:lvl w:ilvl="7" w:tplc="22C8CE9E" w:tentative="1">
      <w:start w:val="1"/>
      <w:numFmt w:val="bullet"/>
      <w:lvlText w:val="◦"/>
      <w:lvlJc w:val="left"/>
      <w:pPr>
        <w:tabs>
          <w:tab w:val="num" w:pos="5760"/>
        </w:tabs>
        <w:ind w:left="5760" w:hanging="360"/>
      </w:pPr>
      <w:rPr>
        <w:rFonts w:ascii="Calibri" w:hAnsi="Calibri" w:hint="default"/>
      </w:rPr>
    </w:lvl>
    <w:lvl w:ilvl="8" w:tplc="02A0067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2D016AB"/>
    <w:multiLevelType w:val="hybridMultilevel"/>
    <w:tmpl w:val="A20E99AC"/>
    <w:styleLink w:val="PBACTableTextLetteredList"/>
    <w:lvl w:ilvl="0" w:tplc="0C090001">
      <w:start w:val="1"/>
      <w:numFmt w:val="bullet"/>
      <w:lvlText w:val=""/>
      <w:lvlJc w:val="left"/>
      <w:pPr>
        <w:ind w:left="381" w:hanging="360"/>
      </w:pPr>
      <w:rPr>
        <w:rFonts w:ascii="Symbol" w:hAnsi="Symbol" w:hint="default"/>
      </w:rPr>
    </w:lvl>
    <w:lvl w:ilvl="1" w:tplc="0C090003" w:tentative="1">
      <w:start w:val="1"/>
      <w:numFmt w:val="bullet"/>
      <w:lvlText w:val="o"/>
      <w:lvlJc w:val="left"/>
      <w:pPr>
        <w:ind w:left="1101" w:hanging="360"/>
      </w:pPr>
      <w:rPr>
        <w:rFonts w:ascii="Courier New" w:hAnsi="Courier New" w:cs="Courier New" w:hint="default"/>
      </w:rPr>
    </w:lvl>
    <w:lvl w:ilvl="2" w:tplc="0C090005" w:tentative="1">
      <w:start w:val="1"/>
      <w:numFmt w:val="bullet"/>
      <w:lvlText w:val=""/>
      <w:lvlJc w:val="left"/>
      <w:pPr>
        <w:ind w:left="1821" w:hanging="360"/>
      </w:pPr>
      <w:rPr>
        <w:rFonts w:ascii="Wingdings" w:hAnsi="Wingdings" w:hint="default"/>
      </w:rPr>
    </w:lvl>
    <w:lvl w:ilvl="3" w:tplc="0C090001" w:tentative="1">
      <w:start w:val="1"/>
      <w:numFmt w:val="bullet"/>
      <w:lvlText w:val=""/>
      <w:lvlJc w:val="left"/>
      <w:pPr>
        <w:ind w:left="2541" w:hanging="360"/>
      </w:pPr>
      <w:rPr>
        <w:rFonts w:ascii="Symbol" w:hAnsi="Symbol" w:hint="default"/>
      </w:rPr>
    </w:lvl>
    <w:lvl w:ilvl="4" w:tplc="0C090003" w:tentative="1">
      <w:start w:val="1"/>
      <w:numFmt w:val="bullet"/>
      <w:lvlText w:val="o"/>
      <w:lvlJc w:val="left"/>
      <w:pPr>
        <w:ind w:left="3261" w:hanging="360"/>
      </w:pPr>
      <w:rPr>
        <w:rFonts w:ascii="Courier New" w:hAnsi="Courier New" w:cs="Courier New" w:hint="default"/>
      </w:rPr>
    </w:lvl>
    <w:lvl w:ilvl="5" w:tplc="0C090005" w:tentative="1">
      <w:start w:val="1"/>
      <w:numFmt w:val="bullet"/>
      <w:lvlText w:val=""/>
      <w:lvlJc w:val="left"/>
      <w:pPr>
        <w:ind w:left="3981" w:hanging="360"/>
      </w:pPr>
      <w:rPr>
        <w:rFonts w:ascii="Wingdings" w:hAnsi="Wingdings" w:hint="default"/>
      </w:rPr>
    </w:lvl>
    <w:lvl w:ilvl="6" w:tplc="0C090001" w:tentative="1">
      <w:start w:val="1"/>
      <w:numFmt w:val="bullet"/>
      <w:lvlText w:val=""/>
      <w:lvlJc w:val="left"/>
      <w:pPr>
        <w:ind w:left="4701" w:hanging="360"/>
      </w:pPr>
      <w:rPr>
        <w:rFonts w:ascii="Symbol" w:hAnsi="Symbol" w:hint="default"/>
      </w:rPr>
    </w:lvl>
    <w:lvl w:ilvl="7" w:tplc="0C090003" w:tentative="1">
      <w:start w:val="1"/>
      <w:numFmt w:val="bullet"/>
      <w:lvlText w:val="o"/>
      <w:lvlJc w:val="left"/>
      <w:pPr>
        <w:ind w:left="5421" w:hanging="360"/>
      </w:pPr>
      <w:rPr>
        <w:rFonts w:ascii="Courier New" w:hAnsi="Courier New" w:cs="Courier New" w:hint="default"/>
      </w:rPr>
    </w:lvl>
    <w:lvl w:ilvl="8" w:tplc="0C090005" w:tentative="1">
      <w:start w:val="1"/>
      <w:numFmt w:val="bullet"/>
      <w:lvlText w:val=""/>
      <w:lvlJc w:val="left"/>
      <w:pPr>
        <w:ind w:left="6141" w:hanging="360"/>
      </w:pPr>
      <w:rPr>
        <w:rFonts w:ascii="Wingdings" w:hAnsi="Wingdings" w:hint="default"/>
      </w:r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63E3465"/>
    <w:multiLevelType w:val="hybridMultilevel"/>
    <w:tmpl w:val="98A09A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4D033C"/>
    <w:multiLevelType w:val="multilevel"/>
    <w:tmpl w:val="F3EC364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25900464">
    <w:abstractNumId w:val="21"/>
  </w:num>
  <w:num w:numId="2" w16cid:durableId="805203762">
    <w:abstractNumId w:val="10"/>
  </w:num>
  <w:num w:numId="3" w16cid:durableId="564219083">
    <w:abstractNumId w:val="11"/>
  </w:num>
  <w:num w:numId="4" w16cid:durableId="982736812">
    <w:abstractNumId w:val="0"/>
  </w:num>
  <w:num w:numId="5" w16cid:durableId="1228220226">
    <w:abstractNumId w:val="18"/>
  </w:num>
  <w:num w:numId="6" w16cid:durableId="136925203">
    <w:abstractNumId w:val="17"/>
  </w:num>
  <w:num w:numId="7" w16cid:durableId="2064481140">
    <w:abstractNumId w:val="3"/>
  </w:num>
  <w:num w:numId="8" w16cid:durableId="2032603888">
    <w:abstractNumId w:val="12"/>
  </w:num>
  <w:num w:numId="9" w16cid:durableId="182328342">
    <w:abstractNumId w:val="19"/>
  </w:num>
  <w:num w:numId="10" w16cid:durableId="137454303">
    <w:abstractNumId w:val="5"/>
  </w:num>
  <w:num w:numId="11" w16cid:durableId="873889536">
    <w:abstractNumId w:val="22"/>
  </w:num>
  <w:num w:numId="12" w16cid:durableId="1880625929">
    <w:abstractNumId w:val="13"/>
  </w:num>
  <w:num w:numId="13" w16cid:durableId="1468284423">
    <w:abstractNumId w:val="14"/>
  </w:num>
  <w:num w:numId="14" w16cid:durableId="1108889191">
    <w:abstractNumId w:val="2"/>
  </w:num>
  <w:num w:numId="15" w16cid:durableId="981353242">
    <w:abstractNumId w:val="1"/>
  </w:num>
  <w:num w:numId="16" w16cid:durableId="1778983093">
    <w:abstractNumId w:val="6"/>
  </w:num>
  <w:num w:numId="17" w16cid:durableId="1159269231">
    <w:abstractNumId w:val="4"/>
  </w:num>
  <w:num w:numId="18" w16cid:durableId="4445059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4443673">
    <w:abstractNumId w:val="20"/>
  </w:num>
  <w:num w:numId="20" w16cid:durableId="1713772566">
    <w:abstractNumId w:val="8"/>
  </w:num>
  <w:num w:numId="21" w16cid:durableId="1201820180">
    <w:abstractNumId w:val="15"/>
  </w:num>
  <w:num w:numId="22" w16cid:durableId="1216696496">
    <w:abstractNumId w:val="9"/>
  </w:num>
  <w:num w:numId="23" w16cid:durableId="167853665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1A3"/>
    <w:rsid w:val="000002A6"/>
    <w:rsid w:val="000002AF"/>
    <w:rsid w:val="00000440"/>
    <w:rsid w:val="00000790"/>
    <w:rsid w:val="00000935"/>
    <w:rsid w:val="00000E13"/>
    <w:rsid w:val="0000110B"/>
    <w:rsid w:val="00001320"/>
    <w:rsid w:val="00001378"/>
    <w:rsid w:val="00001901"/>
    <w:rsid w:val="00001EC2"/>
    <w:rsid w:val="00001FB6"/>
    <w:rsid w:val="000020AC"/>
    <w:rsid w:val="00002890"/>
    <w:rsid w:val="00002A64"/>
    <w:rsid w:val="00002D6A"/>
    <w:rsid w:val="00002E6E"/>
    <w:rsid w:val="000031CE"/>
    <w:rsid w:val="0000323F"/>
    <w:rsid w:val="000032C8"/>
    <w:rsid w:val="00003499"/>
    <w:rsid w:val="00003506"/>
    <w:rsid w:val="000039B7"/>
    <w:rsid w:val="00003ABE"/>
    <w:rsid w:val="00003CAF"/>
    <w:rsid w:val="000040C7"/>
    <w:rsid w:val="000040EA"/>
    <w:rsid w:val="00004B66"/>
    <w:rsid w:val="00004B97"/>
    <w:rsid w:val="00004C98"/>
    <w:rsid w:val="000056B9"/>
    <w:rsid w:val="000057E7"/>
    <w:rsid w:val="00005862"/>
    <w:rsid w:val="00005D78"/>
    <w:rsid w:val="00005EE6"/>
    <w:rsid w:val="000060D9"/>
    <w:rsid w:val="000060F1"/>
    <w:rsid w:val="00006113"/>
    <w:rsid w:val="00006272"/>
    <w:rsid w:val="0000639A"/>
    <w:rsid w:val="00006731"/>
    <w:rsid w:val="00006814"/>
    <w:rsid w:val="00006883"/>
    <w:rsid w:val="000069DB"/>
    <w:rsid w:val="00006E2E"/>
    <w:rsid w:val="00007140"/>
    <w:rsid w:val="00007266"/>
    <w:rsid w:val="00007754"/>
    <w:rsid w:val="000079A4"/>
    <w:rsid w:val="00007A54"/>
    <w:rsid w:val="00007E18"/>
    <w:rsid w:val="00007ECA"/>
    <w:rsid w:val="00010109"/>
    <w:rsid w:val="00010195"/>
    <w:rsid w:val="00010462"/>
    <w:rsid w:val="000106AC"/>
    <w:rsid w:val="00010D28"/>
    <w:rsid w:val="00010FB4"/>
    <w:rsid w:val="00010FBA"/>
    <w:rsid w:val="00011005"/>
    <w:rsid w:val="0001111E"/>
    <w:rsid w:val="00011376"/>
    <w:rsid w:val="00011389"/>
    <w:rsid w:val="000114D6"/>
    <w:rsid w:val="00011511"/>
    <w:rsid w:val="0001169E"/>
    <w:rsid w:val="0001197D"/>
    <w:rsid w:val="00011D36"/>
    <w:rsid w:val="00011DCC"/>
    <w:rsid w:val="000121A3"/>
    <w:rsid w:val="000122CE"/>
    <w:rsid w:val="000125A3"/>
    <w:rsid w:val="00012B08"/>
    <w:rsid w:val="00012C4D"/>
    <w:rsid w:val="00012EC2"/>
    <w:rsid w:val="00013247"/>
    <w:rsid w:val="000133FB"/>
    <w:rsid w:val="00013D97"/>
    <w:rsid w:val="000147E6"/>
    <w:rsid w:val="0001511E"/>
    <w:rsid w:val="00015478"/>
    <w:rsid w:val="000154CB"/>
    <w:rsid w:val="00015639"/>
    <w:rsid w:val="000156C1"/>
    <w:rsid w:val="00015886"/>
    <w:rsid w:val="00016244"/>
    <w:rsid w:val="000162EF"/>
    <w:rsid w:val="00017369"/>
    <w:rsid w:val="000176FD"/>
    <w:rsid w:val="00017A32"/>
    <w:rsid w:val="00017C00"/>
    <w:rsid w:val="00017FA7"/>
    <w:rsid w:val="000207C9"/>
    <w:rsid w:val="0002081F"/>
    <w:rsid w:val="00020A47"/>
    <w:rsid w:val="00020DFA"/>
    <w:rsid w:val="00020F33"/>
    <w:rsid w:val="000211CC"/>
    <w:rsid w:val="00021A13"/>
    <w:rsid w:val="00021D0A"/>
    <w:rsid w:val="0002225F"/>
    <w:rsid w:val="0002280B"/>
    <w:rsid w:val="00022D08"/>
    <w:rsid w:val="00022D85"/>
    <w:rsid w:val="0002310A"/>
    <w:rsid w:val="00023763"/>
    <w:rsid w:val="00023BA8"/>
    <w:rsid w:val="00023D6A"/>
    <w:rsid w:val="00024320"/>
    <w:rsid w:val="00024CBD"/>
    <w:rsid w:val="00024EB5"/>
    <w:rsid w:val="00024F93"/>
    <w:rsid w:val="00025061"/>
    <w:rsid w:val="00025166"/>
    <w:rsid w:val="00025351"/>
    <w:rsid w:val="00025546"/>
    <w:rsid w:val="00025A08"/>
    <w:rsid w:val="00025A72"/>
    <w:rsid w:val="0002645D"/>
    <w:rsid w:val="000264AA"/>
    <w:rsid w:val="000266A8"/>
    <w:rsid w:val="00026753"/>
    <w:rsid w:val="00026CF5"/>
    <w:rsid w:val="00026D09"/>
    <w:rsid w:val="00026D2A"/>
    <w:rsid w:val="00026D73"/>
    <w:rsid w:val="000274B8"/>
    <w:rsid w:val="000275F3"/>
    <w:rsid w:val="00027882"/>
    <w:rsid w:val="00030164"/>
    <w:rsid w:val="00030177"/>
    <w:rsid w:val="00030201"/>
    <w:rsid w:val="00030530"/>
    <w:rsid w:val="0003054B"/>
    <w:rsid w:val="0003058A"/>
    <w:rsid w:val="0003072B"/>
    <w:rsid w:val="0003074A"/>
    <w:rsid w:val="00030A70"/>
    <w:rsid w:val="00030C7D"/>
    <w:rsid w:val="00030CD4"/>
    <w:rsid w:val="0003120C"/>
    <w:rsid w:val="0003156A"/>
    <w:rsid w:val="00031683"/>
    <w:rsid w:val="00031846"/>
    <w:rsid w:val="00031873"/>
    <w:rsid w:val="00031911"/>
    <w:rsid w:val="00031CF7"/>
    <w:rsid w:val="00032245"/>
    <w:rsid w:val="00032373"/>
    <w:rsid w:val="00033553"/>
    <w:rsid w:val="00033863"/>
    <w:rsid w:val="00033A04"/>
    <w:rsid w:val="00033FCD"/>
    <w:rsid w:val="0003447E"/>
    <w:rsid w:val="000345BD"/>
    <w:rsid w:val="00034875"/>
    <w:rsid w:val="00034B25"/>
    <w:rsid w:val="00034E1B"/>
    <w:rsid w:val="000352A9"/>
    <w:rsid w:val="00035313"/>
    <w:rsid w:val="00035A74"/>
    <w:rsid w:val="00035B1D"/>
    <w:rsid w:val="00035DC0"/>
    <w:rsid w:val="000362E9"/>
    <w:rsid w:val="000365DC"/>
    <w:rsid w:val="00036829"/>
    <w:rsid w:val="00036868"/>
    <w:rsid w:val="000369F3"/>
    <w:rsid w:val="00036A92"/>
    <w:rsid w:val="00036B8C"/>
    <w:rsid w:val="00036E32"/>
    <w:rsid w:val="00036FC0"/>
    <w:rsid w:val="00037005"/>
    <w:rsid w:val="000373CC"/>
    <w:rsid w:val="00037519"/>
    <w:rsid w:val="00037612"/>
    <w:rsid w:val="00037A83"/>
    <w:rsid w:val="00037DE7"/>
    <w:rsid w:val="0004041E"/>
    <w:rsid w:val="0004045E"/>
    <w:rsid w:val="000405D2"/>
    <w:rsid w:val="00040895"/>
    <w:rsid w:val="0004097E"/>
    <w:rsid w:val="00040A71"/>
    <w:rsid w:val="000410A0"/>
    <w:rsid w:val="00041446"/>
    <w:rsid w:val="0004198D"/>
    <w:rsid w:val="00041C33"/>
    <w:rsid w:val="00041E7B"/>
    <w:rsid w:val="00041E7D"/>
    <w:rsid w:val="0004222A"/>
    <w:rsid w:val="00042359"/>
    <w:rsid w:val="000423F8"/>
    <w:rsid w:val="00042712"/>
    <w:rsid w:val="000427AD"/>
    <w:rsid w:val="000429AB"/>
    <w:rsid w:val="00042AA9"/>
    <w:rsid w:val="00042E6B"/>
    <w:rsid w:val="00042F79"/>
    <w:rsid w:val="00043142"/>
    <w:rsid w:val="000435EE"/>
    <w:rsid w:val="00043688"/>
    <w:rsid w:val="00043C37"/>
    <w:rsid w:val="00044181"/>
    <w:rsid w:val="000448DE"/>
    <w:rsid w:val="000448FE"/>
    <w:rsid w:val="000449A3"/>
    <w:rsid w:val="00044A50"/>
    <w:rsid w:val="00044BC2"/>
    <w:rsid w:val="00044E78"/>
    <w:rsid w:val="00044F20"/>
    <w:rsid w:val="00045017"/>
    <w:rsid w:val="0004513C"/>
    <w:rsid w:val="000451C5"/>
    <w:rsid w:val="0004520C"/>
    <w:rsid w:val="00045A2B"/>
    <w:rsid w:val="00045C23"/>
    <w:rsid w:val="00045D02"/>
    <w:rsid w:val="00045DBB"/>
    <w:rsid w:val="00045F89"/>
    <w:rsid w:val="00046214"/>
    <w:rsid w:val="0004666B"/>
    <w:rsid w:val="000467ED"/>
    <w:rsid w:val="0004698F"/>
    <w:rsid w:val="00046D64"/>
    <w:rsid w:val="00046F4D"/>
    <w:rsid w:val="00047127"/>
    <w:rsid w:val="000474EC"/>
    <w:rsid w:val="00047540"/>
    <w:rsid w:val="00047E1E"/>
    <w:rsid w:val="00050023"/>
    <w:rsid w:val="0005019A"/>
    <w:rsid w:val="0005074D"/>
    <w:rsid w:val="0005076E"/>
    <w:rsid w:val="000508C2"/>
    <w:rsid w:val="000508EC"/>
    <w:rsid w:val="00050981"/>
    <w:rsid w:val="00050983"/>
    <w:rsid w:val="00050BE0"/>
    <w:rsid w:val="00050DAD"/>
    <w:rsid w:val="00050F01"/>
    <w:rsid w:val="00051128"/>
    <w:rsid w:val="0005129E"/>
    <w:rsid w:val="000513DB"/>
    <w:rsid w:val="00051451"/>
    <w:rsid w:val="000516E8"/>
    <w:rsid w:val="0005191E"/>
    <w:rsid w:val="00051C13"/>
    <w:rsid w:val="00051E47"/>
    <w:rsid w:val="00052E9B"/>
    <w:rsid w:val="000535D4"/>
    <w:rsid w:val="000539D0"/>
    <w:rsid w:val="00053B04"/>
    <w:rsid w:val="00053E79"/>
    <w:rsid w:val="00054038"/>
    <w:rsid w:val="000540C8"/>
    <w:rsid w:val="00054621"/>
    <w:rsid w:val="000546D7"/>
    <w:rsid w:val="000547F9"/>
    <w:rsid w:val="000548E5"/>
    <w:rsid w:val="00054A8D"/>
    <w:rsid w:val="00054E7D"/>
    <w:rsid w:val="000552A2"/>
    <w:rsid w:val="00055382"/>
    <w:rsid w:val="00055383"/>
    <w:rsid w:val="0005539B"/>
    <w:rsid w:val="0005558D"/>
    <w:rsid w:val="00055B57"/>
    <w:rsid w:val="00055BE1"/>
    <w:rsid w:val="00055CCD"/>
    <w:rsid w:val="000560B4"/>
    <w:rsid w:val="000560B8"/>
    <w:rsid w:val="000560C8"/>
    <w:rsid w:val="00056ECF"/>
    <w:rsid w:val="00057414"/>
    <w:rsid w:val="000574F2"/>
    <w:rsid w:val="00057861"/>
    <w:rsid w:val="00057921"/>
    <w:rsid w:val="00057AA9"/>
    <w:rsid w:val="00057C31"/>
    <w:rsid w:val="00057D6E"/>
    <w:rsid w:val="00057DCF"/>
    <w:rsid w:val="00057E4B"/>
    <w:rsid w:val="00057E5E"/>
    <w:rsid w:val="0006002C"/>
    <w:rsid w:val="000600B0"/>
    <w:rsid w:val="000601D9"/>
    <w:rsid w:val="000603A4"/>
    <w:rsid w:val="000603E1"/>
    <w:rsid w:val="000604DF"/>
    <w:rsid w:val="00060678"/>
    <w:rsid w:val="00060BE5"/>
    <w:rsid w:val="00060C47"/>
    <w:rsid w:val="00060C70"/>
    <w:rsid w:val="000612B1"/>
    <w:rsid w:val="000614DC"/>
    <w:rsid w:val="00061B99"/>
    <w:rsid w:val="00061CA5"/>
    <w:rsid w:val="00061CC7"/>
    <w:rsid w:val="00061D11"/>
    <w:rsid w:val="00061D3B"/>
    <w:rsid w:val="00061E96"/>
    <w:rsid w:val="00062053"/>
    <w:rsid w:val="00062487"/>
    <w:rsid w:val="000624A9"/>
    <w:rsid w:val="00062687"/>
    <w:rsid w:val="000628AD"/>
    <w:rsid w:val="000628BE"/>
    <w:rsid w:val="000629D4"/>
    <w:rsid w:val="00062ADC"/>
    <w:rsid w:val="00062ECE"/>
    <w:rsid w:val="00062F91"/>
    <w:rsid w:val="00063352"/>
    <w:rsid w:val="0006350F"/>
    <w:rsid w:val="0006393B"/>
    <w:rsid w:val="00063A6E"/>
    <w:rsid w:val="00063C00"/>
    <w:rsid w:val="00063C7B"/>
    <w:rsid w:val="00063DF7"/>
    <w:rsid w:val="00063E0C"/>
    <w:rsid w:val="000640D1"/>
    <w:rsid w:val="00064248"/>
    <w:rsid w:val="00064A26"/>
    <w:rsid w:val="00064B44"/>
    <w:rsid w:val="00064B82"/>
    <w:rsid w:val="00064D8D"/>
    <w:rsid w:val="00064FE1"/>
    <w:rsid w:val="00065052"/>
    <w:rsid w:val="000650A5"/>
    <w:rsid w:val="000650DE"/>
    <w:rsid w:val="00065362"/>
    <w:rsid w:val="000653B5"/>
    <w:rsid w:val="00065651"/>
    <w:rsid w:val="00065A50"/>
    <w:rsid w:val="00065FC6"/>
    <w:rsid w:val="00065FC8"/>
    <w:rsid w:val="00066360"/>
    <w:rsid w:val="00066431"/>
    <w:rsid w:val="00066631"/>
    <w:rsid w:val="00066AF8"/>
    <w:rsid w:val="00066C26"/>
    <w:rsid w:val="00066D1E"/>
    <w:rsid w:val="00066D4B"/>
    <w:rsid w:val="00066E5C"/>
    <w:rsid w:val="00066F06"/>
    <w:rsid w:val="000673A7"/>
    <w:rsid w:val="00067486"/>
    <w:rsid w:val="0006777B"/>
    <w:rsid w:val="000678DC"/>
    <w:rsid w:val="00067B04"/>
    <w:rsid w:val="00067C9B"/>
    <w:rsid w:val="00067E67"/>
    <w:rsid w:val="0007029A"/>
    <w:rsid w:val="0007054F"/>
    <w:rsid w:val="000705E9"/>
    <w:rsid w:val="00070822"/>
    <w:rsid w:val="00070B61"/>
    <w:rsid w:val="00070E71"/>
    <w:rsid w:val="0007111C"/>
    <w:rsid w:val="00071248"/>
    <w:rsid w:val="000713C7"/>
    <w:rsid w:val="00071ADA"/>
    <w:rsid w:val="00071F45"/>
    <w:rsid w:val="00071F4A"/>
    <w:rsid w:val="000720A7"/>
    <w:rsid w:val="000720B9"/>
    <w:rsid w:val="000726AC"/>
    <w:rsid w:val="00072B3F"/>
    <w:rsid w:val="00072C6E"/>
    <w:rsid w:val="0007311D"/>
    <w:rsid w:val="000733F8"/>
    <w:rsid w:val="000736D5"/>
    <w:rsid w:val="000737F7"/>
    <w:rsid w:val="0007388A"/>
    <w:rsid w:val="00073A07"/>
    <w:rsid w:val="00073AF3"/>
    <w:rsid w:val="00073D74"/>
    <w:rsid w:val="000740AD"/>
    <w:rsid w:val="000745CE"/>
    <w:rsid w:val="00074F2B"/>
    <w:rsid w:val="00075A26"/>
    <w:rsid w:val="00075EA6"/>
    <w:rsid w:val="000761CB"/>
    <w:rsid w:val="000762DA"/>
    <w:rsid w:val="00076403"/>
    <w:rsid w:val="0007672F"/>
    <w:rsid w:val="00076787"/>
    <w:rsid w:val="00076B54"/>
    <w:rsid w:val="00077045"/>
    <w:rsid w:val="00077457"/>
    <w:rsid w:val="000774F0"/>
    <w:rsid w:val="00077676"/>
    <w:rsid w:val="000776FD"/>
    <w:rsid w:val="0007788C"/>
    <w:rsid w:val="00077C1E"/>
    <w:rsid w:val="00077DB9"/>
    <w:rsid w:val="00080024"/>
    <w:rsid w:val="0008007D"/>
    <w:rsid w:val="00080134"/>
    <w:rsid w:val="0008025A"/>
    <w:rsid w:val="00080317"/>
    <w:rsid w:val="00080324"/>
    <w:rsid w:val="000804B9"/>
    <w:rsid w:val="000807E4"/>
    <w:rsid w:val="00080806"/>
    <w:rsid w:val="0008087B"/>
    <w:rsid w:val="00080909"/>
    <w:rsid w:val="0008097B"/>
    <w:rsid w:val="00080A2B"/>
    <w:rsid w:val="00080CE7"/>
    <w:rsid w:val="00080FBF"/>
    <w:rsid w:val="00080FCF"/>
    <w:rsid w:val="000812CA"/>
    <w:rsid w:val="000814DA"/>
    <w:rsid w:val="00081540"/>
    <w:rsid w:val="0008165C"/>
    <w:rsid w:val="000816A5"/>
    <w:rsid w:val="00081793"/>
    <w:rsid w:val="000817C2"/>
    <w:rsid w:val="0008185C"/>
    <w:rsid w:val="00081A41"/>
    <w:rsid w:val="00081BCF"/>
    <w:rsid w:val="00081E63"/>
    <w:rsid w:val="00082205"/>
    <w:rsid w:val="000822D3"/>
    <w:rsid w:val="00082546"/>
    <w:rsid w:val="0008258D"/>
    <w:rsid w:val="000826B9"/>
    <w:rsid w:val="00082821"/>
    <w:rsid w:val="0008297E"/>
    <w:rsid w:val="00082F1C"/>
    <w:rsid w:val="00083049"/>
    <w:rsid w:val="0008313E"/>
    <w:rsid w:val="00083255"/>
    <w:rsid w:val="000837EB"/>
    <w:rsid w:val="000837F9"/>
    <w:rsid w:val="00083C42"/>
    <w:rsid w:val="00083CC5"/>
    <w:rsid w:val="00083E99"/>
    <w:rsid w:val="00083EC5"/>
    <w:rsid w:val="000844A3"/>
    <w:rsid w:val="00084645"/>
    <w:rsid w:val="000846CD"/>
    <w:rsid w:val="00084800"/>
    <w:rsid w:val="0008485E"/>
    <w:rsid w:val="00084AFC"/>
    <w:rsid w:val="00084C5A"/>
    <w:rsid w:val="00084EAD"/>
    <w:rsid w:val="00084FA8"/>
    <w:rsid w:val="0008526F"/>
    <w:rsid w:val="00085308"/>
    <w:rsid w:val="0008566E"/>
    <w:rsid w:val="000856C5"/>
    <w:rsid w:val="00085904"/>
    <w:rsid w:val="00085C31"/>
    <w:rsid w:val="00085C3A"/>
    <w:rsid w:val="00085D37"/>
    <w:rsid w:val="00085DDC"/>
    <w:rsid w:val="00085DEB"/>
    <w:rsid w:val="0008603A"/>
    <w:rsid w:val="00086344"/>
    <w:rsid w:val="00086556"/>
    <w:rsid w:val="0008683D"/>
    <w:rsid w:val="00086A6C"/>
    <w:rsid w:val="00086DC4"/>
    <w:rsid w:val="00087A4C"/>
    <w:rsid w:val="00090146"/>
    <w:rsid w:val="000902D9"/>
    <w:rsid w:val="000907A0"/>
    <w:rsid w:val="000907E1"/>
    <w:rsid w:val="00090C7E"/>
    <w:rsid w:val="00090EA3"/>
    <w:rsid w:val="000910EE"/>
    <w:rsid w:val="0009114B"/>
    <w:rsid w:val="000911AC"/>
    <w:rsid w:val="0009123B"/>
    <w:rsid w:val="0009169A"/>
    <w:rsid w:val="00091C2B"/>
    <w:rsid w:val="00092017"/>
    <w:rsid w:val="00092071"/>
    <w:rsid w:val="0009256C"/>
    <w:rsid w:val="00092600"/>
    <w:rsid w:val="0009262B"/>
    <w:rsid w:val="00093310"/>
    <w:rsid w:val="00093746"/>
    <w:rsid w:val="000937CF"/>
    <w:rsid w:val="00093A43"/>
    <w:rsid w:val="00093AF6"/>
    <w:rsid w:val="0009404A"/>
    <w:rsid w:val="000941EB"/>
    <w:rsid w:val="0009445C"/>
    <w:rsid w:val="00094981"/>
    <w:rsid w:val="00094C4B"/>
    <w:rsid w:val="00094DB2"/>
    <w:rsid w:val="00094DBF"/>
    <w:rsid w:val="00094F14"/>
    <w:rsid w:val="0009503D"/>
    <w:rsid w:val="00095200"/>
    <w:rsid w:val="000954FC"/>
    <w:rsid w:val="00095808"/>
    <w:rsid w:val="000958E4"/>
    <w:rsid w:val="000959F5"/>
    <w:rsid w:val="00095A67"/>
    <w:rsid w:val="00095FE5"/>
    <w:rsid w:val="00095FF0"/>
    <w:rsid w:val="000961BE"/>
    <w:rsid w:val="00096284"/>
    <w:rsid w:val="0009672D"/>
    <w:rsid w:val="000967C7"/>
    <w:rsid w:val="000969FB"/>
    <w:rsid w:val="00096ABE"/>
    <w:rsid w:val="00096CAE"/>
    <w:rsid w:val="000971DF"/>
    <w:rsid w:val="00097312"/>
    <w:rsid w:val="00097347"/>
    <w:rsid w:val="00097664"/>
    <w:rsid w:val="0009783C"/>
    <w:rsid w:val="00097DDE"/>
    <w:rsid w:val="000A0042"/>
    <w:rsid w:val="000A0095"/>
    <w:rsid w:val="000A024B"/>
    <w:rsid w:val="000A0629"/>
    <w:rsid w:val="000A08EC"/>
    <w:rsid w:val="000A0A81"/>
    <w:rsid w:val="000A101C"/>
    <w:rsid w:val="000A1734"/>
    <w:rsid w:val="000A1839"/>
    <w:rsid w:val="000A1BC0"/>
    <w:rsid w:val="000A1BCF"/>
    <w:rsid w:val="000A251F"/>
    <w:rsid w:val="000A278D"/>
    <w:rsid w:val="000A2B8B"/>
    <w:rsid w:val="000A2B9B"/>
    <w:rsid w:val="000A2C52"/>
    <w:rsid w:val="000A2E15"/>
    <w:rsid w:val="000A2E96"/>
    <w:rsid w:val="000A2F9E"/>
    <w:rsid w:val="000A322B"/>
    <w:rsid w:val="000A3249"/>
    <w:rsid w:val="000A3500"/>
    <w:rsid w:val="000A3A15"/>
    <w:rsid w:val="000A3BFB"/>
    <w:rsid w:val="000A3E47"/>
    <w:rsid w:val="000A3F13"/>
    <w:rsid w:val="000A3F78"/>
    <w:rsid w:val="000A4116"/>
    <w:rsid w:val="000A44C1"/>
    <w:rsid w:val="000A4678"/>
    <w:rsid w:val="000A46A2"/>
    <w:rsid w:val="000A4745"/>
    <w:rsid w:val="000A4AA3"/>
    <w:rsid w:val="000A4AFD"/>
    <w:rsid w:val="000A4D9C"/>
    <w:rsid w:val="000A50CD"/>
    <w:rsid w:val="000A522B"/>
    <w:rsid w:val="000A5457"/>
    <w:rsid w:val="000A5463"/>
    <w:rsid w:val="000A576E"/>
    <w:rsid w:val="000A591F"/>
    <w:rsid w:val="000A59D4"/>
    <w:rsid w:val="000A5A85"/>
    <w:rsid w:val="000A5D21"/>
    <w:rsid w:val="000A6030"/>
    <w:rsid w:val="000A6039"/>
    <w:rsid w:val="000A65EE"/>
    <w:rsid w:val="000A6BAC"/>
    <w:rsid w:val="000A7131"/>
    <w:rsid w:val="000A72A0"/>
    <w:rsid w:val="000A732C"/>
    <w:rsid w:val="000A744C"/>
    <w:rsid w:val="000A7453"/>
    <w:rsid w:val="000A7658"/>
    <w:rsid w:val="000A7670"/>
    <w:rsid w:val="000A7732"/>
    <w:rsid w:val="000A7825"/>
    <w:rsid w:val="000A7C50"/>
    <w:rsid w:val="000A7D08"/>
    <w:rsid w:val="000A7F36"/>
    <w:rsid w:val="000B0121"/>
    <w:rsid w:val="000B014A"/>
    <w:rsid w:val="000B035F"/>
    <w:rsid w:val="000B05F3"/>
    <w:rsid w:val="000B0670"/>
    <w:rsid w:val="000B06B1"/>
    <w:rsid w:val="000B07A5"/>
    <w:rsid w:val="000B07D9"/>
    <w:rsid w:val="000B08AE"/>
    <w:rsid w:val="000B0E75"/>
    <w:rsid w:val="000B1038"/>
    <w:rsid w:val="000B12C9"/>
    <w:rsid w:val="000B1A6B"/>
    <w:rsid w:val="000B1B8D"/>
    <w:rsid w:val="000B1B96"/>
    <w:rsid w:val="000B2017"/>
    <w:rsid w:val="000B2089"/>
    <w:rsid w:val="000B2093"/>
    <w:rsid w:val="000B2489"/>
    <w:rsid w:val="000B261A"/>
    <w:rsid w:val="000B2DCB"/>
    <w:rsid w:val="000B2E03"/>
    <w:rsid w:val="000B2EAF"/>
    <w:rsid w:val="000B3F17"/>
    <w:rsid w:val="000B4239"/>
    <w:rsid w:val="000B4794"/>
    <w:rsid w:val="000B4BB6"/>
    <w:rsid w:val="000B5182"/>
    <w:rsid w:val="000B524D"/>
    <w:rsid w:val="000B566A"/>
    <w:rsid w:val="000B5873"/>
    <w:rsid w:val="000B5884"/>
    <w:rsid w:val="000B588D"/>
    <w:rsid w:val="000B5945"/>
    <w:rsid w:val="000B5CE0"/>
    <w:rsid w:val="000B6051"/>
    <w:rsid w:val="000B6559"/>
    <w:rsid w:val="000B667B"/>
    <w:rsid w:val="000B688A"/>
    <w:rsid w:val="000B68E7"/>
    <w:rsid w:val="000B6CAC"/>
    <w:rsid w:val="000B721A"/>
    <w:rsid w:val="000B7261"/>
    <w:rsid w:val="000B7612"/>
    <w:rsid w:val="000B78AE"/>
    <w:rsid w:val="000B78B2"/>
    <w:rsid w:val="000B79D7"/>
    <w:rsid w:val="000B7B5B"/>
    <w:rsid w:val="000C045F"/>
    <w:rsid w:val="000C0F36"/>
    <w:rsid w:val="000C1814"/>
    <w:rsid w:val="000C1ACA"/>
    <w:rsid w:val="000C1BD1"/>
    <w:rsid w:val="000C1BF1"/>
    <w:rsid w:val="000C24FF"/>
    <w:rsid w:val="000C2881"/>
    <w:rsid w:val="000C2A14"/>
    <w:rsid w:val="000C2B43"/>
    <w:rsid w:val="000C305A"/>
    <w:rsid w:val="000C3183"/>
    <w:rsid w:val="000C34FC"/>
    <w:rsid w:val="000C3706"/>
    <w:rsid w:val="000C38E7"/>
    <w:rsid w:val="000C3CC1"/>
    <w:rsid w:val="000C3DF9"/>
    <w:rsid w:val="000C402A"/>
    <w:rsid w:val="000C4495"/>
    <w:rsid w:val="000C479C"/>
    <w:rsid w:val="000C4CF2"/>
    <w:rsid w:val="000C507C"/>
    <w:rsid w:val="000C5488"/>
    <w:rsid w:val="000C56F8"/>
    <w:rsid w:val="000C5B13"/>
    <w:rsid w:val="000C5C67"/>
    <w:rsid w:val="000C5F9B"/>
    <w:rsid w:val="000C6260"/>
    <w:rsid w:val="000C6368"/>
    <w:rsid w:val="000C637C"/>
    <w:rsid w:val="000C6681"/>
    <w:rsid w:val="000C6713"/>
    <w:rsid w:val="000C6EB4"/>
    <w:rsid w:val="000C7113"/>
    <w:rsid w:val="000C72B3"/>
    <w:rsid w:val="000C78CD"/>
    <w:rsid w:val="000D0423"/>
    <w:rsid w:val="000D0489"/>
    <w:rsid w:val="000D05EF"/>
    <w:rsid w:val="000D0812"/>
    <w:rsid w:val="000D0837"/>
    <w:rsid w:val="000D1256"/>
    <w:rsid w:val="000D129C"/>
    <w:rsid w:val="000D12BE"/>
    <w:rsid w:val="000D1544"/>
    <w:rsid w:val="000D1607"/>
    <w:rsid w:val="000D189E"/>
    <w:rsid w:val="000D1BFC"/>
    <w:rsid w:val="000D1D4D"/>
    <w:rsid w:val="000D1D5D"/>
    <w:rsid w:val="000D1DB7"/>
    <w:rsid w:val="000D1F26"/>
    <w:rsid w:val="000D2148"/>
    <w:rsid w:val="000D24D1"/>
    <w:rsid w:val="000D2536"/>
    <w:rsid w:val="000D254B"/>
    <w:rsid w:val="000D281A"/>
    <w:rsid w:val="000D2848"/>
    <w:rsid w:val="000D29E7"/>
    <w:rsid w:val="000D2A65"/>
    <w:rsid w:val="000D2BDA"/>
    <w:rsid w:val="000D2F83"/>
    <w:rsid w:val="000D326A"/>
    <w:rsid w:val="000D3792"/>
    <w:rsid w:val="000D3859"/>
    <w:rsid w:val="000D38BB"/>
    <w:rsid w:val="000D3B73"/>
    <w:rsid w:val="000D3B94"/>
    <w:rsid w:val="000D3BE3"/>
    <w:rsid w:val="000D3CD3"/>
    <w:rsid w:val="000D4161"/>
    <w:rsid w:val="000D4178"/>
    <w:rsid w:val="000D4420"/>
    <w:rsid w:val="000D50F3"/>
    <w:rsid w:val="000D51CA"/>
    <w:rsid w:val="000D51FB"/>
    <w:rsid w:val="000D5587"/>
    <w:rsid w:val="000D55CB"/>
    <w:rsid w:val="000D5822"/>
    <w:rsid w:val="000D58D6"/>
    <w:rsid w:val="000D5981"/>
    <w:rsid w:val="000D5B67"/>
    <w:rsid w:val="000D6111"/>
    <w:rsid w:val="000D6969"/>
    <w:rsid w:val="000D6B95"/>
    <w:rsid w:val="000D6BAA"/>
    <w:rsid w:val="000D71E8"/>
    <w:rsid w:val="000D7227"/>
    <w:rsid w:val="000D72D4"/>
    <w:rsid w:val="000D777B"/>
    <w:rsid w:val="000D7823"/>
    <w:rsid w:val="000D7C2D"/>
    <w:rsid w:val="000D7F88"/>
    <w:rsid w:val="000E0145"/>
    <w:rsid w:val="000E0179"/>
    <w:rsid w:val="000E0640"/>
    <w:rsid w:val="000E08D0"/>
    <w:rsid w:val="000E0914"/>
    <w:rsid w:val="000E0BFA"/>
    <w:rsid w:val="000E0C2B"/>
    <w:rsid w:val="000E0DA5"/>
    <w:rsid w:val="000E0DD3"/>
    <w:rsid w:val="000E0F52"/>
    <w:rsid w:val="000E0F64"/>
    <w:rsid w:val="000E10AC"/>
    <w:rsid w:val="000E114A"/>
    <w:rsid w:val="000E12BC"/>
    <w:rsid w:val="000E135D"/>
    <w:rsid w:val="000E13D5"/>
    <w:rsid w:val="000E16BE"/>
    <w:rsid w:val="000E1753"/>
    <w:rsid w:val="000E185E"/>
    <w:rsid w:val="000E1AC0"/>
    <w:rsid w:val="000E1F47"/>
    <w:rsid w:val="000E2B1A"/>
    <w:rsid w:val="000E2B58"/>
    <w:rsid w:val="000E300E"/>
    <w:rsid w:val="000E3640"/>
    <w:rsid w:val="000E36EA"/>
    <w:rsid w:val="000E3BDD"/>
    <w:rsid w:val="000E3DE5"/>
    <w:rsid w:val="000E3E0D"/>
    <w:rsid w:val="000E40E8"/>
    <w:rsid w:val="000E4157"/>
    <w:rsid w:val="000E4483"/>
    <w:rsid w:val="000E4BC5"/>
    <w:rsid w:val="000E52A0"/>
    <w:rsid w:val="000E54F5"/>
    <w:rsid w:val="000E5956"/>
    <w:rsid w:val="000E5C05"/>
    <w:rsid w:val="000E5C87"/>
    <w:rsid w:val="000E5EC6"/>
    <w:rsid w:val="000E6252"/>
    <w:rsid w:val="000E632A"/>
    <w:rsid w:val="000E6831"/>
    <w:rsid w:val="000E6BD6"/>
    <w:rsid w:val="000E6D1B"/>
    <w:rsid w:val="000E6D29"/>
    <w:rsid w:val="000E6F5D"/>
    <w:rsid w:val="000E6F92"/>
    <w:rsid w:val="000E6FF2"/>
    <w:rsid w:val="000E7051"/>
    <w:rsid w:val="000E72E3"/>
    <w:rsid w:val="000E7B7F"/>
    <w:rsid w:val="000E7D8E"/>
    <w:rsid w:val="000F00BA"/>
    <w:rsid w:val="000F02A7"/>
    <w:rsid w:val="000F040E"/>
    <w:rsid w:val="000F082A"/>
    <w:rsid w:val="000F0A60"/>
    <w:rsid w:val="000F11AF"/>
    <w:rsid w:val="000F179C"/>
    <w:rsid w:val="000F1CA8"/>
    <w:rsid w:val="000F1FBF"/>
    <w:rsid w:val="000F207B"/>
    <w:rsid w:val="000F222D"/>
    <w:rsid w:val="000F23F2"/>
    <w:rsid w:val="000F2713"/>
    <w:rsid w:val="000F28A1"/>
    <w:rsid w:val="000F29DA"/>
    <w:rsid w:val="000F2F34"/>
    <w:rsid w:val="000F2F86"/>
    <w:rsid w:val="000F316A"/>
    <w:rsid w:val="000F31EC"/>
    <w:rsid w:val="000F32A3"/>
    <w:rsid w:val="000F333B"/>
    <w:rsid w:val="000F3347"/>
    <w:rsid w:val="000F3C74"/>
    <w:rsid w:val="000F4457"/>
    <w:rsid w:val="000F4BB8"/>
    <w:rsid w:val="000F4DBC"/>
    <w:rsid w:val="000F4FA9"/>
    <w:rsid w:val="000F53FB"/>
    <w:rsid w:val="000F5523"/>
    <w:rsid w:val="000F560C"/>
    <w:rsid w:val="000F560D"/>
    <w:rsid w:val="000F58D7"/>
    <w:rsid w:val="000F5D11"/>
    <w:rsid w:val="000F6075"/>
    <w:rsid w:val="000F64F5"/>
    <w:rsid w:val="000F697F"/>
    <w:rsid w:val="000F6A06"/>
    <w:rsid w:val="000F6B0E"/>
    <w:rsid w:val="000F6B37"/>
    <w:rsid w:val="000F6BD3"/>
    <w:rsid w:val="000F6C7D"/>
    <w:rsid w:val="000F6EFB"/>
    <w:rsid w:val="000F7127"/>
    <w:rsid w:val="000F712E"/>
    <w:rsid w:val="000F7153"/>
    <w:rsid w:val="000F725A"/>
    <w:rsid w:val="000F75DF"/>
    <w:rsid w:val="000F7791"/>
    <w:rsid w:val="000F77FE"/>
    <w:rsid w:val="000F7955"/>
    <w:rsid w:val="000F7B54"/>
    <w:rsid w:val="000F7DC2"/>
    <w:rsid w:val="001000B3"/>
    <w:rsid w:val="001001D7"/>
    <w:rsid w:val="00100327"/>
    <w:rsid w:val="001005B5"/>
    <w:rsid w:val="001006FD"/>
    <w:rsid w:val="0010077B"/>
    <w:rsid w:val="00100ECD"/>
    <w:rsid w:val="00100F88"/>
    <w:rsid w:val="00100F8A"/>
    <w:rsid w:val="0010160F"/>
    <w:rsid w:val="0010175A"/>
    <w:rsid w:val="001019A3"/>
    <w:rsid w:val="00101BF6"/>
    <w:rsid w:val="00101E34"/>
    <w:rsid w:val="00101F1B"/>
    <w:rsid w:val="00102256"/>
    <w:rsid w:val="001022A1"/>
    <w:rsid w:val="001028E4"/>
    <w:rsid w:val="00102BAD"/>
    <w:rsid w:val="00102DCB"/>
    <w:rsid w:val="00103135"/>
    <w:rsid w:val="00103AD0"/>
    <w:rsid w:val="001040D3"/>
    <w:rsid w:val="001041DE"/>
    <w:rsid w:val="001043A0"/>
    <w:rsid w:val="0010447A"/>
    <w:rsid w:val="0010452E"/>
    <w:rsid w:val="00104887"/>
    <w:rsid w:val="00105009"/>
    <w:rsid w:val="001052B6"/>
    <w:rsid w:val="00105370"/>
    <w:rsid w:val="0010570F"/>
    <w:rsid w:val="00105977"/>
    <w:rsid w:val="00105AE2"/>
    <w:rsid w:val="00105F7A"/>
    <w:rsid w:val="001060C6"/>
    <w:rsid w:val="00106311"/>
    <w:rsid w:val="00106779"/>
    <w:rsid w:val="00106957"/>
    <w:rsid w:val="00106A65"/>
    <w:rsid w:val="00106B80"/>
    <w:rsid w:val="00107019"/>
    <w:rsid w:val="001070DE"/>
    <w:rsid w:val="0010731C"/>
    <w:rsid w:val="0010778D"/>
    <w:rsid w:val="00107813"/>
    <w:rsid w:val="00107B13"/>
    <w:rsid w:val="00107C76"/>
    <w:rsid w:val="00107E59"/>
    <w:rsid w:val="00110287"/>
    <w:rsid w:val="0011032E"/>
    <w:rsid w:val="00110351"/>
    <w:rsid w:val="00110650"/>
    <w:rsid w:val="00110784"/>
    <w:rsid w:val="00110D32"/>
    <w:rsid w:val="001111F8"/>
    <w:rsid w:val="00111232"/>
    <w:rsid w:val="00111273"/>
    <w:rsid w:val="0011149B"/>
    <w:rsid w:val="001114A7"/>
    <w:rsid w:val="001114AE"/>
    <w:rsid w:val="001117D7"/>
    <w:rsid w:val="00111F75"/>
    <w:rsid w:val="00112076"/>
    <w:rsid w:val="001120F2"/>
    <w:rsid w:val="00112295"/>
    <w:rsid w:val="0011240F"/>
    <w:rsid w:val="001124BF"/>
    <w:rsid w:val="0011290B"/>
    <w:rsid w:val="00112B08"/>
    <w:rsid w:val="001131DD"/>
    <w:rsid w:val="00113472"/>
    <w:rsid w:val="0011348B"/>
    <w:rsid w:val="00113610"/>
    <w:rsid w:val="0011388B"/>
    <w:rsid w:val="00113E06"/>
    <w:rsid w:val="0011432E"/>
    <w:rsid w:val="001149B9"/>
    <w:rsid w:val="00114B0D"/>
    <w:rsid w:val="00114C17"/>
    <w:rsid w:val="00114F44"/>
    <w:rsid w:val="0011507E"/>
    <w:rsid w:val="00115982"/>
    <w:rsid w:val="00116317"/>
    <w:rsid w:val="00116616"/>
    <w:rsid w:val="00116634"/>
    <w:rsid w:val="001167A8"/>
    <w:rsid w:val="001167D9"/>
    <w:rsid w:val="00116C53"/>
    <w:rsid w:val="001174DC"/>
    <w:rsid w:val="00117518"/>
    <w:rsid w:val="0011754A"/>
    <w:rsid w:val="0011779F"/>
    <w:rsid w:val="001179EE"/>
    <w:rsid w:val="00117A9F"/>
    <w:rsid w:val="00117E5B"/>
    <w:rsid w:val="00117EE1"/>
    <w:rsid w:val="00120269"/>
    <w:rsid w:val="0012033F"/>
    <w:rsid w:val="0012037F"/>
    <w:rsid w:val="001203B1"/>
    <w:rsid w:val="0012060C"/>
    <w:rsid w:val="001206E0"/>
    <w:rsid w:val="00120A59"/>
    <w:rsid w:val="00120ABD"/>
    <w:rsid w:val="00120D57"/>
    <w:rsid w:val="00120E87"/>
    <w:rsid w:val="00120FEE"/>
    <w:rsid w:val="0012121A"/>
    <w:rsid w:val="00121396"/>
    <w:rsid w:val="00121799"/>
    <w:rsid w:val="001218F3"/>
    <w:rsid w:val="001222DA"/>
    <w:rsid w:val="001222FC"/>
    <w:rsid w:val="0012239B"/>
    <w:rsid w:val="00122984"/>
    <w:rsid w:val="0012310A"/>
    <w:rsid w:val="00123152"/>
    <w:rsid w:val="00123221"/>
    <w:rsid w:val="00123572"/>
    <w:rsid w:val="001235D0"/>
    <w:rsid w:val="001236DD"/>
    <w:rsid w:val="00123820"/>
    <w:rsid w:val="00123902"/>
    <w:rsid w:val="00123A73"/>
    <w:rsid w:val="00123B46"/>
    <w:rsid w:val="00123C35"/>
    <w:rsid w:val="00123F3A"/>
    <w:rsid w:val="00124457"/>
    <w:rsid w:val="00124745"/>
    <w:rsid w:val="001248CE"/>
    <w:rsid w:val="00124A51"/>
    <w:rsid w:val="00124C0A"/>
    <w:rsid w:val="00125003"/>
    <w:rsid w:val="00125053"/>
    <w:rsid w:val="001252CC"/>
    <w:rsid w:val="0012554B"/>
    <w:rsid w:val="0012577D"/>
    <w:rsid w:val="00125D5E"/>
    <w:rsid w:val="0012628F"/>
    <w:rsid w:val="00126403"/>
    <w:rsid w:val="00126621"/>
    <w:rsid w:val="001269E4"/>
    <w:rsid w:val="001269EB"/>
    <w:rsid w:val="00126B09"/>
    <w:rsid w:val="00126B1D"/>
    <w:rsid w:val="00126C10"/>
    <w:rsid w:val="00126D70"/>
    <w:rsid w:val="00126DF1"/>
    <w:rsid w:val="00127232"/>
    <w:rsid w:val="00127913"/>
    <w:rsid w:val="00127FD7"/>
    <w:rsid w:val="001301E9"/>
    <w:rsid w:val="00130490"/>
    <w:rsid w:val="00130885"/>
    <w:rsid w:val="001309D8"/>
    <w:rsid w:val="00130B73"/>
    <w:rsid w:val="00130D0C"/>
    <w:rsid w:val="00130DD1"/>
    <w:rsid w:val="00130EE5"/>
    <w:rsid w:val="00130F1A"/>
    <w:rsid w:val="00130F88"/>
    <w:rsid w:val="00130FD7"/>
    <w:rsid w:val="001311B5"/>
    <w:rsid w:val="001311FC"/>
    <w:rsid w:val="001312C0"/>
    <w:rsid w:val="00131521"/>
    <w:rsid w:val="001316B3"/>
    <w:rsid w:val="00131CDF"/>
    <w:rsid w:val="00131D82"/>
    <w:rsid w:val="00131DFA"/>
    <w:rsid w:val="00132046"/>
    <w:rsid w:val="001320FC"/>
    <w:rsid w:val="001329B2"/>
    <w:rsid w:val="00132AD1"/>
    <w:rsid w:val="00132B22"/>
    <w:rsid w:val="00132E76"/>
    <w:rsid w:val="00132F29"/>
    <w:rsid w:val="0013348F"/>
    <w:rsid w:val="00133866"/>
    <w:rsid w:val="00133C20"/>
    <w:rsid w:val="00133D36"/>
    <w:rsid w:val="00133D69"/>
    <w:rsid w:val="00134108"/>
    <w:rsid w:val="00134574"/>
    <w:rsid w:val="001346A2"/>
    <w:rsid w:val="00134FFB"/>
    <w:rsid w:val="0013523C"/>
    <w:rsid w:val="0013528A"/>
    <w:rsid w:val="0013550C"/>
    <w:rsid w:val="00135519"/>
    <w:rsid w:val="0013556D"/>
    <w:rsid w:val="00135C7F"/>
    <w:rsid w:val="00135ED9"/>
    <w:rsid w:val="0013600E"/>
    <w:rsid w:val="00136413"/>
    <w:rsid w:val="001365C2"/>
    <w:rsid w:val="001367EF"/>
    <w:rsid w:val="00136C2D"/>
    <w:rsid w:val="00136E9B"/>
    <w:rsid w:val="00136FA7"/>
    <w:rsid w:val="00137072"/>
    <w:rsid w:val="001371CF"/>
    <w:rsid w:val="001372C8"/>
    <w:rsid w:val="0013732E"/>
    <w:rsid w:val="001375CE"/>
    <w:rsid w:val="00137645"/>
    <w:rsid w:val="001377B8"/>
    <w:rsid w:val="00137CB2"/>
    <w:rsid w:val="00137E3E"/>
    <w:rsid w:val="0014015A"/>
    <w:rsid w:val="001404D0"/>
    <w:rsid w:val="0014084B"/>
    <w:rsid w:val="00140902"/>
    <w:rsid w:val="00140927"/>
    <w:rsid w:val="00140D14"/>
    <w:rsid w:val="00140E99"/>
    <w:rsid w:val="00141314"/>
    <w:rsid w:val="001416EF"/>
    <w:rsid w:val="00141B8E"/>
    <w:rsid w:val="001422AF"/>
    <w:rsid w:val="00142430"/>
    <w:rsid w:val="001425DF"/>
    <w:rsid w:val="00142645"/>
    <w:rsid w:val="001426EE"/>
    <w:rsid w:val="00142769"/>
    <w:rsid w:val="00142AB2"/>
    <w:rsid w:val="00142DB7"/>
    <w:rsid w:val="00142DD3"/>
    <w:rsid w:val="00142E7F"/>
    <w:rsid w:val="001434A8"/>
    <w:rsid w:val="00143745"/>
    <w:rsid w:val="001437A8"/>
    <w:rsid w:val="00143A27"/>
    <w:rsid w:val="00143A78"/>
    <w:rsid w:val="00143C12"/>
    <w:rsid w:val="00143EDD"/>
    <w:rsid w:val="00143F67"/>
    <w:rsid w:val="00144377"/>
    <w:rsid w:val="00144904"/>
    <w:rsid w:val="001449EE"/>
    <w:rsid w:val="00144E9C"/>
    <w:rsid w:val="0014508E"/>
    <w:rsid w:val="0014518A"/>
    <w:rsid w:val="00145234"/>
    <w:rsid w:val="00145540"/>
    <w:rsid w:val="001456B0"/>
    <w:rsid w:val="001456EE"/>
    <w:rsid w:val="00145827"/>
    <w:rsid w:val="0014585F"/>
    <w:rsid w:val="00145B62"/>
    <w:rsid w:val="00146105"/>
    <w:rsid w:val="001466BA"/>
    <w:rsid w:val="001466E4"/>
    <w:rsid w:val="00146C92"/>
    <w:rsid w:val="00146DF2"/>
    <w:rsid w:val="00146DF9"/>
    <w:rsid w:val="001471A9"/>
    <w:rsid w:val="0014755D"/>
    <w:rsid w:val="0014789A"/>
    <w:rsid w:val="00147932"/>
    <w:rsid w:val="001500D7"/>
    <w:rsid w:val="0015031F"/>
    <w:rsid w:val="001503F1"/>
    <w:rsid w:val="00150491"/>
    <w:rsid w:val="00150C43"/>
    <w:rsid w:val="00150EAB"/>
    <w:rsid w:val="00151364"/>
    <w:rsid w:val="001522E0"/>
    <w:rsid w:val="001524A1"/>
    <w:rsid w:val="00152C96"/>
    <w:rsid w:val="00152E1A"/>
    <w:rsid w:val="00152E4D"/>
    <w:rsid w:val="00152E6F"/>
    <w:rsid w:val="00153076"/>
    <w:rsid w:val="00153087"/>
    <w:rsid w:val="001538BA"/>
    <w:rsid w:val="00153965"/>
    <w:rsid w:val="00153A14"/>
    <w:rsid w:val="00153A63"/>
    <w:rsid w:val="00153CB3"/>
    <w:rsid w:val="0015417D"/>
    <w:rsid w:val="0015421F"/>
    <w:rsid w:val="0015461A"/>
    <w:rsid w:val="001547AB"/>
    <w:rsid w:val="0015492F"/>
    <w:rsid w:val="00154C9C"/>
    <w:rsid w:val="00154EA5"/>
    <w:rsid w:val="001552B2"/>
    <w:rsid w:val="00155774"/>
    <w:rsid w:val="00155915"/>
    <w:rsid w:val="00155B0E"/>
    <w:rsid w:val="00155F5D"/>
    <w:rsid w:val="001561C1"/>
    <w:rsid w:val="0015651A"/>
    <w:rsid w:val="00156A72"/>
    <w:rsid w:val="00156E12"/>
    <w:rsid w:val="00156F8F"/>
    <w:rsid w:val="001570F7"/>
    <w:rsid w:val="00157130"/>
    <w:rsid w:val="001571EC"/>
    <w:rsid w:val="00157309"/>
    <w:rsid w:val="0015760F"/>
    <w:rsid w:val="001576B1"/>
    <w:rsid w:val="00157A5F"/>
    <w:rsid w:val="00157C2A"/>
    <w:rsid w:val="00157C91"/>
    <w:rsid w:val="00157FA6"/>
    <w:rsid w:val="00160175"/>
    <w:rsid w:val="0016047B"/>
    <w:rsid w:val="001606B7"/>
    <w:rsid w:val="00160A4C"/>
    <w:rsid w:val="00160A66"/>
    <w:rsid w:val="00160C25"/>
    <w:rsid w:val="00160EC0"/>
    <w:rsid w:val="001611BE"/>
    <w:rsid w:val="0016172A"/>
    <w:rsid w:val="00161D84"/>
    <w:rsid w:val="00162105"/>
    <w:rsid w:val="0016266D"/>
    <w:rsid w:val="001627F1"/>
    <w:rsid w:val="00162913"/>
    <w:rsid w:val="00162927"/>
    <w:rsid w:val="001632DD"/>
    <w:rsid w:val="001634DA"/>
    <w:rsid w:val="00163595"/>
    <w:rsid w:val="00163646"/>
    <w:rsid w:val="001638C8"/>
    <w:rsid w:val="001639B3"/>
    <w:rsid w:val="00163A6B"/>
    <w:rsid w:val="00163EFF"/>
    <w:rsid w:val="00163F66"/>
    <w:rsid w:val="0016418E"/>
    <w:rsid w:val="001644C2"/>
    <w:rsid w:val="0016478E"/>
    <w:rsid w:val="0016490E"/>
    <w:rsid w:val="001649F3"/>
    <w:rsid w:val="00164DC7"/>
    <w:rsid w:val="00164EAB"/>
    <w:rsid w:val="00164FC4"/>
    <w:rsid w:val="00165258"/>
    <w:rsid w:val="001653AE"/>
    <w:rsid w:val="00165540"/>
    <w:rsid w:val="00165AF8"/>
    <w:rsid w:val="00165BBF"/>
    <w:rsid w:val="00165E23"/>
    <w:rsid w:val="00165EC4"/>
    <w:rsid w:val="00165F77"/>
    <w:rsid w:val="001661FB"/>
    <w:rsid w:val="001665A8"/>
    <w:rsid w:val="001666AD"/>
    <w:rsid w:val="001666CF"/>
    <w:rsid w:val="00166C39"/>
    <w:rsid w:val="00166E0F"/>
    <w:rsid w:val="00167153"/>
    <w:rsid w:val="001671A0"/>
    <w:rsid w:val="00167449"/>
    <w:rsid w:val="0016749C"/>
    <w:rsid w:val="001674BB"/>
    <w:rsid w:val="0016767F"/>
    <w:rsid w:val="00167787"/>
    <w:rsid w:val="00167B63"/>
    <w:rsid w:val="00167D41"/>
    <w:rsid w:val="00170089"/>
    <w:rsid w:val="001710D0"/>
    <w:rsid w:val="001715EF"/>
    <w:rsid w:val="001719E9"/>
    <w:rsid w:val="00171A38"/>
    <w:rsid w:val="00171DC5"/>
    <w:rsid w:val="00171F36"/>
    <w:rsid w:val="001727D8"/>
    <w:rsid w:val="00172848"/>
    <w:rsid w:val="00172AAA"/>
    <w:rsid w:val="00172DFD"/>
    <w:rsid w:val="00173565"/>
    <w:rsid w:val="00173598"/>
    <w:rsid w:val="0017392F"/>
    <w:rsid w:val="00173A52"/>
    <w:rsid w:val="00173A80"/>
    <w:rsid w:val="00173B07"/>
    <w:rsid w:val="00173BF0"/>
    <w:rsid w:val="00174390"/>
    <w:rsid w:val="00174770"/>
    <w:rsid w:val="00174850"/>
    <w:rsid w:val="001748A9"/>
    <w:rsid w:val="001748CF"/>
    <w:rsid w:val="00174931"/>
    <w:rsid w:val="0017499F"/>
    <w:rsid w:val="00174A86"/>
    <w:rsid w:val="00174C0F"/>
    <w:rsid w:val="00174CB7"/>
    <w:rsid w:val="001751FA"/>
    <w:rsid w:val="0017583A"/>
    <w:rsid w:val="00175965"/>
    <w:rsid w:val="0017601C"/>
    <w:rsid w:val="0017606C"/>
    <w:rsid w:val="001761B4"/>
    <w:rsid w:val="00176CE1"/>
    <w:rsid w:val="00176D04"/>
    <w:rsid w:val="00176F14"/>
    <w:rsid w:val="00177041"/>
    <w:rsid w:val="001771AA"/>
    <w:rsid w:val="00177396"/>
    <w:rsid w:val="0017778F"/>
    <w:rsid w:val="001778A1"/>
    <w:rsid w:val="00177999"/>
    <w:rsid w:val="00177B9E"/>
    <w:rsid w:val="00177E9B"/>
    <w:rsid w:val="001804F2"/>
    <w:rsid w:val="00180A5B"/>
    <w:rsid w:val="00180C3A"/>
    <w:rsid w:val="00180FA6"/>
    <w:rsid w:val="00181813"/>
    <w:rsid w:val="00181C10"/>
    <w:rsid w:val="00181D9C"/>
    <w:rsid w:val="00181E62"/>
    <w:rsid w:val="00182457"/>
    <w:rsid w:val="0018254C"/>
    <w:rsid w:val="0018266E"/>
    <w:rsid w:val="001826E8"/>
    <w:rsid w:val="00182D0F"/>
    <w:rsid w:val="00182D87"/>
    <w:rsid w:val="00182F6C"/>
    <w:rsid w:val="001836B5"/>
    <w:rsid w:val="001837FF"/>
    <w:rsid w:val="00183A68"/>
    <w:rsid w:val="00183C5A"/>
    <w:rsid w:val="00183C9C"/>
    <w:rsid w:val="00183CD5"/>
    <w:rsid w:val="00183E0A"/>
    <w:rsid w:val="00183E8D"/>
    <w:rsid w:val="0018436C"/>
    <w:rsid w:val="0018467F"/>
    <w:rsid w:val="001848E7"/>
    <w:rsid w:val="00184B0E"/>
    <w:rsid w:val="00184DD4"/>
    <w:rsid w:val="00184E58"/>
    <w:rsid w:val="00184F46"/>
    <w:rsid w:val="00184F75"/>
    <w:rsid w:val="00184FA4"/>
    <w:rsid w:val="00185496"/>
    <w:rsid w:val="001859CE"/>
    <w:rsid w:val="00185C8A"/>
    <w:rsid w:val="00185F46"/>
    <w:rsid w:val="00185F8A"/>
    <w:rsid w:val="00186184"/>
    <w:rsid w:val="001862D7"/>
    <w:rsid w:val="00186545"/>
    <w:rsid w:val="00186E5C"/>
    <w:rsid w:val="00187064"/>
    <w:rsid w:val="0018752F"/>
    <w:rsid w:val="001875DE"/>
    <w:rsid w:val="00187C32"/>
    <w:rsid w:val="00187D99"/>
    <w:rsid w:val="00187DC7"/>
    <w:rsid w:val="00187F93"/>
    <w:rsid w:val="001901A4"/>
    <w:rsid w:val="001901D1"/>
    <w:rsid w:val="00190391"/>
    <w:rsid w:val="001904CD"/>
    <w:rsid w:val="0019052E"/>
    <w:rsid w:val="001907E7"/>
    <w:rsid w:val="0019096C"/>
    <w:rsid w:val="001913C8"/>
    <w:rsid w:val="001918EE"/>
    <w:rsid w:val="00191C8F"/>
    <w:rsid w:val="00191D0B"/>
    <w:rsid w:val="00191D2F"/>
    <w:rsid w:val="00192E26"/>
    <w:rsid w:val="00192E50"/>
    <w:rsid w:val="001933B5"/>
    <w:rsid w:val="001937B8"/>
    <w:rsid w:val="00193830"/>
    <w:rsid w:val="00193838"/>
    <w:rsid w:val="00194417"/>
    <w:rsid w:val="00194AD8"/>
    <w:rsid w:val="00194F68"/>
    <w:rsid w:val="00195222"/>
    <w:rsid w:val="00195385"/>
    <w:rsid w:val="00195452"/>
    <w:rsid w:val="00195605"/>
    <w:rsid w:val="00195A17"/>
    <w:rsid w:val="00195AFB"/>
    <w:rsid w:val="00195D19"/>
    <w:rsid w:val="00195DB8"/>
    <w:rsid w:val="00195E33"/>
    <w:rsid w:val="001960FF"/>
    <w:rsid w:val="0019620B"/>
    <w:rsid w:val="0019623B"/>
    <w:rsid w:val="00196347"/>
    <w:rsid w:val="00196433"/>
    <w:rsid w:val="00196543"/>
    <w:rsid w:val="0019676E"/>
    <w:rsid w:val="00196D98"/>
    <w:rsid w:val="00196E75"/>
    <w:rsid w:val="001972C7"/>
    <w:rsid w:val="001975D8"/>
    <w:rsid w:val="00197615"/>
    <w:rsid w:val="00197812"/>
    <w:rsid w:val="00197B1A"/>
    <w:rsid w:val="001A0151"/>
    <w:rsid w:val="001A048E"/>
    <w:rsid w:val="001A0860"/>
    <w:rsid w:val="001A091E"/>
    <w:rsid w:val="001A0A1E"/>
    <w:rsid w:val="001A0A52"/>
    <w:rsid w:val="001A0FCB"/>
    <w:rsid w:val="001A10AD"/>
    <w:rsid w:val="001A110D"/>
    <w:rsid w:val="001A1142"/>
    <w:rsid w:val="001A15E4"/>
    <w:rsid w:val="001A178E"/>
    <w:rsid w:val="001A1B62"/>
    <w:rsid w:val="001A215A"/>
    <w:rsid w:val="001A2259"/>
    <w:rsid w:val="001A22F9"/>
    <w:rsid w:val="001A2665"/>
    <w:rsid w:val="001A2805"/>
    <w:rsid w:val="001A2C49"/>
    <w:rsid w:val="001A3570"/>
    <w:rsid w:val="001A37A1"/>
    <w:rsid w:val="001A380F"/>
    <w:rsid w:val="001A3827"/>
    <w:rsid w:val="001A3899"/>
    <w:rsid w:val="001A3EEE"/>
    <w:rsid w:val="001A4186"/>
    <w:rsid w:val="001A43FA"/>
    <w:rsid w:val="001A46C5"/>
    <w:rsid w:val="001A47C5"/>
    <w:rsid w:val="001A4939"/>
    <w:rsid w:val="001A4E86"/>
    <w:rsid w:val="001A54E8"/>
    <w:rsid w:val="001A568C"/>
    <w:rsid w:val="001A57FA"/>
    <w:rsid w:val="001A57FE"/>
    <w:rsid w:val="001A59FB"/>
    <w:rsid w:val="001A5D8A"/>
    <w:rsid w:val="001A5DC1"/>
    <w:rsid w:val="001A5E9E"/>
    <w:rsid w:val="001A6354"/>
    <w:rsid w:val="001A6366"/>
    <w:rsid w:val="001A65B7"/>
    <w:rsid w:val="001A66CA"/>
    <w:rsid w:val="001A6707"/>
    <w:rsid w:val="001A67D4"/>
    <w:rsid w:val="001A6960"/>
    <w:rsid w:val="001A6D65"/>
    <w:rsid w:val="001A703F"/>
    <w:rsid w:val="001A73EB"/>
    <w:rsid w:val="001A7AE8"/>
    <w:rsid w:val="001A7BA6"/>
    <w:rsid w:val="001A7D3F"/>
    <w:rsid w:val="001A7E5D"/>
    <w:rsid w:val="001A7FD8"/>
    <w:rsid w:val="001B01D3"/>
    <w:rsid w:val="001B0371"/>
    <w:rsid w:val="001B0375"/>
    <w:rsid w:val="001B072D"/>
    <w:rsid w:val="001B091F"/>
    <w:rsid w:val="001B0CD7"/>
    <w:rsid w:val="001B0E88"/>
    <w:rsid w:val="001B1110"/>
    <w:rsid w:val="001B11A4"/>
    <w:rsid w:val="001B15DE"/>
    <w:rsid w:val="001B16DC"/>
    <w:rsid w:val="001B1920"/>
    <w:rsid w:val="001B1A10"/>
    <w:rsid w:val="001B1B14"/>
    <w:rsid w:val="001B1B4E"/>
    <w:rsid w:val="001B1D40"/>
    <w:rsid w:val="001B1E4A"/>
    <w:rsid w:val="001B1EC1"/>
    <w:rsid w:val="001B1EF1"/>
    <w:rsid w:val="001B1FF9"/>
    <w:rsid w:val="001B204E"/>
    <w:rsid w:val="001B20A1"/>
    <w:rsid w:val="001B20A4"/>
    <w:rsid w:val="001B22D2"/>
    <w:rsid w:val="001B2372"/>
    <w:rsid w:val="001B25BB"/>
    <w:rsid w:val="001B2620"/>
    <w:rsid w:val="001B27B8"/>
    <w:rsid w:val="001B2C35"/>
    <w:rsid w:val="001B3239"/>
    <w:rsid w:val="001B3403"/>
    <w:rsid w:val="001B3443"/>
    <w:rsid w:val="001B387F"/>
    <w:rsid w:val="001B39D9"/>
    <w:rsid w:val="001B3D5A"/>
    <w:rsid w:val="001B3E36"/>
    <w:rsid w:val="001B4074"/>
    <w:rsid w:val="001B462E"/>
    <w:rsid w:val="001B4833"/>
    <w:rsid w:val="001B4839"/>
    <w:rsid w:val="001B4D20"/>
    <w:rsid w:val="001B4F1D"/>
    <w:rsid w:val="001B5345"/>
    <w:rsid w:val="001B5527"/>
    <w:rsid w:val="001B596C"/>
    <w:rsid w:val="001B5A05"/>
    <w:rsid w:val="001B60BD"/>
    <w:rsid w:val="001B64F2"/>
    <w:rsid w:val="001B6522"/>
    <w:rsid w:val="001B6537"/>
    <w:rsid w:val="001B6A46"/>
    <w:rsid w:val="001B6A9A"/>
    <w:rsid w:val="001B6CF0"/>
    <w:rsid w:val="001B6CFB"/>
    <w:rsid w:val="001B7037"/>
    <w:rsid w:val="001B716A"/>
    <w:rsid w:val="001B73AF"/>
    <w:rsid w:val="001B7473"/>
    <w:rsid w:val="001B768D"/>
    <w:rsid w:val="001B794F"/>
    <w:rsid w:val="001B79B8"/>
    <w:rsid w:val="001B7F84"/>
    <w:rsid w:val="001C0067"/>
    <w:rsid w:val="001C0177"/>
    <w:rsid w:val="001C0252"/>
    <w:rsid w:val="001C03F9"/>
    <w:rsid w:val="001C0A7D"/>
    <w:rsid w:val="001C0AA1"/>
    <w:rsid w:val="001C0B9D"/>
    <w:rsid w:val="001C0C7D"/>
    <w:rsid w:val="001C0CC4"/>
    <w:rsid w:val="001C0D59"/>
    <w:rsid w:val="001C124E"/>
    <w:rsid w:val="001C13D6"/>
    <w:rsid w:val="001C17BA"/>
    <w:rsid w:val="001C1C54"/>
    <w:rsid w:val="001C1F11"/>
    <w:rsid w:val="001C2094"/>
    <w:rsid w:val="001C2161"/>
    <w:rsid w:val="001C2A9B"/>
    <w:rsid w:val="001C2AD0"/>
    <w:rsid w:val="001C2AD1"/>
    <w:rsid w:val="001C34F9"/>
    <w:rsid w:val="001C37FD"/>
    <w:rsid w:val="001C39B3"/>
    <w:rsid w:val="001C3DD6"/>
    <w:rsid w:val="001C40D9"/>
    <w:rsid w:val="001C4206"/>
    <w:rsid w:val="001C4259"/>
    <w:rsid w:val="001C426E"/>
    <w:rsid w:val="001C4299"/>
    <w:rsid w:val="001C4856"/>
    <w:rsid w:val="001C4874"/>
    <w:rsid w:val="001C4C00"/>
    <w:rsid w:val="001C505F"/>
    <w:rsid w:val="001C51ED"/>
    <w:rsid w:val="001C5694"/>
    <w:rsid w:val="001C588B"/>
    <w:rsid w:val="001C5F94"/>
    <w:rsid w:val="001C603A"/>
    <w:rsid w:val="001C6377"/>
    <w:rsid w:val="001C63B2"/>
    <w:rsid w:val="001C68CB"/>
    <w:rsid w:val="001C693A"/>
    <w:rsid w:val="001C6A3A"/>
    <w:rsid w:val="001C6B83"/>
    <w:rsid w:val="001C6C9D"/>
    <w:rsid w:val="001C6D51"/>
    <w:rsid w:val="001C6E66"/>
    <w:rsid w:val="001C6FA8"/>
    <w:rsid w:val="001C7CA9"/>
    <w:rsid w:val="001D00CB"/>
    <w:rsid w:val="001D00CE"/>
    <w:rsid w:val="001D00EA"/>
    <w:rsid w:val="001D0152"/>
    <w:rsid w:val="001D0503"/>
    <w:rsid w:val="001D080E"/>
    <w:rsid w:val="001D08A3"/>
    <w:rsid w:val="001D08AA"/>
    <w:rsid w:val="001D0A81"/>
    <w:rsid w:val="001D0B63"/>
    <w:rsid w:val="001D0E31"/>
    <w:rsid w:val="001D0E37"/>
    <w:rsid w:val="001D1100"/>
    <w:rsid w:val="001D11F6"/>
    <w:rsid w:val="001D1391"/>
    <w:rsid w:val="001D14DA"/>
    <w:rsid w:val="001D14EC"/>
    <w:rsid w:val="001D17D7"/>
    <w:rsid w:val="001D1945"/>
    <w:rsid w:val="001D226D"/>
    <w:rsid w:val="001D2375"/>
    <w:rsid w:val="001D24DB"/>
    <w:rsid w:val="001D25D7"/>
    <w:rsid w:val="001D2BA0"/>
    <w:rsid w:val="001D2DBB"/>
    <w:rsid w:val="001D364C"/>
    <w:rsid w:val="001D3768"/>
    <w:rsid w:val="001D3B35"/>
    <w:rsid w:val="001D4171"/>
    <w:rsid w:val="001D4255"/>
    <w:rsid w:val="001D44D3"/>
    <w:rsid w:val="001D4686"/>
    <w:rsid w:val="001D4935"/>
    <w:rsid w:val="001D4BEF"/>
    <w:rsid w:val="001D50B2"/>
    <w:rsid w:val="001D5347"/>
    <w:rsid w:val="001D55F5"/>
    <w:rsid w:val="001D606E"/>
    <w:rsid w:val="001D613B"/>
    <w:rsid w:val="001D6170"/>
    <w:rsid w:val="001D62EE"/>
    <w:rsid w:val="001D6454"/>
    <w:rsid w:val="001D64DB"/>
    <w:rsid w:val="001D6994"/>
    <w:rsid w:val="001D6B93"/>
    <w:rsid w:val="001D71F4"/>
    <w:rsid w:val="001D7285"/>
    <w:rsid w:val="001D7645"/>
    <w:rsid w:val="001D77B3"/>
    <w:rsid w:val="001D78F0"/>
    <w:rsid w:val="001D7A28"/>
    <w:rsid w:val="001D7A9D"/>
    <w:rsid w:val="001D7B5D"/>
    <w:rsid w:val="001D7EEE"/>
    <w:rsid w:val="001D7F89"/>
    <w:rsid w:val="001E013F"/>
    <w:rsid w:val="001E05D1"/>
    <w:rsid w:val="001E063E"/>
    <w:rsid w:val="001E0655"/>
    <w:rsid w:val="001E0E57"/>
    <w:rsid w:val="001E11A7"/>
    <w:rsid w:val="001E11C5"/>
    <w:rsid w:val="001E129E"/>
    <w:rsid w:val="001E144F"/>
    <w:rsid w:val="001E1E86"/>
    <w:rsid w:val="001E238E"/>
    <w:rsid w:val="001E2483"/>
    <w:rsid w:val="001E2800"/>
    <w:rsid w:val="001E2966"/>
    <w:rsid w:val="001E2B1E"/>
    <w:rsid w:val="001E2CFF"/>
    <w:rsid w:val="001E2E43"/>
    <w:rsid w:val="001E2F24"/>
    <w:rsid w:val="001E30D4"/>
    <w:rsid w:val="001E34DF"/>
    <w:rsid w:val="001E36D1"/>
    <w:rsid w:val="001E3E84"/>
    <w:rsid w:val="001E4088"/>
    <w:rsid w:val="001E4185"/>
    <w:rsid w:val="001E444B"/>
    <w:rsid w:val="001E487E"/>
    <w:rsid w:val="001E4B22"/>
    <w:rsid w:val="001E4DE7"/>
    <w:rsid w:val="001E4E7B"/>
    <w:rsid w:val="001E50E2"/>
    <w:rsid w:val="001E514F"/>
    <w:rsid w:val="001E51BB"/>
    <w:rsid w:val="001E52A3"/>
    <w:rsid w:val="001E52E5"/>
    <w:rsid w:val="001E52EB"/>
    <w:rsid w:val="001E58C7"/>
    <w:rsid w:val="001E5A75"/>
    <w:rsid w:val="001E5C48"/>
    <w:rsid w:val="001E5FC6"/>
    <w:rsid w:val="001E6041"/>
    <w:rsid w:val="001E61D2"/>
    <w:rsid w:val="001E68EC"/>
    <w:rsid w:val="001E695D"/>
    <w:rsid w:val="001E69D5"/>
    <w:rsid w:val="001E6C9D"/>
    <w:rsid w:val="001E6EB3"/>
    <w:rsid w:val="001E6F47"/>
    <w:rsid w:val="001E7006"/>
    <w:rsid w:val="001E7040"/>
    <w:rsid w:val="001E740C"/>
    <w:rsid w:val="001E79A8"/>
    <w:rsid w:val="001E7AF7"/>
    <w:rsid w:val="001EF9C9"/>
    <w:rsid w:val="001F024B"/>
    <w:rsid w:val="001F0370"/>
    <w:rsid w:val="001F0446"/>
    <w:rsid w:val="001F0671"/>
    <w:rsid w:val="001F095E"/>
    <w:rsid w:val="001F1117"/>
    <w:rsid w:val="001F111A"/>
    <w:rsid w:val="001F11B6"/>
    <w:rsid w:val="001F1201"/>
    <w:rsid w:val="001F1235"/>
    <w:rsid w:val="001F197D"/>
    <w:rsid w:val="001F1CB3"/>
    <w:rsid w:val="001F1FFC"/>
    <w:rsid w:val="001F28B1"/>
    <w:rsid w:val="001F2954"/>
    <w:rsid w:val="001F2AE7"/>
    <w:rsid w:val="001F2F0B"/>
    <w:rsid w:val="001F38B5"/>
    <w:rsid w:val="001F3A52"/>
    <w:rsid w:val="001F3D47"/>
    <w:rsid w:val="001F4081"/>
    <w:rsid w:val="001F40B0"/>
    <w:rsid w:val="001F4651"/>
    <w:rsid w:val="001F46BC"/>
    <w:rsid w:val="001F4CC9"/>
    <w:rsid w:val="001F4E02"/>
    <w:rsid w:val="001F4E45"/>
    <w:rsid w:val="001F5797"/>
    <w:rsid w:val="001F6615"/>
    <w:rsid w:val="001F66FA"/>
    <w:rsid w:val="001F69DD"/>
    <w:rsid w:val="001F6B68"/>
    <w:rsid w:val="001F6C54"/>
    <w:rsid w:val="001F6EC8"/>
    <w:rsid w:val="001F721F"/>
    <w:rsid w:val="001F7261"/>
    <w:rsid w:val="001F7361"/>
    <w:rsid w:val="001F7945"/>
    <w:rsid w:val="001F7A8C"/>
    <w:rsid w:val="0020048D"/>
    <w:rsid w:val="00200511"/>
    <w:rsid w:val="00200655"/>
    <w:rsid w:val="0020075F"/>
    <w:rsid w:val="0020088E"/>
    <w:rsid w:val="00200B8A"/>
    <w:rsid w:val="00200D74"/>
    <w:rsid w:val="00200EC5"/>
    <w:rsid w:val="00200EDD"/>
    <w:rsid w:val="00200F57"/>
    <w:rsid w:val="002011B0"/>
    <w:rsid w:val="002012C7"/>
    <w:rsid w:val="002012F4"/>
    <w:rsid w:val="002014AF"/>
    <w:rsid w:val="002015CF"/>
    <w:rsid w:val="00201A4B"/>
    <w:rsid w:val="00201E40"/>
    <w:rsid w:val="00201F63"/>
    <w:rsid w:val="00202085"/>
    <w:rsid w:val="0020221C"/>
    <w:rsid w:val="002024ED"/>
    <w:rsid w:val="002027A0"/>
    <w:rsid w:val="00202951"/>
    <w:rsid w:val="00202A22"/>
    <w:rsid w:val="00202A4A"/>
    <w:rsid w:val="00202D14"/>
    <w:rsid w:val="00202ECB"/>
    <w:rsid w:val="00203181"/>
    <w:rsid w:val="0020332B"/>
    <w:rsid w:val="00203524"/>
    <w:rsid w:val="00203783"/>
    <w:rsid w:val="002037EF"/>
    <w:rsid w:val="0020385F"/>
    <w:rsid w:val="00203BA3"/>
    <w:rsid w:val="00203DC7"/>
    <w:rsid w:val="0020446B"/>
    <w:rsid w:val="00204622"/>
    <w:rsid w:val="002047C8"/>
    <w:rsid w:val="00204F6C"/>
    <w:rsid w:val="002050EF"/>
    <w:rsid w:val="0020581A"/>
    <w:rsid w:val="00205A46"/>
    <w:rsid w:val="00205AD5"/>
    <w:rsid w:val="002067A2"/>
    <w:rsid w:val="00206815"/>
    <w:rsid w:val="002068A0"/>
    <w:rsid w:val="0020694D"/>
    <w:rsid w:val="00206C32"/>
    <w:rsid w:val="00206DC2"/>
    <w:rsid w:val="00207021"/>
    <w:rsid w:val="0020732F"/>
    <w:rsid w:val="00207350"/>
    <w:rsid w:val="002077B5"/>
    <w:rsid w:val="00207902"/>
    <w:rsid w:val="00207C7D"/>
    <w:rsid w:val="00207D00"/>
    <w:rsid w:val="00207F87"/>
    <w:rsid w:val="00207F8F"/>
    <w:rsid w:val="00210252"/>
    <w:rsid w:val="002105C1"/>
    <w:rsid w:val="0021098A"/>
    <w:rsid w:val="00210A21"/>
    <w:rsid w:val="00210C60"/>
    <w:rsid w:val="00210DB2"/>
    <w:rsid w:val="002116FD"/>
    <w:rsid w:val="00212328"/>
    <w:rsid w:val="00212689"/>
    <w:rsid w:val="00212869"/>
    <w:rsid w:val="00212BAA"/>
    <w:rsid w:val="00212DD4"/>
    <w:rsid w:val="002134A4"/>
    <w:rsid w:val="00213B6A"/>
    <w:rsid w:val="00213CC9"/>
    <w:rsid w:val="00213EF5"/>
    <w:rsid w:val="00214127"/>
    <w:rsid w:val="00214190"/>
    <w:rsid w:val="002146E6"/>
    <w:rsid w:val="00214882"/>
    <w:rsid w:val="00214A79"/>
    <w:rsid w:val="00214ACB"/>
    <w:rsid w:val="00214B9C"/>
    <w:rsid w:val="00214D5B"/>
    <w:rsid w:val="0021543C"/>
    <w:rsid w:val="002156CB"/>
    <w:rsid w:val="0021576F"/>
    <w:rsid w:val="002158F4"/>
    <w:rsid w:val="00215A9B"/>
    <w:rsid w:val="00215C9C"/>
    <w:rsid w:val="002160B4"/>
    <w:rsid w:val="00216132"/>
    <w:rsid w:val="002163C2"/>
    <w:rsid w:val="002163C5"/>
    <w:rsid w:val="002164E2"/>
    <w:rsid w:val="00216620"/>
    <w:rsid w:val="00216685"/>
    <w:rsid w:val="00216984"/>
    <w:rsid w:val="00216BF5"/>
    <w:rsid w:val="00216D58"/>
    <w:rsid w:val="00216F09"/>
    <w:rsid w:val="00217050"/>
    <w:rsid w:val="0021712C"/>
    <w:rsid w:val="0021720E"/>
    <w:rsid w:val="002172C0"/>
    <w:rsid w:val="0021743D"/>
    <w:rsid w:val="002178B7"/>
    <w:rsid w:val="00217AF6"/>
    <w:rsid w:val="00217BCE"/>
    <w:rsid w:val="00217EF1"/>
    <w:rsid w:val="00220354"/>
    <w:rsid w:val="00220786"/>
    <w:rsid w:val="00220A0E"/>
    <w:rsid w:val="00220A2C"/>
    <w:rsid w:val="00220C4D"/>
    <w:rsid w:val="00220F4C"/>
    <w:rsid w:val="0022198B"/>
    <w:rsid w:val="00221B05"/>
    <w:rsid w:val="00221CB9"/>
    <w:rsid w:val="0022204B"/>
    <w:rsid w:val="002223EE"/>
    <w:rsid w:val="0022272A"/>
    <w:rsid w:val="00222742"/>
    <w:rsid w:val="00222815"/>
    <w:rsid w:val="00222963"/>
    <w:rsid w:val="00222A4B"/>
    <w:rsid w:val="002237BD"/>
    <w:rsid w:val="002237E3"/>
    <w:rsid w:val="00223A37"/>
    <w:rsid w:val="00223B49"/>
    <w:rsid w:val="00223D5A"/>
    <w:rsid w:val="00223FEC"/>
    <w:rsid w:val="002241E4"/>
    <w:rsid w:val="00224273"/>
    <w:rsid w:val="00224437"/>
    <w:rsid w:val="002245D9"/>
    <w:rsid w:val="00224833"/>
    <w:rsid w:val="00224860"/>
    <w:rsid w:val="00224D34"/>
    <w:rsid w:val="00224DD4"/>
    <w:rsid w:val="002251A2"/>
    <w:rsid w:val="00225323"/>
    <w:rsid w:val="0022594C"/>
    <w:rsid w:val="002259BC"/>
    <w:rsid w:val="00225B0F"/>
    <w:rsid w:val="00225FE2"/>
    <w:rsid w:val="00226264"/>
    <w:rsid w:val="002263F9"/>
    <w:rsid w:val="002269CC"/>
    <w:rsid w:val="00226C15"/>
    <w:rsid w:val="00226C1A"/>
    <w:rsid w:val="00226C54"/>
    <w:rsid w:val="002273F8"/>
    <w:rsid w:val="002278A0"/>
    <w:rsid w:val="0022798C"/>
    <w:rsid w:val="00227A5C"/>
    <w:rsid w:val="00227BEC"/>
    <w:rsid w:val="00227E76"/>
    <w:rsid w:val="0023026B"/>
    <w:rsid w:val="0023029E"/>
    <w:rsid w:val="0023036C"/>
    <w:rsid w:val="00230528"/>
    <w:rsid w:val="00230555"/>
    <w:rsid w:val="002308CC"/>
    <w:rsid w:val="002309CC"/>
    <w:rsid w:val="002311A5"/>
    <w:rsid w:val="002313B8"/>
    <w:rsid w:val="002313BD"/>
    <w:rsid w:val="00231409"/>
    <w:rsid w:val="00231562"/>
    <w:rsid w:val="0023198B"/>
    <w:rsid w:val="00231BA9"/>
    <w:rsid w:val="00231E90"/>
    <w:rsid w:val="0023209F"/>
    <w:rsid w:val="002326EF"/>
    <w:rsid w:val="002327B9"/>
    <w:rsid w:val="002327D9"/>
    <w:rsid w:val="0023289F"/>
    <w:rsid w:val="00232A08"/>
    <w:rsid w:val="00232A83"/>
    <w:rsid w:val="00232B91"/>
    <w:rsid w:val="0023358C"/>
    <w:rsid w:val="0023378D"/>
    <w:rsid w:val="0023378E"/>
    <w:rsid w:val="00233AEC"/>
    <w:rsid w:val="00233C01"/>
    <w:rsid w:val="00233FB2"/>
    <w:rsid w:val="00233FB7"/>
    <w:rsid w:val="00234032"/>
    <w:rsid w:val="0023413C"/>
    <w:rsid w:val="002346A5"/>
    <w:rsid w:val="002346F0"/>
    <w:rsid w:val="00234A55"/>
    <w:rsid w:val="00234DE5"/>
    <w:rsid w:val="0023515D"/>
    <w:rsid w:val="00235CBA"/>
    <w:rsid w:val="00236215"/>
    <w:rsid w:val="0023629D"/>
    <w:rsid w:val="00236309"/>
    <w:rsid w:val="00236497"/>
    <w:rsid w:val="00236534"/>
    <w:rsid w:val="00236575"/>
    <w:rsid w:val="002365EF"/>
    <w:rsid w:val="0023668F"/>
    <w:rsid w:val="00236763"/>
    <w:rsid w:val="00236865"/>
    <w:rsid w:val="0023690D"/>
    <w:rsid w:val="0023694C"/>
    <w:rsid w:val="00236FDA"/>
    <w:rsid w:val="00237255"/>
    <w:rsid w:val="0024007D"/>
    <w:rsid w:val="0024007E"/>
    <w:rsid w:val="002400E2"/>
    <w:rsid w:val="002401BB"/>
    <w:rsid w:val="002404EE"/>
    <w:rsid w:val="00240AEC"/>
    <w:rsid w:val="00240C16"/>
    <w:rsid w:val="00241C59"/>
    <w:rsid w:val="00241CC4"/>
    <w:rsid w:val="00242274"/>
    <w:rsid w:val="00242311"/>
    <w:rsid w:val="002424AF"/>
    <w:rsid w:val="0024289C"/>
    <w:rsid w:val="002439DC"/>
    <w:rsid w:val="00243BC6"/>
    <w:rsid w:val="002440F9"/>
    <w:rsid w:val="002441D2"/>
    <w:rsid w:val="002442C0"/>
    <w:rsid w:val="0024441B"/>
    <w:rsid w:val="0024448F"/>
    <w:rsid w:val="00244B29"/>
    <w:rsid w:val="00244DC8"/>
    <w:rsid w:val="00244FDB"/>
    <w:rsid w:val="00245109"/>
    <w:rsid w:val="00245194"/>
    <w:rsid w:val="0024583B"/>
    <w:rsid w:val="002458BA"/>
    <w:rsid w:val="00245939"/>
    <w:rsid w:val="00245B8E"/>
    <w:rsid w:val="00245CE9"/>
    <w:rsid w:val="00245EA9"/>
    <w:rsid w:val="00245FFD"/>
    <w:rsid w:val="0024626A"/>
    <w:rsid w:val="00246361"/>
    <w:rsid w:val="0024636C"/>
    <w:rsid w:val="002466A4"/>
    <w:rsid w:val="00246BA4"/>
    <w:rsid w:val="002478C0"/>
    <w:rsid w:val="00247925"/>
    <w:rsid w:val="00247934"/>
    <w:rsid w:val="00250223"/>
    <w:rsid w:val="0025048D"/>
    <w:rsid w:val="002504BF"/>
    <w:rsid w:val="00250BDB"/>
    <w:rsid w:val="00250C3E"/>
    <w:rsid w:val="00250D38"/>
    <w:rsid w:val="00251006"/>
    <w:rsid w:val="0025127A"/>
    <w:rsid w:val="002514FA"/>
    <w:rsid w:val="002516B0"/>
    <w:rsid w:val="002516C1"/>
    <w:rsid w:val="00251839"/>
    <w:rsid w:val="00251958"/>
    <w:rsid w:val="00251BBD"/>
    <w:rsid w:val="00251C5B"/>
    <w:rsid w:val="00251C77"/>
    <w:rsid w:val="00251F5E"/>
    <w:rsid w:val="00251FA9"/>
    <w:rsid w:val="002521B4"/>
    <w:rsid w:val="00252467"/>
    <w:rsid w:val="002524D5"/>
    <w:rsid w:val="002526C1"/>
    <w:rsid w:val="002528BB"/>
    <w:rsid w:val="00252CA1"/>
    <w:rsid w:val="00252D8F"/>
    <w:rsid w:val="00252EB9"/>
    <w:rsid w:val="002531D1"/>
    <w:rsid w:val="00253298"/>
    <w:rsid w:val="00253B1D"/>
    <w:rsid w:val="00253BAC"/>
    <w:rsid w:val="00253BBE"/>
    <w:rsid w:val="00253F9F"/>
    <w:rsid w:val="00253FEF"/>
    <w:rsid w:val="00253FFE"/>
    <w:rsid w:val="00254359"/>
    <w:rsid w:val="00254504"/>
    <w:rsid w:val="00254DCF"/>
    <w:rsid w:val="00254DD2"/>
    <w:rsid w:val="00255342"/>
    <w:rsid w:val="0025534B"/>
    <w:rsid w:val="002553DB"/>
    <w:rsid w:val="002554E8"/>
    <w:rsid w:val="0025571B"/>
    <w:rsid w:val="00255750"/>
    <w:rsid w:val="0025586A"/>
    <w:rsid w:val="00255914"/>
    <w:rsid w:val="00255953"/>
    <w:rsid w:val="002559B6"/>
    <w:rsid w:val="00255A11"/>
    <w:rsid w:val="00255B07"/>
    <w:rsid w:val="00255B2E"/>
    <w:rsid w:val="00255BB7"/>
    <w:rsid w:val="00255FDA"/>
    <w:rsid w:val="00256158"/>
    <w:rsid w:val="002561BB"/>
    <w:rsid w:val="002563C2"/>
    <w:rsid w:val="002564D6"/>
    <w:rsid w:val="002565DD"/>
    <w:rsid w:val="002568C1"/>
    <w:rsid w:val="00256AD8"/>
    <w:rsid w:val="00256C5F"/>
    <w:rsid w:val="00256F22"/>
    <w:rsid w:val="0025746E"/>
    <w:rsid w:val="00257541"/>
    <w:rsid w:val="0025774E"/>
    <w:rsid w:val="00257A39"/>
    <w:rsid w:val="00257AC4"/>
    <w:rsid w:val="00257BBE"/>
    <w:rsid w:val="00257F85"/>
    <w:rsid w:val="002603BB"/>
    <w:rsid w:val="0026081C"/>
    <w:rsid w:val="00260A76"/>
    <w:rsid w:val="002610D5"/>
    <w:rsid w:val="002611D1"/>
    <w:rsid w:val="0026138E"/>
    <w:rsid w:val="0026177A"/>
    <w:rsid w:val="002618EE"/>
    <w:rsid w:val="00261C38"/>
    <w:rsid w:val="00261CD9"/>
    <w:rsid w:val="00261EEF"/>
    <w:rsid w:val="00262018"/>
    <w:rsid w:val="002621DB"/>
    <w:rsid w:val="002626FD"/>
    <w:rsid w:val="00262735"/>
    <w:rsid w:val="00262A1A"/>
    <w:rsid w:val="00262A87"/>
    <w:rsid w:val="00262C55"/>
    <w:rsid w:val="0026317B"/>
    <w:rsid w:val="00263256"/>
    <w:rsid w:val="0026333C"/>
    <w:rsid w:val="00263440"/>
    <w:rsid w:val="002635EF"/>
    <w:rsid w:val="00263BCB"/>
    <w:rsid w:val="002644FD"/>
    <w:rsid w:val="00264567"/>
    <w:rsid w:val="002645EC"/>
    <w:rsid w:val="0026469F"/>
    <w:rsid w:val="00264869"/>
    <w:rsid w:val="00264884"/>
    <w:rsid w:val="002649F6"/>
    <w:rsid w:val="00264C94"/>
    <w:rsid w:val="00264D26"/>
    <w:rsid w:val="00264F86"/>
    <w:rsid w:val="00265005"/>
    <w:rsid w:val="002650A7"/>
    <w:rsid w:val="002651B5"/>
    <w:rsid w:val="002652D3"/>
    <w:rsid w:val="0026564E"/>
    <w:rsid w:val="00265AF5"/>
    <w:rsid w:val="00265D06"/>
    <w:rsid w:val="00265E03"/>
    <w:rsid w:val="00265E34"/>
    <w:rsid w:val="00265FCE"/>
    <w:rsid w:val="00266407"/>
    <w:rsid w:val="002665BD"/>
    <w:rsid w:val="00266A7C"/>
    <w:rsid w:val="00266D4C"/>
    <w:rsid w:val="00266F74"/>
    <w:rsid w:val="0026707F"/>
    <w:rsid w:val="00267425"/>
    <w:rsid w:val="00267642"/>
    <w:rsid w:val="002679F7"/>
    <w:rsid w:val="00267AEA"/>
    <w:rsid w:val="00267C6A"/>
    <w:rsid w:val="00267FEF"/>
    <w:rsid w:val="002700A9"/>
    <w:rsid w:val="002700E6"/>
    <w:rsid w:val="00270178"/>
    <w:rsid w:val="00270410"/>
    <w:rsid w:val="002704BC"/>
    <w:rsid w:val="0027056E"/>
    <w:rsid w:val="00270F8C"/>
    <w:rsid w:val="00270FBB"/>
    <w:rsid w:val="00270FEB"/>
    <w:rsid w:val="0027132F"/>
    <w:rsid w:val="002717EF"/>
    <w:rsid w:val="00271877"/>
    <w:rsid w:val="002718B4"/>
    <w:rsid w:val="00271AB4"/>
    <w:rsid w:val="00271AFA"/>
    <w:rsid w:val="00271B64"/>
    <w:rsid w:val="00271EA8"/>
    <w:rsid w:val="00272779"/>
    <w:rsid w:val="0027294B"/>
    <w:rsid w:val="00272BBC"/>
    <w:rsid w:val="00272E07"/>
    <w:rsid w:val="00273117"/>
    <w:rsid w:val="0027338E"/>
    <w:rsid w:val="00273689"/>
    <w:rsid w:val="00273EB4"/>
    <w:rsid w:val="00273ED4"/>
    <w:rsid w:val="0027439D"/>
    <w:rsid w:val="0027451B"/>
    <w:rsid w:val="002745C4"/>
    <w:rsid w:val="00274682"/>
    <w:rsid w:val="00274817"/>
    <w:rsid w:val="00274878"/>
    <w:rsid w:val="00274F5F"/>
    <w:rsid w:val="00274F73"/>
    <w:rsid w:val="00275158"/>
    <w:rsid w:val="00275612"/>
    <w:rsid w:val="0027571D"/>
    <w:rsid w:val="0027587D"/>
    <w:rsid w:val="00275882"/>
    <w:rsid w:val="0027589E"/>
    <w:rsid w:val="00275925"/>
    <w:rsid w:val="00275A45"/>
    <w:rsid w:val="00275B6A"/>
    <w:rsid w:val="00275C5A"/>
    <w:rsid w:val="002761F3"/>
    <w:rsid w:val="002763D5"/>
    <w:rsid w:val="002765F5"/>
    <w:rsid w:val="002773FF"/>
    <w:rsid w:val="002776DB"/>
    <w:rsid w:val="00277836"/>
    <w:rsid w:val="00277915"/>
    <w:rsid w:val="00277B06"/>
    <w:rsid w:val="00277B1C"/>
    <w:rsid w:val="00277D32"/>
    <w:rsid w:val="00280315"/>
    <w:rsid w:val="002807A8"/>
    <w:rsid w:val="002808E4"/>
    <w:rsid w:val="00280A1A"/>
    <w:rsid w:val="00280B83"/>
    <w:rsid w:val="00280D90"/>
    <w:rsid w:val="00280DE0"/>
    <w:rsid w:val="00280FDA"/>
    <w:rsid w:val="00281014"/>
    <w:rsid w:val="00281786"/>
    <w:rsid w:val="0028196B"/>
    <w:rsid w:val="00281BAD"/>
    <w:rsid w:val="00281CF6"/>
    <w:rsid w:val="00281D1D"/>
    <w:rsid w:val="00281F0B"/>
    <w:rsid w:val="002822D2"/>
    <w:rsid w:val="002827AE"/>
    <w:rsid w:val="002829A7"/>
    <w:rsid w:val="00282F4B"/>
    <w:rsid w:val="002832A7"/>
    <w:rsid w:val="002834D2"/>
    <w:rsid w:val="0028353D"/>
    <w:rsid w:val="0028359B"/>
    <w:rsid w:val="00283BE9"/>
    <w:rsid w:val="002842C1"/>
    <w:rsid w:val="002843E1"/>
    <w:rsid w:val="002848D9"/>
    <w:rsid w:val="00284984"/>
    <w:rsid w:val="002849FA"/>
    <w:rsid w:val="002857D0"/>
    <w:rsid w:val="002857DE"/>
    <w:rsid w:val="00285A37"/>
    <w:rsid w:val="00285BB8"/>
    <w:rsid w:val="00285BC5"/>
    <w:rsid w:val="00285BCE"/>
    <w:rsid w:val="00285E39"/>
    <w:rsid w:val="00285FED"/>
    <w:rsid w:val="0028665D"/>
    <w:rsid w:val="00286734"/>
    <w:rsid w:val="0028675A"/>
    <w:rsid w:val="002867DC"/>
    <w:rsid w:val="002868E1"/>
    <w:rsid w:val="00286AE7"/>
    <w:rsid w:val="00286E36"/>
    <w:rsid w:val="002871B2"/>
    <w:rsid w:val="00287361"/>
    <w:rsid w:val="00287C13"/>
    <w:rsid w:val="00287EAB"/>
    <w:rsid w:val="00290571"/>
    <w:rsid w:val="002905BA"/>
    <w:rsid w:val="0029079D"/>
    <w:rsid w:val="002907D7"/>
    <w:rsid w:val="002908E5"/>
    <w:rsid w:val="002908ED"/>
    <w:rsid w:val="00290959"/>
    <w:rsid w:val="00290A33"/>
    <w:rsid w:val="00290A8D"/>
    <w:rsid w:val="00291075"/>
    <w:rsid w:val="002912A5"/>
    <w:rsid w:val="002914BC"/>
    <w:rsid w:val="002915A7"/>
    <w:rsid w:val="00291762"/>
    <w:rsid w:val="0029186F"/>
    <w:rsid w:val="002918F8"/>
    <w:rsid w:val="00291D9A"/>
    <w:rsid w:val="00291DAA"/>
    <w:rsid w:val="00291EC8"/>
    <w:rsid w:val="00292879"/>
    <w:rsid w:val="00292CD6"/>
    <w:rsid w:val="00293491"/>
    <w:rsid w:val="0029358F"/>
    <w:rsid w:val="002936E1"/>
    <w:rsid w:val="00293769"/>
    <w:rsid w:val="002937CE"/>
    <w:rsid w:val="002939FD"/>
    <w:rsid w:val="00293A9D"/>
    <w:rsid w:val="002941D6"/>
    <w:rsid w:val="002942F3"/>
    <w:rsid w:val="0029471F"/>
    <w:rsid w:val="00294A22"/>
    <w:rsid w:val="00295084"/>
    <w:rsid w:val="0029508B"/>
    <w:rsid w:val="002951AA"/>
    <w:rsid w:val="00295C68"/>
    <w:rsid w:val="00295E28"/>
    <w:rsid w:val="00295EA5"/>
    <w:rsid w:val="00295EA8"/>
    <w:rsid w:val="002963ED"/>
    <w:rsid w:val="00296587"/>
    <w:rsid w:val="002966A4"/>
    <w:rsid w:val="00296859"/>
    <w:rsid w:val="00297731"/>
    <w:rsid w:val="00297804"/>
    <w:rsid w:val="002979CD"/>
    <w:rsid w:val="002A0090"/>
    <w:rsid w:val="002A050A"/>
    <w:rsid w:val="002A05CC"/>
    <w:rsid w:val="002A06F3"/>
    <w:rsid w:val="002A0A6E"/>
    <w:rsid w:val="002A0E5D"/>
    <w:rsid w:val="002A112B"/>
    <w:rsid w:val="002A14AB"/>
    <w:rsid w:val="002A14E2"/>
    <w:rsid w:val="002A173D"/>
    <w:rsid w:val="002A1C4C"/>
    <w:rsid w:val="002A1D55"/>
    <w:rsid w:val="002A274D"/>
    <w:rsid w:val="002A2A34"/>
    <w:rsid w:val="002A2ADE"/>
    <w:rsid w:val="002A2F50"/>
    <w:rsid w:val="002A2F74"/>
    <w:rsid w:val="002A2FA6"/>
    <w:rsid w:val="002A3106"/>
    <w:rsid w:val="002A328D"/>
    <w:rsid w:val="002A39E6"/>
    <w:rsid w:val="002A3BBD"/>
    <w:rsid w:val="002A3F71"/>
    <w:rsid w:val="002A431D"/>
    <w:rsid w:val="002A447B"/>
    <w:rsid w:val="002A44F2"/>
    <w:rsid w:val="002A49F2"/>
    <w:rsid w:val="002A4DAF"/>
    <w:rsid w:val="002A5A84"/>
    <w:rsid w:val="002A5AD0"/>
    <w:rsid w:val="002A60D1"/>
    <w:rsid w:val="002A61E3"/>
    <w:rsid w:val="002A6531"/>
    <w:rsid w:val="002A65ED"/>
    <w:rsid w:val="002A6FF0"/>
    <w:rsid w:val="002A7457"/>
    <w:rsid w:val="002A7520"/>
    <w:rsid w:val="002A75A3"/>
    <w:rsid w:val="002A7754"/>
    <w:rsid w:val="002A7943"/>
    <w:rsid w:val="002A7AB7"/>
    <w:rsid w:val="002A7D19"/>
    <w:rsid w:val="002A7FE3"/>
    <w:rsid w:val="002B0235"/>
    <w:rsid w:val="002B0530"/>
    <w:rsid w:val="002B05A1"/>
    <w:rsid w:val="002B09A4"/>
    <w:rsid w:val="002B0A69"/>
    <w:rsid w:val="002B0B3E"/>
    <w:rsid w:val="002B0B9F"/>
    <w:rsid w:val="002B0F9B"/>
    <w:rsid w:val="002B104F"/>
    <w:rsid w:val="002B12D6"/>
    <w:rsid w:val="002B17A1"/>
    <w:rsid w:val="002B1A2D"/>
    <w:rsid w:val="002B1AD5"/>
    <w:rsid w:val="002B1C1F"/>
    <w:rsid w:val="002B1C3F"/>
    <w:rsid w:val="002B1C58"/>
    <w:rsid w:val="002B2178"/>
    <w:rsid w:val="002B2638"/>
    <w:rsid w:val="002B2821"/>
    <w:rsid w:val="002B2864"/>
    <w:rsid w:val="002B28B9"/>
    <w:rsid w:val="002B28DE"/>
    <w:rsid w:val="002B28EC"/>
    <w:rsid w:val="002B28FF"/>
    <w:rsid w:val="002B2D0A"/>
    <w:rsid w:val="002B332C"/>
    <w:rsid w:val="002B3489"/>
    <w:rsid w:val="002B34D3"/>
    <w:rsid w:val="002B3540"/>
    <w:rsid w:val="002B35CA"/>
    <w:rsid w:val="002B365C"/>
    <w:rsid w:val="002B3699"/>
    <w:rsid w:val="002B37F9"/>
    <w:rsid w:val="002B38DE"/>
    <w:rsid w:val="002B3C9E"/>
    <w:rsid w:val="002B3EFF"/>
    <w:rsid w:val="002B4155"/>
    <w:rsid w:val="002B432F"/>
    <w:rsid w:val="002B46B3"/>
    <w:rsid w:val="002B4DF1"/>
    <w:rsid w:val="002B4FAB"/>
    <w:rsid w:val="002B5287"/>
    <w:rsid w:val="002B5440"/>
    <w:rsid w:val="002B5465"/>
    <w:rsid w:val="002B57A6"/>
    <w:rsid w:val="002B585F"/>
    <w:rsid w:val="002B5B37"/>
    <w:rsid w:val="002B5B67"/>
    <w:rsid w:val="002B612C"/>
    <w:rsid w:val="002B62B3"/>
    <w:rsid w:val="002B6754"/>
    <w:rsid w:val="002B67D3"/>
    <w:rsid w:val="002B68E2"/>
    <w:rsid w:val="002B6A4E"/>
    <w:rsid w:val="002B6BB7"/>
    <w:rsid w:val="002B6C97"/>
    <w:rsid w:val="002B6CA3"/>
    <w:rsid w:val="002B6CCE"/>
    <w:rsid w:val="002C02C7"/>
    <w:rsid w:val="002C0461"/>
    <w:rsid w:val="002C06E0"/>
    <w:rsid w:val="002C10AD"/>
    <w:rsid w:val="002C1253"/>
    <w:rsid w:val="002C1637"/>
    <w:rsid w:val="002C16E9"/>
    <w:rsid w:val="002C1B83"/>
    <w:rsid w:val="002C2510"/>
    <w:rsid w:val="002C25A2"/>
    <w:rsid w:val="002C2616"/>
    <w:rsid w:val="002C2775"/>
    <w:rsid w:val="002C27C1"/>
    <w:rsid w:val="002C2C27"/>
    <w:rsid w:val="002C2F46"/>
    <w:rsid w:val="002C309C"/>
    <w:rsid w:val="002C31F3"/>
    <w:rsid w:val="002C3450"/>
    <w:rsid w:val="002C3598"/>
    <w:rsid w:val="002C368F"/>
    <w:rsid w:val="002C36E3"/>
    <w:rsid w:val="002C3757"/>
    <w:rsid w:val="002C381E"/>
    <w:rsid w:val="002C3AC4"/>
    <w:rsid w:val="002C3CA3"/>
    <w:rsid w:val="002C41C2"/>
    <w:rsid w:val="002C4261"/>
    <w:rsid w:val="002C4460"/>
    <w:rsid w:val="002C44AD"/>
    <w:rsid w:val="002C461C"/>
    <w:rsid w:val="002C4D72"/>
    <w:rsid w:val="002C5099"/>
    <w:rsid w:val="002C50F0"/>
    <w:rsid w:val="002C5109"/>
    <w:rsid w:val="002C53D1"/>
    <w:rsid w:val="002C5419"/>
    <w:rsid w:val="002C57FC"/>
    <w:rsid w:val="002C5889"/>
    <w:rsid w:val="002C5A40"/>
    <w:rsid w:val="002C5A7E"/>
    <w:rsid w:val="002C5CDB"/>
    <w:rsid w:val="002C5F7B"/>
    <w:rsid w:val="002C64A3"/>
    <w:rsid w:val="002C6A63"/>
    <w:rsid w:val="002C6B92"/>
    <w:rsid w:val="002C6E5E"/>
    <w:rsid w:val="002C7039"/>
    <w:rsid w:val="002C708A"/>
    <w:rsid w:val="002C71CE"/>
    <w:rsid w:val="002C751E"/>
    <w:rsid w:val="002C7A25"/>
    <w:rsid w:val="002C7AF4"/>
    <w:rsid w:val="002D07B7"/>
    <w:rsid w:val="002D08F8"/>
    <w:rsid w:val="002D0A6A"/>
    <w:rsid w:val="002D0A8B"/>
    <w:rsid w:val="002D0B5D"/>
    <w:rsid w:val="002D0C32"/>
    <w:rsid w:val="002D0D9A"/>
    <w:rsid w:val="002D14FF"/>
    <w:rsid w:val="002D1504"/>
    <w:rsid w:val="002D1576"/>
    <w:rsid w:val="002D1664"/>
    <w:rsid w:val="002D16C8"/>
    <w:rsid w:val="002D17CD"/>
    <w:rsid w:val="002D19E1"/>
    <w:rsid w:val="002D1C76"/>
    <w:rsid w:val="002D1DC2"/>
    <w:rsid w:val="002D1E3C"/>
    <w:rsid w:val="002D1FA3"/>
    <w:rsid w:val="002D2277"/>
    <w:rsid w:val="002D24D6"/>
    <w:rsid w:val="002D255E"/>
    <w:rsid w:val="002D27C9"/>
    <w:rsid w:val="002D2C05"/>
    <w:rsid w:val="002D2DE7"/>
    <w:rsid w:val="002D2E20"/>
    <w:rsid w:val="002D2E59"/>
    <w:rsid w:val="002D3215"/>
    <w:rsid w:val="002D33B7"/>
    <w:rsid w:val="002D356F"/>
    <w:rsid w:val="002D409F"/>
    <w:rsid w:val="002D422D"/>
    <w:rsid w:val="002D42B1"/>
    <w:rsid w:val="002D47EC"/>
    <w:rsid w:val="002D4AEE"/>
    <w:rsid w:val="002D4E54"/>
    <w:rsid w:val="002D577C"/>
    <w:rsid w:val="002D5A25"/>
    <w:rsid w:val="002D6121"/>
    <w:rsid w:val="002D643D"/>
    <w:rsid w:val="002D682B"/>
    <w:rsid w:val="002D684F"/>
    <w:rsid w:val="002D69CB"/>
    <w:rsid w:val="002D6C4D"/>
    <w:rsid w:val="002D6CF7"/>
    <w:rsid w:val="002D6E0E"/>
    <w:rsid w:val="002D6EA1"/>
    <w:rsid w:val="002D6F5D"/>
    <w:rsid w:val="002D75C9"/>
    <w:rsid w:val="002D7620"/>
    <w:rsid w:val="002D7832"/>
    <w:rsid w:val="002D7AA3"/>
    <w:rsid w:val="002D7C0D"/>
    <w:rsid w:val="002E01A5"/>
    <w:rsid w:val="002E0392"/>
    <w:rsid w:val="002E0405"/>
    <w:rsid w:val="002E0577"/>
    <w:rsid w:val="002E0C55"/>
    <w:rsid w:val="002E0C9D"/>
    <w:rsid w:val="002E1071"/>
    <w:rsid w:val="002E1247"/>
    <w:rsid w:val="002E15B9"/>
    <w:rsid w:val="002E15BB"/>
    <w:rsid w:val="002E18C1"/>
    <w:rsid w:val="002E18C9"/>
    <w:rsid w:val="002E2066"/>
    <w:rsid w:val="002E2150"/>
    <w:rsid w:val="002E2158"/>
    <w:rsid w:val="002E220F"/>
    <w:rsid w:val="002E28A7"/>
    <w:rsid w:val="002E2B51"/>
    <w:rsid w:val="002E2B90"/>
    <w:rsid w:val="002E2C2B"/>
    <w:rsid w:val="002E2ECE"/>
    <w:rsid w:val="002E308F"/>
    <w:rsid w:val="002E3154"/>
    <w:rsid w:val="002E3351"/>
    <w:rsid w:val="002E3460"/>
    <w:rsid w:val="002E3788"/>
    <w:rsid w:val="002E39E8"/>
    <w:rsid w:val="002E3D96"/>
    <w:rsid w:val="002E3DEE"/>
    <w:rsid w:val="002E3DF2"/>
    <w:rsid w:val="002E407D"/>
    <w:rsid w:val="002E40BB"/>
    <w:rsid w:val="002E4130"/>
    <w:rsid w:val="002E4480"/>
    <w:rsid w:val="002E45C0"/>
    <w:rsid w:val="002E4A63"/>
    <w:rsid w:val="002E4CA0"/>
    <w:rsid w:val="002E4E2F"/>
    <w:rsid w:val="002E4E4C"/>
    <w:rsid w:val="002E4EE3"/>
    <w:rsid w:val="002E4F02"/>
    <w:rsid w:val="002E5074"/>
    <w:rsid w:val="002E5254"/>
    <w:rsid w:val="002E5474"/>
    <w:rsid w:val="002E5685"/>
    <w:rsid w:val="002E5804"/>
    <w:rsid w:val="002E5ADB"/>
    <w:rsid w:val="002E5C88"/>
    <w:rsid w:val="002E5EAA"/>
    <w:rsid w:val="002E5ED9"/>
    <w:rsid w:val="002E6351"/>
    <w:rsid w:val="002E6598"/>
    <w:rsid w:val="002E6733"/>
    <w:rsid w:val="002E6820"/>
    <w:rsid w:val="002E68F3"/>
    <w:rsid w:val="002E6A65"/>
    <w:rsid w:val="002E6AC3"/>
    <w:rsid w:val="002E6B71"/>
    <w:rsid w:val="002E6CFC"/>
    <w:rsid w:val="002E7722"/>
    <w:rsid w:val="002E77E5"/>
    <w:rsid w:val="002E78D5"/>
    <w:rsid w:val="002E7AE0"/>
    <w:rsid w:val="002E7D66"/>
    <w:rsid w:val="002E7D9D"/>
    <w:rsid w:val="002E7E4B"/>
    <w:rsid w:val="002F0377"/>
    <w:rsid w:val="002F07BA"/>
    <w:rsid w:val="002F0C55"/>
    <w:rsid w:val="002F0CBF"/>
    <w:rsid w:val="002F0D8E"/>
    <w:rsid w:val="002F0DA0"/>
    <w:rsid w:val="002F0DA9"/>
    <w:rsid w:val="002F0E8D"/>
    <w:rsid w:val="002F1014"/>
    <w:rsid w:val="002F157E"/>
    <w:rsid w:val="002F15B4"/>
    <w:rsid w:val="002F1A12"/>
    <w:rsid w:val="002F1AB0"/>
    <w:rsid w:val="002F1CD5"/>
    <w:rsid w:val="002F1E29"/>
    <w:rsid w:val="002F1E3B"/>
    <w:rsid w:val="002F29F6"/>
    <w:rsid w:val="002F2EC2"/>
    <w:rsid w:val="002F3261"/>
    <w:rsid w:val="002F3310"/>
    <w:rsid w:val="002F33C6"/>
    <w:rsid w:val="002F34C2"/>
    <w:rsid w:val="002F3717"/>
    <w:rsid w:val="002F3730"/>
    <w:rsid w:val="002F3735"/>
    <w:rsid w:val="002F37B2"/>
    <w:rsid w:val="002F3A47"/>
    <w:rsid w:val="002F3FCA"/>
    <w:rsid w:val="002F4002"/>
    <w:rsid w:val="002F46DE"/>
    <w:rsid w:val="002F494F"/>
    <w:rsid w:val="002F4AC8"/>
    <w:rsid w:val="002F4AEF"/>
    <w:rsid w:val="002F4BEB"/>
    <w:rsid w:val="002F50EC"/>
    <w:rsid w:val="002F542D"/>
    <w:rsid w:val="002F561A"/>
    <w:rsid w:val="002F5AB5"/>
    <w:rsid w:val="002F5D51"/>
    <w:rsid w:val="002F5DF9"/>
    <w:rsid w:val="002F5E43"/>
    <w:rsid w:val="002F5E93"/>
    <w:rsid w:val="002F61BC"/>
    <w:rsid w:val="002F61E2"/>
    <w:rsid w:val="002F643C"/>
    <w:rsid w:val="002F6651"/>
    <w:rsid w:val="002F6660"/>
    <w:rsid w:val="002F667C"/>
    <w:rsid w:val="002F6DD8"/>
    <w:rsid w:val="002F6EDD"/>
    <w:rsid w:val="002F702C"/>
    <w:rsid w:val="002F71C0"/>
    <w:rsid w:val="002F71EE"/>
    <w:rsid w:val="002F74F1"/>
    <w:rsid w:val="002F7E31"/>
    <w:rsid w:val="002F7E7E"/>
    <w:rsid w:val="00300100"/>
    <w:rsid w:val="003003F6"/>
    <w:rsid w:val="003009A4"/>
    <w:rsid w:val="00300E30"/>
    <w:rsid w:val="00300FE1"/>
    <w:rsid w:val="00301017"/>
    <w:rsid w:val="003013C3"/>
    <w:rsid w:val="0030155F"/>
    <w:rsid w:val="0030159E"/>
    <w:rsid w:val="00301AB8"/>
    <w:rsid w:val="00301B8D"/>
    <w:rsid w:val="003024AE"/>
    <w:rsid w:val="0030268F"/>
    <w:rsid w:val="00302C63"/>
    <w:rsid w:val="00302F20"/>
    <w:rsid w:val="00303067"/>
    <w:rsid w:val="00303F40"/>
    <w:rsid w:val="00304379"/>
    <w:rsid w:val="003043A9"/>
    <w:rsid w:val="003048E9"/>
    <w:rsid w:val="003048FE"/>
    <w:rsid w:val="00304A78"/>
    <w:rsid w:val="00304D49"/>
    <w:rsid w:val="003053E0"/>
    <w:rsid w:val="00305733"/>
    <w:rsid w:val="0030583B"/>
    <w:rsid w:val="0030587B"/>
    <w:rsid w:val="00305943"/>
    <w:rsid w:val="00305BD1"/>
    <w:rsid w:val="00305EEE"/>
    <w:rsid w:val="003066AE"/>
    <w:rsid w:val="003067DA"/>
    <w:rsid w:val="003068F0"/>
    <w:rsid w:val="003069CE"/>
    <w:rsid w:val="00306D98"/>
    <w:rsid w:val="00306F92"/>
    <w:rsid w:val="00306F9B"/>
    <w:rsid w:val="00307173"/>
    <w:rsid w:val="0030738F"/>
    <w:rsid w:val="0030750A"/>
    <w:rsid w:val="00307698"/>
    <w:rsid w:val="003077AB"/>
    <w:rsid w:val="0030786C"/>
    <w:rsid w:val="00307BD5"/>
    <w:rsid w:val="00307C4E"/>
    <w:rsid w:val="00307F98"/>
    <w:rsid w:val="0031027F"/>
    <w:rsid w:val="0031031A"/>
    <w:rsid w:val="003104B3"/>
    <w:rsid w:val="0031057C"/>
    <w:rsid w:val="00310963"/>
    <w:rsid w:val="00310981"/>
    <w:rsid w:val="00310A21"/>
    <w:rsid w:val="003114EC"/>
    <w:rsid w:val="003116AD"/>
    <w:rsid w:val="00311D9B"/>
    <w:rsid w:val="003121DA"/>
    <w:rsid w:val="003121F6"/>
    <w:rsid w:val="00312274"/>
    <w:rsid w:val="003124D9"/>
    <w:rsid w:val="00312594"/>
    <w:rsid w:val="00312671"/>
    <w:rsid w:val="00312EF9"/>
    <w:rsid w:val="00313550"/>
    <w:rsid w:val="003137EA"/>
    <w:rsid w:val="003141BB"/>
    <w:rsid w:val="00314687"/>
    <w:rsid w:val="00314700"/>
    <w:rsid w:val="00314B30"/>
    <w:rsid w:val="00314DA5"/>
    <w:rsid w:val="00315479"/>
    <w:rsid w:val="00315498"/>
    <w:rsid w:val="00315830"/>
    <w:rsid w:val="00315A85"/>
    <w:rsid w:val="00315C1D"/>
    <w:rsid w:val="00315DF8"/>
    <w:rsid w:val="00315EA8"/>
    <w:rsid w:val="0031605D"/>
    <w:rsid w:val="0031612C"/>
    <w:rsid w:val="00316400"/>
    <w:rsid w:val="00316474"/>
    <w:rsid w:val="003168FE"/>
    <w:rsid w:val="00316C28"/>
    <w:rsid w:val="00316D4D"/>
    <w:rsid w:val="00316F7E"/>
    <w:rsid w:val="00317B69"/>
    <w:rsid w:val="003200BC"/>
    <w:rsid w:val="0032021C"/>
    <w:rsid w:val="0032025D"/>
    <w:rsid w:val="003204F4"/>
    <w:rsid w:val="003205D1"/>
    <w:rsid w:val="003209C0"/>
    <w:rsid w:val="003209CD"/>
    <w:rsid w:val="00320BC0"/>
    <w:rsid w:val="0032101A"/>
    <w:rsid w:val="00321628"/>
    <w:rsid w:val="00321749"/>
    <w:rsid w:val="00321D00"/>
    <w:rsid w:val="00322107"/>
    <w:rsid w:val="00322355"/>
    <w:rsid w:val="003224BC"/>
    <w:rsid w:val="0032265B"/>
    <w:rsid w:val="00322685"/>
    <w:rsid w:val="0032275B"/>
    <w:rsid w:val="00322846"/>
    <w:rsid w:val="00322AB2"/>
    <w:rsid w:val="00322EDF"/>
    <w:rsid w:val="00323065"/>
    <w:rsid w:val="00323127"/>
    <w:rsid w:val="00323187"/>
    <w:rsid w:val="00323450"/>
    <w:rsid w:val="00323477"/>
    <w:rsid w:val="00323564"/>
    <w:rsid w:val="00323D2F"/>
    <w:rsid w:val="00323F42"/>
    <w:rsid w:val="00324127"/>
    <w:rsid w:val="0032429A"/>
    <w:rsid w:val="003245B7"/>
    <w:rsid w:val="0032478E"/>
    <w:rsid w:val="003247F7"/>
    <w:rsid w:val="0032489F"/>
    <w:rsid w:val="003249C3"/>
    <w:rsid w:val="00324AAC"/>
    <w:rsid w:val="00324B65"/>
    <w:rsid w:val="003255E3"/>
    <w:rsid w:val="003256A7"/>
    <w:rsid w:val="0032571A"/>
    <w:rsid w:val="00325DC6"/>
    <w:rsid w:val="00325F7D"/>
    <w:rsid w:val="00326213"/>
    <w:rsid w:val="003262E1"/>
    <w:rsid w:val="0032632E"/>
    <w:rsid w:val="00326382"/>
    <w:rsid w:val="00326483"/>
    <w:rsid w:val="003265F6"/>
    <w:rsid w:val="00326752"/>
    <w:rsid w:val="003267DF"/>
    <w:rsid w:val="0032691B"/>
    <w:rsid w:val="003269F4"/>
    <w:rsid w:val="00326BF8"/>
    <w:rsid w:val="00326C40"/>
    <w:rsid w:val="00326DA7"/>
    <w:rsid w:val="00326F3C"/>
    <w:rsid w:val="003270E4"/>
    <w:rsid w:val="003278CA"/>
    <w:rsid w:val="00327C05"/>
    <w:rsid w:val="00327CEB"/>
    <w:rsid w:val="00327D55"/>
    <w:rsid w:val="00328386"/>
    <w:rsid w:val="003307F5"/>
    <w:rsid w:val="003308D4"/>
    <w:rsid w:val="00330C0D"/>
    <w:rsid w:val="00330C87"/>
    <w:rsid w:val="00330DAA"/>
    <w:rsid w:val="00330E19"/>
    <w:rsid w:val="00330F5C"/>
    <w:rsid w:val="00331376"/>
    <w:rsid w:val="003316DA"/>
    <w:rsid w:val="00332599"/>
    <w:rsid w:val="003325C2"/>
    <w:rsid w:val="0033280B"/>
    <w:rsid w:val="00332901"/>
    <w:rsid w:val="003329A8"/>
    <w:rsid w:val="00332CAB"/>
    <w:rsid w:val="00332D46"/>
    <w:rsid w:val="003331CD"/>
    <w:rsid w:val="003332B4"/>
    <w:rsid w:val="00333403"/>
    <w:rsid w:val="00333622"/>
    <w:rsid w:val="003337D9"/>
    <w:rsid w:val="00333A03"/>
    <w:rsid w:val="00334B00"/>
    <w:rsid w:val="00334C7F"/>
    <w:rsid w:val="003353D3"/>
    <w:rsid w:val="003355E0"/>
    <w:rsid w:val="00335983"/>
    <w:rsid w:val="00335A0C"/>
    <w:rsid w:val="00335D26"/>
    <w:rsid w:val="00335D37"/>
    <w:rsid w:val="0033620C"/>
    <w:rsid w:val="003362AD"/>
    <w:rsid w:val="003366C9"/>
    <w:rsid w:val="00336792"/>
    <w:rsid w:val="00336D27"/>
    <w:rsid w:val="00336D51"/>
    <w:rsid w:val="00336D5F"/>
    <w:rsid w:val="00337107"/>
    <w:rsid w:val="0033716A"/>
    <w:rsid w:val="003371B0"/>
    <w:rsid w:val="003372CB"/>
    <w:rsid w:val="0033742A"/>
    <w:rsid w:val="0033750B"/>
    <w:rsid w:val="00337952"/>
    <w:rsid w:val="0033798B"/>
    <w:rsid w:val="00340666"/>
    <w:rsid w:val="003409E4"/>
    <w:rsid w:val="00340AA7"/>
    <w:rsid w:val="00340AAD"/>
    <w:rsid w:val="00340C83"/>
    <w:rsid w:val="00340D34"/>
    <w:rsid w:val="00340DF1"/>
    <w:rsid w:val="003412C8"/>
    <w:rsid w:val="00341474"/>
    <w:rsid w:val="003415C0"/>
    <w:rsid w:val="003419A5"/>
    <w:rsid w:val="00341F28"/>
    <w:rsid w:val="00341FCE"/>
    <w:rsid w:val="00342043"/>
    <w:rsid w:val="00342131"/>
    <w:rsid w:val="00342AA7"/>
    <w:rsid w:val="00342B85"/>
    <w:rsid w:val="00342C76"/>
    <w:rsid w:val="00342D2D"/>
    <w:rsid w:val="00342E58"/>
    <w:rsid w:val="003433B7"/>
    <w:rsid w:val="00343667"/>
    <w:rsid w:val="003439C1"/>
    <w:rsid w:val="00344729"/>
    <w:rsid w:val="003448B6"/>
    <w:rsid w:val="0034496B"/>
    <w:rsid w:val="00344A2B"/>
    <w:rsid w:val="00344AD4"/>
    <w:rsid w:val="00344E00"/>
    <w:rsid w:val="0034501A"/>
    <w:rsid w:val="00345150"/>
    <w:rsid w:val="00345890"/>
    <w:rsid w:val="003459FA"/>
    <w:rsid w:val="00345ED7"/>
    <w:rsid w:val="003461F6"/>
    <w:rsid w:val="00346314"/>
    <w:rsid w:val="003463F6"/>
    <w:rsid w:val="00346577"/>
    <w:rsid w:val="00346901"/>
    <w:rsid w:val="00346A03"/>
    <w:rsid w:val="00346AB8"/>
    <w:rsid w:val="00346D2B"/>
    <w:rsid w:val="00346E65"/>
    <w:rsid w:val="00347021"/>
    <w:rsid w:val="00347367"/>
    <w:rsid w:val="003473D2"/>
    <w:rsid w:val="00347622"/>
    <w:rsid w:val="00347A41"/>
    <w:rsid w:val="00347A5E"/>
    <w:rsid w:val="00347C0C"/>
    <w:rsid w:val="00347F90"/>
    <w:rsid w:val="00347FD3"/>
    <w:rsid w:val="0035018E"/>
    <w:rsid w:val="003506E4"/>
    <w:rsid w:val="00351104"/>
    <w:rsid w:val="003511A7"/>
    <w:rsid w:val="00351337"/>
    <w:rsid w:val="0035135C"/>
    <w:rsid w:val="003517F9"/>
    <w:rsid w:val="00351B70"/>
    <w:rsid w:val="00351BA9"/>
    <w:rsid w:val="00351D3B"/>
    <w:rsid w:val="0035239A"/>
    <w:rsid w:val="00352450"/>
    <w:rsid w:val="00352550"/>
    <w:rsid w:val="00352635"/>
    <w:rsid w:val="00352679"/>
    <w:rsid w:val="00352A19"/>
    <w:rsid w:val="00352A78"/>
    <w:rsid w:val="00352AB2"/>
    <w:rsid w:val="00352ADF"/>
    <w:rsid w:val="00352B3E"/>
    <w:rsid w:val="00352BEE"/>
    <w:rsid w:val="00352C01"/>
    <w:rsid w:val="00352D9D"/>
    <w:rsid w:val="00352DFF"/>
    <w:rsid w:val="00352E72"/>
    <w:rsid w:val="00352F72"/>
    <w:rsid w:val="00353599"/>
    <w:rsid w:val="00353AE8"/>
    <w:rsid w:val="00353F0B"/>
    <w:rsid w:val="00353F3B"/>
    <w:rsid w:val="00354069"/>
    <w:rsid w:val="003543C7"/>
    <w:rsid w:val="00354799"/>
    <w:rsid w:val="003547B3"/>
    <w:rsid w:val="00354998"/>
    <w:rsid w:val="00354BBF"/>
    <w:rsid w:val="00354C98"/>
    <w:rsid w:val="00354DD3"/>
    <w:rsid w:val="00354F64"/>
    <w:rsid w:val="00355457"/>
    <w:rsid w:val="003554B7"/>
    <w:rsid w:val="0035552E"/>
    <w:rsid w:val="0035556E"/>
    <w:rsid w:val="003559A0"/>
    <w:rsid w:val="003559BE"/>
    <w:rsid w:val="00355C62"/>
    <w:rsid w:val="00355CEF"/>
    <w:rsid w:val="0035620E"/>
    <w:rsid w:val="0035668E"/>
    <w:rsid w:val="003566EB"/>
    <w:rsid w:val="00356998"/>
    <w:rsid w:val="00356D12"/>
    <w:rsid w:val="0035700D"/>
    <w:rsid w:val="003574EC"/>
    <w:rsid w:val="00357566"/>
    <w:rsid w:val="003575BE"/>
    <w:rsid w:val="003578D8"/>
    <w:rsid w:val="00357C41"/>
    <w:rsid w:val="00357C8D"/>
    <w:rsid w:val="00357EEE"/>
    <w:rsid w:val="00357F2B"/>
    <w:rsid w:val="00357FD9"/>
    <w:rsid w:val="00357FE4"/>
    <w:rsid w:val="00360336"/>
    <w:rsid w:val="00360345"/>
    <w:rsid w:val="00360CEA"/>
    <w:rsid w:val="00360E4B"/>
    <w:rsid w:val="00361375"/>
    <w:rsid w:val="003613C6"/>
    <w:rsid w:val="003615C6"/>
    <w:rsid w:val="003615E6"/>
    <w:rsid w:val="00361793"/>
    <w:rsid w:val="00361A05"/>
    <w:rsid w:val="00361B0A"/>
    <w:rsid w:val="00361B82"/>
    <w:rsid w:val="00361D29"/>
    <w:rsid w:val="0036226E"/>
    <w:rsid w:val="003624C4"/>
    <w:rsid w:val="0036298C"/>
    <w:rsid w:val="0036298F"/>
    <w:rsid w:val="00362C17"/>
    <w:rsid w:val="00363539"/>
    <w:rsid w:val="00363B00"/>
    <w:rsid w:val="00363B7D"/>
    <w:rsid w:val="00363C77"/>
    <w:rsid w:val="00363D84"/>
    <w:rsid w:val="00363E5D"/>
    <w:rsid w:val="00363F21"/>
    <w:rsid w:val="0036417C"/>
    <w:rsid w:val="00364707"/>
    <w:rsid w:val="003647EF"/>
    <w:rsid w:val="00364862"/>
    <w:rsid w:val="00364989"/>
    <w:rsid w:val="00364E9F"/>
    <w:rsid w:val="0036508F"/>
    <w:rsid w:val="003650DA"/>
    <w:rsid w:val="0036527D"/>
    <w:rsid w:val="003654AC"/>
    <w:rsid w:val="00365590"/>
    <w:rsid w:val="003657DE"/>
    <w:rsid w:val="003658AD"/>
    <w:rsid w:val="00365A89"/>
    <w:rsid w:val="00365CA5"/>
    <w:rsid w:val="00365ECC"/>
    <w:rsid w:val="00366455"/>
    <w:rsid w:val="00366597"/>
    <w:rsid w:val="003665E6"/>
    <w:rsid w:val="00366B3D"/>
    <w:rsid w:val="00366E80"/>
    <w:rsid w:val="00366EC7"/>
    <w:rsid w:val="00366F93"/>
    <w:rsid w:val="00367016"/>
    <w:rsid w:val="003672EA"/>
    <w:rsid w:val="003673EA"/>
    <w:rsid w:val="0036764E"/>
    <w:rsid w:val="00367AAC"/>
    <w:rsid w:val="00367C51"/>
    <w:rsid w:val="00367DE5"/>
    <w:rsid w:val="00367E4F"/>
    <w:rsid w:val="00367F60"/>
    <w:rsid w:val="00367FD7"/>
    <w:rsid w:val="00367FE1"/>
    <w:rsid w:val="00370A9C"/>
    <w:rsid w:val="00370DE6"/>
    <w:rsid w:val="00370E1E"/>
    <w:rsid w:val="003710A1"/>
    <w:rsid w:val="003710CF"/>
    <w:rsid w:val="0037122E"/>
    <w:rsid w:val="0037175B"/>
    <w:rsid w:val="003719F0"/>
    <w:rsid w:val="00371E80"/>
    <w:rsid w:val="0037282B"/>
    <w:rsid w:val="00372C62"/>
    <w:rsid w:val="00373242"/>
    <w:rsid w:val="0037358A"/>
    <w:rsid w:val="003737BC"/>
    <w:rsid w:val="00373C42"/>
    <w:rsid w:val="00373D36"/>
    <w:rsid w:val="00373ED2"/>
    <w:rsid w:val="0037472C"/>
    <w:rsid w:val="0037474F"/>
    <w:rsid w:val="00374C61"/>
    <w:rsid w:val="00374CB4"/>
    <w:rsid w:val="00374E2B"/>
    <w:rsid w:val="00374F64"/>
    <w:rsid w:val="00374FC7"/>
    <w:rsid w:val="0037508B"/>
    <w:rsid w:val="003750F6"/>
    <w:rsid w:val="003751D9"/>
    <w:rsid w:val="003758E0"/>
    <w:rsid w:val="00375A96"/>
    <w:rsid w:val="00375AE9"/>
    <w:rsid w:val="00375DAC"/>
    <w:rsid w:val="00375E0A"/>
    <w:rsid w:val="00375EB6"/>
    <w:rsid w:val="0037608D"/>
    <w:rsid w:val="003760FC"/>
    <w:rsid w:val="00376186"/>
    <w:rsid w:val="00376A6A"/>
    <w:rsid w:val="00376E62"/>
    <w:rsid w:val="00377ADB"/>
    <w:rsid w:val="00380069"/>
    <w:rsid w:val="0038015F"/>
    <w:rsid w:val="00380365"/>
    <w:rsid w:val="00380466"/>
    <w:rsid w:val="00380630"/>
    <w:rsid w:val="00380797"/>
    <w:rsid w:val="003808CA"/>
    <w:rsid w:val="00380AA2"/>
    <w:rsid w:val="00380BC2"/>
    <w:rsid w:val="00380C2E"/>
    <w:rsid w:val="003811CB"/>
    <w:rsid w:val="0038161B"/>
    <w:rsid w:val="0038179E"/>
    <w:rsid w:val="00381860"/>
    <w:rsid w:val="0038194F"/>
    <w:rsid w:val="00382261"/>
    <w:rsid w:val="0038231B"/>
    <w:rsid w:val="00382712"/>
    <w:rsid w:val="00382AF3"/>
    <w:rsid w:val="00382D4F"/>
    <w:rsid w:val="00382DAF"/>
    <w:rsid w:val="0038313E"/>
    <w:rsid w:val="003834FB"/>
    <w:rsid w:val="00383645"/>
    <w:rsid w:val="0038365C"/>
    <w:rsid w:val="0038369B"/>
    <w:rsid w:val="00383A20"/>
    <w:rsid w:val="00383ABA"/>
    <w:rsid w:val="00383B78"/>
    <w:rsid w:val="00383C5D"/>
    <w:rsid w:val="0038409C"/>
    <w:rsid w:val="00384163"/>
    <w:rsid w:val="0038454A"/>
    <w:rsid w:val="00384613"/>
    <w:rsid w:val="00384695"/>
    <w:rsid w:val="003847B9"/>
    <w:rsid w:val="00385528"/>
    <w:rsid w:val="00385626"/>
    <w:rsid w:val="00385A9D"/>
    <w:rsid w:val="00385EE3"/>
    <w:rsid w:val="0038677F"/>
    <w:rsid w:val="00386788"/>
    <w:rsid w:val="003867BB"/>
    <w:rsid w:val="00386A00"/>
    <w:rsid w:val="00386B57"/>
    <w:rsid w:val="00386B82"/>
    <w:rsid w:val="00386C3C"/>
    <w:rsid w:val="0038705A"/>
    <w:rsid w:val="00387121"/>
    <w:rsid w:val="00387270"/>
    <w:rsid w:val="0038733F"/>
    <w:rsid w:val="0038735B"/>
    <w:rsid w:val="0038744F"/>
    <w:rsid w:val="00387601"/>
    <w:rsid w:val="00387668"/>
    <w:rsid w:val="0038778C"/>
    <w:rsid w:val="003879BD"/>
    <w:rsid w:val="00387BE4"/>
    <w:rsid w:val="00387CEE"/>
    <w:rsid w:val="00387F51"/>
    <w:rsid w:val="003902B1"/>
    <w:rsid w:val="0039074F"/>
    <w:rsid w:val="003907BB"/>
    <w:rsid w:val="003908CC"/>
    <w:rsid w:val="00390E69"/>
    <w:rsid w:val="00390E6F"/>
    <w:rsid w:val="0039151B"/>
    <w:rsid w:val="0039179C"/>
    <w:rsid w:val="00391B69"/>
    <w:rsid w:val="00391D83"/>
    <w:rsid w:val="003928B9"/>
    <w:rsid w:val="00392AB3"/>
    <w:rsid w:val="00392D43"/>
    <w:rsid w:val="00392D84"/>
    <w:rsid w:val="003935BC"/>
    <w:rsid w:val="00393A6C"/>
    <w:rsid w:val="00393CAF"/>
    <w:rsid w:val="00393D64"/>
    <w:rsid w:val="003942C6"/>
    <w:rsid w:val="0039454D"/>
    <w:rsid w:val="0039487C"/>
    <w:rsid w:val="00394AC4"/>
    <w:rsid w:val="00394D2B"/>
    <w:rsid w:val="00394DD3"/>
    <w:rsid w:val="00394DF1"/>
    <w:rsid w:val="00394E3C"/>
    <w:rsid w:val="00394F68"/>
    <w:rsid w:val="00395031"/>
    <w:rsid w:val="0039504B"/>
    <w:rsid w:val="003953E0"/>
    <w:rsid w:val="00395462"/>
    <w:rsid w:val="00395956"/>
    <w:rsid w:val="00395B57"/>
    <w:rsid w:val="00395B81"/>
    <w:rsid w:val="00395C4C"/>
    <w:rsid w:val="00395D4C"/>
    <w:rsid w:val="00395DD3"/>
    <w:rsid w:val="0039601F"/>
    <w:rsid w:val="003966A3"/>
    <w:rsid w:val="00396896"/>
    <w:rsid w:val="00396FD0"/>
    <w:rsid w:val="00397418"/>
    <w:rsid w:val="0039751A"/>
    <w:rsid w:val="003979DE"/>
    <w:rsid w:val="00397B22"/>
    <w:rsid w:val="00397D17"/>
    <w:rsid w:val="003A06BA"/>
    <w:rsid w:val="003A07BB"/>
    <w:rsid w:val="003A092A"/>
    <w:rsid w:val="003A097F"/>
    <w:rsid w:val="003A0D64"/>
    <w:rsid w:val="003A0F33"/>
    <w:rsid w:val="003A11E9"/>
    <w:rsid w:val="003A1859"/>
    <w:rsid w:val="003A1895"/>
    <w:rsid w:val="003A19DE"/>
    <w:rsid w:val="003A1A7A"/>
    <w:rsid w:val="003A1C4A"/>
    <w:rsid w:val="003A1D32"/>
    <w:rsid w:val="003A2302"/>
    <w:rsid w:val="003A2392"/>
    <w:rsid w:val="003A246D"/>
    <w:rsid w:val="003A253F"/>
    <w:rsid w:val="003A2831"/>
    <w:rsid w:val="003A2876"/>
    <w:rsid w:val="003A29E7"/>
    <w:rsid w:val="003A2A3C"/>
    <w:rsid w:val="003A2F71"/>
    <w:rsid w:val="003A34E2"/>
    <w:rsid w:val="003A3639"/>
    <w:rsid w:val="003A38A2"/>
    <w:rsid w:val="003A38B3"/>
    <w:rsid w:val="003A3CB6"/>
    <w:rsid w:val="003A3DE9"/>
    <w:rsid w:val="003A3E60"/>
    <w:rsid w:val="003A3E92"/>
    <w:rsid w:val="003A3ED1"/>
    <w:rsid w:val="003A4041"/>
    <w:rsid w:val="003A44DB"/>
    <w:rsid w:val="003A4916"/>
    <w:rsid w:val="003A4C14"/>
    <w:rsid w:val="003A572F"/>
    <w:rsid w:val="003A5945"/>
    <w:rsid w:val="003A5952"/>
    <w:rsid w:val="003A5E8A"/>
    <w:rsid w:val="003A6019"/>
    <w:rsid w:val="003A62ED"/>
    <w:rsid w:val="003A6681"/>
    <w:rsid w:val="003A68AE"/>
    <w:rsid w:val="003A6A08"/>
    <w:rsid w:val="003A6DD5"/>
    <w:rsid w:val="003A6F19"/>
    <w:rsid w:val="003A74B2"/>
    <w:rsid w:val="003A7956"/>
    <w:rsid w:val="003A7B6C"/>
    <w:rsid w:val="003B0200"/>
    <w:rsid w:val="003B0949"/>
    <w:rsid w:val="003B0C47"/>
    <w:rsid w:val="003B0DA4"/>
    <w:rsid w:val="003B1B37"/>
    <w:rsid w:val="003B1B72"/>
    <w:rsid w:val="003B1BCC"/>
    <w:rsid w:val="003B2654"/>
    <w:rsid w:val="003B2770"/>
    <w:rsid w:val="003B2A5C"/>
    <w:rsid w:val="003B30DD"/>
    <w:rsid w:val="003B3971"/>
    <w:rsid w:val="003B3986"/>
    <w:rsid w:val="003B3B02"/>
    <w:rsid w:val="003B3C8D"/>
    <w:rsid w:val="003B3DE4"/>
    <w:rsid w:val="003B3F25"/>
    <w:rsid w:val="003B4758"/>
    <w:rsid w:val="003B4A5F"/>
    <w:rsid w:val="003B5352"/>
    <w:rsid w:val="003B55D1"/>
    <w:rsid w:val="003B55E7"/>
    <w:rsid w:val="003B57BC"/>
    <w:rsid w:val="003B5B61"/>
    <w:rsid w:val="003B5CCB"/>
    <w:rsid w:val="003B652C"/>
    <w:rsid w:val="003B6973"/>
    <w:rsid w:val="003B6C3E"/>
    <w:rsid w:val="003B734A"/>
    <w:rsid w:val="003B75F1"/>
    <w:rsid w:val="003B7737"/>
    <w:rsid w:val="003B7A61"/>
    <w:rsid w:val="003B7B64"/>
    <w:rsid w:val="003B7CE5"/>
    <w:rsid w:val="003C003A"/>
    <w:rsid w:val="003C069C"/>
    <w:rsid w:val="003C1129"/>
    <w:rsid w:val="003C1572"/>
    <w:rsid w:val="003C1654"/>
    <w:rsid w:val="003C1B25"/>
    <w:rsid w:val="003C1C47"/>
    <w:rsid w:val="003C2138"/>
    <w:rsid w:val="003C23B6"/>
    <w:rsid w:val="003C2C10"/>
    <w:rsid w:val="003C2C81"/>
    <w:rsid w:val="003C3135"/>
    <w:rsid w:val="003C35A2"/>
    <w:rsid w:val="003C363D"/>
    <w:rsid w:val="003C36CA"/>
    <w:rsid w:val="003C37A8"/>
    <w:rsid w:val="003C3926"/>
    <w:rsid w:val="003C3A32"/>
    <w:rsid w:val="003C3A47"/>
    <w:rsid w:val="003C3A75"/>
    <w:rsid w:val="003C3AB5"/>
    <w:rsid w:val="003C3AD4"/>
    <w:rsid w:val="003C3BE7"/>
    <w:rsid w:val="003C3FF7"/>
    <w:rsid w:val="003C4763"/>
    <w:rsid w:val="003C4BA5"/>
    <w:rsid w:val="003C4F5D"/>
    <w:rsid w:val="003C50E2"/>
    <w:rsid w:val="003C5267"/>
    <w:rsid w:val="003C5337"/>
    <w:rsid w:val="003C5542"/>
    <w:rsid w:val="003C56E1"/>
    <w:rsid w:val="003C5A75"/>
    <w:rsid w:val="003C5AC3"/>
    <w:rsid w:val="003C5C1E"/>
    <w:rsid w:val="003C5D32"/>
    <w:rsid w:val="003C61C4"/>
    <w:rsid w:val="003C6A38"/>
    <w:rsid w:val="003C6A83"/>
    <w:rsid w:val="003C70AB"/>
    <w:rsid w:val="003C7291"/>
    <w:rsid w:val="003C73EA"/>
    <w:rsid w:val="003C75FF"/>
    <w:rsid w:val="003C76BE"/>
    <w:rsid w:val="003C78FE"/>
    <w:rsid w:val="003C7C15"/>
    <w:rsid w:val="003C7D19"/>
    <w:rsid w:val="003C7D2F"/>
    <w:rsid w:val="003D026B"/>
    <w:rsid w:val="003D069C"/>
    <w:rsid w:val="003D0B26"/>
    <w:rsid w:val="003D0C5A"/>
    <w:rsid w:val="003D11CA"/>
    <w:rsid w:val="003D1302"/>
    <w:rsid w:val="003D1828"/>
    <w:rsid w:val="003D1C00"/>
    <w:rsid w:val="003D1CBD"/>
    <w:rsid w:val="003D1DE4"/>
    <w:rsid w:val="003D1E9A"/>
    <w:rsid w:val="003D2067"/>
    <w:rsid w:val="003D2422"/>
    <w:rsid w:val="003D2779"/>
    <w:rsid w:val="003D2927"/>
    <w:rsid w:val="003D2C23"/>
    <w:rsid w:val="003D2CA1"/>
    <w:rsid w:val="003D2D0C"/>
    <w:rsid w:val="003D2E2A"/>
    <w:rsid w:val="003D2FCB"/>
    <w:rsid w:val="003D34E4"/>
    <w:rsid w:val="003D3752"/>
    <w:rsid w:val="003D39A1"/>
    <w:rsid w:val="003D3B26"/>
    <w:rsid w:val="003D3C89"/>
    <w:rsid w:val="003D3D74"/>
    <w:rsid w:val="003D3EA6"/>
    <w:rsid w:val="003D3EDC"/>
    <w:rsid w:val="003D3F67"/>
    <w:rsid w:val="003D3FBF"/>
    <w:rsid w:val="003D4259"/>
    <w:rsid w:val="003D42AA"/>
    <w:rsid w:val="003D494A"/>
    <w:rsid w:val="003D49A8"/>
    <w:rsid w:val="003D49CB"/>
    <w:rsid w:val="003D4A30"/>
    <w:rsid w:val="003D4B40"/>
    <w:rsid w:val="003D4B80"/>
    <w:rsid w:val="003D4F16"/>
    <w:rsid w:val="003D522D"/>
    <w:rsid w:val="003D5249"/>
    <w:rsid w:val="003D526A"/>
    <w:rsid w:val="003D52AA"/>
    <w:rsid w:val="003D52C4"/>
    <w:rsid w:val="003D5839"/>
    <w:rsid w:val="003D63C7"/>
    <w:rsid w:val="003D6517"/>
    <w:rsid w:val="003D65C4"/>
    <w:rsid w:val="003D6F0E"/>
    <w:rsid w:val="003D7099"/>
    <w:rsid w:val="003D70A8"/>
    <w:rsid w:val="003D70C2"/>
    <w:rsid w:val="003D7452"/>
    <w:rsid w:val="003D75EF"/>
    <w:rsid w:val="003D77E9"/>
    <w:rsid w:val="003D7805"/>
    <w:rsid w:val="003D79BB"/>
    <w:rsid w:val="003D7C98"/>
    <w:rsid w:val="003D7CCE"/>
    <w:rsid w:val="003D7D9D"/>
    <w:rsid w:val="003E0543"/>
    <w:rsid w:val="003E057A"/>
    <w:rsid w:val="003E071C"/>
    <w:rsid w:val="003E0D83"/>
    <w:rsid w:val="003E1107"/>
    <w:rsid w:val="003E18AB"/>
    <w:rsid w:val="003E1B06"/>
    <w:rsid w:val="003E2099"/>
    <w:rsid w:val="003E221D"/>
    <w:rsid w:val="003E22E5"/>
    <w:rsid w:val="003E27CC"/>
    <w:rsid w:val="003E29AB"/>
    <w:rsid w:val="003E332C"/>
    <w:rsid w:val="003E35A9"/>
    <w:rsid w:val="003E37B3"/>
    <w:rsid w:val="003E3FB0"/>
    <w:rsid w:val="003E430C"/>
    <w:rsid w:val="003E4405"/>
    <w:rsid w:val="003E4865"/>
    <w:rsid w:val="003E4FFB"/>
    <w:rsid w:val="003E543F"/>
    <w:rsid w:val="003E5603"/>
    <w:rsid w:val="003E5989"/>
    <w:rsid w:val="003E5A0E"/>
    <w:rsid w:val="003E5B00"/>
    <w:rsid w:val="003E5B19"/>
    <w:rsid w:val="003E62B2"/>
    <w:rsid w:val="003E631E"/>
    <w:rsid w:val="003E65A4"/>
    <w:rsid w:val="003E6E85"/>
    <w:rsid w:val="003E7053"/>
    <w:rsid w:val="003E73F2"/>
    <w:rsid w:val="003E749E"/>
    <w:rsid w:val="003E7806"/>
    <w:rsid w:val="003E7A39"/>
    <w:rsid w:val="003E7B74"/>
    <w:rsid w:val="003E7C9B"/>
    <w:rsid w:val="003E7DAA"/>
    <w:rsid w:val="003F0439"/>
    <w:rsid w:val="003F044D"/>
    <w:rsid w:val="003F062B"/>
    <w:rsid w:val="003F0A95"/>
    <w:rsid w:val="003F0E76"/>
    <w:rsid w:val="003F13C6"/>
    <w:rsid w:val="003F1669"/>
    <w:rsid w:val="003F177C"/>
    <w:rsid w:val="003F17A5"/>
    <w:rsid w:val="003F18CC"/>
    <w:rsid w:val="003F1991"/>
    <w:rsid w:val="003F1BF1"/>
    <w:rsid w:val="003F1C72"/>
    <w:rsid w:val="003F2168"/>
    <w:rsid w:val="003F2709"/>
    <w:rsid w:val="003F2921"/>
    <w:rsid w:val="003F2C19"/>
    <w:rsid w:val="003F2C43"/>
    <w:rsid w:val="003F2CDA"/>
    <w:rsid w:val="003F2D7E"/>
    <w:rsid w:val="003F2D9B"/>
    <w:rsid w:val="003F307D"/>
    <w:rsid w:val="003F30AF"/>
    <w:rsid w:val="003F34AD"/>
    <w:rsid w:val="003F3811"/>
    <w:rsid w:val="003F3A1A"/>
    <w:rsid w:val="003F3B2B"/>
    <w:rsid w:val="003F3B96"/>
    <w:rsid w:val="003F3CBA"/>
    <w:rsid w:val="003F3DC2"/>
    <w:rsid w:val="003F4156"/>
    <w:rsid w:val="003F46F6"/>
    <w:rsid w:val="003F47F7"/>
    <w:rsid w:val="003F47FD"/>
    <w:rsid w:val="003F48F6"/>
    <w:rsid w:val="003F4A53"/>
    <w:rsid w:val="003F4A6D"/>
    <w:rsid w:val="003F50B2"/>
    <w:rsid w:val="003F50D9"/>
    <w:rsid w:val="003F5ADF"/>
    <w:rsid w:val="003F604E"/>
    <w:rsid w:val="003F60E4"/>
    <w:rsid w:val="003F637E"/>
    <w:rsid w:val="003F6410"/>
    <w:rsid w:val="003F65A4"/>
    <w:rsid w:val="003F68C7"/>
    <w:rsid w:val="003F6C78"/>
    <w:rsid w:val="003F6D8D"/>
    <w:rsid w:val="003F6D92"/>
    <w:rsid w:val="003F75D1"/>
    <w:rsid w:val="003F77FC"/>
    <w:rsid w:val="003F7A91"/>
    <w:rsid w:val="003F7EBF"/>
    <w:rsid w:val="0040079A"/>
    <w:rsid w:val="004007AC"/>
    <w:rsid w:val="00400864"/>
    <w:rsid w:val="00400B29"/>
    <w:rsid w:val="00401124"/>
    <w:rsid w:val="00401325"/>
    <w:rsid w:val="0040180F"/>
    <w:rsid w:val="00401C99"/>
    <w:rsid w:val="00401FA8"/>
    <w:rsid w:val="00401FCD"/>
    <w:rsid w:val="004020F5"/>
    <w:rsid w:val="0040216E"/>
    <w:rsid w:val="00402350"/>
    <w:rsid w:val="004027DE"/>
    <w:rsid w:val="00402812"/>
    <w:rsid w:val="004029ED"/>
    <w:rsid w:val="00402D51"/>
    <w:rsid w:val="00402DE0"/>
    <w:rsid w:val="00403025"/>
    <w:rsid w:val="00403189"/>
    <w:rsid w:val="004032A3"/>
    <w:rsid w:val="0040346F"/>
    <w:rsid w:val="004034B4"/>
    <w:rsid w:val="004039F2"/>
    <w:rsid w:val="00403F22"/>
    <w:rsid w:val="0040407E"/>
    <w:rsid w:val="00404514"/>
    <w:rsid w:val="0040498C"/>
    <w:rsid w:val="004049AE"/>
    <w:rsid w:val="00404BB5"/>
    <w:rsid w:val="00405043"/>
    <w:rsid w:val="0040504B"/>
    <w:rsid w:val="004051D9"/>
    <w:rsid w:val="004055E6"/>
    <w:rsid w:val="004059F4"/>
    <w:rsid w:val="00405A3B"/>
    <w:rsid w:val="00405B4B"/>
    <w:rsid w:val="00405C91"/>
    <w:rsid w:val="00405EBE"/>
    <w:rsid w:val="00405FA0"/>
    <w:rsid w:val="00406047"/>
    <w:rsid w:val="00406169"/>
    <w:rsid w:val="004061EF"/>
    <w:rsid w:val="00406231"/>
    <w:rsid w:val="00406330"/>
    <w:rsid w:val="00406839"/>
    <w:rsid w:val="004069BF"/>
    <w:rsid w:val="00406AD4"/>
    <w:rsid w:val="00406B6D"/>
    <w:rsid w:val="00406EF4"/>
    <w:rsid w:val="0040701C"/>
    <w:rsid w:val="00407268"/>
    <w:rsid w:val="00407466"/>
    <w:rsid w:val="004076DD"/>
    <w:rsid w:val="0040772C"/>
    <w:rsid w:val="00407CDD"/>
    <w:rsid w:val="00407CFB"/>
    <w:rsid w:val="00407DD0"/>
    <w:rsid w:val="00407FE5"/>
    <w:rsid w:val="0041006B"/>
    <w:rsid w:val="004101B0"/>
    <w:rsid w:val="004101CA"/>
    <w:rsid w:val="00410326"/>
    <w:rsid w:val="004103A6"/>
    <w:rsid w:val="00410708"/>
    <w:rsid w:val="004107C8"/>
    <w:rsid w:val="004107DD"/>
    <w:rsid w:val="00410BFC"/>
    <w:rsid w:val="00410C56"/>
    <w:rsid w:val="00410D8B"/>
    <w:rsid w:val="00410EC7"/>
    <w:rsid w:val="0041172B"/>
    <w:rsid w:val="004119AC"/>
    <w:rsid w:val="00411B23"/>
    <w:rsid w:val="00411B39"/>
    <w:rsid w:val="00411D46"/>
    <w:rsid w:val="00411EA9"/>
    <w:rsid w:val="00411F2B"/>
    <w:rsid w:val="00411FEE"/>
    <w:rsid w:val="00412386"/>
    <w:rsid w:val="0041247F"/>
    <w:rsid w:val="004125BB"/>
    <w:rsid w:val="004127A7"/>
    <w:rsid w:val="004127FB"/>
    <w:rsid w:val="00412DE2"/>
    <w:rsid w:val="00412EFF"/>
    <w:rsid w:val="00412F4E"/>
    <w:rsid w:val="00413201"/>
    <w:rsid w:val="004137F2"/>
    <w:rsid w:val="004139A2"/>
    <w:rsid w:val="00413A1E"/>
    <w:rsid w:val="00414266"/>
    <w:rsid w:val="004142BC"/>
    <w:rsid w:val="00414476"/>
    <w:rsid w:val="004149FB"/>
    <w:rsid w:val="00414A8C"/>
    <w:rsid w:val="00414C2E"/>
    <w:rsid w:val="00414FA8"/>
    <w:rsid w:val="00415148"/>
    <w:rsid w:val="004151CF"/>
    <w:rsid w:val="00415601"/>
    <w:rsid w:val="0041576F"/>
    <w:rsid w:val="00415804"/>
    <w:rsid w:val="00415F8A"/>
    <w:rsid w:val="0041618D"/>
    <w:rsid w:val="00416364"/>
    <w:rsid w:val="00416A50"/>
    <w:rsid w:val="0041707E"/>
    <w:rsid w:val="004171D5"/>
    <w:rsid w:val="00417254"/>
    <w:rsid w:val="00417A10"/>
    <w:rsid w:val="00417C30"/>
    <w:rsid w:val="00417D66"/>
    <w:rsid w:val="0042047F"/>
    <w:rsid w:val="00420782"/>
    <w:rsid w:val="0042089D"/>
    <w:rsid w:val="00420AA6"/>
    <w:rsid w:val="00420B0B"/>
    <w:rsid w:val="00420B70"/>
    <w:rsid w:val="00420B9F"/>
    <w:rsid w:val="0042161F"/>
    <w:rsid w:val="00421922"/>
    <w:rsid w:val="0042192C"/>
    <w:rsid w:val="00421ABA"/>
    <w:rsid w:val="00421CC8"/>
    <w:rsid w:val="00421D99"/>
    <w:rsid w:val="00421DE6"/>
    <w:rsid w:val="00422260"/>
    <w:rsid w:val="004222DC"/>
    <w:rsid w:val="004223FB"/>
    <w:rsid w:val="0042252B"/>
    <w:rsid w:val="004226B9"/>
    <w:rsid w:val="0042270E"/>
    <w:rsid w:val="00422825"/>
    <w:rsid w:val="00422882"/>
    <w:rsid w:val="00422BA5"/>
    <w:rsid w:val="00423218"/>
    <w:rsid w:val="00423322"/>
    <w:rsid w:val="00423B38"/>
    <w:rsid w:val="00423C67"/>
    <w:rsid w:val="0042413F"/>
    <w:rsid w:val="0042448D"/>
    <w:rsid w:val="00424807"/>
    <w:rsid w:val="00424890"/>
    <w:rsid w:val="0042493B"/>
    <w:rsid w:val="00424CF2"/>
    <w:rsid w:val="004250B4"/>
    <w:rsid w:val="004251D9"/>
    <w:rsid w:val="004253CB"/>
    <w:rsid w:val="00425407"/>
    <w:rsid w:val="00425834"/>
    <w:rsid w:val="004259C4"/>
    <w:rsid w:val="00425A1E"/>
    <w:rsid w:val="00425C21"/>
    <w:rsid w:val="004263D6"/>
    <w:rsid w:val="0042676F"/>
    <w:rsid w:val="0042677F"/>
    <w:rsid w:val="00426898"/>
    <w:rsid w:val="00426D23"/>
    <w:rsid w:val="00426EE4"/>
    <w:rsid w:val="00427B32"/>
    <w:rsid w:val="00427C00"/>
    <w:rsid w:val="00427D42"/>
    <w:rsid w:val="00427E92"/>
    <w:rsid w:val="00430185"/>
    <w:rsid w:val="00430C23"/>
    <w:rsid w:val="00430C2D"/>
    <w:rsid w:val="00430D65"/>
    <w:rsid w:val="00430F2E"/>
    <w:rsid w:val="00430FA0"/>
    <w:rsid w:val="0043189A"/>
    <w:rsid w:val="004319F8"/>
    <w:rsid w:val="00431B2E"/>
    <w:rsid w:val="00431BBB"/>
    <w:rsid w:val="00431E4B"/>
    <w:rsid w:val="00431E55"/>
    <w:rsid w:val="00431E92"/>
    <w:rsid w:val="004321F6"/>
    <w:rsid w:val="00432264"/>
    <w:rsid w:val="00432273"/>
    <w:rsid w:val="004323C8"/>
    <w:rsid w:val="00432471"/>
    <w:rsid w:val="00432556"/>
    <w:rsid w:val="00432B80"/>
    <w:rsid w:val="00432D8A"/>
    <w:rsid w:val="00432E02"/>
    <w:rsid w:val="00432FAD"/>
    <w:rsid w:val="00433044"/>
    <w:rsid w:val="00433150"/>
    <w:rsid w:val="004331AE"/>
    <w:rsid w:val="004332C8"/>
    <w:rsid w:val="00433396"/>
    <w:rsid w:val="004335E0"/>
    <w:rsid w:val="00433819"/>
    <w:rsid w:val="00433DC9"/>
    <w:rsid w:val="00434088"/>
    <w:rsid w:val="004340C2"/>
    <w:rsid w:val="004344C5"/>
    <w:rsid w:val="0043479C"/>
    <w:rsid w:val="004347E8"/>
    <w:rsid w:val="00434A37"/>
    <w:rsid w:val="004353A6"/>
    <w:rsid w:val="00435623"/>
    <w:rsid w:val="00435A84"/>
    <w:rsid w:val="00436037"/>
    <w:rsid w:val="0043652F"/>
    <w:rsid w:val="004365FC"/>
    <w:rsid w:val="00437128"/>
    <w:rsid w:val="00437269"/>
    <w:rsid w:val="00437380"/>
    <w:rsid w:val="0043755A"/>
    <w:rsid w:val="004375B9"/>
    <w:rsid w:val="00437B18"/>
    <w:rsid w:val="00437B22"/>
    <w:rsid w:val="00437B78"/>
    <w:rsid w:val="00437D36"/>
    <w:rsid w:val="00437E59"/>
    <w:rsid w:val="004405DE"/>
    <w:rsid w:val="0044099D"/>
    <w:rsid w:val="00440B7B"/>
    <w:rsid w:val="00440BE4"/>
    <w:rsid w:val="00440EB2"/>
    <w:rsid w:val="004410AC"/>
    <w:rsid w:val="0044133D"/>
    <w:rsid w:val="004416E2"/>
    <w:rsid w:val="00441C57"/>
    <w:rsid w:val="00441DEE"/>
    <w:rsid w:val="00441ED3"/>
    <w:rsid w:val="00441F0E"/>
    <w:rsid w:val="00441FE7"/>
    <w:rsid w:val="0044228B"/>
    <w:rsid w:val="00442578"/>
    <w:rsid w:val="004428D0"/>
    <w:rsid w:val="00442AEC"/>
    <w:rsid w:val="004432AC"/>
    <w:rsid w:val="004437FC"/>
    <w:rsid w:val="00443972"/>
    <w:rsid w:val="00443BE8"/>
    <w:rsid w:val="00443D70"/>
    <w:rsid w:val="00443D91"/>
    <w:rsid w:val="00444173"/>
    <w:rsid w:val="00444185"/>
    <w:rsid w:val="004443A7"/>
    <w:rsid w:val="0044442C"/>
    <w:rsid w:val="00444457"/>
    <w:rsid w:val="00444AC5"/>
    <w:rsid w:val="00444F3E"/>
    <w:rsid w:val="00444FB9"/>
    <w:rsid w:val="0044523E"/>
    <w:rsid w:val="0044586C"/>
    <w:rsid w:val="00445941"/>
    <w:rsid w:val="004461C1"/>
    <w:rsid w:val="004463D3"/>
    <w:rsid w:val="004464EB"/>
    <w:rsid w:val="004464FF"/>
    <w:rsid w:val="00446819"/>
    <w:rsid w:val="00447083"/>
    <w:rsid w:val="004470AB"/>
    <w:rsid w:val="004472EC"/>
    <w:rsid w:val="004473B5"/>
    <w:rsid w:val="00447595"/>
    <w:rsid w:val="0044764A"/>
    <w:rsid w:val="00447805"/>
    <w:rsid w:val="00447D26"/>
    <w:rsid w:val="00447DFC"/>
    <w:rsid w:val="0045010D"/>
    <w:rsid w:val="0045023C"/>
    <w:rsid w:val="0045030E"/>
    <w:rsid w:val="00450556"/>
    <w:rsid w:val="0045068C"/>
    <w:rsid w:val="0045086F"/>
    <w:rsid w:val="00450BFF"/>
    <w:rsid w:val="00451310"/>
    <w:rsid w:val="0045182D"/>
    <w:rsid w:val="004519A6"/>
    <w:rsid w:val="00451D4A"/>
    <w:rsid w:val="00452061"/>
    <w:rsid w:val="0045208E"/>
    <w:rsid w:val="00452393"/>
    <w:rsid w:val="00452489"/>
    <w:rsid w:val="004525F6"/>
    <w:rsid w:val="00452771"/>
    <w:rsid w:val="00452977"/>
    <w:rsid w:val="0045306F"/>
    <w:rsid w:val="00453130"/>
    <w:rsid w:val="004531C3"/>
    <w:rsid w:val="004532E1"/>
    <w:rsid w:val="0045374E"/>
    <w:rsid w:val="00453A4B"/>
    <w:rsid w:val="00453C6C"/>
    <w:rsid w:val="004541B6"/>
    <w:rsid w:val="0045433A"/>
    <w:rsid w:val="0045521E"/>
    <w:rsid w:val="00455237"/>
    <w:rsid w:val="00455382"/>
    <w:rsid w:val="00455433"/>
    <w:rsid w:val="00455AC6"/>
    <w:rsid w:val="00455BDC"/>
    <w:rsid w:val="00455BE1"/>
    <w:rsid w:val="00455C24"/>
    <w:rsid w:val="00455D45"/>
    <w:rsid w:val="00455F46"/>
    <w:rsid w:val="004561B2"/>
    <w:rsid w:val="004562FE"/>
    <w:rsid w:val="00456356"/>
    <w:rsid w:val="004568A5"/>
    <w:rsid w:val="00456916"/>
    <w:rsid w:val="00456E4A"/>
    <w:rsid w:val="004573A7"/>
    <w:rsid w:val="00457975"/>
    <w:rsid w:val="00457BBA"/>
    <w:rsid w:val="00457E52"/>
    <w:rsid w:val="00457F4B"/>
    <w:rsid w:val="00460643"/>
    <w:rsid w:val="004608EE"/>
    <w:rsid w:val="00460F2F"/>
    <w:rsid w:val="004610DA"/>
    <w:rsid w:val="004614EE"/>
    <w:rsid w:val="00461A20"/>
    <w:rsid w:val="00461B41"/>
    <w:rsid w:val="00461C58"/>
    <w:rsid w:val="00462034"/>
    <w:rsid w:val="00462041"/>
    <w:rsid w:val="004622EF"/>
    <w:rsid w:val="0046232B"/>
    <w:rsid w:val="00462415"/>
    <w:rsid w:val="00462706"/>
    <w:rsid w:val="00462863"/>
    <w:rsid w:val="00462999"/>
    <w:rsid w:val="00462C75"/>
    <w:rsid w:val="00462C9D"/>
    <w:rsid w:val="00462E7A"/>
    <w:rsid w:val="00463A24"/>
    <w:rsid w:val="00463FB5"/>
    <w:rsid w:val="004641CB"/>
    <w:rsid w:val="00464595"/>
    <w:rsid w:val="004647B1"/>
    <w:rsid w:val="00464B29"/>
    <w:rsid w:val="0046562E"/>
    <w:rsid w:val="004658B5"/>
    <w:rsid w:val="004658D3"/>
    <w:rsid w:val="00465B9B"/>
    <w:rsid w:val="00465E0F"/>
    <w:rsid w:val="0046660B"/>
    <w:rsid w:val="0046674B"/>
    <w:rsid w:val="004670D5"/>
    <w:rsid w:val="004671BC"/>
    <w:rsid w:val="00467398"/>
    <w:rsid w:val="00467A68"/>
    <w:rsid w:val="00467B40"/>
    <w:rsid w:val="00467F24"/>
    <w:rsid w:val="00470247"/>
    <w:rsid w:val="004706BB"/>
    <w:rsid w:val="00470C9D"/>
    <w:rsid w:val="00470F4E"/>
    <w:rsid w:val="004710D2"/>
    <w:rsid w:val="00471136"/>
    <w:rsid w:val="00471288"/>
    <w:rsid w:val="00471405"/>
    <w:rsid w:val="00471D0C"/>
    <w:rsid w:val="00471EA5"/>
    <w:rsid w:val="00472508"/>
    <w:rsid w:val="0047259F"/>
    <w:rsid w:val="00472863"/>
    <w:rsid w:val="004728B7"/>
    <w:rsid w:val="004729F4"/>
    <w:rsid w:val="00472A79"/>
    <w:rsid w:val="00472D53"/>
    <w:rsid w:val="00473311"/>
    <w:rsid w:val="0047352B"/>
    <w:rsid w:val="004739D2"/>
    <w:rsid w:val="00473D09"/>
    <w:rsid w:val="00473F19"/>
    <w:rsid w:val="00474482"/>
    <w:rsid w:val="004745CC"/>
    <w:rsid w:val="00474914"/>
    <w:rsid w:val="00474BB8"/>
    <w:rsid w:val="00474FA0"/>
    <w:rsid w:val="00475322"/>
    <w:rsid w:val="00475ADB"/>
    <w:rsid w:val="00475E22"/>
    <w:rsid w:val="00476477"/>
    <w:rsid w:val="0047648D"/>
    <w:rsid w:val="00476697"/>
    <w:rsid w:val="00476DB3"/>
    <w:rsid w:val="00476E07"/>
    <w:rsid w:val="00477029"/>
    <w:rsid w:val="004770C5"/>
    <w:rsid w:val="0047784A"/>
    <w:rsid w:val="004778B4"/>
    <w:rsid w:val="004806D0"/>
    <w:rsid w:val="0048088E"/>
    <w:rsid w:val="00480D13"/>
    <w:rsid w:val="00480F2B"/>
    <w:rsid w:val="0048113E"/>
    <w:rsid w:val="004816A3"/>
    <w:rsid w:val="00481A67"/>
    <w:rsid w:val="00481EB2"/>
    <w:rsid w:val="0048218B"/>
    <w:rsid w:val="00482404"/>
    <w:rsid w:val="00482720"/>
    <w:rsid w:val="004829F2"/>
    <w:rsid w:val="00482A43"/>
    <w:rsid w:val="00482F7F"/>
    <w:rsid w:val="004834FC"/>
    <w:rsid w:val="004835E7"/>
    <w:rsid w:val="00483A87"/>
    <w:rsid w:val="00483B23"/>
    <w:rsid w:val="00484D2A"/>
    <w:rsid w:val="00484D50"/>
    <w:rsid w:val="00484E60"/>
    <w:rsid w:val="00485097"/>
    <w:rsid w:val="00485109"/>
    <w:rsid w:val="00485428"/>
    <w:rsid w:val="004859DD"/>
    <w:rsid w:val="004859E1"/>
    <w:rsid w:val="00485C9C"/>
    <w:rsid w:val="00486130"/>
    <w:rsid w:val="004867E2"/>
    <w:rsid w:val="00486DB2"/>
    <w:rsid w:val="004871E1"/>
    <w:rsid w:val="004871E8"/>
    <w:rsid w:val="00487681"/>
    <w:rsid w:val="004879DD"/>
    <w:rsid w:val="00487A24"/>
    <w:rsid w:val="00487C36"/>
    <w:rsid w:val="0049065C"/>
    <w:rsid w:val="004906E7"/>
    <w:rsid w:val="00490734"/>
    <w:rsid w:val="004907B1"/>
    <w:rsid w:val="004907FE"/>
    <w:rsid w:val="00490824"/>
    <w:rsid w:val="00490B17"/>
    <w:rsid w:val="00490CE2"/>
    <w:rsid w:val="00490E0E"/>
    <w:rsid w:val="00490E34"/>
    <w:rsid w:val="0049102E"/>
    <w:rsid w:val="00491138"/>
    <w:rsid w:val="0049158C"/>
    <w:rsid w:val="004916BF"/>
    <w:rsid w:val="00491B27"/>
    <w:rsid w:val="00491B3A"/>
    <w:rsid w:val="00491C7F"/>
    <w:rsid w:val="00491D1E"/>
    <w:rsid w:val="00491D21"/>
    <w:rsid w:val="0049201C"/>
    <w:rsid w:val="0049203C"/>
    <w:rsid w:val="0049239C"/>
    <w:rsid w:val="0049292B"/>
    <w:rsid w:val="00492ACB"/>
    <w:rsid w:val="00492B82"/>
    <w:rsid w:val="00492B92"/>
    <w:rsid w:val="00492CFD"/>
    <w:rsid w:val="00493017"/>
    <w:rsid w:val="00493215"/>
    <w:rsid w:val="004937B6"/>
    <w:rsid w:val="00493DBC"/>
    <w:rsid w:val="0049404C"/>
    <w:rsid w:val="00494207"/>
    <w:rsid w:val="004942B3"/>
    <w:rsid w:val="0049431F"/>
    <w:rsid w:val="00494753"/>
    <w:rsid w:val="00494A80"/>
    <w:rsid w:val="00494AE8"/>
    <w:rsid w:val="00494BFD"/>
    <w:rsid w:val="00494C99"/>
    <w:rsid w:val="00494DD5"/>
    <w:rsid w:val="004953D2"/>
    <w:rsid w:val="004955CD"/>
    <w:rsid w:val="00495956"/>
    <w:rsid w:val="00495CE1"/>
    <w:rsid w:val="00495E7C"/>
    <w:rsid w:val="004962D2"/>
    <w:rsid w:val="00496939"/>
    <w:rsid w:val="00496CA5"/>
    <w:rsid w:val="00496D17"/>
    <w:rsid w:val="00497464"/>
    <w:rsid w:val="00497904"/>
    <w:rsid w:val="00497AD2"/>
    <w:rsid w:val="00497D89"/>
    <w:rsid w:val="004A00F9"/>
    <w:rsid w:val="004A02BD"/>
    <w:rsid w:val="004A078F"/>
    <w:rsid w:val="004A08C5"/>
    <w:rsid w:val="004A09D8"/>
    <w:rsid w:val="004A0AEF"/>
    <w:rsid w:val="004A0D3B"/>
    <w:rsid w:val="004A0DA1"/>
    <w:rsid w:val="004A10F7"/>
    <w:rsid w:val="004A11B8"/>
    <w:rsid w:val="004A133D"/>
    <w:rsid w:val="004A13D5"/>
    <w:rsid w:val="004A13D6"/>
    <w:rsid w:val="004A1509"/>
    <w:rsid w:val="004A1B6A"/>
    <w:rsid w:val="004A1E2E"/>
    <w:rsid w:val="004A1FA8"/>
    <w:rsid w:val="004A2366"/>
    <w:rsid w:val="004A23D2"/>
    <w:rsid w:val="004A2410"/>
    <w:rsid w:val="004A24F7"/>
    <w:rsid w:val="004A3207"/>
    <w:rsid w:val="004A3252"/>
    <w:rsid w:val="004A3467"/>
    <w:rsid w:val="004A35ED"/>
    <w:rsid w:val="004A3954"/>
    <w:rsid w:val="004A39ED"/>
    <w:rsid w:val="004A3CB5"/>
    <w:rsid w:val="004A4211"/>
    <w:rsid w:val="004A43CD"/>
    <w:rsid w:val="004A4DD8"/>
    <w:rsid w:val="004A52E9"/>
    <w:rsid w:val="004A54AC"/>
    <w:rsid w:val="004A5A41"/>
    <w:rsid w:val="004A5D8B"/>
    <w:rsid w:val="004A5FA0"/>
    <w:rsid w:val="004A6040"/>
    <w:rsid w:val="004A6597"/>
    <w:rsid w:val="004A6680"/>
    <w:rsid w:val="004A6A5E"/>
    <w:rsid w:val="004A6C26"/>
    <w:rsid w:val="004A6F8B"/>
    <w:rsid w:val="004A729A"/>
    <w:rsid w:val="004A7848"/>
    <w:rsid w:val="004A793B"/>
    <w:rsid w:val="004A7B2E"/>
    <w:rsid w:val="004A7DEC"/>
    <w:rsid w:val="004B020B"/>
    <w:rsid w:val="004B028C"/>
    <w:rsid w:val="004B0337"/>
    <w:rsid w:val="004B0AD0"/>
    <w:rsid w:val="004B0CC7"/>
    <w:rsid w:val="004B11AC"/>
    <w:rsid w:val="004B17ED"/>
    <w:rsid w:val="004B1858"/>
    <w:rsid w:val="004B18F4"/>
    <w:rsid w:val="004B1CB4"/>
    <w:rsid w:val="004B1FDB"/>
    <w:rsid w:val="004B213F"/>
    <w:rsid w:val="004B225E"/>
    <w:rsid w:val="004B28C9"/>
    <w:rsid w:val="004B2A67"/>
    <w:rsid w:val="004B2BBD"/>
    <w:rsid w:val="004B2C38"/>
    <w:rsid w:val="004B2F18"/>
    <w:rsid w:val="004B3551"/>
    <w:rsid w:val="004B3860"/>
    <w:rsid w:val="004B3DDB"/>
    <w:rsid w:val="004B40ED"/>
    <w:rsid w:val="004B4387"/>
    <w:rsid w:val="004B44FD"/>
    <w:rsid w:val="004B45AA"/>
    <w:rsid w:val="004B45B6"/>
    <w:rsid w:val="004B49E0"/>
    <w:rsid w:val="004B4D96"/>
    <w:rsid w:val="004B4F67"/>
    <w:rsid w:val="004B55BB"/>
    <w:rsid w:val="004B5841"/>
    <w:rsid w:val="004B5A54"/>
    <w:rsid w:val="004B5C1C"/>
    <w:rsid w:val="004B5CFC"/>
    <w:rsid w:val="004B5E49"/>
    <w:rsid w:val="004B6048"/>
    <w:rsid w:val="004B60F4"/>
    <w:rsid w:val="004B6692"/>
    <w:rsid w:val="004B66CF"/>
    <w:rsid w:val="004B6987"/>
    <w:rsid w:val="004B69B0"/>
    <w:rsid w:val="004B6C65"/>
    <w:rsid w:val="004B6CBD"/>
    <w:rsid w:val="004B6E98"/>
    <w:rsid w:val="004B6F79"/>
    <w:rsid w:val="004B7045"/>
    <w:rsid w:val="004B71B8"/>
    <w:rsid w:val="004B74B2"/>
    <w:rsid w:val="004B774D"/>
    <w:rsid w:val="004B78B6"/>
    <w:rsid w:val="004B7FA0"/>
    <w:rsid w:val="004C030D"/>
    <w:rsid w:val="004C0320"/>
    <w:rsid w:val="004C04C5"/>
    <w:rsid w:val="004C0561"/>
    <w:rsid w:val="004C062B"/>
    <w:rsid w:val="004C0926"/>
    <w:rsid w:val="004C0F37"/>
    <w:rsid w:val="004C11B4"/>
    <w:rsid w:val="004C1362"/>
    <w:rsid w:val="004C154D"/>
    <w:rsid w:val="004C169B"/>
    <w:rsid w:val="004C17C0"/>
    <w:rsid w:val="004C18BD"/>
    <w:rsid w:val="004C19C4"/>
    <w:rsid w:val="004C1B29"/>
    <w:rsid w:val="004C1BC1"/>
    <w:rsid w:val="004C2085"/>
    <w:rsid w:val="004C2250"/>
    <w:rsid w:val="004C24DA"/>
    <w:rsid w:val="004C24E0"/>
    <w:rsid w:val="004C29D8"/>
    <w:rsid w:val="004C2AC2"/>
    <w:rsid w:val="004C3236"/>
    <w:rsid w:val="004C3257"/>
    <w:rsid w:val="004C3326"/>
    <w:rsid w:val="004C3476"/>
    <w:rsid w:val="004C3691"/>
    <w:rsid w:val="004C37BF"/>
    <w:rsid w:val="004C37D2"/>
    <w:rsid w:val="004C3916"/>
    <w:rsid w:val="004C3AC0"/>
    <w:rsid w:val="004C3D9B"/>
    <w:rsid w:val="004C40BE"/>
    <w:rsid w:val="004C4475"/>
    <w:rsid w:val="004C46DA"/>
    <w:rsid w:val="004C4AE8"/>
    <w:rsid w:val="004C4AED"/>
    <w:rsid w:val="004C4C1E"/>
    <w:rsid w:val="004C4EEC"/>
    <w:rsid w:val="004C51B3"/>
    <w:rsid w:val="004C5354"/>
    <w:rsid w:val="004C568B"/>
    <w:rsid w:val="004C5CCF"/>
    <w:rsid w:val="004C6220"/>
    <w:rsid w:val="004C63DD"/>
    <w:rsid w:val="004C6550"/>
    <w:rsid w:val="004C6562"/>
    <w:rsid w:val="004C6858"/>
    <w:rsid w:val="004C6BF4"/>
    <w:rsid w:val="004C6E39"/>
    <w:rsid w:val="004C6FA6"/>
    <w:rsid w:val="004C7177"/>
    <w:rsid w:val="004C756C"/>
    <w:rsid w:val="004C78FF"/>
    <w:rsid w:val="004C7C39"/>
    <w:rsid w:val="004C7EE7"/>
    <w:rsid w:val="004D002E"/>
    <w:rsid w:val="004D073E"/>
    <w:rsid w:val="004D0A9E"/>
    <w:rsid w:val="004D0B19"/>
    <w:rsid w:val="004D1132"/>
    <w:rsid w:val="004D13F3"/>
    <w:rsid w:val="004D14CF"/>
    <w:rsid w:val="004D16F8"/>
    <w:rsid w:val="004D1812"/>
    <w:rsid w:val="004D1879"/>
    <w:rsid w:val="004D2166"/>
    <w:rsid w:val="004D22BB"/>
    <w:rsid w:val="004D2548"/>
    <w:rsid w:val="004D2C2D"/>
    <w:rsid w:val="004D2D15"/>
    <w:rsid w:val="004D2E07"/>
    <w:rsid w:val="004D30D8"/>
    <w:rsid w:val="004D3106"/>
    <w:rsid w:val="004D36DD"/>
    <w:rsid w:val="004D37A5"/>
    <w:rsid w:val="004D38B4"/>
    <w:rsid w:val="004D38D1"/>
    <w:rsid w:val="004D3CAD"/>
    <w:rsid w:val="004D3EB2"/>
    <w:rsid w:val="004D4066"/>
    <w:rsid w:val="004D4423"/>
    <w:rsid w:val="004D45B2"/>
    <w:rsid w:val="004D4778"/>
    <w:rsid w:val="004D4779"/>
    <w:rsid w:val="004D48CF"/>
    <w:rsid w:val="004D4A2B"/>
    <w:rsid w:val="004D4D5C"/>
    <w:rsid w:val="004D4D76"/>
    <w:rsid w:val="004D4F23"/>
    <w:rsid w:val="004D5093"/>
    <w:rsid w:val="004D5430"/>
    <w:rsid w:val="004D5522"/>
    <w:rsid w:val="004D5A65"/>
    <w:rsid w:val="004D5C12"/>
    <w:rsid w:val="004D5DAC"/>
    <w:rsid w:val="004D6346"/>
    <w:rsid w:val="004D655A"/>
    <w:rsid w:val="004D65E8"/>
    <w:rsid w:val="004D67B7"/>
    <w:rsid w:val="004D67C5"/>
    <w:rsid w:val="004D68B2"/>
    <w:rsid w:val="004D68CC"/>
    <w:rsid w:val="004D69B5"/>
    <w:rsid w:val="004D6C44"/>
    <w:rsid w:val="004D7227"/>
    <w:rsid w:val="004D77EF"/>
    <w:rsid w:val="004D78AE"/>
    <w:rsid w:val="004D79F1"/>
    <w:rsid w:val="004D7ABD"/>
    <w:rsid w:val="004D7B5E"/>
    <w:rsid w:val="004D7E8C"/>
    <w:rsid w:val="004E05C5"/>
    <w:rsid w:val="004E0953"/>
    <w:rsid w:val="004E0A2C"/>
    <w:rsid w:val="004E0E7F"/>
    <w:rsid w:val="004E0EB8"/>
    <w:rsid w:val="004E10DA"/>
    <w:rsid w:val="004E1658"/>
    <w:rsid w:val="004E1669"/>
    <w:rsid w:val="004E1749"/>
    <w:rsid w:val="004E18E9"/>
    <w:rsid w:val="004E1AAE"/>
    <w:rsid w:val="004E1F19"/>
    <w:rsid w:val="004E1F28"/>
    <w:rsid w:val="004E202F"/>
    <w:rsid w:val="004E2434"/>
    <w:rsid w:val="004E259E"/>
    <w:rsid w:val="004E26D4"/>
    <w:rsid w:val="004E2783"/>
    <w:rsid w:val="004E2ADC"/>
    <w:rsid w:val="004E2CD0"/>
    <w:rsid w:val="004E2F3C"/>
    <w:rsid w:val="004E3598"/>
    <w:rsid w:val="004E369F"/>
    <w:rsid w:val="004E3775"/>
    <w:rsid w:val="004E3FEE"/>
    <w:rsid w:val="004E404D"/>
    <w:rsid w:val="004E408B"/>
    <w:rsid w:val="004E41F8"/>
    <w:rsid w:val="004E4394"/>
    <w:rsid w:val="004E43B2"/>
    <w:rsid w:val="004E45A3"/>
    <w:rsid w:val="004E46E0"/>
    <w:rsid w:val="004E48AD"/>
    <w:rsid w:val="004E4991"/>
    <w:rsid w:val="004E4A91"/>
    <w:rsid w:val="004E4FD2"/>
    <w:rsid w:val="004E56FF"/>
    <w:rsid w:val="004E575B"/>
    <w:rsid w:val="004E5B0D"/>
    <w:rsid w:val="004E5EA6"/>
    <w:rsid w:val="004E657B"/>
    <w:rsid w:val="004E690C"/>
    <w:rsid w:val="004E6AC6"/>
    <w:rsid w:val="004E6DBE"/>
    <w:rsid w:val="004E779F"/>
    <w:rsid w:val="004E797F"/>
    <w:rsid w:val="004E7ABE"/>
    <w:rsid w:val="004F02E7"/>
    <w:rsid w:val="004F0301"/>
    <w:rsid w:val="004F0922"/>
    <w:rsid w:val="004F0FD9"/>
    <w:rsid w:val="004F1679"/>
    <w:rsid w:val="004F1D02"/>
    <w:rsid w:val="004F1DA1"/>
    <w:rsid w:val="004F2570"/>
    <w:rsid w:val="004F2679"/>
    <w:rsid w:val="004F2736"/>
    <w:rsid w:val="004F2777"/>
    <w:rsid w:val="004F27A3"/>
    <w:rsid w:val="004F2A7D"/>
    <w:rsid w:val="004F2C92"/>
    <w:rsid w:val="004F2DA2"/>
    <w:rsid w:val="004F2F21"/>
    <w:rsid w:val="004F3419"/>
    <w:rsid w:val="004F3DE5"/>
    <w:rsid w:val="004F4085"/>
    <w:rsid w:val="004F414E"/>
    <w:rsid w:val="004F4278"/>
    <w:rsid w:val="004F4AF1"/>
    <w:rsid w:val="004F4D14"/>
    <w:rsid w:val="004F4EC2"/>
    <w:rsid w:val="004F5542"/>
    <w:rsid w:val="004F56B1"/>
    <w:rsid w:val="004F5ACD"/>
    <w:rsid w:val="004F5D90"/>
    <w:rsid w:val="004F6653"/>
    <w:rsid w:val="004F679F"/>
    <w:rsid w:val="004F690E"/>
    <w:rsid w:val="004F6913"/>
    <w:rsid w:val="004F6A49"/>
    <w:rsid w:val="004F6B1A"/>
    <w:rsid w:val="004F6BF0"/>
    <w:rsid w:val="004F6E7D"/>
    <w:rsid w:val="004F6F70"/>
    <w:rsid w:val="004F6FC5"/>
    <w:rsid w:val="004F7237"/>
    <w:rsid w:val="004F74B5"/>
    <w:rsid w:val="004F75BC"/>
    <w:rsid w:val="004F780C"/>
    <w:rsid w:val="004F7865"/>
    <w:rsid w:val="005000BD"/>
    <w:rsid w:val="00500597"/>
    <w:rsid w:val="00500E83"/>
    <w:rsid w:val="00501124"/>
    <w:rsid w:val="0050149B"/>
    <w:rsid w:val="0050174E"/>
    <w:rsid w:val="00501854"/>
    <w:rsid w:val="00501A80"/>
    <w:rsid w:val="00501BFC"/>
    <w:rsid w:val="0050219B"/>
    <w:rsid w:val="005026B8"/>
    <w:rsid w:val="00502717"/>
    <w:rsid w:val="00502AE8"/>
    <w:rsid w:val="00502BEC"/>
    <w:rsid w:val="00502EE2"/>
    <w:rsid w:val="005032F1"/>
    <w:rsid w:val="00503F17"/>
    <w:rsid w:val="00503F3A"/>
    <w:rsid w:val="005043F1"/>
    <w:rsid w:val="005048D7"/>
    <w:rsid w:val="00504CD5"/>
    <w:rsid w:val="00504DBD"/>
    <w:rsid w:val="00504E26"/>
    <w:rsid w:val="0050518D"/>
    <w:rsid w:val="00505217"/>
    <w:rsid w:val="005055FF"/>
    <w:rsid w:val="005056C1"/>
    <w:rsid w:val="005057B7"/>
    <w:rsid w:val="00506058"/>
    <w:rsid w:val="005063C0"/>
    <w:rsid w:val="005064AF"/>
    <w:rsid w:val="00506787"/>
    <w:rsid w:val="005068F1"/>
    <w:rsid w:val="0050690F"/>
    <w:rsid w:val="00506914"/>
    <w:rsid w:val="00506928"/>
    <w:rsid w:val="00506A6A"/>
    <w:rsid w:val="00506D45"/>
    <w:rsid w:val="00507408"/>
    <w:rsid w:val="005076E8"/>
    <w:rsid w:val="005077BB"/>
    <w:rsid w:val="005077EF"/>
    <w:rsid w:val="00507BB5"/>
    <w:rsid w:val="00507D43"/>
    <w:rsid w:val="00507E7F"/>
    <w:rsid w:val="005100FF"/>
    <w:rsid w:val="00510405"/>
    <w:rsid w:val="0051089F"/>
    <w:rsid w:val="0051096E"/>
    <w:rsid w:val="00510A1F"/>
    <w:rsid w:val="00510AD7"/>
    <w:rsid w:val="00510E5E"/>
    <w:rsid w:val="00510EE6"/>
    <w:rsid w:val="00511058"/>
    <w:rsid w:val="00511093"/>
    <w:rsid w:val="005112A0"/>
    <w:rsid w:val="00511338"/>
    <w:rsid w:val="00511890"/>
    <w:rsid w:val="00511A9E"/>
    <w:rsid w:val="00511AD5"/>
    <w:rsid w:val="00511DC7"/>
    <w:rsid w:val="00511FD7"/>
    <w:rsid w:val="00513005"/>
    <w:rsid w:val="005130DD"/>
    <w:rsid w:val="0051321E"/>
    <w:rsid w:val="00513354"/>
    <w:rsid w:val="00513AED"/>
    <w:rsid w:val="00513BEA"/>
    <w:rsid w:val="00513D79"/>
    <w:rsid w:val="00513E0D"/>
    <w:rsid w:val="005141D3"/>
    <w:rsid w:val="005142C5"/>
    <w:rsid w:val="00514E42"/>
    <w:rsid w:val="00514E7D"/>
    <w:rsid w:val="00514ED9"/>
    <w:rsid w:val="0051501B"/>
    <w:rsid w:val="005151B1"/>
    <w:rsid w:val="005152B5"/>
    <w:rsid w:val="00515488"/>
    <w:rsid w:val="0051549E"/>
    <w:rsid w:val="0051579D"/>
    <w:rsid w:val="00515886"/>
    <w:rsid w:val="00515911"/>
    <w:rsid w:val="005159FA"/>
    <w:rsid w:val="00516684"/>
    <w:rsid w:val="00516943"/>
    <w:rsid w:val="00516B00"/>
    <w:rsid w:val="00516C82"/>
    <w:rsid w:val="00517493"/>
    <w:rsid w:val="005175D5"/>
    <w:rsid w:val="005176DF"/>
    <w:rsid w:val="00517B31"/>
    <w:rsid w:val="00517CE6"/>
    <w:rsid w:val="00520458"/>
    <w:rsid w:val="00520CD4"/>
    <w:rsid w:val="00520E06"/>
    <w:rsid w:val="00520E7F"/>
    <w:rsid w:val="0052123C"/>
    <w:rsid w:val="00521319"/>
    <w:rsid w:val="005213A2"/>
    <w:rsid w:val="005213E8"/>
    <w:rsid w:val="00521449"/>
    <w:rsid w:val="00521627"/>
    <w:rsid w:val="005219C9"/>
    <w:rsid w:val="00521B5B"/>
    <w:rsid w:val="00521E5D"/>
    <w:rsid w:val="00521F32"/>
    <w:rsid w:val="005221E6"/>
    <w:rsid w:val="005224C7"/>
    <w:rsid w:val="005227BC"/>
    <w:rsid w:val="00522A9F"/>
    <w:rsid w:val="00522BC8"/>
    <w:rsid w:val="00522C30"/>
    <w:rsid w:val="005230B5"/>
    <w:rsid w:val="0052315D"/>
    <w:rsid w:val="00523351"/>
    <w:rsid w:val="005236D9"/>
    <w:rsid w:val="00523714"/>
    <w:rsid w:val="0052374F"/>
    <w:rsid w:val="00523C28"/>
    <w:rsid w:val="00523C34"/>
    <w:rsid w:val="00523F9B"/>
    <w:rsid w:val="005242B3"/>
    <w:rsid w:val="0052459E"/>
    <w:rsid w:val="00524693"/>
    <w:rsid w:val="005247BD"/>
    <w:rsid w:val="00525A12"/>
    <w:rsid w:val="00525E5E"/>
    <w:rsid w:val="00525EA2"/>
    <w:rsid w:val="00525F12"/>
    <w:rsid w:val="00525F7B"/>
    <w:rsid w:val="005260FE"/>
    <w:rsid w:val="00526278"/>
    <w:rsid w:val="00526373"/>
    <w:rsid w:val="005264B6"/>
    <w:rsid w:val="005264F0"/>
    <w:rsid w:val="0052654A"/>
    <w:rsid w:val="00526602"/>
    <w:rsid w:val="0052663A"/>
    <w:rsid w:val="00527515"/>
    <w:rsid w:val="005277F6"/>
    <w:rsid w:val="00527C6B"/>
    <w:rsid w:val="00530428"/>
    <w:rsid w:val="00530806"/>
    <w:rsid w:val="005308F2"/>
    <w:rsid w:val="00530C10"/>
    <w:rsid w:val="00530CDB"/>
    <w:rsid w:val="00530E8B"/>
    <w:rsid w:val="00530F12"/>
    <w:rsid w:val="00531286"/>
    <w:rsid w:val="0053155D"/>
    <w:rsid w:val="005315F2"/>
    <w:rsid w:val="00531742"/>
    <w:rsid w:val="0053176B"/>
    <w:rsid w:val="00531D00"/>
    <w:rsid w:val="00531F38"/>
    <w:rsid w:val="00531F75"/>
    <w:rsid w:val="005323A7"/>
    <w:rsid w:val="00532ABE"/>
    <w:rsid w:val="00532C6F"/>
    <w:rsid w:val="00532CE2"/>
    <w:rsid w:val="00532D23"/>
    <w:rsid w:val="00532F6B"/>
    <w:rsid w:val="00533690"/>
    <w:rsid w:val="00533865"/>
    <w:rsid w:val="0053394F"/>
    <w:rsid w:val="00533A8B"/>
    <w:rsid w:val="00533AA3"/>
    <w:rsid w:val="00533CCA"/>
    <w:rsid w:val="00533DE2"/>
    <w:rsid w:val="005340AB"/>
    <w:rsid w:val="005341B3"/>
    <w:rsid w:val="005345AE"/>
    <w:rsid w:val="00534B7E"/>
    <w:rsid w:val="00534FBE"/>
    <w:rsid w:val="0053512C"/>
    <w:rsid w:val="0053525C"/>
    <w:rsid w:val="00535ADC"/>
    <w:rsid w:val="00535C06"/>
    <w:rsid w:val="00535C76"/>
    <w:rsid w:val="00535D6E"/>
    <w:rsid w:val="00536186"/>
    <w:rsid w:val="0053642F"/>
    <w:rsid w:val="0053681B"/>
    <w:rsid w:val="0053689F"/>
    <w:rsid w:val="005369A6"/>
    <w:rsid w:val="005369DD"/>
    <w:rsid w:val="00536BE2"/>
    <w:rsid w:val="00536E16"/>
    <w:rsid w:val="00536F42"/>
    <w:rsid w:val="00536FD6"/>
    <w:rsid w:val="00537182"/>
    <w:rsid w:val="005374AF"/>
    <w:rsid w:val="00537592"/>
    <w:rsid w:val="005375C6"/>
    <w:rsid w:val="005376FE"/>
    <w:rsid w:val="00537783"/>
    <w:rsid w:val="00537907"/>
    <w:rsid w:val="005379B4"/>
    <w:rsid w:val="00537AF0"/>
    <w:rsid w:val="00537F6E"/>
    <w:rsid w:val="00540691"/>
    <w:rsid w:val="0054076A"/>
    <w:rsid w:val="005408CB"/>
    <w:rsid w:val="00540C27"/>
    <w:rsid w:val="00540FE7"/>
    <w:rsid w:val="00541501"/>
    <w:rsid w:val="005419C4"/>
    <w:rsid w:val="00541A21"/>
    <w:rsid w:val="00541BF7"/>
    <w:rsid w:val="00541EDD"/>
    <w:rsid w:val="00542336"/>
    <w:rsid w:val="0054242F"/>
    <w:rsid w:val="00542743"/>
    <w:rsid w:val="00542C2D"/>
    <w:rsid w:val="00542D04"/>
    <w:rsid w:val="0054317D"/>
    <w:rsid w:val="005431AF"/>
    <w:rsid w:val="005434D9"/>
    <w:rsid w:val="0054366E"/>
    <w:rsid w:val="005436A6"/>
    <w:rsid w:val="00543820"/>
    <w:rsid w:val="005439ED"/>
    <w:rsid w:val="00543C4E"/>
    <w:rsid w:val="00543CF9"/>
    <w:rsid w:val="00544333"/>
    <w:rsid w:val="00544405"/>
    <w:rsid w:val="0054442C"/>
    <w:rsid w:val="00544B64"/>
    <w:rsid w:val="005450EC"/>
    <w:rsid w:val="00545242"/>
    <w:rsid w:val="00545B31"/>
    <w:rsid w:val="00545C77"/>
    <w:rsid w:val="00545CDE"/>
    <w:rsid w:val="0054620A"/>
    <w:rsid w:val="005462D9"/>
    <w:rsid w:val="00546365"/>
    <w:rsid w:val="00546A42"/>
    <w:rsid w:val="00546B4C"/>
    <w:rsid w:val="00546C4F"/>
    <w:rsid w:val="00546C6B"/>
    <w:rsid w:val="005478BD"/>
    <w:rsid w:val="00547966"/>
    <w:rsid w:val="005479E3"/>
    <w:rsid w:val="00547E27"/>
    <w:rsid w:val="00550683"/>
    <w:rsid w:val="0055082E"/>
    <w:rsid w:val="00550AC2"/>
    <w:rsid w:val="00550AFC"/>
    <w:rsid w:val="00550B31"/>
    <w:rsid w:val="00550B7F"/>
    <w:rsid w:val="00550DE9"/>
    <w:rsid w:val="00551073"/>
    <w:rsid w:val="005511AF"/>
    <w:rsid w:val="0055197A"/>
    <w:rsid w:val="00551985"/>
    <w:rsid w:val="00551AA2"/>
    <w:rsid w:val="00552223"/>
    <w:rsid w:val="0055231C"/>
    <w:rsid w:val="00552605"/>
    <w:rsid w:val="0055264F"/>
    <w:rsid w:val="005526FE"/>
    <w:rsid w:val="00552891"/>
    <w:rsid w:val="00552B23"/>
    <w:rsid w:val="00552BD3"/>
    <w:rsid w:val="00552C40"/>
    <w:rsid w:val="00552D53"/>
    <w:rsid w:val="00553151"/>
    <w:rsid w:val="005532A0"/>
    <w:rsid w:val="005532FC"/>
    <w:rsid w:val="00553762"/>
    <w:rsid w:val="00553EC5"/>
    <w:rsid w:val="005541F0"/>
    <w:rsid w:val="005550C9"/>
    <w:rsid w:val="00555102"/>
    <w:rsid w:val="00555109"/>
    <w:rsid w:val="0055524C"/>
    <w:rsid w:val="00555573"/>
    <w:rsid w:val="00555918"/>
    <w:rsid w:val="00555B74"/>
    <w:rsid w:val="00555BC8"/>
    <w:rsid w:val="00555DCA"/>
    <w:rsid w:val="00555E62"/>
    <w:rsid w:val="0055603F"/>
    <w:rsid w:val="0055617E"/>
    <w:rsid w:val="00556748"/>
    <w:rsid w:val="0055676C"/>
    <w:rsid w:val="00556B35"/>
    <w:rsid w:val="00556D88"/>
    <w:rsid w:val="0055741A"/>
    <w:rsid w:val="005575C1"/>
    <w:rsid w:val="005576AE"/>
    <w:rsid w:val="00557C7A"/>
    <w:rsid w:val="005601D3"/>
    <w:rsid w:val="005601EC"/>
    <w:rsid w:val="005604E7"/>
    <w:rsid w:val="005604FA"/>
    <w:rsid w:val="00560573"/>
    <w:rsid w:val="005607B6"/>
    <w:rsid w:val="00560B8A"/>
    <w:rsid w:val="00560C83"/>
    <w:rsid w:val="005610BC"/>
    <w:rsid w:val="005611B7"/>
    <w:rsid w:val="00561581"/>
    <w:rsid w:val="005618D4"/>
    <w:rsid w:val="00561B1D"/>
    <w:rsid w:val="00561D83"/>
    <w:rsid w:val="00561DE4"/>
    <w:rsid w:val="005631AC"/>
    <w:rsid w:val="00563413"/>
    <w:rsid w:val="0056343B"/>
    <w:rsid w:val="005638F9"/>
    <w:rsid w:val="00563963"/>
    <w:rsid w:val="005639FF"/>
    <w:rsid w:val="00563B3F"/>
    <w:rsid w:val="00563E78"/>
    <w:rsid w:val="00563F10"/>
    <w:rsid w:val="00564119"/>
    <w:rsid w:val="0056433E"/>
    <w:rsid w:val="005643D7"/>
    <w:rsid w:val="00564595"/>
    <w:rsid w:val="00564610"/>
    <w:rsid w:val="005646F7"/>
    <w:rsid w:val="00564867"/>
    <w:rsid w:val="00564C90"/>
    <w:rsid w:val="005656C2"/>
    <w:rsid w:val="005656ED"/>
    <w:rsid w:val="00565C79"/>
    <w:rsid w:val="00565DF0"/>
    <w:rsid w:val="00565E49"/>
    <w:rsid w:val="005663AB"/>
    <w:rsid w:val="00566895"/>
    <w:rsid w:val="0056696F"/>
    <w:rsid w:val="00566A57"/>
    <w:rsid w:val="00566D05"/>
    <w:rsid w:val="0056702B"/>
    <w:rsid w:val="005671F1"/>
    <w:rsid w:val="00567683"/>
    <w:rsid w:val="00567956"/>
    <w:rsid w:val="00567DF8"/>
    <w:rsid w:val="00570025"/>
    <w:rsid w:val="0057002D"/>
    <w:rsid w:val="00570169"/>
    <w:rsid w:val="00570488"/>
    <w:rsid w:val="00570656"/>
    <w:rsid w:val="00570921"/>
    <w:rsid w:val="00570C92"/>
    <w:rsid w:val="00570E62"/>
    <w:rsid w:val="00570FAE"/>
    <w:rsid w:val="00571223"/>
    <w:rsid w:val="005712B3"/>
    <w:rsid w:val="00571873"/>
    <w:rsid w:val="00571C73"/>
    <w:rsid w:val="00571D3E"/>
    <w:rsid w:val="0057202A"/>
    <w:rsid w:val="005720F6"/>
    <w:rsid w:val="00572269"/>
    <w:rsid w:val="0057244A"/>
    <w:rsid w:val="00572914"/>
    <w:rsid w:val="00572929"/>
    <w:rsid w:val="005729A8"/>
    <w:rsid w:val="00572C8C"/>
    <w:rsid w:val="00572F23"/>
    <w:rsid w:val="00572F26"/>
    <w:rsid w:val="00573095"/>
    <w:rsid w:val="00573154"/>
    <w:rsid w:val="00573249"/>
    <w:rsid w:val="0057338B"/>
    <w:rsid w:val="0057355C"/>
    <w:rsid w:val="0057382C"/>
    <w:rsid w:val="005740CC"/>
    <w:rsid w:val="00574314"/>
    <w:rsid w:val="005743EF"/>
    <w:rsid w:val="00574526"/>
    <w:rsid w:val="005746D2"/>
    <w:rsid w:val="00574736"/>
    <w:rsid w:val="00574832"/>
    <w:rsid w:val="00575012"/>
    <w:rsid w:val="005750BB"/>
    <w:rsid w:val="005750C5"/>
    <w:rsid w:val="005752DE"/>
    <w:rsid w:val="0057567F"/>
    <w:rsid w:val="00575B7F"/>
    <w:rsid w:val="00575C08"/>
    <w:rsid w:val="00575D60"/>
    <w:rsid w:val="00575D8D"/>
    <w:rsid w:val="005762D0"/>
    <w:rsid w:val="00576634"/>
    <w:rsid w:val="00576972"/>
    <w:rsid w:val="00576AC3"/>
    <w:rsid w:val="00576EED"/>
    <w:rsid w:val="00576F3F"/>
    <w:rsid w:val="0057701B"/>
    <w:rsid w:val="00577208"/>
    <w:rsid w:val="00577248"/>
    <w:rsid w:val="005772F4"/>
    <w:rsid w:val="00577334"/>
    <w:rsid w:val="00577920"/>
    <w:rsid w:val="005779BC"/>
    <w:rsid w:val="00577C6D"/>
    <w:rsid w:val="00577F15"/>
    <w:rsid w:val="00577F8C"/>
    <w:rsid w:val="005803C8"/>
    <w:rsid w:val="005806A0"/>
    <w:rsid w:val="00580A79"/>
    <w:rsid w:val="00580E9E"/>
    <w:rsid w:val="00580F19"/>
    <w:rsid w:val="00581014"/>
    <w:rsid w:val="005811E7"/>
    <w:rsid w:val="005814BB"/>
    <w:rsid w:val="0058156A"/>
    <w:rsid w:val="005816F2"/>
    <w:rsid w:val="005818AE"/>
    <w:rsid w:val="0058190E"/>
    <w:rsid w:val="005819DC"/>
    <w:rsid w:val="00581FFD"/>
    <w:rsid w:val="005822B1"/>
    <w:rsid w:val="0058245F"/>
    <w:rsid w:val="0058252E"/>
    <w:rsid w:val="00582713"/>
    <w:rsid w:val="005828FF"/>
    <w:rsid w:val="0058293F"/>
    <w:rsid w:val="00582C3F"/>
    <w:rsid w:val="00582C55"/>
    <w:rsid w:val="0058303C"/>
    <w:rsid w:val="005830A2"/>
    <w:rsid w:val="00583578"/>
    <w:rsid w:val="00583699"/>
    <w:rsid w:val="0058373C"/>
    <w:rsid w:val="005845AB"/>
    <w:rsid w:val="00584782"/>
    <w:rsid w:val="00584CB6"/>
    <w:rsid w:val="00584D09"/>
    <w:rsid w:val="00584D7A"/>
    <w:rsid w:val="00584F39"/>
    <w:rsid w:val="005852BC"/>
    <w:rsid w:val="00585712"/>
    <w:rsid w:val="00585729"/>
    <w:rsid w:val="00585A24"/>
    <w:rsid w:val="00585CDD"/>
    <w:rsid w:val="00585D9E"/>
    <w:rsid w:val="00585DAE"/>
    <w:rsid w:val="00585F20"/>
    <w:rsid w:val="00586373"/>
    <w:rsid w:val="0058638E"/>
    <w:rsid w:val="005866D3"/>
    <w:rsid w:val="00586704"/>
    <w:rsid w:val="005868AC"/>
    <w:rsid w:val="005869CE"/>
    <w:rsid w:val="00586D33"/>
    <w:rsid w:val="00586D36"/>
    <w:rsid w:val="00586E69"/>
    <w:rsid w:val="00586E75"/>
    <w:rsid w:val="00587058"/>
    <w:rsid w:val="00587744"/>
    <w:rsid w:val="00587AAC"/>
    <w:rsid w:val="00587B39"/>
    <w:rsid w:val="00590159"/>
    <w:rsid w:val="005901C5"/>
    <w:rsid w:val="005903EC"/>
    <w:rsid w:val="005904CE"/>
    <w:rsid w:val="0059096A"/>
    <w:rsid w:val="00591009"/>
    <w:rsid w:val="0059115C"/>
    <w:rsid w:val="00591166"/>
    <w:rsid w:val="00591240"/>
    <w:rsid w:val="00591899"/>
    <w:rsid w:val="00591957"/>
    <w:rsid w:val="00591F63"/>
    <w:rsid w:val="00591FCD"/>
    <w:rsid w:val="0059224A"/>
    <w:rsid w:val="00592318"/>
    <w:rsid w:val="00592653"/>
    <w:rsid w:val="00592829"/>
    <w:rsid w:val="005929DF"/>
    <w:rsid w:val="00592FF9"/>
    <w:rsid w:val="00593201"/>
    <w:rsid w:val="0059334C"/>
    <w:rsid w:val="0059346B"/>
    <w:rsid w:val="00593546"/>
    <w:rsid w:val="00593681"/>
    <w:rsid w:val="00593E40"/>
    <w:rsid w:val="00594097"/>
    <w:rsid w:val="00594511"/>
    <w:rsid w:val="005948AD"/>
    <w:rsid w:val="005951CF"/>
    <w:rsid w:val="005954F6"/>
    <w:rsid w:val="00595DF2"/>
    <w:rsid w:val="0059659D"/>
    <w:rsid w:val="005967D4"/>
    <w:rsid w:val="0059692E"/>
    <w:rsid w:val="00596BDB"/>
    <w:rsid w:val="00596D57"/>
    <w:rsid w:val="00596E4A"/>
    <w:rsid w:val="00596E96"/>
    <w:rsid w:val="00596EA7"/>
    <w:rsid w:val="00596FA6"/>
    <w:rsid w:val="0059730E"/>
    <w:rsid w:val="00597871"/>
    <w:rsid w:val="00597BF9"/>
    <w:rsid w:val="00597D8D"/>
    <w:rsid w:val="00597F0F"/>
    <w:rsid w:val="005A000A"/>
    <w:rsid w:val="005A0331"/>
    <w:rsid w:val="005A03B1"/>
    <w:rsid w:val="005A0546"/>
    <w:rsid w:val="005A06EB"/>
    <w:rsid w:val="005A0C11"/>
    <w:rsid w:val="005A0DC1"/>
    <w:rsid w:val="005A0ED0"/>
    <w:rsid w:val="005A13AF"/>
    <w:rsid w:val="005A13DA"/>
    <w:rsid w:val="005A163D"/>
    <w:rsid w:val="005A1BF9"/>
    <w:rsid w:val="005A1EAD"/>
    <w:rsid w:val="005A235C"/>
    <w:rsid w:val="005A2712"/>
    <w:rsid w:val="005A281C"/>
    <w:rsid w:val="005A309A"/>
    <w:rsid w:val="005A3161"/>
    <w:rsid w:val="005A3374"/>
    <w:rsid w:val="005A3615"/>
    <w:rsid w:val="005A373D"/>
    <w:rsid w:val="005A37F4"/>
    <w:rsid w:val="005A385E"/>
    <w:rsid w:val="005A3A38"/>
    <w:rsid w:val="005A3ABA"/>
    <w:rsid w:val="005A3D0A"/>
    <w:rsid w:val="005A48BA"/>
    <w:rsid w:val="005A4C3E"/>
    <w:rsid w:val="005A4DEF"/>
    <w:rsid w:val="005A50E3"/>
    <w:rsid w:val="005A5254"/>
    <w:rsid w:val="005A5BC0"/>
    <w:rsid w:val="005A5D1E"/>
    <w:rsid w:val="005A5E23"/>
    <w:rsid w:val="005A60FD"/>
    <w:rsid w:val="005A6432"/>
    <w:rsid w:val="005A6480"/>
    <w:rsid w:val="005A64A5"/>
    <w:rsid w:val="005A6646"/>
    <w:rsid w:val="005A6A28"/>
    <w:rsid w:val="005A6F30"/>
    <w:rsid w:val="005A71F3"/>
    <w:rsid w:val="005A78A1"/>
    <w:rsid w:val="005A7CBE"/>
    <w:rsid w:val="005A7ED0"/>
    <w:rsid w:val="005B027E"/>
    <w:rsid w:val="005B0326"/>
    <w:rsid w:val="005B0AF7"/>
    <w:rsid w:val="005B0B58"/>
    <w:rsid w:val="005B0CAD"/>
    <w:rsid w:val="005B0EAF"/>
    <w:rsid w:val="005B1141"/>
    <w:rsid w:val="005B18F7"/>
    <w:rsid w:val="005B1B1E"/>
    <w:rsid w:val="005B1CB8"/>
    <w:rsid w:val="005B1D4D"/>
    <w:rsid w:val="005B1DBF"/>
    <w:rsid w:val="005B266D"/>
    <w:rsid w:val="005B26EA"/>
    <w:rsid w:val="005B2A3E"/>
    <w:rsid w:val="005B2F15"/>
    <w:rsid w:val="005B304C"/>
    <w:rsid w:val="005B33C6"/>
    <w:rsid w:val="005B3C57"/>
    <w:rsid w:val="005B41B6"/>
    <w:rsid w:val="005B47A9"/>
    <w:rsid w:val="005B4AA0"/>
    <w:rsid w:val="005B4E53"/>
    <w:rsid w:val="005B4FFF"/>
    <w:rsid w:val="005B53EE"/>
    <w:rsid w:val="005B5857"/>
    <w:rsid w:val="005B5941"/>
    <w:rsid w:val="005B5F2F"/>
    <w:rsid w:val="005B61F1"/>
    <w:rsid w:val="005B6729"/>
    <w:rsid w:val="005B6EE4"/>
    <w:rsid w:val="005B7026"/>
    <w:rsid w:val="005B735B"/>
    <w:rsid w:val="005B747A"/>
    <w:rsid w:val="005B7758"/>
    <w:rsid w:val="005B791C"/>
    <w:rsid w:val="005C0A59"/>
    <w:rsid w:val="005C0ED3"/>
    <w:rsid w:val="005C13BC"/>
    <w:rsid w:val="005C13CD"/>
    <w:rsid w:val="005C1547"/>
    <w:rsid w:val="005C1905"/>
    <w:rsid w:val="005C19C4"/>
    <w:rsid w:val="005C1B83"/>
    <w:rsid w:val="005C1F66"/>
    <w:rsid w:val="005C1F8A"/>
    <w:rsid w:val="005C21DF"/>
    <w:rsid w:val="005C228B"/>
    <w:rsid w:val="005C2425"/>
    <w:rsid w:val="005C25FF"/>
    <w:rsid w:val="005C2B13"/>
    <w:rsid w:val="005C2CF9"/>
    <w:rsid w:val="005C2D55"/>
    <w:rsid w:val="005C346B"/>
    <w:rsid w:val="005C38C7"/>
    <w:rsid w:val="005C39EB"/>
    <w:rsid w:val="005C3A20"/>
    <w:rsid w:val="005C3D19"/>
    <w:rsid w:val="005C3D5F"/>
    <w:rsid w:val="005C4266"/>
    <w:rsid w:val="005C476B"/>
    <w:rsid w:val="005C4782"/>
    <w:rsid w:val="005C504B"/>
    <w:rsid w:val="005C5A5A"/>
    <w:rsid w:val="005C5ABC"/>
    <w:rsid w:val="005C5BDD"/>
    <w:rsid w:val="005C632C"/>
    <w:rsid w:val="005C6CEF"/>
    <w:rsid w:val="005C6DBB"/>
    <w:rsid w:val="005C6FB2"/>
    <w:rsid w:val="005C7019"/>
    <w:rsid w:val="005C72FD"/>
    <w:rsid w:val="005C77F7"/>
    <w:rsid w:val="005C7B56"/>
    <w:rsid w:val="005D00C7"/>
    <w:rsid w:val="005D0196"/>
    <w:rsid w:val="005D044D"/>
    <w:rsid w:val="005D0727"/>
    <w:rsid w:val="005D0ABD"/>
    <w:rsid w:val="005D0BC5"/>
    <w:rsid w:val="005D0C02"/>
    <w:rsid w:val="005D0EA3"/>
    <w:rsid w:val="005D0ED9"/>
    <w:rsid w:val="005D101C"/>
    <w:rsid w:val="005D178D"/>
    <w:rsid w:val="005D18AD"/>
    <w:rsid w:val="005D19F5"/>
    <w:rsid w:val="005D1ED0"/>
    <w:rsid w:val="005D1FE6"/>
    <w:rsid w:val="005D2071"/>
    <w:rsid w:val="005D2259"/>
    <w:rsid w:val="005D26B4"/>
    <w:rsid w:val="005D2848"/>
    <w:rsid w:val="005D2DD9"/>
    <w:rsid w:val="005D34B2"/>
    <w:rsid w:val="005D3513"/>
    <w:rsid w:val="005D394B"/>
    <w:rsid w:val="005D3AB6"/>
    <w:rsid w:val="005D3B65"/>
    <w:rsid w:val="005D41E2"/>
    <w:rsid w:val="005D43DE"/>
    <w:rsid w:val="005D447E"/>
    <w:rsid w:val="005D44FA"/>
    <w:rsid w:val="005D4529"/>
    <w:rsid w:val="005D4537"/>
    <w:rsid w:val="005D4EEF"/>
    <w:rsid w:val="005D5364"/>
    <w:rsid w:val="005D540E"/>
    <w:rsid w:val="005D57E8"/>
    <w:rsid w:val="005D5C1C"/>
    <w:rsid w:val="005D5C4E"/>
    <w:rsid w:val="005D5CD4"/>
    <w:rsid w:val="005D6015"/>
    <w:rsid w:val="005D621E"/>
    <w:rsid w:val="005D65E5"/>
    <w:rsid w:val="005D679D"/>
    <w:rsid w:val="005D6B46"/>
    <w:rsid w:val="005D6FA6"/>
    <w:rsid w:val="005D717E"/>
    <w:rsid w:val="005D749C"/>
    <w:rsid w:val="005D770A"/>
    <w:rsid w:val="005D7DC6"/>
    <w:rsid w:val="005D7E85"/>
    <w:rsid w:val="005E02A8"/>
    <w:rsid w:val="005E0BDF"/>
    <w:rsid w:val="005E0BFE"/>
    <w:rsid w:val="005E0C9D"/>
    <w:rsid w:val="005E100B"/>
    <w:rsid w:val="005E1263"/>
    <w:rsid w:val="005E126F"/>
    <w:rsid w:val="005E1784"/>
    <w:rsid w:val="005E1995"/>
    <w:rsid w:val="005E2318"/>
    <w:rsid w:val="005E26F8"/>
    <w:rsid w:val="005E2701"/>
    <w:rsid w:val="005E2888"/>
    <w:rsid w:val="005E2E32"/>
    <w:rsid w:val="005E2E87"/>
    <w:rsid w:val="005E2EA3"/>
    <w:rsid w:val="005E3097"/>
    <w:rsid w:val="005E31C0"/>
    <w:rsid w:val="005E3493"/>
    <w:rsid w:val="005E3B75"/>
    <w:rsid w:val="005E3CA3"/>
    <w:rsid w:val="005E4FA3"/>
    <w:rsid w:val="005E5294"/>
    <w:rsid w:val="005E623A"/>
    <w:rsid w:val="005E6266"/>
    <w:rsid w:val="005E6444"/>
    <w:rsid w:val="005E6697"/>
    <w:rsid w:val="005E6881"/>
    <w:rsid w:val="005E6CBC"/>
    <w:rsid w:val="005E6E04"/>
    <w:rsid w:val="005E6F24"/>
    <w:rsid w:val="005E6FD6"/>
    <w:rsid w:val="005E7247"/>
    <w:rsid w:val="005E72FF"/>
    <w:rsid w:val="005E73C0"/>
    <w:rsid w:val="005E743A"/>
    <w:rsid w:val="005F018E"/>
    <w:rsid w:val="005F01A7"/>
    <w:rsid w:val="005F03CC"/>
    <w:rsid w:val="005F0671"/>
    <w:rsid w:val="005F07ED"/>
    <w:rsid w:val="005F09CC"/>
    <w:rsid w:val="005F0ACA"/>
    <w:rsid w:val="005F0D29"/>
    <w:rsid w:val="005F1456"/>
    <w:rsid w:val="005F153E"/>
    <w:rsid w:val="005F19EF"/>
    <w:rsid w:val="005F1BC3"/>
    <w:rsid w:val="005F1C48"/>
    <w:rsid w:val="005F1ECC"/>
    <w:rsid w:val="005F1F5B"/>
    <w:rsid w:val="005F1F96"/>
    <w:rsid w:val="005F2261"/>
    <w:rsid w:val="005F2706"/>
    <w:rsid w:val="005F2753"/>
    <w:rsid w:val="005F2972"/>
    <w:rsid w:val="005F2992"/>
    <w:rsid w:val="005F2D17"/>
    <w:rsid w:val="005F2D61"/>
    <w:rsid w:val="005F2EF3"/>
    <w:rsid w:val="005F345E"/>
    <w:rsid w:val="005F3535"/>
    <w:rsid w:val="005F35EB"/>
    <w:rsid w:val="005F3720"/>
    <w:rsid w:val="005F373D"/>
    <w:rsid w:val="005F37CF"/>
    <w:rsid w:val="005F3F8E"/>
    <w:rsid w:val="005F3FB4"/>
    <w:rsid w:val="005F426A"/>
    <w:rsid w:val="005F42BC"/>
    <w:rsid w:val="005F4484"/>
    <w:rsid w:val="005F4485"/>
    <w:rsid w:val="005F497B"/>
    <w:rsid w:val="005F5275"/>
    <w:rsid w:val="005F5306"/>
    <w:rsid w:val="005F5368"/>
    <w:rsid w:val="005F5459"/>
    <w:rsid w:val="005F55CE"/>
    <w:rsid w:val="005F55F1"/>
    <w:rsid w:val="005F5635"/>
    <w:rsid w:val="005F6977"/>
    <w:rsid w:val="005F6A8F"/>
    <w:rsid w:val="005F6BB7"/>
    <w:rsid w:val="005F6F0F"/>
    <w:rsid w:val="005F6FDB"/>
    <w:rsid w:val="005F70B7"/>
    <w:rsid w:val="005F72F2"/>
    <w:rsid w:val="005F7543"/>
    <w:rsid w:val="005F7588"/>
    <w:rsid w:val="005F7615"/>
    <w:rsid w:val="005F7762"/>
    <w:rsid w:val="005F77B5"/>
    <w:rsid w:val="005F7AB8"/>
    <w:rsid w:val="005F7C45"/>
    <w:rsid w:val="005F7F09"/>
    <w:rsid w:val="006000E6"/>
    <w:rsid w:val="00600139"/>
    <w:rsid w:val="00600AA6"/>
    <w:rsid w:val="00600EB0"/>
    <w:rsid w:val="00600ECA"/>
    <w:rsid w:val="0060134F"/>
    <w:rsid w:val="0060154A"/>
    <w:rsid w:val="00601899"/>
    <w:rsid w:val="00601D1E"/>
    <w:rsid w:val="00602281"/>
    <w:rsid w:val="006022CE"/>
    <w:rsid w:val="00602826"/>
    <w:rsid w:val="00602888"/>
    <w:rsid w:val="00602AA5"/>
    <w:rsid w:val="00602AD3"/>
    <w:rsid w:val="00602B63"/>
    <w:rsid w:val="0060309B"/>
    <w:rsid w:val="00603645"/>
    <w:rsid w:val="00603990"/>
    <w:rsid w:val="00603A78"/>
    <w:rsid w:val="00603CAA"/>
    <w:rsid w:val="00603DA6"/>
    <w:rsid w:val="00603DB9"/>
    <w:rsid w:val="00604182"/>
    <w:rsid w:val="00604185"/>
    <w:rsid w:val="006043AE"/>
    <w:rsid w:val="0060445E"/>
    <w:rsid w:val="00604D90"/>
    <w:rsid w:val="00604E23"/>
    <w:rsid w:val="006051FC"/>
    <w:rsid w:val="00605407"/>
    <w:rsid w:val="00605505"/>
    <w:rsid w:val="006055D2"/>
    <w:rsid w:val="00605698"/>
    <w:rsid w:val="00606221"/>
    <w:rsid w:val="0060639A"/>
    <w:rsid w:val="00606402"/>
    <w:rsid w:val="0060654F"/>
    <w:rsid w:val="006069C6"/>
    <w:rsid w:val="00606F6A"/>
    <w:rsid w:val="00606FBA"/>
    <w:rsid w:val="006071E8"/>
    <w:rsid w:val="00607401"/>
    <w:rsid w:val="00607669"/>
    <w:rsid w:val="006076F4"/>
    <w:rsid w:val="006079B1"/>
    <w:rsid w:val="006079E2"/>
    <w:rsid w:val="00607AEF"/>
    <w:rsid w:val="00607AFD"/>
    <w:rsid w:val="00607CEF"/>
    <w:rsid w:val="00610027"/>
    <w:rsid w:val="00610141"/>
    <w:rsid w:val="006102A7"/>
    <w:rsid w:val="006103BE"/>
    <w:rsid w:val="00610403"/>
    <w:rsid w:val="006106CE"/>
    <w:rsid w:val="00610B32"/>
    <w:rsid w:val="00610DA1"/>
    <w:rsid w:val="00610F2D"/>
    <w:rsid w:val="00611099"/>
    <w:rsid w:val="006113E0"/>
    <w:rsid w:val="00611B12"/>
    <w:rsid w:val="00611C2B"/>
    <w:rsid w:val="00612181"/>
    <w:rsid w:val="00612708"/>
    <w:rsid w:val="00612937"/>
    <w:rsid w:val="00612F97"/>
    <w:rsid w:val="006130F3"/>
    <w:rsid w:val="00613384"/>
    <w:rsid w:val="00613416"/>
    <w:rsid w:val="0061345D"/>
    <w:rsid w:val="00613D78"/>
    <w:rsid w:val="00613E6C"/>
    <w:rsid w:val="00613E6F"/>
    <w:rsid w:val="0061481D"/>
    <w:rsid w:val="00614B68"/>
    <w:rsid w:val="00614DE1"/>
    <w:rsid w:val="00615263"/>
    <w:rsid w:val="0061549B"/>
    <w:rsid w:val="006158F5"/>
    <w:rsid w:val="0061622D"/>
    <w:rsid w:val="006164B2"/>
    <w:rsid w:val="006165A9"/>
    <w:rsid w:val="00616789"/>
    <w:rsid w:val="00616802"/>
    <w:rsid w:val="00616F0E"/>
    <w:rsid w:val="00616FDF"/>
    <w:rsid w:val="006177FE"/>
    <w:rsid w:val="006178AA"/>
    <w:rsid w:val="00617933"/>
    <w:rsid w:val="00617AEA"/>
    <w:rsid w:val="00617E12"/>
    <w:rsid w:val="00617F81"/>
    <w:rsid w:val="00620149"/>
    <w:rsid w:val="0062075B"/>
    <w:rsid w:val="006207BC"/>
    <w:rsid w:val="006209A2"/>
    <w:rsid w:val="00620C1F"/>
    <w:rsid w:val="00620C25"/>
    <w:rsid w:val="00620DD2"/>
    <w:rsid w:val="0062141A"/>
    <w:rsid w:val="00621427"/>
    <w:rsid w:val="00621477"/>
    <w:rsid w:val="006214DB"/>
    <w:rsid w:val="00621923"/>
    <w:rsid w:val="0062195D"/>
    <w:rsid w:val="00621ADA"/>
    <w:rsid w:val="00621B86"/>
    <w:rsid w:val="00621CE7"/>
    <w:rsid w:val="0062200D"/>
    <w:rsid w:val="0062251D"/>
    <w:rsid w:val="00622648"/>
    <w:rsid w:val="006229F6"/>
    <w:rsid w:val="00622DE3"/>
    <w:rsid w:val="00622F70"/>
    <w:rsid w:val="006234B9"/>
    <w:rsid w:val="0062352F"/>
    <w:rsid w:val="006236B2"/>
    <w:rsid w:val="006236D5"/>
    <w:rsid w:val="00623CB4"/>
    <w:rsid w:val="00623CEF"/>
    <w:rsid w:val="00623F7B"/>
    <w:rsid w:val="0062424B"/>
    <w:rsid w:val="00624612"/>
    <w:rsid w:val="006249D2"/>
    <w:rsid w:val="00624BD4"/>
    <w:rsid w:val="00624D1B"/>
    <w:rsid w:val="006251EE"/>
    <w:rsid w:val="0062520D"/>
    <w:rsid w:val="00625215"/>
    <w:rsid w:val="006252BF"/>
    <w:rsid w:val="0062545B"/>
    <w:rsid w:val="006255A1"/>
    <w:rsid w:val="00625ABD"/>
    <w:rsid w:val="0062611C"/>
    <w:rsid w:val="00626A35"/>
    <w:rsid w:val="00626BF5"/>
    <w:rsid w:val="00627240"/>
    <w:rsid w:val="00627425"/>
    <w:rsid w:val="0062762F"/>
    <w:rsid w:val="00627CDC"/>
    <w:rsid w:val="00627EB6"/>
    <w:rsid w:val="006302A6"/>
    <w:rsid w:val="006302D3"/>
    <w:rsid w:val="00630350"/>
    <w:rsid w:val="006305A4"/>
    <w:rsid w:val="006306AE"/>
    <w:rsid w:val="00630784"/>
    <w:rsid w:val="00630EBA"/>
    <w:rsid w:val="0063115C"/>
    <w:rsid w:val="00631301"/>
    <w:rsid w:val="0063158F"/>
    <w:rsid w:val="00631D6B"/>
    <w:rsid w:val="00631DBE"/>
    <w:rsid w:val="00631F85"/>
    <w:rsid w:val="00632183"/>
    <w:rsid w:val="00632730"/>
    <w:rsid w:val="006327E8"/>
    <w:rsid w:val="00632B29"/>
    <w:rsid w:val="00632B77"/>
    <w:rsid w:val="00632D03"/>
    <w:rsid w:val="006330A1"/>
    <w:rsid w:val="00633333"/>
    <w:rsid w:val="00633349"/>
    <w:rsid w:val="0063334B"/>
    <w:rsid w:val="006339EE"/>
    <w:rsid w:val="00634157"/>
    <w:rsid w:val="00634332"/>
    <w:rsid w:val="006344DA"/>
    <w:rsid w:val="00634598"/>
    <w:rsid w:val="0063479F"/>
    <w:rsid w:val="00634DB8"/>
    <w:rsid w:val="00634EF7"/>
    <w:rsid w:val="00634F48"/>
    <w:rsid w:val="00635022"/>
    <w:rsid w:val="0063535D"/>
    <w:rsid w:val="00635373"/>
    <w:rsid w:val="006353F0"/>
    <w:rsid w:val="006355B0"/>
    <w:rsid w:val="006357B5"/>
    <w:rsid w:val="00635941"/>
    <w:rsid w:val="006360A9"/>
    <w:rsid w:val="006364A1"/>
    <w:rsid w:val="0063652D"/>
    <w:rsid w:val="0063678E"/>
    <w:rsid w:val="00636E07"/>
    <w:rsid w:val="00636FCB"/>
    <w:rsid w:val="006372AC"/>
    <w:rsid w:val="006373E4"/>
    <w:rsid w:val="00637522"/>
    <w:rsid w:val="00637880"/>
    <w:rsid w:val="00637BFD"/>
    <w:rsid w:val="00637C5C"/>
    <w:rsid w:val="00637CDC"/>
    <w:rsid w:val="00640678"/>
    <w:rsid w:val="006407B1"/>
    <w:rsid w:val="00640EF9"/>
    <w:rsid w:val="00641C4E"/>
    <w:rsid w:val="00641CA1"/>
    <w:rsid w:val="00641D58"/>
    <w:rsid w:val="00641FB3"/>
    <w:rsid w:val="006421C0"/>
    <w:rsid w:val="006427CC"/>
    <w:rsid w:val="006429A0"/>
    <w:rsid w:val="00642C45"/>
    <w:rsid w:val="00642CE4"/>
    <w:rsid w:val="00642E1B"/>
    <w:rsid w:val="00642F11"/>
    <w:rsid w:val="006430A8"/>
    <w:rsid w:val="0064322C"/>
    <w:rsid w:val="00643CF9"/>
    <w:rsid w:val="00643E3D"/>
    <w:rsid w:val="00643EED"/>
    <w:rsid w:val="0064434C"/>
    <w:rsid w:val="00644473"/>
    <w:rsid w:val="00644475"/>
    <w:rsid w:val="00644E37"/>
    <w:rsid w:val="006450A0"/>
    <w:rsid w:val="006454A5"/>
    <w:rsid w:val="006454A9"/>
    <w:rsid w:val="0064557B"/>
    <w:rsid w:val="00645800"/>
    <w:rsid w:val="00645AA2"/>
    <w:rsid w:val="00645F5C"/>
    <w:rsid w:val="006461F6"/>
    <w:rsid w:val="00646320"/>
    <w:rsid w:val="006469E1"/>
    <w:rsid w:val="0064717D"/>
    <w:rsid w:val="006471CC"/>
    <w:rsid w:val="00647216"/>
    <w:rsid w:val="006472FE"/>
    <w:rsid w:val="0064748B"/>
    <w:rsid w:val="00647628"/>
    <w:rsid w:val="00647A29"/>
    <w:rsid w:val="00647A79"/>
    <w:rsid w:val="00647ABE"/>
    <w:rsid w:val="00647F1D"/>
    <w:rsid w:val="006500FE"/>
    <w:rsid w:val="0065023E"/>
    <w:rsid w:val="00650398"/>
    <w:rsid w:val="00650517"/>
    <w:rsid w:val="0065079F"/>
    <w:rsid w:val="00650BB8"/>
    <w:rsid w:val="00650D96"/>
    <w:rsid w:val="0065116E"/>
    <w:rsid w:val="00651415"/>
    <w:rsid w:val="006514B8"/>
    <w:rsid w:val="0065174F"/>
    <w:rsid w:val="00651A49"/>
    <w:rsid w:val="00651B16"/>
    <w:rsid w:val="00651B2A"/>
    <w:rsid w:val="00652110"/>
    <w:rsid w:val="006521BF"/>
    <w:rsid w:val="00652930"/>
    <w:rsid w:val="00652A28"/>
    <w:rsid w:val="00652C16"/>
    <w:rsid w:val="00653156"/>
    <w:rsid w:val="006532DA"/>
    <w:rsid w:val="006534E9"/>
    <w:rsid w:val="0065379F"/>
    <w:rsid w:val="006538A2"/>
    <w:rsid w:val="00653903"/>
    <w:rsid w:val="00653D15"/>
    <w:rsid w:val="006546C0"/>
    <w:rsid w:val="0065488E"/>
    <w:rsid w:val="0065490A"/>
    <w:rsid w:val="00654C86"/>
    <w:rsid w:val="00654D0F"/>
    <w:rsid w:val="00655512"/>
    <w:rsid w:val="00655743"/>
    <w:rsid w:val="00655CEC"/>
    <w:rsid w:val="00655CFD"/>
    <w:rsid w:val="00655E63"/>
    <w:rsid w:val="00656188"/>
    <w:rsid w:val="00656685"/>
    <w:rsid w:val="006569A1"/>
    <w:rsid w:val="00656B87"/>
    <w:rsid w:val="00656EBA"/>
    <w:rsid w:val="00656F10"/>
    <w:rsid w:val="00656FD8"/>
    <w:rsid w:val="0065706B"/>
    <w:rsid w:val="00657084"/>
    <w:rsid w:val="0065715A"/>
    <w:rsid w:val="0065743D"/>
    <w:rsid w:val="00657549"/>
    <w:rsid w:val="00657CB5"/>
    <w:rsid w:val="00657DC9"/>
    <w:rsid w:val="006602DD"/>
    <w:rsid w:val="00660738"/>
    <w:rsid w:val="006609B9"/>
    <w:rsid w:val="00660AE5"/>
    <w:rsid w:val="00660D31"/>
    <w:rsid w:val="00660D61"/>
    <w:rsid w:val="00660F50"/>
    <w:rsid w:val="006610B2"/>
    <w:rsid w:val="006610F1"/>
    <w:rsid w:val="00661C16"/>
    <w:rsid w:val="00661C6B"/>
    <w:rsid w:val="006626D4"/>
    <w:rsid w:val="00662BFE"/>
    <w:rsid w:val="00662C47"/>
    <w:rsid w:val="00662D3E"/>
    <w:rsid w:val="00662DAA"/>
    <w:rsid w:val="00662DCC"/>
    <w:rsid w:val="00663561"/>
    <w:rsid w:val="0066386C"/>
    <w:rsid w:val="00663F41"/>
    <w:rsid w:val="00663FB9"/>
    <w:rsid w:val="006645A4"/>
    <w:rsid w:val="006647E1"/>
    <w:rsid w:val="00664816"/>
    <w:rsid w:val="00664A78"/>
    <w:rsid w:val="00665302"/>
    <w:rsid w:val="00665366"/>
    <w:rsid w:val="006653A2"/>
    <w:rsid w:val="00665CC1"/>
    <w:rsid w:val="00665F1F"/>
    <w:rsid w:val="0066625A"/>
    <w:rsid w:val="006665CE"/>
    <w:rsid w:val="00666699"/>
    <w:rsid w:val="00667120"/>
    <w:rsid w:val="00667140"/>
    <w:rsid w:val="0066774D"/>
    <w:rsid w:val="00667875"/>
    <w:rsid w:val="00667BE3"/>
    <w:rsid w:val="00667D9E"/>
    <w:rsid w:val="00667E0A"/>
    <w:rsid w:val="00667FDA"/>
    <w:rsid w:val="0067007E"/>
    <w:rsid w:val="0067010D"/>
    <w:rsid w:val="006701D7"/>
    <w:rsid w:val="0067028D"/>
    <w:rsid w:val="006703CB"/>
    <w:rsid w:val="00670794"/>
    <w:rsid w:val="00670B3F"/>
    <w:rsid w:val="00670D61"/>
    <w:rsid w:val="00670EB6"/>
    <w:rsid w:val="00671004"/>
    <w:rsid w:val="00671039"/>
    <w:rsid w:val="0067110E"/>
    <w:rsid w:val="00671144"/>
    <w:rsid w:val="00671280"/>
    <w:rsid w:val="006714A7"/>
    <w:rsid w:val="00671710"/>
    <w:rsid w:val="006720C5"/>
    <w:rsid w:val="00672381"/>
    <w:rsid w:val="00672478"/>
    <w:rsid w:val="006725BC"/>
    <w:rsid w:val="00672646"/>
    <w:rsid w:val="00672C96"/>
    <w:rsid w:val="00672DB1"/>
    <w:rsid w:val="006735E4"/>
    <w:rsid w:val="00673C16"/>
    <w:rsid w:val="0067417C"/>
    <w:rsid w:val="0067431D"/>
    <w:rsid w:val="006744F7"/>
    <w:rsid w:val="006746C3"/>
    <w:rsid w:val="0067470A"/>
    <w:rsid w:val="00674B25"/>
    <w:rsid w:val="00674E42"/>
    <w:rsid w:val="00674E76"/>
    <w:rsid w:val="00674F82"/>
    <w:rsid w:val="00675A99"/>
    <w:rsid w:val="00675AB5"/>
    <w:rsid w:val="00675CF7"/>
    <w:rsid w:val="00675E18"/>
    <w:rsid w:val="0067644F"/>
    <w:rsid w:val="00676527"/>
    <w:rsid w:val="00676563"/>
    <w:rsid w:val="00676D85"/>
    <w:rsid w:val="00677017"/>
    <w:rsid w:val="006770B4"/>
    <w:rsid w:val="0067759E"/>
    <w:rsid w:val="00677827"/>
    <w:rsid w:val="00677A11"/>
    <w:rsid w:val="00677BBC"/>
    <w:rsid w:val="00677F82"/>
    <w:rsid w:val="00680009"/>
    <w:rsid w:val="0068022F"/>
    <w:rsid w:val="0068092B"/>
    <w:rsid w:val="00680B09"/>
    <w:rsid w:val="00680B6D"/>
    <w:rsid w:val="00680D04"/>
    <w:rsid w:val="00680EF1"/>
    <w:rsid w:val="006812C3"/>
    <w:rsid w:val="006813EF"/>
    <w:rsid w:val="006813F8"/>
    <w:rsid w:val="0068199F"/>
    <w:rsid w:val="00681C73"/>
    <w:rsid w:val="00681DEE"/>
    <w:rsid w:val="00681F14"/>
    <w:rsid w:val="00682001"/>
    <w:rsid w:val="00682112"/>
    <w:rsid w:val="0068269B"/>
    <w:rsid w:val="00682A2D"/>
    <w:rsid w:val="00682BA6"/>
    <w:rsid w:val="00682D31"/>
    <w:rsid w:val="00683458"/>
    <w:rsid w:val="006836FD"/>
    <w:rsid w:val="0068374B"/>
    <w:rsid w:val="006838B8"/>
    <w:rsid w:val="00683D35"/>
    <w:rsid w:val="00684681"/>
    <w:rsid w:val="0068490B"/>
    <w:rsid w:val="006849EB"/>
    <w:rsid w:val="00684B59"/>
    <w:rsid w:val="00684D7C"/>
    <w:rsid w:val="00684F88"/>
    <w:rsid w:val="00685D31"/>
    <w:rsid w:val="00685EE8"/>
    <w:rsid w:val="00685F12"/>
    <w:rsid w:val="0068603B"/>
    <w:rsid w:val="0068624C"/>
    <w:rsid w:val="00686422"/>
    <w:rsid w:val="00686793"/>
    <w:rsid w:val="006867FE"/>
    <w:rsid w:val="00686957"/>
    <w:rsid w:val="0068697A"/>
    <w:rsid w:val="006872BA"/>
    <w:rsid w:val="006877CF"/>
    <w:rsid w:val="00687B22"/>
    <w:rsid w:val="006900E9"/>
    <w:rsid w:val="00690224"/>
    <w:rsid w:val="00690756"/>
    <w:rsid w:val="00690795"/>
    <w:rsid w:val="00690E1A"/>
    <w:rsid w:val="00690E1E"/>
    <w:rsid w:val="006910AA"/>
    <w:rsid w:val="00691648"/>
    <w:rsid w:val="006916C5"/>
    <w:rsid w:val="00691759"/>
    <w:rsid w:val="006917D7"/>
    <w:rsid w:val="00691A0B"/>
    <w:rsid w:val="00692011"/>
    <w:rsid w:val="006922BE"/>
    <w:rsid w:val="00692528"/>
    <w:rsid w:val="0069267C"/>
    <w:rsid w:val="006929B2"/>
    <w:rsid w:val="00692AB8"/>
    <w:rsid w:val="00692BEC"/>
    <w:rsid w:val="00693079"/>
    <w:rsid w:val="0069327D"/>
    <w:rsid w:val="006932CB"/>
    <w:rsid w:val="0069394C"/>
    <w:rsid w:val="00693B16"/>
    <w:rsid w:val="00693E26"/>
    <w:rsid w:val="00693F00"/>
    <w:rsid w:val="00694107"/>
    <w:rsid w:val="0069434C"/>
    <w:rsid w:val="0069438D"/>
    <w:rsid w:val="00694F44"/>
    <w:rsid w:val="00694FA6"/>
    <w:rsid w:val="0069589B"/>
    <w:rsid w:val="00695EAF"/>
    <w:rsid w:val="00696150"/>
    <w:rsid w:val="006964CB"/>
    <w:rsid w:val="006965FB"/>
    <w:rsid w:val="00696EF9"/>
    <w:rsid w:val="00696F51"/>
    <w:rsid w:val="00697017"/>
    <w:rsid w:val="00697082"/>
    <w:rsid w:val="00697106"/>
    <w:rsid w:val="00697228"/>
    <w:rsid w:val="0069749F"/>
    <w:rsid w:val="006974B5"/>
    <w:rsid w:val="00697597"/>
    <w:rsid w:val="00697676"/>
    <w:rsid w:val="006979A5"/>
    <w:rsid w:val="006A00A5"/>
    <w:rsid w:val="006A00E0"/>
    <w:rsid w:val="006A016F"/>
    <w:rsid w:val="006A01AA"/>
    <w:rsid w:val="006A0304"/>
    <w:rsid w:val="006A051E"/>
    <w:rsid w:val="006A07BF"/>
    <w:rsid w:val="006A093A"/>
    <w:rsid w:val="006A0BC6"/>
    <w:rsid w:val="006A0DF7"/>
    <w:rsid w:val="006A0E1E"/>
    <w:rsid w:val="006A1040"/>
    <w:rsid w:val="006A135E"/>
    <w:rsid w:val="006A14DD"/>
    <w:rsid w:val="006A14DF"/>
    <w:rsid w:val="006A170A"/>
    <w:rsid w:val="006A1D9C"/>
    <w:rsid w:val="006A1EAB"/>
    <w:rsid w:val="006A2278"/>
    <w:rsid w:val="006A246B"/>
    <w:rsid w:val="006A2547"/>
    <w:rsid w:val="006A2994"/>
    <w:rsid w:val="006A2BE7"/>
    <w:rsid w:val="006A2D9F"/>
    <w:rsid w:val="006A2E3D"/>
    <w:rsid w:val="006A2EF2"/>
    <w:rsid w:val="006A315D"/>
    <w:rsid w:val="006A32FB"/>
    <w:rsid w:val="006A358E"/>
    <w:rsid w:val="006A3BA7"/>
    <w:rsid w:val="006A3C6B"/>
    <w:rsid w:val="006A3F26"/>
    <w:rsid w:val="006A3F86"/>
    <w:rsid w:val="006A4321"/>
    <w:rsid w:val="006A43D9"/>
    <w:rsid w:val="006A4445"/>
    <w:rsid w:val="006A4C85"/>
    <w:rsid w:val="006A5125"/>
    <w:rsid w:val="006A541C"/>
    <w:rsid w:val="006A5441"/>
    <w:rsid w:val="006A55BE"/>
    <w:rsid w:val="006A58B3"/>
    <w:rsid w:val="006A5D1C"/>
    <w:rsid w:val="006A5DFF"/>
    <w:rsid w:val="006A5F87"/>
    <w:rsid w:val="006A6275"/>
    <w:rsid w:val="006A6280"/>
    <w:rsid w:val="006A64A2"/>
    <w:rsid w:val="006A6536"/>
    <w:rsid w:val="006A6B99"/>
    <w:rsid w:val="006A6BAF"/>
    <w:rsid w:val="006A6C98"/>
    <w:rsid w:val="006A6CB1"/>
    <w:rsid w:val="006A6FB5"/>
    <w:rsid w:val="006A74BF"/>
    <w:rsid w:val="006A7959"/>
    <w:rsid w:val="006A7E5F"/>
    <w:rsid w:val="006A7EB5"/>
    <w:rsid w:val="006B05DF"/>
    <w:rsid w:val="006B0626"/>
    <w:rsid w:val="006B07CB"/>
    <w:rsid w:val="006B082C"/>
    <w:rsid w:val="006B0AA9"/>
    <w:rsid w:val="006B0D56"/>
    <w:rsid w:val="006B0FEE"/>
    <w:rsid w:val="006B143D"/>
    <w:rsid w:val="006B1AD1"/>
    <w:rsid w:val="006B2068"/>
    <w:rsid w:val="006B236D"/>
    <w:rsid w:val="006B24DF"/>
    <w:rsid w:val="006B2578"/>
    <w:rsid w:val="006B261B"/>
    <w:rsid w:val="006B271E"/>
    <w:rsid w:val="006B2722"/>
    <w:rsid w:val="006B29B3"/>
    <w:rsid w:val="006B2A86"/>
    <w:rsid w:val="006B2C90"/>
    <w:rsid w:val="006B2D93"/>
    <w:rsid w:val="006B2F76"/>
    <w:rsid w:val="006B319F"/>
    <w:rsid w:val="006B356B"/>
    <w:rsid w:val="006B35E6"/>
    <w:rsid w:val="006B3C12"/>
    <w:rsid w:val="006B3D26"/>
    <w:rsid w:val="006B3E7C"/>
    <w:rsid w:val="006B3F4F"/>
    <w:rsid w:val="006B40B0"/>
    <w:rsid w:val="006B4209"/>
    <w:rsid w:val="006B465A"/>
    <w:rsid w:val="006B47C1"/>
    <w:rsid w:val="006B4831"/>
    <w:rsid w:val="006B48BE"/>
    <w:rsid w:val="006B4E04"/>
    <w:rsid w:val="006B4E59"/>
    <w:rsid w:val="006B4FD2"/>
    <w:rsid w:val="006B50B0"/>
    <w:rsid w:val="006B550C"/>
    <w:rsid w:val="006B557C"/>
    <w:rsid w:val="006B5A74"/>
    <w:rsid w:val="006B6DD0"/>
    <w:rsid w:val="006B6FDA"/>
    <w:rsid w:val="006B732C"/>
    <w:rsid w:val="006B763B"/>
    <w:rsid w:val="006B7801"/>
    <w:rsid w:val="006B7A3F"/>
    <w:rsid w:val="006C02A6"/>
    <w:rsid w:val="006C0399"/>
    <w:rsid w:val="006C03AE"/>
    <w:rsid w:val="006C12CB"/>
    <w:rsid w:val="006C16A2"/>
    <w:rsid w:val="006C17A2"/>
    <w:rsid w:val="006C198B"/>
    <w:rsid w:val="006C1AE0"/>
    <w:rsid w:val="006C1B77"/>
    <w:rsid w:val="006C1E0D"/>
    <w:rsid w:val="006C2011"/>
    <w:rsid w:val="006C22AF"/>
    <w:rsid w:val="006C2583"/>
    <w:rsid w:val="006C28CD"/>
    <w:rsid w:val="006C2A8E"/>
    <w:rsid w:val="006C2C7B"/>
    <w:rsid w:val="006C320C"/>
    <w:rsid w:val="006C3255"/>
    <w:rsid w:val="006C33EA"/>
    <w:rsid w:val="006C3CAF"/>
    <w:rsid w:val="006C3F26"/>
    <w:rsid w:val="006C407B"/>
    <w:rsid w:val="006C419A"/>
    <w:rsid w:val="006C429A"/>
    <w:rsid w:val="006C43DF"/>
    <w:rsid w:val="006C4A69"/>
    <w:rsid w:val="006C553F"/>
    <w:rsid w:val="006C5579"/>
    <w:rsid w:val="006C564F"/>
    <w:rsid w:val="006C56D9"/>
    <w:rsid w:val="006C5AB7"/>
    <w:rsid w:val="006C5AE8"/>
    <w:rsid w:val="006C5B36"/>
    <w:rsid w:val="006C5F80"/>
    <w:rsid w:val="006C6180"/>
    <w:rsid w:val="006C6284"/>
    <w:rsid w:val="006C62CA"/>
    <w:rsid w:val="006C68B3"/>
    <w:rsid w:val="006C6A2A"/>
    <w:rsid w:val="006C745C"/>
    <w:rsid w:val="006C7505"/>
    <w:rsid w:val="006C7B94"/>
    <w:rsid w:val="006C7CFE"/>
    <w:rsid w:val="006C7D64"/>
    <w:rsid w:val="006C7EE5"/>
    <w:rsid w:val="006D068D"/>
    <w:rsid w:val="006D09B9"/>
    <w:rsid w:val="006D0CDA"/>
    <w:rsid w:val="006D0D17"/>
    <w:rsid w:val="006D0E8C"/>
    <w:rsid w:val="006D1011"/>
    <w:rsid w:val="006D116C"/>
    <w:rsid w:val="006D1174"/>
    <w:rsid w:val="006D16D9"/>
    <w:rsid w:val="006D18D0"/>
    <w:rsid w:val="006D1A21"/>
    <w:rsid w:val="006D1B9E"/>
    <w:rsid w:val="006D1D24"/>
    <w:rsid w:val="006D1E78"/>
    <w:rsid w:val="006D22FC"/>
    <w:rsid w:val="006D23D6"/>
    <w:rsid w:val="006D284B"/>
    <w:rsid w:val="006D2B4E"/>
    <w:rsid w:val="006D2CF4"/>
    <w:rsid w:val="006D2ECA"/>
    <w:rsid w:val="006D2F17"/>
    <w:rsid w:val="006D2FEC"/>
    <w:rsid w:val="006D3073"/>
    <w:rsid w:val="006D3171"/>
    <w:rsid w:val="006D3271"/>
    <w:rsid w:val="006D357F"/>
    <w:rsid w:val="006D380E"/>
    <w:rsid w:val="006D3C31"/>
    <w:rsid w:val="006D3C7D"/>
    <w:rsid w:val="006D4331"/>
    <w:rsid w:val="006D4659"/>
    <w:rsid w:val="006D4C69"/>
    <w:rsid w:val="006D4EA6"/>
    <w:rsid w:val="006D4EEE"/>
    <w:rsid w:val="006D4F34"/>
    <w:rsid w:val="006D51BF"/>
    <w:rsid w:val="006D52E6"/>
    <w:rsid w:val="006D53B0"/>
    <w:rsid w:val="006D550D"/>
    <w:rsid w:val="006D58BB"/>
    <w:rsid w:val="006D5960"/>
    <w:rsid w:val="006D5D5F"/>
    <w:rsid w:val="006D61DB"/>
    <w:rsid w:val="006D6353"/>
    <w:rsid w:val="006D645C"/>
    <w:rsid w:val="006D653B"/>
    <w:rsid w:val="006D6653"/>
    <w:rsid w:val="006D68FB"/>
    <w:rsid w:val="006D73BA"/>
    <w:rsid w:val="006D73FB"/>
    <w:rsid w:val="006D773C"/>
    <w:rsid w:val="006D7891"/>
    <w:rsid w:val="006D7C84"/>
    <w:rsid w:val="006E07FD"/>
    <w:rsid w:val="006E0B37"/>
    <w:rsid w:val="006E0D08"/>
    <w:rsid w:val="006E0D4A"/>
    <w:rsid w:val="006E1019"/>
    <w:rsid w:val="006E10B1"/>
    <w:rsid w:val="006E12FA"/>
    <w:rsid w:val="006E14ED"/>
    <w:rsid w:val="006E1D4C"/>
    <w:rsid w:val="006E1EA3"/>
    <w:rsid w:val="006E1ED9"/>
    <w:rsid w:val="006E277F"/>
    <w:rsid w:val="006E2796"/>
    <w:rsid w:val="006E2829"/>
    <w:rsid w:val="006E2868"/>
    <w:rsid w:val="006E2A64"/>
    <w:rsid w:val="006E2D66"/>
    <w:rsid w:val="006E2DC4"/>
    <w:rsid w:val="006E2F6E"/>
    <w:rsid w:val="006E3333"/>
    <w:rsid w:val="006E3371"/>
    <w:rsid w:val="006E33D2"/>
    <w:rsid w:val="006E3563"/>
    <w:rsid w:val="006E364C"/>
    <w:rsid w:val="006E38D9"/>
    <w:rsid w:val="006E38E9"/>
    <w:rsid w:val="006E3AAB"/>
    <w:rsid w:val="006E3ADF"/>
    <w:rsid w:val="006E3AFA"/>
    <w:rsid w:val="006E3BAB"/>
    <w:rsid w:val="006E3E16"/>
    <w:rsid w:val="006E4D75"/>
    <w:rsid w:val="006E4E33"/>
    <w:rsid w:val="006E54E3"/>
    <w:rsid w:val="006E5609"/>
    <w:rsid w:val="006E570C"/>
    <w:rsid w:val="006E5A84"/>
    <w:rsid w:val="006E5B09"/>
    <w:rsid w:val="006E5CF3"/>
    <w:rsid w:val="006E5D0E"/>
    <w:rsid w:val="006E5ECA"/>
    <w:rsid w:val="006E5EE4"/>
    <w:rsid w:val="006E5FFC"/>
    <w:rsid w:val="006E6076"/>
    <w:rsid w:val="006E64CC"/>
    <w:rsid w:val="006E6711"/>
    <w:rsid w:val="006E6A51"/>
    <w:rsid w:val="006E6DFA"/>
    <w:rsid w:val="006E6EC7"/>
    <w:rsid w:val="006E7108"/>
    <w:rsid w:val="006E72F0"/>
    <w:rsid w:val="006E7433"/>
    <w:rsid w:val="006E74C2"/>
    <w:rsid w:val="006E78FF"/>
    <w:rsid w:val="006E7E2D"/>
    <w:rsid w:val="006F0270"/>
    <w:rsid w:val="006F0382"/>
    <w:rsid w:val="006F0459"/>
    <w:rsid w:val="006F045C"/>
    <w:rsid w:val="006F0AEE"/>
    <w:rsid w:val="006F0D68"/>
    <w:rsid w:val="006F1231"/>
    <w:rsid w:val="006F1323"/>
    <w:rsid w:val="006F20DB"/>
    <w:rsid w:val="006F2114"/>
    <w:rsid w:val="006F2143"/>
    <w:rsid w:val="006F217C"/>
    <w:rsid w:val="006F22CA"/>
    <w:rsid w:val="006F2E90"/>
    <w:rsid w:val="006F306C"/>
    <w:rsid w:val="006F35DF"/>
    <w:rsid w:val="006F3759"/>
    <w:rsid w:val="006F3839"/>
    <w:rsid w:val="006F3E34"/>
    <w:rsid w:val="006F453F"/>
    <w:rsid w:val="006F46CE"/>
    <w:rsid w:val="006F46DA"/>
    <w:rsid w:val="006F4843"/>
    <w:rsid w:val="006F4C3B"/>
    <w:rsid w:val="006F4DC0"/>
    <w:rsid w:val="006F4EFF"/>
    <w:rsid w:val="006F4FAD"/>
    <w:rsid w:val="006F5028"/>
    <w:rsid w:val="006F5063"/>
    <w:rsid w:val="006F5245"/>
    <w:rsid w:val="006F52F8"/>
    <w:rsid w:val="006F5822"/>
    <w:rsid w:val="006F5B6D"/>
    <w:rsid w:val="006F6168"/>
    <w:rsid w:val="006F63A5"/>
    <w:rsid w:val="006F66CC"/>
    <w:rsid w:val="006F6776"/>
    <w:rsid w:val="006F69CF"/>
    <w:rsid w:val="006F6A7E"/>
    <w:rsid w:val="006F6DBE"/>
    <w:rsid w:val="006F6FE6"/>
    <w:rsid w:val="006F7315"/>
    <w:rsid w:val="006F7516"/>
    <w:rsid w:val="006F7648"/>
    <w:rsid w:val="006F76CE"/>
    <w:rsid w:val="006F77F6"/>
    <w:rsid w:val="006F7AF7"/>
    <w:rsid w:val="006F7B9F"/>
    <w:rsid w:val="006F7C68"/>
    <w:rsid w:val="006F7DB5"/>
    <w:rsid w:val="007000D9"/>
    <w:rsid w:val="007004E4"/>
    <w:rsid w:val="0070052A"/>
    <w:rsid w:val="007006E8"/>
    <w:rsid w:val="00700904"/>
    <w:rsid w:val="00700F7F"/>
    <w:rsid w:val="00701226"/>
    <w:rsid w:val="0070142B"/>
    <w:rsid w:val="00701923"/>
    <w:rsid w:val="0070193E"/>
    <w:rsid w:val="007020E1"/>
    <w:rsid w:val="00702688"/>
    <w:rsid w:val="007026F7"/>
    <w:rsid w:val="0070276E"/>
    <w:rsid w:val="0070283B"/>
    <w:rsid w:val="0070284C"/>
    <w:rsid w:val="007028B1"/>
    <w:rsid w:val="00702976"/>
    <w:rsid w:val="00702F8F"/>
    <w:rsid w:val="007030C9"/>
    <w:rsid w:val="007034A8"/>
    <w:rsid w:val="00703581"/>
    <w:rsid w:val="00703870"/>
    <w:rsid w:val="007039D8"/>
    <w:rsid w:val="00703B16"/>
    <w:rsid w:val="00703DD7"/>
    <w:rsid w:val="007040A7"/>
    <w:rsid w:val="007042F9"/>
    <w:rsid w:val="00704B8A"/>
    <w:rsid w:val="007050DB"/>
    <w:rsid w:val="00705227"/>
    <w:rsid w:val="007052EF"/>
    <w:rsid w:val="007052FD"/>
    <w:rsid w:val="00705876"/>
    <w:rsid w:val="00705A2D"/>
    <w:rsid w:val="00705E14"/>
    <w:rsid w:val="00706371"/>
    <w:rsid w:val="0070662B"/>
    <w:rsid w:val="007067ED"/>
    <w:rsid w:val="00707257"/>
    <w:rsid w:val="007079FC"/>
    <w:rsid w:val="007100BD"/>
    <w:rsid w:val="007101AE"/>
    <w:rsid w:val="007102EB"/>
    <w:rsid w:val="007102ED"/>
    <w:rsid w:val="00710553"/>
    <w:rsid w:val="00710737"/>
    <w:rsid w:val="00710837"/>
    <w:rsid w:val="00710B03"/>
    <w:rsid w:val="00710C5F"/>
    <w:rsid w:val="00710CCA"/>
    <w:rsid w:val="00710DAB"/>
    <w:rsid w:val="00710FE5"/>
    <w:rsid w:val="0071102F"/>
    <w:rsid w:val="00711402"/>
    <w:rsid w:val="00711619"/>
    <w:rsid w:val="00711A0D"/>
    <w:rsid w:val="00711A36"/>
    <w:rsid w:val="00711D97"/>
    <w:rsid w:val="00711E73"/>
    <w:rsid w:val="00712471"/>
    <w:rsid w:val="0071251B"/>
    <w:rsid w:val="007125D3"/>
    <w:rsid w:val="0071271C"/>
    <w:rsid w:val="0071277E"/>
    <w:rsid w:val="00712B68"/>
    <w:rsid w:val="0071332A"/>
    <w:rsid w:val="00713361"/>
    <w:rsid w:val="007134FE"/>
    <w:rsid w:val="00713712"/>
    <w:rsid w:val="00713A41"/>
    <w:rsid w:val="00713B2D"/>
    <w:rsid w:val="00713D83"/>
    <w:rsid w:val="0071409B"/>
    <w:rsid w:val="0071414E"/>
    <w:rsid w:val="00714226"/>
    <w:rsid w:val="00714A9B"/>
    <w:rsid w:val="00714C26"/>
    <w:rsid w:val="00714C28"/>
    <w:rsid w:val="00714C38"/>
    <w:rsid w:val="0071529C"/>
    <w:rsid w:val="007152B8"/>
    <w:rsid w:val="00715557"/>
    <w:rsid w:val="007155EC"/>
    <w:rsid w:val="007158B4"/>
    <w:rsid w:val="00716047"/>
    <w:rsid w:val="007162A3"/>
    <w:rsid w:val="007162D2"/>
    <w:rsid w:val="007165BE"/>
    <w:rsid w:val="007169C4"/>
    <w:rsid w:val="00716EA1"/>
    <w:rsid w:val="00716F6C"/>
    <w:rsid w:val="007170DA"/>
    <w:rsid w:val="007172AD"/>
    <w:rsid w:val="007173EB"/>
    <w:rsid w:val="0071751E"/>
    <w:rsid w:val="0071753D"/>
    <w:rsid w:val="00717546"/>
    <w:rsid w:val="007175A4"/>
    <w:rsid w:val="00717864"/>
    <w:rsid w:val="007178E7"/>
    <w:rsid w:val="0072005F"/>
    <w:rsid w:val="00720124"/>
    <w:rsid w:val="0072072D"/>
    <w:rsid w:val="00720801"/>
    <w:rsid w:val="007208D1"/>
    <w:rsid w:val="00720A5F"/>
    <w:rsid w:val="00720DE1"/>
    <w:rsid w:val="00720F9F"/>
    <w:rsid w:val="00720FCA"/>
    <w:rsid w:val="00721463"/>
    <w:rsid w:val="007214E4"/>
    <w:rsid w:val="00721ACF"/>
    <w:rsid w:val="00721BE4"/>
    <w:rsid w:val="00721FD7"/>
    <w:rsid w:val="007221C4"/>
    <w:rsid w:val="0072241E"/>
    <w:rsid w:val="0072272A"/>
    <w:rsid w:val="00722A84"/>
    <w:rsid w:val="00722B19"/>
    <w:rsid w:val="00722B1B"/>
    <w:rsid w:val="0072368B"/>
    <w:rsid w:val="00723EC2"/>
    <w:rsid w:val="007240C5"/>
    <w:rsid w:val="0072416F"/>
    <w:rsid w:val="007244C3"/>
    <w:rsid w:val="00724B09"/>
    <w:rsid w:val="00724CD5"/>
    <w:rsid w:val="00725269"/>
    <w:rsid w:val="00725443"/>
    <w:rsid w:val="007255BA"/>
    <w:rsid w:val="00725B10"/>
    <w:rsid w:val="00725C9E"/>
    <w:rsid w:val="00725E35"/>
    <w:rsid w:val="00725E39"/>
    <w:rsid w:val="00725F4C"/>
    <w:rsid w:val="0072649B"/>
    <w:rsid w:val="007264BD"/>
    <w:rsid w:val="00726C81"/>
    <w:rsid w:val="00726CF1"/>
    <w:rsid w:val="00726ED9"/>
    <w:rsid w:val="0072700F"/>
    <w:rsid w:val="00727866"/>
    <w:rsid w:val="00727C94"/>
    <w:rsid w:val="0073021A"/>
    <w:rsid w:val="0073062C"/>
    <w:rsid w:val="007306A1"/>
    <w:rsid w:val="00730A08"/>
    <w:rsid w:val="00730FD0"/>
    <w:rsid w:val="0073158B"/>
    <w:rsid w:val="007319AA"/>
    <w:rsid w:val="007319B7"/>
    <w:rsid w:val="00731B0A"/>
    <w:rsid w:val="00731EAE"/>
    <w:rsid w:val="00732261"/>
    <w:rsid w:val="00732278"/>
    <w:rsid w:val="0073237D"/>
    <w:rsid w:val="007328F6"/>
    <w:rsid w:val="007329A6"/>
    <w:rsid w:val="00732AFB"/>
    <w:rsid w:val="00732B7D"/>
    <w:rsid w:val="00732E5A"/>
    <w:rsid w:val="00732FA0"/>
    <w:rsid w:val="00733073"/>
    <w:rsid w:val="00733542"/>
    <w:rsid w:val="0073368F"/>
    <w:rsid w:val="0073383B"/>
    <w:rsid w:val="0073396A"/>
    <w:rsid w:val="00734697"/>
    <w:rsid w:val="00734952"/>
    <w:rsid w:val="00734968"/>
    <w:rsid w:val="00734F31"/>
    <w:rsid w:val="00735003"/>
    <w:rsid w:val="00735025"/>
    <w:rsid w:val="00735033"/>
    <w:rsid w:val="007350A7"/>
    <w:rsid w:val="00735260"/>
    <w:rsid w:val="00735328"/>
    <w:rsid w:val="007355BA"/>
    <w:rsid w:val="00735677"/>
    <w:rsid w:val="00735904"/>
    <w:rsid w:val="00735AD0"/>
    <w:rsid w:val="00735CE9"/>
    <w:rsid w:val="00735D3E"/>
    <w:rsid w:val="007360E1"/>
    <w:rsid w:val="00736190"/>
    <w:rsid w:val="007363FA"/>
    <w:rsid w:val="0073685B"/>
    <w:rsid w:val="00736898"/>
    <w:rsid w:val="00736D6A"/>
    <w:rsid w:val="00736E2E"/>
    <w:rsid w:val="00736E44"/>
    <w:rsid w:val="007373EF"/>
    <w:rsid w:val="0073787C"/>
    <w:rsid w:val="00737A79"/>
    <w:rsid w:val="00737B05"/>
    <w:rsid w:val="00737E88"/>
    <w:rsid w:val="0074037C"/>
    <w:rsid w:val="007406DA"/>
    <w:rsid w:val="00740A7D"/>
    <w:rsid w:val="00740BA4"/>
    <w:rsid w:val="00740D68"/>
    <w:rsid w:val="00740F19"/>
    <w:rsid w:val="007411F0"/>
    <w:rsid w:val="00741906"/>
    <w:rsid w:val="00742143"/>
    <w:rsid w:val="00742505"/>
    <w:rsid w:val="007428B3"/>
    <w:rsid w:val="00742DAD"/>
    <w:rsid w:val="00743012"/>
    <w:rsid w:val="00743104"/>
    <w:rsid w:val="007432A3"/>
    <w:rsid w:val="007438E1"/>
    <w:rsid w:val="0074393A"/>
    <w:rsid w:val="007439E5"/>
    <w:rsid w:val="00743B0C"/>
    <w:rsid w:val="00743B56"/>
    <w:rsid w:val="00743BF6"/>
    <w:rsid w:val="007440A3"/>
    <w:rsid w:val="007442D0"/>
    <w:rsid w:val="00744348"/>
    <w:rsid w:val="00744606"/>
    <w:rsid w:val="0074490E"/>
    <w:rsid w:val="007449BF"/>
    <w:rsid w:val="00744B3D"/>
    <w:rsid w:val="00744EE5"/>
    <w:rsid w:val="00745227"/>
    <w:rsid w:val="00745267"/>
    <w:rsid w:val="007457C8"/>
    <w:rsid w:val="00745BE8"/>
    <w:rsid w:val="00745EFB"/>
    <w:rsid w:val="00746073"/>
    <w:rsid w:val="00746149"/>
    <w:rsid w:val="00746239"/>
    <w:rsid w:val="007463FE"/>
    <w:rsid w:val="00746AAA"/>
    <w:rsid w:val="00746BC0"/>
    <w:rsid w:val="00746D75"/>
    <w:rsid w:val="007472BA"/>
    <w:rsid w:val="0074783A"/>
    <w:rsid w:val="00747F13"/>
    <w:rsid w:val="007510B4"/>
    <w:rsid w:val="007511AA"/>
    <w:rsid w:val="0075165F"/>
    <w:rsid w:val="0075180D"/>
    <w:rsid w:val="007518F9"/>
    <w:rsid w:val="00751BDF"/>
    <w:rsid w:val="00751D7B"/>
    <w:rsid w:val="00751FA5"/>
    <w:rsid w:val="00752142"/>
    <w:rsid w:val="007523F9"/>
    <w:rsid w:val="00752A9B"/>
    <w:rsid w:val="00752AFB"/>
    <w:rsid w:val="00752DE8"/>
    <w:rsid w:val="00753104"/>
    <w:rsid w:val="00753234"/>
    <w:rsid w:val="00753389"/>
    <w:rsid w:val="00753465"/>
    <w:rsid w:val="007534BC"/>
    <w:rsid w:val="0075357E"/>
    <w:rsid w:val="00753896"/>
    <w:rsid w:val="00753939"/>
    <w:rsid w:val="00753B29"/>
    <w:rsid w:val="00753CA3"/>
    <w:rsid w:val="00754204"/>
    <w:rsid w:val="0075426E"/>
    <w:rsid w:val="0075450C"/>
    <w:rsid w:val="007545DF"/>
    <w:rsid w:val="00754D13"/>
    <w:rsid w:val="00755456"/>
    <w:rsid w:val="007555B7"/>
    <w:rsid w:val="00755A54"/>
    <w:rsid w:val="00755AEA"/>
    <w:rsid w:val="00755CB6"/>
    <w:rsid w:val="00755D75"/>
    <w:rsid w:val="00755F35"/>
    <w:rsid w:val="00755F83"/>
    <w:rsid w:val="00755FD4"/>
    <w:rsid w:val="007560CA"/>
    <w:rsid w:val="00756337"/>
    <w:rsid w:val="00756461"/>
    <w:rsid w:val="0075681E"/>
    <w:rsid w:val="007568A5"/>
    <w:rsid w:val="00756ACD"/>
    <w:rsid w:val="00756BAF"/>
    <w:rsid w:val="00756D43"/>
    <w:rsid w:val="00756FD4"/>
    <w:rsid w:val="00757322"/>
    <w:rsid w:val="007573E8"/>
    <w:rsid w:val="00757493"/>
    <w:rsid w:val="00757D6A"/>
    <w:rsid w:val="0076003E"/>
    <w:rsid w:val="007603B3"/>
    <w:rsid w:val="0076045A"/>
    <w:rsid w:val="00760462"/>
    <w:rsid w:val="0076089C"/>
    <w:rsid w:val="00760C4E"/>
    <w:rsid w:val="00760DCA"/>
    <w:rsid w:val="00760F9E"/>
    <w:rsid w:val="0076140F"/>
    <w:rsid w:val="00761550"/>
    <w:rsid w:val="00761670"/>
    <w:rsid w:val="007616E6"/>
    <w:rsid w:val="00761FF8"/>
    <w:rsid w:val="0076227F"/>
    <w:rsid w:val="0076268D"/>
    <w:rsid w:val="007626D7"/>
    <w:rsid w:val="007627BE"/>
    <w:rsid w:val="00762C70"/>
    <w:rsid w:val="00762F3A"/>
    <w:rsid w:val="00763486"/>
    <w:rsid w:val="007635CF"/>
    <w:rsid w:val="00763668"/>
    <w:rsid w:val="00763680"/>
    <w:rsid w:val="00763B9B"/>
    <w:rsid w:val="00763BD6"/>
    <w:rsid w:val="007643FC"/>
    <w:rsid w:val="007645E7"/>
    <w:rsid w:val="00764F03"/>
    <w:rsid w:val="00765B1A"/>
    <w:rsid w:val="00765DC1"/>
    <w:rsid w:val="00766242"/>
    <w:rsid w:val="00766487"/>
    <w:rsid w:val="007668D6"/>
    <w:rsid w:val="00766B00"/>
    <w:rsid w:val="00766C26"/>
    <w:rsid w:val="00766E11"/>
    <w:rsid w:val="00766E8A"/>
    <w:rsid w:val="00766F37"/>
    <w:rsid w:val="00767211"/>
    <w:rsid w:val="00767317"/>
    <w:rsid w:val="007675BF"/>
    <w:rsid w:val="007677BE"/>
    <w:rsid w:val="00767A85"/>
    <w:rsid w:val="0077044E"/>
    <w:rsid w:val="0077058B"/>
    <w:rsid w:val="00770C38"/>
    <w:rsid w:val="00770D1A"/>
    <w:rsid w:val="00770D47"/>
    <w:rsid w:val="00770D6D"/>
    <w:rsid w:val="00770DCC"/>
    <w:rsid w:val="00770E90"/>
    <w:rsid w:val="0077133C"/>
    <w:rsid w:val="00771687"/>
    <w:rsid w:val="00771A7A"/>
    <w:rsid w:val="00771BDE"/>
    <w:rsid w:val="00771F93"/>
    <w:rsid w:val="0077224F"/>
    <w:rsid w:val="007722A0"/>
    <w:rsid w:val="00772D9E"/>
    <w:rsid w:val="00773860"/>
    <w:rsid w:val="00773B05"/>
    <w:rsid w:val="00773F1D"/>
    <w:rsid w:val="007740AA"/>
    <w:rsid w:val="0077471B"/>
    <w:rsid w:val="00774D68"/>
    <w:rsid w:val="00774FD7"/>
    <w:rsid w:val="007753A8"/>
    <w:rsid w:val="00775D06"/>
    <w:rsid w:val="00775DC4"/>
    <w:rsid w:val="00776601"/>
    <w:rsid w:val="007766A8"/>
    <w:rsid w:val="00776B78"/>
    <w:rsid w:val="00776BDD"/>
    <w:rsid w:val="007772F1"/>
    <w:rsid w:val="00777335"/>
    <w:rsid w:val="0077747D"/>
    <w:rsid w:val="007777D7"/>
    <w:rsid w:val="007779F9"/>
    <w:rsid w:val="007804EF"/>
    <w:rsid w:val="00780971"/>
    <w:rsid w:val="00780E0F"/>
    <w:rsid w:val="00781200"/>
    <w:rsid w:val="007814AB"/>
    <w:rsid w:val="007816C7"/>
    <w:rsid w:val="00781BF1"/>
    <w:rsid w:val="0078206C"/>
    <w:rsid w:val="007820F6"/>
    <w:rsid w:val="007821EA"/>
    <w:rsid w:val="00782623"/>
    <w:rsid w:val="007826B2"/>
    <w:rsid w:val="007826CC"/>
    <w:rsid w:val="007827AD"/>
    <w:rsid w:val="0078294A"/>
    <w:rsid w:val="007833A7"/>
    <w:rsid w:val="007833F6"/>
    <w:rsid w:val="00783656"/>
    <w:rsid w:val="00783738"/>
    <w:rsid w:val="00783786"/>
    <w:rsid w:val="00783A95"/>
    <w:rsid w:val="00783CAE"/>
    <w:rsid w:val="00783E03"/>
    <w:rsid w:val="007843F2"/>
    <w:rsid w:val="00784410"/>
    <w:rsid w:val="007846FA"/>
    <w:rsid w:val="00784E92"/>
    <w:rsid w:val="007850B9"/>
    <w:rsid w:val="0078565C"/>
    <w:rsid w:val="00785A9F"/>
    <w:rsid w:val="00785ABA"/>
    <w:rsid w:val="00785C5C"/>
    <w:rsid w:val="00786410"/>
    <w:rsid w:val="0078664D"/>
    <w:rsid w:val="00786A97"/>
    <w:rsid w:val="00786B38"/>
    <w:rsid w:val="00786C93"/>
    <w:rsid w:val="007876E1"/>
    <w:rsid w:val="0078771A"/>
    <w:rsid w:val="007879A9"/>
    <w:rsid w:val="007901B7"/>
    <w:rsid w:val="007905C6"/>
    <w:rsid w:val="0079081C"/>
    <w:rsid w:val="00790D76"/>
    <w:rsid w:val="00790E01"/>
    <w:rsid w:val="007912B4"/>
    <w:rsid w:val="00791553"/>
    <w:rsid w:val="007915F6"/>
    <w:rsid w:val="007925DF"/>
    <w:rsid w:val="00792812"/>
    <w:rsid w:val="007929D9"/>
    <w:rsid w:val="00792A5B"/>
    <w:rsid w:val="00793690"/>
    <w:rsid w:val="007939DC"/>
    <w:rsid w:val="00793BF9"/>
    <w:rsid w:val="00793CC5"/>
    <w:rsid w:val="00793F3D"/>
    <w:rsid w:val="00794152"/>
    <w:rsid w:val="007947E2"/>
    <w:rsid w:val="007947E6"/>
    <w:rsid w:val="00794C2B"/>
    <w:rsid w:val="00794E25"/>
    <w:rsid w:val="0079502A"/>
    <w:rsid w:val="00795A40"/>
    <w:rsid w:val="00795AE6"/>
    <w:rsid w:val="00795E17"/>
    <w:rsid w:val="007963A4"/>
    <w:rsid w:val="00796732"/>
    <w:rsid w:val="00796B7A"/>
    <w:rsid w:val="00796CFF"/>
    <w:rsid w:val="00796D48"/>
    <w:rsid w:val="00796DE3"/>
    <w:rsid w:val="00796E1C"/>
    <w:rsid w:val="00797637"/>
    <w:rsid w:val="0079774D"/>
    <w:rsid w:val="007978B4"/>
    <w:rsid w:val="007978E2"/>
    <w:rsid w:val="00797A02"/>
    <w:rsid w:val="00797A80"/>
    <w:rsid w:val="00797CAB"/>
    <w:rsid w:val="00797D0E"/>
    <w:rsid w:val="00797ED1"/>
    <w:rsid w:val="007A02A2"/>
    <w:rsid w:val="007A058C"/>
    <w:rsid w:val="007A05CF"/>
    <w:rsid w:val="007A0694"/>
    <w:rsid w:val="007A08AA"/>
    <w:rsid w:val="007A0A12"/>
    <w:rsid w:val="007A0B28"/>
    <w:rsid w:val="007A0CB5"/>
    <w:rsid w:val="007A1175"/>
    <w:rsid w:val="007A132D"/>
    <w:rsid w:val="007A1345"/>
    <w:rsid w:val="007A16FE"/>
    <w:rsid w:val="007A2409"/>
    <w:rsid w:val="007A2C48"/>
    <w:rsid w:val="007A2DDB"/>
    <w:rsid w:val="007A31B5"/>
    <w:rsid w:val="007A3729"/>
    <w:rsid w:val="007A3AB9"/>
    <w:rsid w:val="007A3CD6"/>
    <w:rsid w:val="007A3DBA"/>
    <w:rsid w:val="007A3F17"/>
    <w:rsid w:val="007A4497"/>
    <w:rsid w:val="007A4800"/>
    <w:rsid w:val="007A4BB1"/>
    <w:rsid w:val="007A4BC6"/>
    <w:rsid w:val="007A4D1E"/>
    <w:rsid w:val="007A4D23"/>
    <w:rsid w:val="007A56C3"/>
    <w:rsid w:val="007A5C1C"/>
    <w:rsid w:val="007A5D0B"/>
    <w:rsid w:val="007A5D76"/>
    <w:rsid w:val="007A5DA7"/>
    <w:rsid w:val="007A607F"/>
    <w:rsid w:val="007A6419"/>
    <w:rsid w:val="007A646A"/>
    <w:rsid w:val="007A69EB"/>
    <w:rsid w:val="007A6A9B"/>
    <w:rsid w:val="007A6D20"/>
    <w:rsid w:val="007A6F10"/>
    <w:rsid w:val="007A70BA"/>
    <w:rsid w:val="007A7604"/>
    <w:rsid w:val="007A7D19"/>
    <w:rsid w:val="007B0009"/>
    <w:rsid w:val="007B01AB"/>
    <w:rsid w:val="007B03DA"/>
    <w:rsid w:val="007B04B7"/>
    <w:rsid w:val="007B07FB"/>
    <w:rsid w:val="007B0989"/>
    <w:rsid w:val="007B0AD9"/>
    <w:rsid w:val="007B0B33"/>
    <w:rsid w:val="007B0BFA"/>
    <w:rsid w:val="007B0D68"/>
    <w:rsid w:val="007B126C"/>
    <w:rsid w:val="007B12EC"/>
    <w:rsid w:val="007B162B"/>
    <w:rsid w:val="007B1EC8"/>
    <w:rsid w:val="007B1F63"/>
    <w:rsid w:val="007B251D"/>
    <w:rsid w:val="007B2A4C"/>
    <w:rsid w:val="007B3533"/>
    <w:rsid w:val="007B3754"/>
    <w:rsid w:val="007B379A"/>
    <w:rsid w:val="007B3B74"/>
    <w:rsid w:val="007B41A6"/>
    <w:rsid w:val="007B4F58"/>
    <w:rsid w:val="007B527A"/>
    <w:rsid w:val="007B528D"/>
    <w:rsid w:val="007B5308"/>
    <w:rsid w:val="007B540C"/>
    <w:rsid w:val="007B5532"/>
    <w:rsid w:val="007B5773"/>
    <w:rsid w:val="007B5916"/>
    <w:rsid w:val="007B596F"/>
    <w:rsid w:val="007B5D3F"/>
    <w:rsid w:val="007B5D95"/>
    <w:rsid w:val="007B5DD6"/>
    <w:rsid w:val="007B600E"/>
    <w:rsid w:val="007B6019"/>
    <w:rsid w:val="007B63CA"/>
    <w:rsid w:val="007B641E"/>
    <w:rsid w:val="007B64D8"/>
    <w:rsid w:val="007B658B"/>
    <w:rsid w:val="007B6595"/>
    <w:rsid w:val="007B66EE"/>
    <w:rsid w:val="007B67DA"/>
    <w:rsid w:val="007B6858"/>
    <w:rsid w:val="007B6B1C"/>
    <w:rsid w:val="007B6C54"/>
    <w:rsid w:val="007B6EAB"/>
    <w:rsid w:val="007B6F2E"/>
    <w:rsid w:val="007B7295"/>
    <w:rsid w:val="007B766F"/>
    <w:rsid w:val="007B77D1"/>
    <w:rsid w:val="007B7B53"/>
    <w:rsid w:val="007C00F5"/>
    <w:rsid w:val="007C0492"/>
    <w:rsid w:val="007C07C7"/>
    <w:rsid w:val="007C07DE"/>
    <w:rsid w:val="007C0CF3"/>
    <w:rsid w:val="007C0EFE"/>
    <w:rsid w:val="007C1330"/>
    <w:rsid w:val="007C1451"/>
    <w:rsid w:val="007C15D2"/>
    <w:rsid w:val="007C1888"/>
    <w:rsid w:val="007C196A"/>
    <w:rsid w:val="007C1B98"/>
    <w:rsid w:val="007C1CD9"/>
    <w:rsid w:val="007C243D"/>
    <w:rsid w:val="007C24D2"/>
    <w:rsid w:val="007C24F4"/>
    <w:rsid w:val="007C2625"/>
    <w:rsid w:val="007C28A5"/>
    <w:rsid w:val="007C2F08"/>
    <w:rsid w:val="007C32EF"/>
    <w:rsid w:val="007C3484"/>
    <w:rsid w:val="007C34F7"/>
    <w:rsid w:val="007C3534"/>
    <w:rsid w:val="007C3550"/>
    <w:rsid w:val="007C361D"/>
    <w:rsid w:val="007C3BFB"/>
    <w:rsid w:val="007C3C1D"/>
    <w:rsid w:val="007C3CE4"/>
    <w:rsid w:val="007C3F11"/>
    <w:rsid w:val="007C40E5"/>
    <w:rsid w:val="007C4A26"/>
    <w:rsid w:val="007C4ADB"/>
    <w:rsid w:val="007C4B84"/>
    <w:rsid w:val="007C4F1E"/>
    <w:rsid w:val="007C50FE"/>
    <w:rsid w:val="007C5A8A"/>
    <w:rsid w:val="007C5AA5"/>
    <w:rsid w:val="007C5B73"/>
    <w:rsid w:val="007C6082"/>
    <w:rsid w:val="007C6142"/>
    <w:rsid w:val="007C61B3"/>
    <w:rsid w:val="007C61C2"/>
    <w:rsid w:val="007C6415"/>
    <w:rsid w:val="007C64E4"/>
    <w:rsid w:val="007C662E"/>
    <w:rsid w:val="007C6AD8"/>
    <w:rsid w:val="007C6C1B"/>
    <w:rsid w:val="007C6D8A"/>
    <w:rsid w:val="007C7076"/>
    <w:rsid w:val="007C70FF"/>
    <w:rsid w:val="007C71D4"/>
    <w:rsid w:val="007C73A4"/>
    <w:rsid w:val="007C7671"/>
    <w:rsid w:val="007C7750"/>
    <w:rsid w:val="007C78D5"/>
    <w:rsid w:val="007C7C25"/>
    <w:rsid w:val="007D004F"/>
    <w:rsid w:val="007D035F"/>
    <w:rsid w:val="007D05C7"/>
    <w:rsid w:val="007D06B2"/>
    <w:rsid w:val="007D0B38"/>
    <w:rsid w:val="007D0C2F"/>
    <w:rsid w:val="007D0EE5"/>
    <w:rsid w:val="007D11C8"/>
    <w:rsid w:val="007D13C3"/>
    <w:rsid w:val="007D1735"/>
    <w:rsid w:val="007D196E"/>
    <w:rsid w:val="007D20C0"/>
    <w:rsid w:val="007D210A"/>
    <w:rsid w:val="007D22DD"/>
    <w:rsid w:val="007D23B7"/>
    <w:rsid w:val="007D24F3"/>
    <w:rsid w:val="007D2570"/>
    <w:rsid w:val="007D28A3"/>
    <w:rsid w:val="007D2A0F"/>
    <w:rsid w:val="007D2C62"/>
    <w:rsid w:val="007D2F94"/>
    <w:rsid w:val="007D30EE"/>
    <w:rsid w:val="007D3176"/>
    <w:rsid w:val="007D3300"/>
    <w:rsid w:val="007D4658"/>
    <w:rsid w:val="007D4D22"/>
    <w:rsid w:val="007D4E11"/>
    <w:rsid w:val="007D53C6"/>
    <w:rsid w:val="007D5433"/>
    <w:rsid w:val="007D5440"/>
    <w:rsid w:val="007D54CA"/>
    <w:rsid w:val="007D552E"/>
    <w:rsid w:val="007D562B"/>
    <w:rsid w:val="007D57BF"/>
    <w:rsid w:val="007D585A"/>
    <w:rsid w:val="007D58C4"/>
    <w:rsid w:val="007D5DC3"/>
    <w:rsid w:val="007D5F0D"/>
    <w:rsid w:val="007D6065"/>
    <w:rsid w:val="007D61B1"/>
    <w:rsid w:val="007D61FF"/>
    <w:rsid w:val="007D6308"/>
    <w:rsid w:val="007D6364"/>
    <w:rsid w:val="007D69EB"/>
    <w:rsid w:val="007D6AB0"/>
    <w:rsid w:val="007D7400"/>
    <w:rsid w:val="007D795F"/>
    <w:rsid w:val="007D7A94"/>
    <w:rsid w:val="007D7AB9"/>
    <w:rsid w:val="007D7D08"/>
    <w:rsid w:val="007D7D1C"/>
    <w:rsid w:val="007E01A4"/>
    <w:rsid w:val="007E0591"/>
    <w:rsid w:val="007E0B61"/>
    <w:rsid w:val="007E0C70"/>
    <w:rsid w:val="007E0D49"/>
    <w:rsid w:val="007E0EA7"/>
    <w:rsid w:val="007E0F4C"/>
    <w:rsid w:val="007E0F71"/>
    <w:rsid w:val="007E1036"/>
    <w:rsid w:val="007E1043"/>
    <w:rsid w:val="007E128F"/>
    <w:rsid w:val="007E144C"/>
    <w:rsid w:val="007E14DA"/>
    <w:rsid w:val="007E1681"/>
    <w:rsid w:val="007E1703"/>
    <w:rsid w:val="007E1C14"/>
    <w:rsid w:val="007E1D78"/>
    <w:rsid w:val="007E1EE6"/>
    <w:rsid w:val="007E20A8"/>
    <w:rsid w:val="007E21FD"/>
    <w:rsid w:val="007E2562"/>
    <w:rsid w:val="007E2949"/>
    <w:rsid w:val="007E2A21"/>
    <w:rsid w:val="007E2FF6"/>
    <w:rsid w:val="007E30E1"/>
    <w:rsid w:val="007E3248"/>
    <w:rsid w:val="007E33BE"/>
    <w:rsid w:val="007E3568"/>
    <w:rsid w:val="007E36D3"/>
    <w:rsid w:val="007E374D"/>
    <w:rsid w:val="007E38AC"/>
    <w:rsid w:val="007E3CC4"/>
    <w:rsid w:val="007E3CDC"/>
    <w:rsid w:val="007E3CFD"/>
    <w:rsid w:val="007E3E9D"/>
    <w:rsid w:val="007E4151"/>
    <w:rsid w:val="007E4BD7"/>
    <w:rsid w:val="007E4C87"/>
    <w:rsid w:val="007E4CBF"/>
    <w:rsid w:val="007E508E"/>
    <w:rsid w:val="007E512C"/>
    <w:rsid w:val="007E538C"/>
    <w:rsid w:val="007E5D84"/>
    <w:rsid w:val="007E5DA8"/>
    <w:rsid w:val="007E5E2C"/>
    <w:rsid w:val="007E66E9"/>
    <w:rsid w:val="007E6A1D"/>
    <w:rsid w:val="007E6FEF"/>
    <w:rsid w:val="007E6FF9"/>
    <w:rsid w:val="007E7201"/>
    <w:rsid w:val="007E756C"/>
    <w:rsid w:val="007E7612"/>
    <w:rsid w:val="007E77E0"/>
    <w:rsid w:val="007E7FC6"/>
    <w:rsid w:val="007F0083"/>
    <w:rsid w:val="007F025F"/>
    <w:rsid w:val="007F084C"/>
    <w:rsid w:val="007F0AF1"/>
    <w:rsid w:val="007F0BE0"/>
    <w:rsid w:val="007F0D1D"/>
    <w:rsid w:val="007F1017"/>
    <w:rsid w:val="007F122A"/>
    <w:rsid w:val="007F143F"/>
    <w:rsid w:val="007F20CA"/>
    <w:rsid w:val="007F21A0"/>
    <w:rsid w:val="007F272C"/>
    <w:rsid w:val="007F2D3D"/>
    <w:rsid w:val="007F30D2"/>
    <w:rsid w:val="007F39B8"/>
    <w:rsid w:val="007F3D39"/>
    <w:rsid w:val="007F3EE7"/>
    <w:rsid w:val="007F4110"/>
    <w:rsid w:val="007F4114"/>
    <w:rsid w:val="007F4149"/>
    <w:rsid w:val="007F4196"/>
    <w:rsid w:val="007F49BA"/>
    <w:rsid w:val="007F4A3F"/>
    <w:rsid w:val="007F4A61"/>
    <w:rsid w:val="007F4BA0"/>
    <w:rsid w:val="007F517F"/>
    <w:rsid w:val="007F5255"/>
    <w:rsid w:val="007F52D5"/>
    <w:rsid w:val="007F56CC"/>
    <w:rsid w:val="007F5E69"/>
    <w:rsid w:val="007F5E72"/>
    <w:rsid w:val="007F61C2"/>
    <w:rsid w:val="007F6376"/>
    <w:rsid w:val="007F6432"/>
    <w:rsid w:val="007F68CA"/>
    <w:rsid w:val="007F6AF5"/>
    <w:rsid w:val="007F6B38"/>
    <w:rsid w:val="007F6CDD"/>
    <w:rsid w:val="007F6D11"/>
    <w:rsid w:val="007F7F79"/>
    <w:rsid w:val="00800582"/>
    <w:rsid w:val="00800834"/>
    <w:rsid w:val="00800BEE"/>
    <w:rsid w:val="00801002"/>
    <w:rsid w:val="0080152A"/>
    <w:rsid w:val="00801842"/>
    <w:rsid w:val="00801925"/>
    <w:rsid w:val="00801C3D"/>
    <w:rsid w:val="00801CA6"/>
    <w:rsid w:val="00801CBC"/>
    <w:rsid w:val="00802210"/>
    <w:rsid w:val="0080238B"/>
    <w:rsid w:val="008028AA"/>
    <w:rsid w:val="00802B67"/>
    <w:rsid w:val="00802F23"/>
    <w:rsid w:val="00803178"/>
    <w:rsid w:val="00803272"/>
    <w:rsid w:val="008033C3"/>
    <w:rsid w:val="0080362D"/>
    <w:rsid w:val="00803867"/>
    <w:rsid w:val="00803B4A"/>
    <w:rsid w:val="00803D63"/>
    <w:rsid w:val="008041DB"/>
    <w:rsid w:val="00804362"/>
    <w:rsid w:val="008046A5"/>
    <w:rsid w:val="00804D63"/>
    <w:rsid w:val="00805142"/>
    <w:rsid w:val="008051D3"/>
    <w:rsid w:val="00805444"/>
    <w:rsid w:val="00805581"/>
    <w:rsid w:val="00805A4B"/>
    <w:rsid w:val="00805FCE"/>
    <w:rsid w:val="0080605A"/>
    <w:rsid w:val="00806156"/>
    <w:rsid w:val="00806EEA"/>
    <w:rsid w:val="008070F4"/>
    <w:rsid w:val="00807154"/>
    <w:rsid w:val="00807305"/>
    <w:rsid w:val="008074F7"/>
    <w:rsid w:val="008076EE"/>
    <w:rsid w:val="008078C3"/>
    <w:rsid w:val="00807A8B"/>
    <w:rsid w:val="0081003E"/>
    <w:rsid w:val="00810198"/>
    <w:rsid w:val="008102B5"/>
    <w:rsid w:val="00810391"/>
    <w:rsid w:val="008103E3"/>
    <w:rsid w:val="00810806"/>
    <w:rsid w:val="0081083D"/>
    <w:rsid w:val="00810B72"/>
    <w:rsid w:val="00810E99"/>
    <w:rsid w:val="00810F51"/>
    <w:rsid w:val="00810FAD"/>
    <w:rsid w:val="0081114B"/>
    <w:rsid w:val="00811250"/>
    <w:rsid w:val="00811383"/>
    <w:rsid w:val="00811399"/>
    <w:rsid w:val="0081161E"/>
    <w:rsid w:val="00811A45"/>
    <w:rsid w:val="00811B0C"/>
    <w:rsid w:val="00811B18"/>
    <w:rsid w:val="00811CCF"/>
    <w:rsid w:val="00811DBC"/>
    <w:rsid w:val="00811E47"/>
    <w:rsid w:val="008120E8"/>
    <w:rsid w:val="00812149"/>
    <w:rsid w:val="00812320"/>
    <w:rsid w:val="0081236D"/>
    <w:rsid w:val="00812458"/>
    <w:rsid w:val="0081254D"/>
    <w:rsid w:val="00812CAC"/>
    <w:rsid w:val="008130B1"/>
    <w:rsid w:val="008133A8"/>
    <w:rsid w:val="008141D1"/>
    <w:rsid w:val="00814C6B"/>
    <w:rsid w:val="00814E3E"/>
    <w:rsid w:val="00814FB0"/>
    <w:rsid w:val="00815177"/>
    <w:rsid w:val="008151E7"/>
    <w:rsid w:val="008153AA"/>
    <w:rsid w:val="00815530"/>
    <w:rsid w:val="00815850"/>
    <w:rsid w:val="008161F6"/>
    <w:rsid w:val="00816361"/>
    <w:rsid w:val="008163AB"/>
    <w:rsid w:val="008166EF"/>
    <w:rsid w:val="00816A01"/>
    <w:rsid w:val="00816EEA"/>
    <w:rsid w:val="00816FC5"/>
    <w:rsid w:val="00816FEF"/>
    <w:rsid w:val="0081749A"/>
    <w:rsid w:val="00817610"/>
    <w:rsid w:val="008178B0"/>
    <w:rsid w:val="00817AD9"/>
    <w:rsid w:val="00817FE8"/>
    <w:rsid w:val="008204D5"/>
    <w:rsid w:val="00820A8C"/>
    <w:rsid w:val="00820C12"/>
    <w:rsid w:val="00820FF8"/>
    <w:rsid w:val="008211E0"/>
    <w:rsid w:val="00821277"/>
    <w:rsid w:val="00821450"/>
    <w:rsid w:val="008215FB"/>
    <w:rsid w:val="00821713"/>
    <w:rsid w:val="00821C95"/>
    <w:rsid w:val="00821F0D"/>
    <w:rsid w:val="00821F64"/>
    <w:rsid w:val="008220CC"/>
    <w:rsid w:val="008220F0"/>
    <w:rsid w:val="00822B68"/>
    <w:rsid w:val="00822CB3"/>
    <w:rsid w:val="00823174"/>
    <w:rsid w:val="008231A6"/>
    <w:rsid w:val="008234F3"/>
    <w:rsid w:val="00823571"/>
    <w:rsid w:val="008237F4"/>
    <w:rsid w:val="00823CBD"/>
    <w:rsid w:val="00823E05"/>
    <w:rsid w:val="008243B1"/>
    <w:rsid w:val="00824543"/>
    <w:rsid w:val="0082472D"/>
    <w:rsid w:val="00824789"/>
    <w:rsid w:val="00824E3A"/>
    <w:rsid w:val="00824F56"/>
    <w:rsid w:val="0082533C"/>
    <w:rsid w:val="00825422"/>
    <w:rsid w:val="00825615"/>
    <w:rsid w:val="00825751"/>
    <w:rsid w:val="00825877"/>
    <w:rsid w:val="008258DB"/>
    <w:rsid w:val="008258E6"/>
    <w:rsid w:val="0082643F"/>
    <w:rsid w:val="008264EB"/>
    <w:rsid w:val="00826820"/>
    <w:rsid w:val="008268CE"/>
    <w:rsid w:val="00826AEE"/>
    <w:rsid w:val="00826B3D"/>
    <w:rsid w:val="00826DF3"/>
    <w:rsid w:val="00827068"/>
    <w:rsid w:val="0082743F"/>
    <w:rsid w:val="008274E5"/>
    <w:rsid w:val="0082758F"/>
    <w:rsid w:val="008276D6"/>
    <w:rsid w:val="00827B46"/>
    <w:rsid w:val="00827C23"/>
    <w:rsid w:val="00827D0D"/>
    <w:rsid w:val="00827D64"/>
    <w:rsid w:val="00827DD6"/>
    <w:rsid w:val="00830413"/>
    <w:rsid w:val="0083052E"/>
    <w:rsid w:val="008305C4"/>
    <w:rsid w:val="00830CC0"/>
    <w:rsid w:val="00830E96"/>
    <w:rsid w:val="0083105E"/>
    <w:rsid w:val="008313FE"/>
    <w:rsid w:val="00831817"/>
    <w:rsid w:val="00831AFD"/>
    <w:rsid w:val="0083214C"/>
    <w:rsid w:val="00832294"/>
    <w:rsid w:val="008322C4"/>
    <w:rsid w:val="00832562"/>
    <w:rsid w:val="008326A1"/>
    <w:rsid w:val="008328C9"/>
    <w:rsid w:val="008328D5"/>
    <w:rsid w:val="00832C9D"/>
    <w:rsid w:val="00832F1D"/>
    <w:rsid w:val="008330A8"/>
    <w:rsid w:val="008332C0"/>
    <w:rsid w:val="00833489"/>
    <w:rsid w:val="008334DC"/>
    <w:rsid w:val="008336B7"/>
    <w:rsid w:val="008336D3"/>
    <w:rsid w:val="00833831"/>
    <w:rsid w:val="008339F7"/>
    <w:rsid w:val="00833B05"/>
    <w:rsid w:val="00833C0E"/>
    <w:rsid w:val="008341EB"/>
    <w:rsid w:val="00834AF1"/>
    <w:rsid w:val="00834B97"/>
    <w:rsid w:val="00834C69"/>
    <w:rsid w:val="00834E32"/>
    <w:rsid w:val="00835530"/>
    <w:rsid w:val="00835611"/>
    <w:rsid w:val="0083564A"/>
    <w:rsid w:val="00835854"/>
    <w:rsid w:val="0083600F"/>
    <w:rsid w:val="008360A8"/>
    <w:rsid w:val="008362B4"/>
    <w:rsid w:val="00836B38"/>
    <w:rsid w:val="00836C48"/>
    <w:rsid w:val="00836CB9"/>
    <w:rsid w:val="00836EA3"/>
    <w:rsid w:val="008371A1"/>
    <w:rsid w:val="008371C2"/>
    <w:rsid w:val="0083720D"/>
    <w:rsid w:val="00837659"/>
    <w:rsid w:val="00837815"/>
    <w:rsid w:val="00837924"/>
    <w:rsid w:val="008379DB"/>
    <w:rsid w:val="00837C78"/>
    <w:rsid w:val="008400D1"/>
    <w:rsid w:val="008402AA"/>
    <w:rsid w:val="00840787"/>
    <w:rsid w:val="00840B14"/>
    <w:rsid w:val="00840CA2"/>
    <w:rsid w:val="00841710"/>
    <w:rsid w:val="00841A9E"/>
    <w:rsid w:val="00841F29"/>
    <w:rsid w:val="00842206"/>
    <w:rsid w:val="008422EE"/>
    <w:rsid w:val="0084268B"/>
    <w:rsid w:val="0084282A"/>
    <w:rsid w:val="00842961"/>
    <w:rsid w:val="00842BEF"/>
    <w:rsid w:val="00842C44"/>
    <w:rsid w:val="00842EDE"/>
    <w:rsid w:val="00842F84"/>
    <w:rsid w:val="00843107"/>
    <w:rsid w:val="0084374F"/>
    <w:rsid w:val="00843794"/>
    <w:rsid w:val="00843971"/>
    <w:rsid w:val="00843BF4"/>
    <w:rsid w:val="00843CC7"/>
    <w:rsid w:val="00843FF2"/>
    <w:rsid w:val="0084450C"/>
    <w:rsid w:val="00844650"/>
    <w:rsid w:val="00844811"/>
    <w:rsid w:val="00844A22"/>
    <w:rsid w:val="0084516C"/>
    <w:rsid w:val="00845373"/>
    <w:rsid w:val="00845386"/>
    <w:rsid w:val="008456D7"/>
    <w:rsid w:val="00845757"/>
    <w:rsid w:val="00845F52"/>
    <w:rsid w:val="008465DB"/>
    <w:rsid w:val="00846993"/>
    <w:rsid w:val="0084700B"/>
    <w:rsid w:val="0084736C"/>
    <w:rsid w:val="0084743F"/>
    <w:rsid w:val="00847703"/>
    <w:rsid w:val="00847893"/>
    <w:rsid w:val="008479F2"/>
    <w:rsid w:val="00847A9E"/>
    <w:rsid w:val="00847B25"/>
    <w:rsid w:val="00847B39"/>
    <w:rsid w:val="00847DF5"/>
    <w:rsid w:val="00847DFD"/>
    <w:rsid w:val="00847E95"/>
    <w:rsid w:val="0085025C"/>
    <w:rsid w:val="008508A7"/>
    <w:rsid w:val="00850A0E"/>
    <w:rsid w:val="00850A89"/>
    <w:rsid w:val="0085103D"/>
    <w:rsid w:val="00851465"/>
    <w:rsid w:val="00851589"/>
    <w:rsid w:val="00851A53"/>
    <w:rsid w:val="00851A93"/>
    <w:rsid w:val="00851B2E"/>
    <w:rsid w:val="00852002"/>
    <w:rsid w:val="008521A1"/>
    <w:rsid w:val="00852493"/>
    <w:rsid w:val="008526EB"/>
    <w:rsid w:val="00852D46"/>
    <w:rsid w:val="0085309D"/>
    <w:rsid w:val="00853157"/>
    <w:rsid w:val="008532B7"/>
    <w:rsid w:val="00853465"/>
    <w:rsid w:val="00853537"/>
    <w:rsid w:val="008535C5"/>
    <w:rsid w:val="00853620"/>
    <w:rsid w:val="008538D6"/>
    <w:rsid w:val="00853C6C"/>
    <w:rsid w:val="00853E7C"/>
    <w:rsid w:val="00853F67"/>
    <w:rsid w:val="00853FDF"/>
    <w:rsid w:val="00854250"/>
    <w:rsid w:val="0085429D"/>
    <w:rsid w:val="00854B27"/>
    <w:rsid w:val="008554A4"/>
    <w:rsid w:val="00855B6F"/>
    <w:rsid w:val="00855F6D"/>
    <w:rsid w:val="00856503"/>
    <w:rsid w:val="008565AF"/>
    <w:rsid w:val="00856897"/>
    <w:rsid w:val="00856D91"/>
    <w:rsid w:val="00856E9A"/>
    <w:rsid w:val="008571B4"/>
    <w:rsid w:val="00857257"/>
    <w:rsid w:val="0085743F"/>
    <w:rsid w:val="00857A94"/>
    <w:rsid w:val="00857C31"/>
    <w:rsid w:val="00857CBC"/>
    <w:rsid w:val="00857F76"/>
    <w:rsid w:val="00857FCB"/>
    <w:rsid w:val="00857FE5"/>
    <w:rsid w:val="008602B4"/>
    <w:rsid w:val="008606BD"/>
    <w:rsid w:val="0086075D"/>
    <w:rsid w:val="00860E30"/>
    <w:rsid w:val="00860ED9"/>
    <w:rsid w:val="0086104E"/>
    <w:rsid w:val="0086118B"/>
    <w:rsid w:val="00861353"/>
    <w:rsid w:val="00861503"/>
    <w:rsid w:val="00861903"/>
    <w:rsid w:val="00862502"/>
    <w:rsid w:val="00862689"/>
    <w:rsid w:val="008626B8"/>
    <w:rsid w:val="008627DA"/>
    <w:rsid w:val="00862CBC"/>
    <w:rsid w:val="00862CC1"/>
    <w:rsid w:val="0086382D"/>
    <w:rsid w:val="00863936"/>
    <w:rsid w:val="00863CBC"/>
    <w:rsid w:val="00863F55"/>
    <w:rsid w:val="008642A7"/>
    <w:rsid w:val="008642F3"/>
    <w:rsid w:val="0086436A"/>
    <w:rsid w:val="0086439F"/>
    <w:rsid w:val="0086487A"/>
    <w:rsid w:val="00864BAE"/>
    <w:rsid w:val="00864BBC"/>
    <w:rsid w:val="00864DA2"/>
    <w:rsid w:val="008651C5"/>
    <w:rsid w:val="0086527D"/>
    <w:rsid w:val="00865488"/>
    <w:rsid w:val="008654C6"/>
    <w:rsid w:val="0086581A"/>
    <w:rsid w:val="00865985"/>
    <w:rsid w:val="00865A8C"/>
    <w:rsid w:val="00865D1B"/>
    <w:rsid w:val="00865E9D"/>
    <w:rsid w:val="008660D4"/>
    <w:rsid w:val="008669BD"/>
    <w:rsid w:val="00866C03"/>
    <w:rsid w:val="00866E14"/>
    <w:rsid w:val="00867004"/>
    <w:rsid w:val="008672D2"/>
    <w:rsid w:val="00867CC2"/>
    <w:rsid w:val="00867F28"/>
    <w:rsid w:val="0087038B"/>
    <w:rsid w:val="00870A63"/>
    <w:rsid w:val="00870E78"/>
    <w:rsid w:val="0087133B"/>
    <w:rsid w:val="0087180F"/>
    <w:rsid w:val="00871A2D"/>
    <w:rsid w:val="00871FA9"/>
    <w:rsid w:val="00872342"/>
    <w:rsid w:val="0087254A"/>
    <w:rsid w:val="00872740"/>
    <w:rsid w:val="0087276D"/>
    <w:rsid w:val="008728E9"/>
    <w:rsid w:val="00872A18"/>
    <w:rsid w:val="00872C5C"/>
    <w:rsid w:val="00872FF3"/>
    <w:rsid w:val="008730BC"/>
    <w:rsid w:val="00873156"/>
    <w:rsid w:val="008731F1"/>
    <w:rsid w:val="008734E2"/>
    <w:rsid w:val="00873762"/>
    <w:rsid w:val="008742B8"/>
    <w:rsid w:val="008746F8"/>
    <w:rsid w:val="008747BE"/>
    <w:rsid w:val="008747D0"/>
    <w:rsid w:val="00874D14"/>
    <w:rsid w:val="00875010"/>
    <w:rsid w:val="00875A80"/>
    <w:rsid w:val="00875DE4"/>
    <w:rsid w:val="00875EEB"/>
    <w:rsid w:val="00876126"/>
    <w:rsid w:val="008762E6"/>
    <w:rsid w:val="00876AE2"/>
    <w:rsid w:val="00876F70"/>
    <w:rsid w:val="00877586"/>
    <w:rsid w:val="008776EE"/>
    <w:rsid w:val="008777AF"/>
    <w:rsid w:val="00877C67"/>
    <w:rsid w:val="00877DDA"/>
    <w:rsid w:val="0088081E"/>
    <w:rsid w:val="00880C59"/>
    <w:rsid w:val="00880CAA"/>
    <w:rsid w:val="00880D88"/>
    <w:rsid w:val="008810D3"/>
    <w:rsid w:val="00881238"/>
    <w:rsid w:val="0088159A"/>
    <w:rsid w:val="00881D89"/>
    <w:rsid w:val="00881FF7"/>
    <w:rsid w:val="0088218A"/>
    <w:rsid w:val="008821DA"/>
    <w:rsid w:val="00882574"/>
    <w:rsid w:val="00882874"/>
    <w:rsid w:val="008829E2"/>
    <w:rsid w:val="00882A12"/>
    <w:rsid w:val="00882BC1"/>
    <w:rsid w:val="00882E3C"/>
    <w:rsid w:val="0088308A"/>
    <w:rsid w:val="00883787"/>
    <w:rsid w:val="008838DF"/>
    <w:rsid w:val="00883EAE"/>
    <w:rsid w:val="00883FEC"/>
    <w:rsid w:val="008843BC"/>
    <w:rsid w:val="008843FE"/>
    <w:rsid w:val="008844AA"/>
    <w:rsid w:val="008846B6"/>
    <w:rsid w:val="00884A81"/>
    <w:rsid w:val="00884ED1"/>
    <w:rsid w:val="00885303"/>
    <w:rsid w:val="0088549C"/>
    <w:rsid w:val="008855E4"/>
    <w:rsid w:val="00885665"/>
    <w:rsid w:val="008862FA"/>
    <w:rsid w:val="0088640A"/>
    <w:rsid w:val="0088650C"/>
    <w:rsid w:val="008866CF"/>
    <w:rsid w:val="00886736"/>
    <w:rsid w:val="00886A13"/>
    <w:rsid w:val="00886CD2"/>
    <w:rsid w:val="00886F23"/>
    <w:rsid w:val="00887268"/>
    <w:rsid w:val="00887272"/>
    <w:rsid w:val="00887413"/>
    <w:rsid w:val="008875C0"/>
    <w:rsid w:val="00887B4A"/>
    <w:rsid w:val="00887CD5"/>
    <w:rsid w:val="00890051"/>
    <w:rsid w:val="00890134"/>
    <w:rsid w:val="00890238"/>
    <w:rsid w:val="008902CD"/>
    <w:rsid w:val="008902EF"/>
    <w:rsid w:val="00890514"/>
    <w:rsid w:val="00890589"/>
    <w:rsid w:val="00890711"/>
    <w:rsid w:val="008909FC"/>
    <w:rsid w:val="00890E95"/>
    <w:rsid w:val="00890F5B"/>
    <w:rsid w:val="00891830"/>
    <w:rsid w:val="008918B0"/>
    <w:rsid w:val="00891E6F"/>
    <w:rsid w:val="008925AF"/>
    <w:rsid w:val="0089275D"/>
    <w:rsid w:val="00892A36"/>
    <w:rsid w:val="00892C49"/>
    <w:rsid w:val="00892EBE"/>
    <w:rsid w:val="0089304C"/>
    <w:rsid w:val="008931B6"/>
    <w:rsid w:val="00893239"/>
    <w:rsid w:val="00893325"/>
    <w:rsid w:val="008937D7"/>
    <w:rsid w:val="00893908"/>
    <w:rsid w:val="00893A88"/>
    <w:rsid w:val="00893EF4"/>
    <w:rsid w:val="00893FAD"/>
    <w:rsid w:val="00894489"/>
    <w:rsid w:val="00894652"/>
    <w:rsid w:val="008946B7"/>
    <w:rsid w:val="008949A8"/>
    <w:rsid w:val="00894A9B"/>
    <w:rsid w:val="00894B53"/>
    <w:rsid w:val="00894BA5"/>
    <w:rsid w:val="00894CD6"/>
    <w:rsid w:val="00894E2F"/>
    <w:rsid w:val="0089535C"/>
    <w:rsid w:val="0089561B"/>
    <w:rsid w:val="008957DC"/>
    <w:rsid w:val="008959CC"/>
    <w:rsid w:val="00895AC3"/>
    <w:rsid w:val="00895D9C"/>
    <w:rsid w:val="00895EC0"/>
    <w:rsid w:val="008963A5"/>
    <w:rsid w:val="008964D6"/>
    <w:rsid w:val="00896D5D"/>
    <w:rsid w:val="00896EA8"/>
    <w:rsid w:val="00896FFE"/>
    <w:rsid w:val="0089705E"/>
    <w:rsid w:val="008970BA"/>
    <w:rsid w:val="00897102"/>
    <w:rsid w:val="00897125"/>
    <w:rsid w:val="008971F0"/>
    <w:rsid w:val="008971F8"/>
    <w:rsid w:val="008972D9"/>
    <w:rsid w:val="0089758E"/>
    <w:rsid w:val="0089760B"/>
    <w:rsid w:val="00897783"/>
    <w:rsid w:val="00897B1A"/>
    <w:rsid w:val="00897E1B"/>
    <w:rsid w:val="008A0279"/>
    <w:rsid w:val="008A051D"/>
    <w:rsid w:val="008A07DC"/>
    <w:rsid w:val="008A0CED"/>
    <w:rsid w:val="008A0EAD"/>
    <w:rsid w:val="008A0F36"/>
    <w:rsid w:val="008A14A8"/>
    <w:rsid w:val="008A1631"/>
    <w:rsid w:val="008A248B"/>
    <w:rsid w:val="008A2A25"/>
    <w:rsid w:val="008A3158"/>
    <w:rsid w:val="008A323E"/>
    <w:rsid w:val="008A3363"/>
    <w:rsid w:val="008A3371"/>
    <w:rsid w:val="008A3396"/>
    <w:rsid w:val="008A3502"/>
    <w:rsid w:val="008A37DB"/>
    <w:rsid w:val="008A39A9"/>
    <w:rsid w:val="008A3C3E"/>
    <w:rsid w:val="008A3CDE"/>
    <w:rsid w:val="008A3EF7"/>
    <w:rsid w:val="008A3FF9"/>
    <w:rsid w:val="008A3FFE"/>
    <w:rsid w:val="008A4153"/>
    <w:rsid w:val="008A452F"/>
    <w:rsid w:val="008A466C"/>
    <w:rsid w:val="008A471C"/>
    <w:rsid w:val="008A4BE3"/>
    <w:rsid w:val="008A5202"/>
    <w:rsid w:val="008A5418"/>
    <w:rsid w:val="008A583A"/>
    <w:rsid w:val="008A5981"/>
    <w:rsid w:val="008A5AF7"/>
    <w:rsid w:val="008A5B9B"/>
    <w:rsid w:val="008A5CBD"/>
    <w:rsid w:val="008A5D15"/>
    <w:rsid w:val="008A63E7"/>
    <w:rsid w:val="008A67F6"/>
    <w:rsid w:val="008A68B9"/>
    <w:rsid w:val="008A6A95"/>
    <w:rsid w:val="008A7089"/>
    <w:rsid w:val="008A7447"/>
    <w:rsid w:val="008A7469"/>
    <w:rsid w:val="008A7494"/>
    <w:rsid w:val="008A7853"/>
    <w:rsid w:val="008A79DE"/>
    <w:rsid w:val="008A7FBC"/>
    <w:rsid w:val="008B020F"/>
    <w:rsid w:val="008B03F8"/>
    <w:rsid w:val="008B044C"/>
    <w:rsid w:val="008B06C9"/>
    <w:rsid w:val="008B06EF"/>
    <w:rsid w:val="008B077D"/>
    <w:rsid w:val="008B07CA"/>
    <w:rsid w:val="008B07F7"/>
    <w:rsid w:val="008B0C2B"/>
    <w:rsid w:val="008B0F7F"/>
    <w:rsid w:val="008B1168"/>
    <w:rsid w:val="008B159B"/>
    <w:rsid w:val="008B16FA"/>
    <w:rsid w:val="008B1757"/>
    <w:rsid w:val="008B17DA"/>
    <w:rsid w:val="008B17E7"/>
    <w:rsid w:val="008B1C33"/>
    <w:rsid w:val="008B1CA9"/>
    <w:rsid w:val="008B2065"/>
    <w:rsid w:val="008B21C3"/>
    <w:rsid w:val="008B223B"/>
    <w:rsid w:val="008B25B8"/>
    <w:rsid w:val="008B2646"/>
    <w:rsid w:val="008B2A25"/>
    <w:rsid w:val="008B2AAE"/>
    <w:rsid w:val="008B2B9E"/>
    <w:rsid w:val="008B3227"/>
    <w:rsid w:val="008B329C"/>
    <w:rsid w:val="008B369F"/>
    <w:rsid w:val="008B4201"/>
    <w:rsid w:val="008B4450"/>
    <w:rsid w:val="008B45A6"/>
    <w:rsid w:val="008B4A6C"/>
    <w:rsid w:val="008B4B6F"/>
    <w:rsid w:val="008B4C25"/>
    <w:rsid w:val="008B5015"/>
    <w:rsid w:val="008B5190"/>
    <w:rsid w:val="008B55EE"/>
    <w:rsid w:val="008B56AC"/>
    <w:rsid w:val="008B5AD5"/>
    <w:rsid w:val="008B5D8B"/>
    <w:rsid w:val="008B60E3"/>
    <w:rsid w:val="008B618E"/>
    <w:rsid w:val="008B63C7"/>
    <w:rsid w:val="008B68AC"/>
    <w:rsid w:val="008B6BCB"/>
    <w:rsid w:val="008B6F10"/>
    <w:rsid w:val="008B7111"/>
    <w:rsid w:val="008B71CB"/>
    <w:rsid w:val="008B7992"/>
    <w:rsid w:val="008B7C69"/>
    <w:rsid w:val="008B7D7E"/>
    <w:rsid w:val="008C0034"/>
    <w:rsid w:val="008C03A4"/>
    <w:rsid w:val="008C06AE"/>
    <w:rsid w:val="008C087E"/>
    <w:rsid w:val="008C08F7"/>
    <w:rsid w:val="008C09FC"/>
    <w:rsid w:val="008C10D9"/>
    <w:rsid w:val="008C11E6"/>
    <w:rsid w:val="008C1382"/>
    <w:rsid w:val="008C142B"/>
    <w:rsid w:val="008C1457"/>
    <w:rsid w:val="008C1518"/>
    <w:rsid w:val="008C17C2"/>
    <w:rsid w:val="008C1B45"/>
    <w:rsid w:val="008C1CB8"/>
    <w:rsid w:val="008C1E20"/>
    <w:rsid w:val="008C22A0"/>
    <w:rsid w:val="008C2800"/>
    <w:rsid w:val="008C2CD3"/>
    <w:rsid w:val="008C3116"/>
    <w:rsid w:val="008C33C0"/>
    <w:rsid w:val="008C344C"/>
    <w:rsid w:val="008C3659"/>
    <w:rsid w:val="008C3772"/>
    <w:rsid w:val="008C3798"/>
    <w:rsid w:val="008C39E6"/>
    <w:rsid w:val="008C3B75"/>
    <w:rsid w:val="008C3E91"/>
    <w:rsid w:val="008C3EB6"/>
    <w:rsid w:val="008C407C"/>
    <w:rsid w:val="008C4701"/>
    <w:rsid w:val="008C4A48"/>
    <w:rsid w:val="008C55EA"/>
    <w:rsid w:val="008C5610"/>
    <w:rsid w:val="008C5739"/>
    <w:rsid w:val="008C5BF4"/>
    <w:rsid w:val="008C61E5"/>
    <w:rsid w:val="008C62EC"/>
    <w:rsid w:val="008C6413"/>
    <w:rsid w:val="008C6453"/>
    <w:rsid w:val="008C6460"/>
    <w:rsid w:val="008C65CA"/>
    <w:rsid w:val="008C6672"/>
    <w:rsid w:val="008C6BC2"/>
    <w:rsid w:val="008C6F43"/>
    <w:rsid w:val="008C719A"/>
    <w:rsid w:val="008C7282"/>
    <w:rsid w:val="008C7458"/>
    <w:rsid w:val="008C7770"/>
    <w:rsid w:val="008C7DBB"/>
    <w:rsid w:val="008C7ECB"/>
    <w:rsid w:val="008C7F27"/>
    <w:rsid w:val="008D044C"/>
    <w:rsid w:val="008D044D"/>
    <w:rsid w:val="008D0559"/>
    <w:rsid w:val="008D070E"/>
    <w:rsid w:val="008D0E4E"/>
    <w:rsid w:val="008D10B2"/>
    <w:rsid w:val="008D1417"/>
    <w:rsid w:val="008D1B4E"/>
    <w:rsid w:val="008D1F64"/>
    <w:rsid w:val="008D27F8"/>
    <w:rsid w:val="008D288F"/>
    <w:rsid w:val="008D2C87"/>
    <w:rsid w:val="008D2E4D"/>
    <w:rsid w:val="008D2E83"/>
    <w:rsid w:val="008D3067"/>
    <w:rsid w:val="008D373C"/>
    <w:rsid w:val="008D3786"/>
    <w:rsid w:val="008D3897"/>
    <w:rsid w:val="008D3B86"/>
    <w:rsid w:val="008D43FD"/>
    <w:rsid w:val="008D4602"/>
    <w:rsid w:val="008D46B0"/>
    <w:rsid w:val="008D4755"/>
    <w:rsid w:val="008D4883"/>
    <w:rsid w:val="008D49E1"/>
    <w:rsid w:val="008D4B18"/>
    <w:rsid w:val="008D4C3D"/>
    <w:rsid w:val="008D4FFB"/>
    <w:rsid w:val="008D54C9"/>
    <w:rsid w:val="008D667C"/>
    <w:rsid w:val="008D66C1"/>
    <w:rsid w:val="008D6B74"/>
    <w:rsid w:val="008D7114"/>
    <w:rsid w:val="008D71FA"/>
    <w:rsid w:val="008D743C"/>
    <w:rsid w:val="008D754E"/>
    <w:rsid w:val="008D7C22"/>
    <w:rsid w:val="008D7E5C"/>
    <w:rsid w:val="008E013E"/>
    <w:rsid w:val="008E048E"/>
    <w:rsid w:val="008E083C"/>
    <w:rsid w:val="008E0AC0"/>
    <w:rsid w:val="008E0BD5"/>
    <w:rsid w:val="008E0BD8"/>
    <w:rsid w:val="008E0D3C"/>
    <w:rsid w:val="008E0F40"/>
    <w:rsid w:val="008E112E"/>
    <w:rsid w:val="008E13E6"/>
    <w:rsid w:val="008E15B3"/>
    <w:rsid w:val="008E1728"/>
    <w:rsid w:val="008E17AC"/>
    <w:rsid w:val="008E1B9E"/>
    <w:rsid w:val="008E1CA1"/>
    <w:rsid w:val="008E2622"/>
    <w:rsid w:val="008E2C9F"/>
    <w:rsid w:val="008E2D12"/>
    <w:rsid w:val="008E2D7B"/>
    <w:rsid w:val="008E2DEC"/>
    <w:rsid w:val="008E3400"/>
    <w:rsid w:val="008E35EF"/>
    <w:rsid w:val="008E3A30"/>
    <w:rsid w:val="008E3CB6"/>
    <w:rsid w:val="008E3E83"/>
    <w:rsid w:val="008E41D0"/>
    <w:rsid w:val="008E42A0"/>
    <w:rsid w:val="008E4DDA"/>
    <w:rsid w:val="008E4DEA"/>
    <w:rsid w:val="008E50C9"/>
    <w:rsid w:val="008E5174"/>
    <w:rsid w:val="008E537D"/>
    <w:rsid w:val="008E55AB"/>
    <w:rsid w:val="008E578C"/>
    <w:rsid w:val="008E5897"/>
    <w:rsid w:val="008E5922"/>
    <w:rsid w:val="008E59E7"/>
    <w:rsid w:val="008E5A21"/>
    <w:rsid w:val="008E5BB8"/>
    <w:rsid w:val="008E67E4"/>
    <w:rsid w:val="008E68EA"/>
    <w:rsid w:val="008E68FA"/>
    <w:rsid w:val="008E6955"/>
    <w:rsid w:val="008E7246"/>
    <w:rsid w:val="008E73F6"/>
    <w:rsid w:val="008E7A39"/>
    <w:rsid w:val="008F0103"/>
    <w:rsid w:val="008F01AC"/>
    <w:rsid w:val="008F0430"/>
    <w:rsid w:val="008F0795"/>
    <w:rsid w:val="008F07AE"/>
    <w:rsid w:val="008F08A2"/>
    <w:rsid w:val="008F1038"/>
    <w:rsid w:val="008F120A"/>
    <w:rsid w:val="008F13E1"/>
    <w:rsid w:val="008F1583"/>
    <w:rsid w:val="008F17E9"/>
    <w:rsid w:val="008F1AB9"/>
    <w:rsid w:val="008F1C8B"/>
    <w:rsid w:val="008F1C8C"/>
    <w:rsid w:val="008F1E0A"/>
    <w:rsid w:val="008F23BF"/>
    <w:rsid w:val="008F2408"/>
    <w:rsid w:val="008F24E0"/>
    <w:rsid w:val="008F27E0"/>
    <w:rsid w:val="008F287A"/>
    <w:rsid w:val="008F2ABB"/>
    <w:rsid w:val="008F3321"/>
    <w:rsid w:val="008F3A8F"/>
    <w:rsid w:val="008F3C57"/>
    <w:rsid w:val="008F40C5"/>
    <w:rsid w:val="008F46A4"/>
    <w:rsid w:val="008F48EB"/>
    <w:rsid w:val="008F4916"/>
    <w:rsid w:val="008F4D2E"/>
    <w:rsid w:val="008F4F0B"/>
    <w:rsid w:val="008F5371"/>
    <w:rsid w:val="008F545C"/>
    <w:rsid w:val="008F58E2"/>
    <w:rsid w:val="008F5E31"/>
    <w:rsid w:val="008F6591"/>
    <w:rsid w:val="008F69C3"/>
    <w:rsid w:val="008F6B60"/>
    <w:rsid w:val="008F6BFC"/>
    <w:rsid w:val="008F6D20"/>
    <w:rsid w:val="008F6ECA"/>
    <w:rsid w:val="008F7523"/>
    <w:rsid w:val="008F757E"/>
    <w:rsid w:val="008F77B1"/>
    <w:rsid w:val="008F782C"/>
    <w:rsid w:val="008F784D"/>
    <w:rsid w:val="008F79A2"/>
    <w:rsid w:val="00900136"/>
    <w:rsid w:val="0090048C"/>
    <w:rsid w:val="009008DF"/>
    <w:rsid w:val="009008FE"/>
    <w:rsid w:val="00900D2E"/>
    <w:rsid w:val="00900DC9"/>
    <w:rsid w:val="00900E83"/>
    <w:rsid w:val="0090144A"/>
    <w:rsid w:val="009015CB"/>
    <w:rsid w:val="00901A3F"/>
    <w:rsid w:val="00901DE3"/>
    <w:rsid w:val="00901F46"/>
    <w:rsid w:val="009020A1"/>
    <w:rsid w:val="009025D6"/>
    <w:rsid w:val="009025FE"/>
    <w:rsid w:val="0090288E"/>
    <w:rsid w:val="009028FD"/>
    <w:rsid w:val="00902C04"/>
    <w:rsid w:val="00902C5B"/>
    <w:rsid w:val="00902E05"/>
    <w:rsid w:val="0090329A"/>
    <w:rsid w:val="009032F0"/>
    <w:rsid w:val="009036F9"/>
    <w:rsid w:val="009039A7"/>
    <w:rsid w:val="00903B40"/>
    <w:rsid w:val="009043B1"/>
    <w:rsid w:val="0090447B"/>
    <w:rsid w:val="009046A7"/>
    <w:rsid w:val="009046C4"/>
    <w:rsid w:val="00904878"/>
    <w:rsid w:val="009050E4"/>
    <w:rsid w:val="009058A7"/>
    <w:rsid w:val="0090599B"/>
    <w:rsid w:val="009062A5"/>
    <w:rsid w:val="0090670C"/>
    <w:rsid w:val="00906E1B"/>
    <w:rsid w:val="00906E62"/>
    <w:rsid w:val="00907699"/>
    <w:rsid w:val="009078F2"/>
    <w:rsid w:val="0090795D"/>
    <w:rsid w:val="00907983"/>
    <w:rsid w:val="00907B17"/>
    <w:rsid w:val="00907BF5"/>
    <w:rsid w:val="00907DB5"/>
    <w:rsid w:val="00907DBB"/>
    <w:rsid w:val="00907E59"/>
    <w:rsid w:val="0091000C"/>
    <w:rsid w:val="00910973"/>
    <w:rsid w:val="00910B22"/>
    <w:rsid w:val="00910F61"/>
    <w:rsid w:val="00910FA7"/>
    <w:rsid w:val="00911272"/>
    <w:rsid w:val="00911339"/>
    <w:rsid w:val="009116AB"/>
    <w:rsid w:val="0091233C"/>
    <w:rsid w:val="00912514"/>
    <w:rsid w:val="009128A1"/>
    <w:rsid w:val="0091295C"/>
    <w:rsid w:val="00912DDC"/>
    <w:rsid w:val="00913453"/>
    <w:rsid w:val="009135D6"/>
    <w:rsid w:val="0091364E"/>
    <w:rsid w:val="0091375A"/>
    <w:rsid w:val="009137A7"/>
    <w:rsid w:val="009137D6"/>
    <w:rsid w:val="00913F49"/>
    <w:rsid w:val="00913FFB"/>
    <w:rsid w:val="009143E2"/>
    <w:rsid w:val="009144FB"/>
    <w:rsid w:val="009146DA"/>
    <w:rsid w:val="00914A13"/>
    <w:rsid w:val="00914C77"/>
    <w:rsid w:val="00914E74"/>
    <w:rsid w:val="00914F8E"/>
    <w:rsid w:val="00915265"/>
    <w:rsid w:val="009152F8"/>
    <w:rsid w:val="009153D0"/>
    <w:rsid w:val="00915C8A"/>
    <w:rsid w:val="00915E39"/>
    <w:rsid w:val="00915EC9"/>
    <w:rsid w:val="00915FFD"/>
    <w:rsid w:val="009163DD"/>
    <w:rsid w:val="00916681"/>
    <w:rsid w:val="0091675A"/>
    <w:rsid w:val="00916941"/>
    <w:rsid w:val="00916A88"/>
    <w:rsid w:val="00917190"/>
    <w:rsid w:val="0091753D"/>
    <w:rsid w:val="00920224"/>
    <w:rsid w:val="0092079F"/>
    <w:rsid w:val="00920B63"/>
    <w:rsid w:val="00920C56"/>
    <w:rsid w:val="00920E77"/>
    <w:rsid w:val="00920EA3"/>
    <w:rsid w:val="00920FAB"/>
    <w:rsid w:val="00921099"/>
    <w:rsid w:val="00921ACB"/>
    <w:rsid w:val="009224C3"/>
    <w:rsid w:val="0092256B"/>
    <w:rsid w:val="00922A99"/>
    <w:rsid w:val="00922ED8"/>
    <w:rsid w:val="009231CF"/>
    <w:rsid w:val="0092369B"/>
    <w:rsid w:val="009237F3"/>
    <w:rsid w:val="00923D19"/>
    <w:rsid w:val="009241C7"/>
    <w:rsid w:val="009244DD"/>
    <w:rsid w:val="00924700"/>
    <w:rsid w:val="009249FE"/>
    <w:rsid w:val="00925281"/>
    <w:rsid w:val="00925916"/>
    <w:rsid w:val="00925D6D"/>
    <w:rsid w:val="00925FD9"/>
    <w:rsid w:val="009260CE"/>
    <w:rsid w:val="00926212"/>
    <w:rsid w:val="0092668F"/>
    <w:rsid w:val="009266E5"/>
    <w:rsid w:val="00926D9B"/>
    <w:rsid w:val="0092724D"/>
    <w:rsid w:val="0092735C"/>
    <w:rsid w:val="00927686"/>
    <w:rsid w:val="009276A8"/>
    <w:rsid w:val="00927C08"/>
    <w:rsid w:val="00927F4D"/>
    <w:rsid w:val="00927FF3"/>
    <w:rsid w:val="00930096"/>
    <w:rsid w:val="00930278"/>
    <w:rsid w:val="009302E9"/>
    <w:rsid w:val="0093047C"/>
    <w:rsid w:val="00930A41"/>
    <w:rsid w:val="00930A85"/>
    <w:rsid w:val="00930B64"/>
    <w:rsid w:val="00930F1B"/>
    <w:rsid w:val="00931279"/>
    <w:rsid w:val="009312F9"/>
    <w:rsid w:val="0093151A"/>
    <w:rsid w:val="0093168F"/>
    <w:rsid w:val="00931879"/>
    <w:rsid w:val="00931EAB"/>
    <w:rsid w:val="009321E1"/>
    <w:rsid w:val="009322AA"/>
    <w:rsid w:val="00932426"/>
    <w:rsid w:val="00932608"/>
    <w:rsid w:val="00932A97"/>
    <w:rsid w:val="00933E09"/>
    <w:rsid w:val="00933F01"/>
    <w:rsid w:val="0093461D"/>
    <w:rsid w:val="009346E1"/>
    <w:rsid w:val="009348D7"/>
    <w:rsid w:val="00934988"/>
    <w:rsid w:val="00934C13"/>
    <w:rsid w:val="00934DF8"/>
    <w:rsid w:val="00934ED5"/>
    <w:rsid w:val="00934EF7"/>
    <w:rsid w:val="0093576C"/>
    <w:rsid w:val="009358A9"/>
    <w:rsid w:val="00935ABF"/>
    <w:rsid w:val="00935D35"/>
    <w:rsid w:val="00935D42"/>
    <w:rsid w:val="00935F1B"/>
    <w:rsid w:val="00935FE8"/>
    <w:rsid w:val="009360B9"/>
    <w:rsid w:val="009361DA"/>
    <w:rsid w:val="00936216"/>
    <w:rsid w:val="00936372"/>
    <w:rsid w:val="009367B8"/>
    <w:rsid w:val="00936966"/>
    <w:rsid w:val="009369E5"/>
    <w:rsid w:val="00936AE2"/>
    <w:rsid w:val="00936B68"/>
    <w:rsid w:val="00936C6C"/>
    <w:rsid w:val="00936DB7"/>
    <w:rsid w:val="00936E7C"/>
    <w:rsid w:val="00937089"/>
    <w:rsid w:val="00937AB7"/>
    <w:rsid w:val="00937BC9"/>
    <w:rsid w:val="00937C3E"/>
    <w:rsid w:val="00937D69"/>
    <w:rsid w:val="00937F7C"/>
    <w:rsid w:val="009400E4"/>
    <w:rsid w:val="009401CF"/>
    <w:rsid w:val="00940202"/>
    <w:rsid w:val="00940211"/>
    <w:rsid w:val="00940413"/>
    <w:rsid w:val="00940426"/>
    <w:rsid w:val="0094185A"/>
    <w:rsid w:val="00941976"/>
    <w:rsid w:val="00941FA7"/>
    <w:rsid w:val="0094206D"/>
    <w:rsid w:val="0094210C"/>
    <w:rsid w:val="00942979"/>
    <w:rsid w:val="009429A2"/>
    <w:rsid w:val="009429DF"/>
    <w:rsid w:val="00942AA3"/>
    <w:rsid w:val="00942D5C"/>
    <w:rsid w:val="00942D88"/>
    <w:rsid w:val="00942E9A"/>
    <w:rsid w:val="009430F1"/>
    <w:rsid w:val="009434BE"/>
    <w:rsid w:val="0094379E"/>
    <w:rsid w:val="0094380F"/>
    <w:rsid w:val="00943DE2"/>
    <w:rsid w:val="009441FF"/>
    <w:rsid w:val="009442C2"/>
    <w:rsid w:val="00944574"/>
    <w:rsid w:val="009446D0"/>
    <w:rsid w:val="00944733"/>
    <w:rsid w:val="00944747"/>
    <w:rsid w:val="00944EFC"/>
    <w:rsid w:val="00944F8A"/>
    <w:rsid w:val="0094563D"/>
    <w:rsid w:val="009458DF"/>
    <w:rsid w:val="009459F0"/>
    <w:rsid w:val="00945B2A"/>
    <w:rsid w:val="00945CD1"/>
    <w:rsid w:val="00945EF0"/>
    <w:rsid w:val="0094601E"/>
    <w:rsid w:val="009460D4"/>
    <w:rsid w:val="009465C5"/>
    <w:rsid w:val="00946722"/>
    <w:rsid w:val="00946B35"/>
    <w:rsid w:val="009474E3"/>
    <w:rsid w:val="0094750F"/>
    <w:rsid w:val="009475A1"/>
    <w:rsid w:val="009476DD"/>
    <w:rsid w:val="00947C56"/>
    <w:rsid w:val="00947C71"/>
    <w:rsid w:val="00947F6F"/>
    <w:rsid w:val="00950049"/>
    <w:rsid w:val="00950D63"/>
    <w:rsid w:val="009510A2"/>
    <w:rsid w:val="00951473"/>
    <w:rsid w:val="00951712"/>
    <w:rsid w:val="00951A06"/>
    <w:rsid w:val="00951B65"/>
    <w:rsid w:val="00951BB8"/>
    <w:rsid w:val="00951BF2"/>
    <w:rsid w:val="00951C23"/>
    <w:rsid w:val="00951E18"/>
    <w:rsid w:val="00951E3B"/>
    <w:rsid w:val="00952766"/>
    <w:rsid w:val="0095291A"/>
    <w:rsid w:val="00952937"/>
    <w:rsid w:val="00952A8E"/>
    <w:rsid w:val="00952CAE"/>
    <w:rsid w:val="0095309D"/>
    <w:rsid w:val="00953257"/>
    <w:rsid w:val="009532AA"/>
    <w:rsid w:val="009533B3"/>
    <w:rsid w:val="0095350C"/>
    <w:rsid w:val="009536C7"/>
    <w:rsid w:val="0095382E"/>
    <w:rsid w:val="00953E6A"/>
    <w:rsid w:val="009540CF"/>
    <w:rsid w:val="009545CE"/>
    <w:rsid w:val="0095474C"/>
    <w:rsid w:val="00954E48"/>
    <w:rsid w:val="00955B1A"/>
    <w:rsid w:val="00955B9E"/>
    <w:rsid w:val="00955CBB"/>
    <w:rsid w:val="00955D90"/>
    <w:rsid w:val="00956BAA"/>
    <w:rsid w:val="00956DF3"/>
    <w:rsid w:val="00956E3E"/>
    <w:rsid w:val="0095705B"/>
    <w:rsid w:val="00957A8A"/>
    <w:rsid w:val="00957BB4"/>
    <w:rsid w:val="00957D92"/>
    <w:rsid w:val="00957F49"/>
    <w:rsid w:val="009600AE"/>
    <w:rsid w:val="00960243"/>
    <w:rsid w:val="009604AB"/>
    <w:rsid w:val="009604F1"/>
    <w:rsid w:val="00960790"/>
    <w:rsid w:val="00960841"/>
    <w:rsid w:val="00960886"/>
    <w:rsid w:val="00960CEF"/>
    <w:rsid w:val="00960E9B"/>
    <w:rsid w:val="00960EAD"/>
    <w:rsid w:val="00960F20"/>
    <w:rsid w:val="00961169"/>
    <w:rsid w:val="009615F0"/>
    <w:rsid w:val="00961676"/>
    <w:rsid w:val="00961833"/>
    <w:rsid w:val="00961A69"/>
    <w:rsid w:val="00961DEC"/>
    <w:rsid w:val="0096224F"/>
    <w:rsid w:val="00962CB9"/>
    <w:rsid w:val="00962F18"/>
    <w:rsid w:val="00962F72"/>
    <w:rsid w:val="0096324A"/>
    <w:rsid w:val="00963565"/>
    <w:rsid w:val="00963633"/>
    <w:rsid w:val="009638CB"/>
    <w:rsid w:val="00963FF1"/>
    <w:rsid w:val="00964312"/>
    <w:rsid w:val="009645A8"/>
    <w:rsid w:val="00964764"/>
    <w:rsid w:val="00964B6A"/>
    <w:rsid w:val="00964C09"/>
    <w:rsid w:val="00965474"/>
    <w:rsid w:val="00965577"/>
    <w:rsid w:val="00965B8A"/>
    <w:rsid w:val="0096612F"/>
    <w:rsid w:val="0096669C"/>
    <w:rsid w:val="009670FC"/>
    <w:rsid w:val="0096754B"/>
    <w:rsid w:val="00967563"/>
    <w:rsid w:val="00967C95"/>
    <w:rsid w:val="00970058"/>
    <w:rsid w:val="009700C0"/>
    <w:rsid w:val="0097039E"/>
    <w:rsid w:val="009705C2"/>
    <w:rsid w:val="0097071F"/>
    <w:rsid w:val="00970837"/>
    <w:rsid w:val="00970D75"/>
    <w:rsid w:val="00970D84"/>
    <w:rsid w:val="00970E82"/>
    <w:rsid w:val="00970FEB"/>
    <w:rsid w:val="009711BF"/>
    <w:rsid w:val="009713A0"/>
    <w:rsid w:val="009715E0"/>
    <w:rsid w:val="009716A1"/>
    <w:rsid w:val="009716BA"/>
    <w:rsid w:val="009717AC"/>
    <w:rsid w:val="0097193D"/>
    <w:rsid w:val="00971FDE"/>
    <w:rsid w:val="00972C50"/>
    <w:rsid w:val="00972DA9"/>
    <w:rsid w:val="00972EE0"/>
    <w:rsid w:val="00973047"/>
    <w:rsid w:val="009734A3"/>
    <w:rsid w:val="00973544"/>
    <w:rsid w:val="00973AF3"/>
    <w:rsid w:val="00973C33"/>
    <w:rsid w:val="00973E24"/>
    <w:rsid w:val="00974557"/>
    <w:rsid w:val="009749C4"/>
    <w:rsid w:val="00974AD9"/>
    <w:rsid w:val="00974CB0"/>
    <w:rsid w:val="0097511F"/>
    <w:rsid w:val="009751C1"/>
    <w:rsid w:val="0097531F"/>
    <w:rsid w:val="00975384"/>
    <w:rsid w:val="009754DF"/>
    <w:rsid w:val="0097560B"/>
    <w:rsid w:val="00975B7F"/>
    <w:rsid w:val="00975D90"/>
    <w:rsid w:val="00975EA9"/>
    <w:rsid w:val="00976127"/>
    <w:rsid w:val="0097648D"/>
    <w:rsid w:val="00976533"/>
    <w:rsid w:val="00976D08"/>
    <w:rsid w:val="00976DA7"/>
    <w:rsid w:val="00976FDF"/>
    <w:rsid w:val="009771D6"/>
    <w:rsid w:val="00977621"/>
    <w:rsid w:val="00977AAE"/>
    <w:rsid w:val="00977CA5"/>
    <w:rsid w:val="00977F19"/>
    <w:rsid w:val="00980033"/>
    <w:rsid w:val="00980111"/>
    <w:rsid w:val="00980161"/>
    <w:rsid w:val="00980221"/>
    <w:rsid w:val="0098061A"/>
    <w:rsid w:val="00980675"/>
    <w:rsid w:val="009806AD"/>
    <w:rsid w:val="00980BD2"/>
    <w:rsid w:val="00980F4B"/>
    <w:rsid w:val="00980F70"/>
    <w:rsid w:val="009811F1"/>
    <w:rsid w:val="009815C6"/>
    <w:rsid w:val="00981679"/>
    <w:rsid w:val="009818A8"/>
    <w:rsid w:val="00981A7C"/>
    <w:rsid w:val="00981AE6"/>
    <w:rsid w:val="00981BA3"/>
    <w:rsid w:val="00981D57"/>
    <w:rsid w:val="00981E84"/>
    <w:rsid w:val="00981FA8"/>
    <w:rsid w:val="00982262"/>
    <w:rsid w:val="009822DE"/>
    <w:rsid w:val="009824C7"/>
    <w:rsid w:val="00982931"/>
    <w:rsid w:val="00982B5A"/>
    <w:rsid w:val="00983066"/>
    <w:rsid w:val="009830B9"/>
    <w:rsid w:val="00983E57"/>
    <w:rsid w:val="00983E8F"/>
    <w:rsid w:val="00984530"/>
    <w:rsid w:val="009847D8"/>
    <w:rsid w:val="00984BEE"/>
    <w:rsid w:val="00984E1E"/>
    <w:rsid w:val="009851FB"/>
    <w:rsid w:val="00985547"/>
    <w:rsid w:val="00985BC2"/>
    <w:rsid w:val="00985D42"/>
    <w:rsid w:val="00985DE2"/>
    <w:rsid w:val="00985EFA"/>
    <w:rsid w:val="00985F9E"/>
    <w:rsid w:val="00986591"/>
    <w:rsid w:val="0098675D"/>
    <w:rsid w:val="00986953"/>
    <w:rsid w:val="0098696A"/>
    <w:rsid w:val="009870D3"/>
    <w:rsid w:val="009876C3"/>
    <w:rsid w:val="00987914"/>
    <w:rsid w:val="00987BA4"/>
    <w:rsid w:val="00987F25"/>
    <w:rsid w:val="00987FBC"/>
    <w:rsid w:val="009903BC"/>
    <w:rsid w:val="009908DD"/>
    <w:rsid w:val="00990AF7"/>
    <w:rsid w:val="00990CB6"/>
    <w:rsid w:val="00990E18"/>
    <w:rsid w:val="00990F63"/>
    <w:rsid w:val="00990F9F"/>
    <w:rsid w:val="00991008"/>
    <w:rsid w:val="009913F2"/>
    <w:rsid w:val="00991877"/>
    <w:rsid w:val="00991A92"/>
    <w:rsid w:val="00991BD0"/>
    <w:rsid w:val="00991D54"/>
    <w:rsid w:val="00991E64"/>
    <w:rsid w:val="009921A4"/>
    <w:rsid w:val="009926E0"/>
    <w:rsid w:val="009928A6"/>
    <w:rsid w:val="00993189"/>
    <w:rsid w:val="00993289"/>
    <w:rsid w:val="00993487"/>
    <w:rsid w:val="00993650"/>
    <w:rsid w:val="00993662"/>
    <w:rsid w:val="00993B1C"/>
    <w:rsid w:val="00993C2D"/>
    <w:rsid w:val="00993C6A"/>
    <w:rsid w:val="0099451E"/>
    <w:rsid w:val="00994792"/>
    <w:rsid w:val="0099496F"/>
    <w:rsid w:val="009954D3"/>
    <w:rsid w:val="00995724"/>
    <w:rsid w:val="0099576E"/>
    <w:rsid w:val="009958BA"/>
    <w:rsid w:val="00995D91"/>
    <w:rsid w:val="009960D0"/>
    <w:rsid w:val="0099628B"/>
    <w:rsid w:val="009964D8"/>
    <w:rsid w:val="0099669C"/>
    <w:rsid w:val="00996766"/>
    <w:rsid w:val="009967D6"/>
    <w:rsid w:val="0099694C"/>
    <w:rsid w:val="009969DB"/>
    <w:rsid w:val="00996A89"/>
    <w:rsid w:val="00996B1A"/>
    <w:rsid w:val="00996E8F"/>
    <w:rsid w:val="00996EA1"/>
    <w:rsid w:val="009970B2"/>
    <w:rsid w:val="00997648"/>
    <w:rsid w:val="009979C9"/>
    <w:rsid w:val="00997A76"/>
    <w:rsid w:val="00997CC0"/>
    <w:rsid w:val="00997CD0"/>
    <w:rsid w:val="00997D3D"/>
    <w:rsid w:val="009A00BE"/>
    <w:rsid w:val="009A0175"/>
    <w:rsid w:val="009A03A4"/>
    <w:rsid w:val="009A07D7"/>
    <w:rsid w:val="009A098B"/>
    <w:rsid w:val="009A0BD1"/>
    <w:rsid w:val="009A0BF1"/>
    <w:rsid w:val="009A1174"/>
    <w:rsid w:val="009A1205"/>
    <w:rsid w:val="009A12F0"/>
    <w:rsid w:val="009A18F6"/>
    <w:rsid w:val="009A1AE2"/>
    <w:rsid w:val="009A1B51"/>
    <w:rsid w:val="009A1D8F"/>
    <w:rsid w:val="009A23E9"/>
    <w:rsid w:val="009A29DC"/>
    <w:rsid w:val="009A2B09"/>
    <w:rsid w:val="009A2DCC"/>
    <w:rsid w:val="009A31E6"/>
    <w:rsid w:val="009A330A"/>
    <w:rsid w:val="009A3585"/>
    <w:rsid w:val="009A362C"/>
    <w:rsid w:val="009A396F"/>
    <w:rsid w:val="009A3AA5"/>
    <w:rsid w:val="009A3DFA"/>
    <w:rsid w:val="009A4343"/>
    <w:rsid w:val="009A486C"/>
    <w:rsid w:val="009A4B62"/>
    <w:rsid w:val="009A4BA3"/>
    <w:rsid w:val="009A5554"/>
    <w:rsid w:val="009A5582"/>
    <w:rsid w:val="009A57C0"/>
    <w:rsid w:val="009A5ABC"/>
    <w:rsid w:val="009A5C53"/>
    <w:rsid w:val="009A65F3"/>
    <w:rsid w:val="009A66BE"/>
    <w:rsid w:val="009A66E2"/>
    <w:rsid w:val="009A67D7"/>
    <w:rsid w:val="009A68BD"/>
    <w:rsid w:val="009A6C6D"/>
    <w:rsid w:val="009A6EC7"/>
    <w:rsid w:val="009A70E3"/>
    <w:rsid w:val="009A7101"/>
    <w:rsid w:val="009A7BC6"/>
    <w:rsid w:val="009A7CA6"/>
    <w:rsid w:val="009A7D4F"/>
    <w:rsid w:val="009A7F10"/>
    <w:rsid w:val="009B01EB"/>
    <w:rsid w:val="009B04AC"/>
    <w:rsid w:val="009B08DE"/>
    <w:rsid w:val="009B0D8D"/>
    <w:rsid w:val="009B0E5E"/>
    <w:rsid w:val="009B0EA6"/>
    <w:rsid w:val="009B1167"/>
    <w:rsid w:val="009B1562"/>
    <w:rsid w:val="009B164B"/>
    <w:rsid w:val="009B16F5"/>
    <w:rsid w:val="009B18CC"/>
    <w:rsid w:val="009B1A03"/>
    <w:rsid w:val="009B1A77"/>
    <w:rsid w:val="009B1BC5"/>
    <w:rsid w:val="009B1D8F"/>
    <w:rsid w:val="009B25E7"/>
    <w:rsid w:val="009B2885"/>
    <w:rsid w:val="009B2A00"/>
    <w:rsid w:val="009B2CD2"/>
    <w:rsid w:val="009B31FD"/>
    <w:rsid w:val="009B33C1"/>
    <w:rsid w:val="009B35DA"/>
    <w:rsid w:val="009B3978"/>
    <w:rsid w:val="009B3D25"/>
    <w:rsid w:val="009B3E26"/>
    <w:rsid w:val="009B3E2D"/>
    <w:rsid w:val="009B407C"/>
    <w:rsid w:val="009B43A5"/>
    <w:rsid w:val="009B43D4"/>
    <w:rsid w:val="009B4457"/>
    <w:rsid w:val="009B4766"/>
    <w:rsid w:val="009B478A"/>
    <w:rsid w:val="009B4B20"/>
    <w:rsid w:val="009B53D0"/>
    <w:rsid w:val="009B5810"/>
    <w:rsid w:val="009B58A5"/>
    <w:rsid w:val="009B5A3E"/>
    <w:rsid w:val="009B5E0E"/>
    <w:rsid w:val="009B6678"/>
    <w:rsid w:val="009B6E3B"/>
    <w:rsid w:val="009B6F7B"/>
    <w:rsid w:val="009B761E"/>
    <w:rsid w:val="009B765D"/>
    <w:rsid w:val="009B7841"/>
    <w:rsid w:val="009B784B"/>
    <w:rsid w:val="009B7962"/>
    <w:rsid w:val="009C100E"/>
    <w:rsid w:val="009C1271"/>
    <w:rsid w:val="009C13EB"/>
    <w:rsid w:val="009C1743"/>
    <w:rsid w:val="009C191E"/>
    <w:rsid w:val="009C1D1B"/>
    <w:rsid w:val="009C1E44"/>
    <w:rsid w:val="009C1E5F"/>
    <w:rsid w:val="009C2515"/>
    <w:rsid w:val="009C25E3"/>
    <w:rsid w:val="009C26A7"/>
    <w:rsid w:val="009C26C7"/>
    <w:rsid w:val="009C314B"/>
    <w:rsid w:val="009C3344"/>
    <w:rsid w:val="009C3369"/>
    <w:rsid w:val="009C3706"/>
    <w:rsid w:val="009C3A0A"/>
    <w:rsid w:val="009C3A3A"/>
    <w:rsid w:val="009C3A9D"/>
    <w:rsid w:val="009C3AFF"/>
    <w:rsid w:val="009C3B79"/>
    <w:rsid w:val="009C3C2A"/>
    <w:rsid w:val="009C3CBA"/>
    <w:rsid w:val="009C3FDA"/>
    <w:rsid w:val="009C4062"/>
    <w:rsid w:val="009C41E5"/>
    <w:rsid w:val="009C4B15"/>
    <w:rsid w:val="009C53A1"/>
    <w:rsid w:val="009C54AC"/>
    <w:rsid w:val="009C56A3"/>
    <w:rsid w:val="009C5992"/>
    <w:rsid w:val="009C5F09"/>
    <w:rsid w:val="009C61F9"/>
    <w:rsid w:val="009C635D"/>
    <w:rsid w:val="009C6384"/>
    <w:rsid w:val="009C65F6"/>
    <w:rsid w:val="009C670A"/>
    <w:rsid w:val="009C67DC"/>
    <w:rsid w:val="009C6B8F"/>
    <w:rsid w:val="009C6CEA"/>
    <w:rsid w:val="009C6ECD"/>
    <w:rsid w:val="009C7067"/>
    <w:rsid w:val="009C70E7"/>
    <w:rsid w:val="009C738A"/>
    <w:rsid w:val="009C73B8"/>
    <w:rsid w:val="009C7A83"/>
    <w:rsid w:val="009C7B71"/>
    <w:rsid w:val="009C7B85"/>
    <w:rsid w:val="009C7BA4"/>
    <w:rsid w:val="009D0254"/>
    <w:rsid w:val="009D0481"/>
    <w:rsid w:val="009D101D"/>
    <w:rsid w:val="009D105A"/>
    <w:rsid w:val="009D10A0"/>
    <w:rsid w:val="009D1224"/>
    <w:rsid w:val="009D1404"/>
    <w:rsid w:val="009D1426"/>
    <w:rsid w:val="009D1A64"/>
    <w:rsid w:val="009D1FEF"/>
    <w:rsid w:val="009D235A"/>
    <w:rsid w:val="009D23B3"/>
    <w:rsid w:val="009D281C"/>
    <w:rsid w:val="009D28CD"/>
    <w:rsid w:val="009D295E"/>
    <w:rsid w:val="009D2AF7"/>
    <w:rsid w:val="009D2CE2"/>
    <w:rsid w:val="009D30DA"/>
    <w:rsid w:val="009D32CC"/>
    <w:rsid w:val="009D3395"/>
    <w:rsid w:val="009D36B2"/>
    <w:rsid w:val="009D37A0"/>
    <w:rsid w:val="009D37A2"/>
    <w:rsid w:val="009D3999"/>
    <w:rsid w:val="009D4058"/>
    <w:rsid w:val="009D43AE"/>
    <w:rsid w:val="009D4AAB"/>
    <w:rsid w:val="009D4E09"/>
    <w:rsid w:val="009D50DD"/>
    <w:rsid w:val="009D532B"/>
    <w:rsid w:val="009D5627"/>
    <w:rsid w:val="009D57E7"/>
    <w:rsid w:val="009D582D"/>
    <w:rsid w:val="009D5B91"/>
    <w:rsid w:val="009D60D8"/>
    <w:rsid w:val="009D645B"/>
    <w:rsid w:val="009D68AC"/>
    <w:rsid w:val="009D6BDB"/>
    <w:rsid w:val="009D745E"/>
    <w:rsid w:val="009D7517"/>
    <w:rsid w:val="009D77EA"/>
    <w:rsid w:val="009D792E"/>
    <w:rsid w:val="009D79B1"/>
    <w:rsid w:val="009D7F22"/>
    <w:rsid w:val="009D7F59"/>
    <w:rsid w:val="009D7F6F"/>
    <w:rsid w:val="009D7FD5"/>
    <w:rsid w:val="009E0060"/>
    <w:rsid w:val="009E04C6"/>
    <w:rsid w:val="009E06FD"/>
    <w:rsid w:val="009E0DFE"/>
    <w:rsid w:val="009E0F7C"/>
    <w:rsid w:val="009E1135"/>
    <w:rsid w:val="009E12C7"/>
    <w:rsid w:val="009E1577"/>
    <w:rsid w:val="009E182F"/>
    <w:rsid w:val="009E1D56"/>
    <w:rsid w:val="009E1E17"/>
    <w:rsid w:val="009E2046"/>
    <w:rsid w:val="009E2057"/>
    <w:rsid w:val="009E2222"/>
    <w:rsid w:val="009E23FC"/>
    <w:rsid w:val="009E2725"/>
    <w:rsid w:val="009E27C9"/>
    <w:rsid w:val="009E2B6E"/>
    <w:rsid w:val="009E2C16"/>
    <w:rsid w:val="009E2D2F"/>
    <w:rsid w:val="009E2F6B"/>
    <w:rsid w:val="009E31F6"/>
    <w:rsid w:val="009E3527"/>
    <w:rsid w:val="009E3710"/>
    <w:rsid w:val="009E4099"/>
    <w:rsid w:val="009E40D4"/>
    <w:rsid w:val="009E43A9"/>
    <w:rsid w:val="009E46D4"/>
    <w:rsid w:val="009E472C"/>
    <w:rsid w:val="009E48D8"/>
    <w:rsid w:val="009E4A42"/>
    <w:rsid w:val="009E4C07"/>
    <w:rsid w:val="009E4DCB"/>
    <w:rsid w:val="009E508F"/>
    <w:rsid w:val="009E5175"/>
    <w:rsid w:val="009E5480"/>
    <w:rsid w:val="009E58FA"/>
    <w:rsid w:val="009E5FC8"/>
    <w:rsid w:val="009E6003"/>
    <w:rsid w:val="009E608B"/>
    <w:rsid w:val="009E61AD"/>
    <w:rsid w:val="009E623B"/>
    <w:rsid w:val="009E62C2"/>
    <w:rsid w:val="009E63B0"/>
    <w:rsid w:val="009E70C0"/>
    <w:rsid w:val="009E72E8"/>
    <w:rsid w:val="009E749A"/>
    <w:rsid w:val="009E777F"/>
    <w:rsid w:val="009E77D9"/>
    <w:rsid w:val="009E7C5B"/>
    <w:rsid w:val="009E7E32"/>
    <w:rsid w:val="009F01E8"/>
    <w:rsid w:val="009F0287"/>
    <w:rsid w:val="009F0410"/>
    <w:rsid w:val="009F0BCC"/>
    <w:rsid w:val="009F1998"/>
    <w:rsid w:val="009F1C8B"/>
    <w:rsid w:val="009F1E7A"/>
    <w:rsid w:val="009F2384"/>
    <w:rsid w:val="009F24AB"/>
    <w:rsid w:val="009F2807"/>
    <w:rsid w:val="009F294E"/>
    <w:rsid w:val="009F2D47"/>
    <w:rsid w:val="009F2E55"/>
    <w:rsid w:val="009F327E"/>
    <w:rsid w:val="009F32A9"/>
    <w:rsid w:val="009F3468"/>
    <w:rsid w:val="009F39F9"/>
    <w:rsid w:val="009F3BE4"/>
    <w:rsid w:val="009F3E80"/>
    <w:rsid w:val="009F3F41"/>
    <w:rsid w:val="009F40ED"/>
    <w:rsid w:val="009F416B"/>
    <w:rsid w:val="009F4302"/>
    <w:rsid w:val="009F44BC"/>
    <w:rsid w:val="009F4644"/>
    <w:rsid w:val="009F474E"/>
    <w:rsid w:val="009F47A0"/>
    <w:rsid w:val="009F49E1"/>
    <w:rsid w:val="009F4A40"/>
    <w:rsid w:val="009F4DE9"/>
    <w:rsid w:val="009F58A2"/>
    <w:rsid w:val="009F592A"/>
    <w:rsid w:val="009F5F85"/>
    <w:rsid w:val="009F5FF1"/>
    <w:rsid w:val="009F6120"/>
    <w:rsid w:val="009F7393"/>
    <w:rsid w:val="009F7467"/>
    <w:rsid w:val="009F79C3"/>
    <w:rsid w:val="009F7C51"/>
    <w:rsid w:val="009F7CEF"/>
    <w:rsid w:val="009F7F28"/>
    <w:rsid w:val="00A0057B"/>
    <w:rsid w:val="00A00D76"/>
    <w:rsid w:val="00A00F32"/>
    <w:rsid w:val="00A01184"/>
    <w:rsid w:val="00A01449"/>
    <w:rsid w:val="00A01529"/>
    <w:rsid w:val="00A01699"/>
    <w:rsid w:val="00A01773"/>
    <w:rsid w:val="00A0177F"/>
    <w:rsid w:val="00A01B73"/>
    <w:rsid w:val="00A01BCB"/>
    <w:rsid w:val="00A02771"/>
    <w:rsid w:val="00A02982"/>
    <w:rsid w:val="00A029B7"/>
    <w:rsid w:val="00A02BDC"/>
    <w:rsid w:val="00A02C7A"/>
    <w:rsid w:val="00A02CD6"/>
    <w:rsid w:val="00A02DCB"/>
    <w:rsid w:val="00A02E16"/>
    <w:rsid w:val="00A037C2"/>
    <w:rsid w:val="00A03C6A"/>
    <w:rsid w:val="00A03D2F"/>
    <w:rsid w:val="00A03D43"/>
    <w:rsid w:val="00A03E83"/>
    <w:rsid w:val="00A04114"/>
    <w:rsid w:val="00A04380"/>
    <w:rsid w:val="00A04417"/>
    <w:rsid w:val="00A04786"/>
    <w:rsid w:val="00A048F7"/>
    <w:rsid w:val="00A04A08"/>
    <w:rsid w:val="00A04C1E"/>
    <w:rsid w:val="00A04DB0"/>
    <w:rsid w:val="00A04E84"/>
    <w:rsid w:val="00A04EFF"/>
    <w:rsid w:val="00A05472"/>
    <w:rsid w:val="00A05566"/>
    <w:rsid w:val="00A0584F"/>
    <w:rsid w:val="00A05C32"/>
    <w:rsid w:val="00A060CE"/>
    <w:rsid w:val="00A0611B"/>
    <w:rsid w:val="00A0653F"/>
    <w:rsid w:val="00A06797"/>
    <w:rsid w:val="00A06938"/>
    <w:rsid w:val="00A06A04"/>
    <w:rsid w:val="00A06BAD"/>
    <w:rsid w:val="00A06C6B"/>
    <w:rsid w:val="00A07358"/>
    <w:rsid w:val="00A07426"/>
    <w:rsid w:val="00A077EE"/>
    <w:rsid w:val="00A07DD8"/>
    <w:rsid w:val="00A10059"/>
    <w:rsid w:val="00A10BBC"/>
    <w:rsid w:val="00A10CB9"/>
    <w:rsid w:val="00A10D45"/>
    <w:rsid w:val="00A10D6F"/>
    <w:rsid w:val="00A113A3"/>
    <w:rsid w:val="00A1148F"/>
    <w:rsid w:val="00A116CF"/>
    <w:rsid w:val="00A1172E"/>
    <w:rsid w:val="00A1199E"/>
    <w:rsid w:val="00A11CD0"/>
    <w:rsid w:val="00A11D39"/>
    <w:rsid w:val="00A11DA7"/>
    <w:rsid w:val="00A12597"/>
    <w:rsid w:val="00A1268A"/>
    <w:rsid w:val="00A12DD3"/>
    <w:rsid w:val="00A13157"/>
    <w:rsid w:val="00A131D4"/>
    <w:rsid w:val="00A133BE"/>
    <w:rsid w:val="00A13696"/>
    <w:rsid w:val="00A137A6"/>
    <w:rsid w:val="00A13868"/>
    <w:rsid w:val="00A13948"/>
    <w:rsid w:val="00A13DCA"/>
    <w:rsid w:val="00A1421C"/>
    <w:rsid w:val="00A14926"/>
    <w:rsid w:val="00A14975"/>
    <w:rsid w:val="00A14AAE"/>
    <w:rsid w:val="00A14EE7"/>
    <w:rsid w:val="00A153AE"/>
    <w:rsid w:val="00A15558"/>
    <w:rsid w:val="00A1555B"/>
    <w:rsid w:val="00A155C5"/>
    <w:rsid w:val="00A15B27"/>
    <w:rsid w:val="00A16047"/>
    <w:rsid w:val="00A16054"/>
    <w:rsid w:val="00A160A9"/>
    <w:rsid w:val="00A162A0"/>
    <w:rsid w:val="00A164F1"/>
    <w:rsid w:val="00A1654A"/>
    <w:rsid w:val="00A165C0"/>
    <w:rsid w:val="00A169C8"/>
    <w:rsid w:val="00A16A8E"/>
    <w:rsid w:val="00A16AD8"/>
    <w:rsid w:val="00A17152"/>
    <w:rsid w:val="00A17160"/>
    <w:rsid w:val="00A171D1"/>
    <w:rsid w:val="00A1724D"/>
    <w:rsid w:val="00A174C8"/>
    <w:rsid w:val="00A174E5"/>
    <w:rsid w:val="00A2021E"/>
    <w:rsid w:val="00A20338"/>
    <w:rsid w:val="00A20436"/>
    <w:rsid w:val="00A20C9A"/>
    <w:rsid w:val="00A213F3"/>
    <w:rsid w:val="00A21564"/>
    <w:rsid w:val="00A21A1D"/>
    <w:rsid w:val="00A21B19"/>
    <w:rsid w:val="00A21C95"/>
    <w:rsid w:val="00A21CF3"/>
    <w:rsid w:val="00A21D29"/>
    <w:rsid w:val="00A21FCE"/>
    <w:rsid w:val="00A22541"/>
    <w:rsid w:val="00A226F5"/>
    <w:rsid w:val="00A228BE"/>
    <w:rsid w:val="00A22AD5"/>
    <w:rsid w:val="00A22B0C"/>
    <w:rsid w:val="00A22CA8"/>
    <w:rsid w:val="00A2304B"/>
    <w:rsid w:val="00A2307C"/>
    <w:rsid w:val="00A2346B"/>
    <w:rsid w:val="00A23926"/>
    <w:rsid w:val="00A23EBE"/>
    <w:rsid w:val="00A24052"/>
    <w:rsid w:val="00A241EF"/>
    <w:rsid w:val="00A24300"/>
    <w:rsid w:val="00A24813"/>
    <w:rsid w:val="00A24B63"/>
    <w:rsid w:val="00A25692"/>
    <w:rsid w:val="00A2583A"/>
    <w:rsid w:val="00A25D05"/>
    <w:rsid w:val="00A2612A"/>
    <w:rsid w:val="00A26815"/>
    <w:rsid w:val="00A26B04"/>
    <w:rsid w:val="00A26D12"/>
    <w:rsid w:val="00A26DB2"/>
    <w:rsid w:val="00A271D0"/>
    <w:rsid w:val="00A275A0"/>
    <w:rsid w:val="00A275AC"/>
    <w:rsid w:val="00A2760F"/>
    <w:rsid w:val="00A27AEC"/>
    <w:rsid w:val="00A27BDA"/>
    <w:rsid w:val="00A27C09"/>
    <w:rsid w:val="00A302EB"/>
    <w:rsid w:val="00A302FD"/>
    <w:rsid w:val="00A3042A"/>
    <w:rsid w:val="00A304A7"/>
    <w:rsid w:val="00A305E1"/>
    <w:rsid w:val="00A3099D"/>
    <w:rsid w:val="00A30E77"/>
    <w:rsid w:val="00A30F87"/>
    <w:rsid w:val="00A31072"/>
    <w:rsid w:val="00A3114D"/>
    <w:rsid w:val="00A311A8"/>
    <w:rsid w:val="00A3121E"/>
    <w:rsid w:val="00A312C6"/>
    <w:rsid w:val="00A316BD"/>
    <w:rsid w:val="00A31F63"/>
    <w:rsid w:val="00A320DB"/>
    <w:rsid w:val="00A3213B"/>
    <w:rsid w:val="00A32149"/>
    <w:rsid w:val="00A32401"/>
    <w:rsid w:val="00A326EE"/>
    <w:rsid w:val="00A3285E"/>
    <w:rsid w:val="00A32913"/>
    <w:rsid w:val="00A32948"/>
    <w:rsid w:val="00A329E8"/>
    <w:rsid w:val="00A330FE"/>
    <w:rsid w:val="00A33408"/>
    <w:rsid w:val="00A338F8"/>
    <w:rsid w:val="00A33A04"/>
    <w:rsid w:val="00A33E1F"/>
    <w:rsid w:val="00A34346"/>
    <w:rsid w:val="00A3457F"/>
    <w:rsid w:val="00A348CB"/>
    <w:rsid w:val="00A34AB2"/>
    <w:rsid w:val="00A351C8"/>
    <w:rsid w:val="00A35884"/>
    <w:rsid w:val="00A359C4"/>
    <w:rsid w:val="00A35A40"/>
    <w:rsid w:val="00A35D16"/>
    <w:rsid w:val="00A35D8D"/>
    <w:rsid w:val="00A363B3"/>
    <w:rsid w:val="00A36512"/>
    <w:rsid w:val="00A3668F"/>
    <w:rsid w:val="00A366DE"/>
    <w:rsid w:val="00A367BB"/>
    <w:rsid w:val="00A36BDE"/>
    <w:rsid w:val="00A376B8"/>
    <w:rsid w:val="00A3773C"/>
    <w:rsid w:val="00A37867"/>
    <w:rsid w:val="00A37BCD"/>
    <w:rsid w:val="00A37ED8"/>
    <w:rsid w:val="00A40058"/>
    <w:rsid w:val="00A40539"/>
    <w:rsid w:val="00A405FE"/>
    <w:rsid w:val="00A4098F"/>
    <w:rsid w:val="00A409E4"/>
    <w:rsid w:val="00A40F6F"/>
    <w:rsid w:val="00A41358"/>
    <w:rsid w:val="00A4153D"/>
    <w:rsid w:val="00A41689"/>
    <w:rsid w:val="00A4173D"/>
    <w:rsid w:val="00A41BF0"/>
    <w:rsid w:val="00A41C20"/>
    <w:rsid w:val="00A422D4"/>
    <w:rsid w:val="00A42592"/>
    <w:rsid w:val="00A42782"/>
    <w:rsid w:val="00A42791"/>
    <w:rsid w:val="00A42A03"/>
    <w:rsid w:val="00A42A7F"/>
    <w:rsid w:val="00A42CA4"/>
    <w:rsid w:val="00A42D3B"/>
    <w:rsid w:val="00A4302A"/>
    <w:rsid w:val="00A43213"/>
    <w:rsid w:val="00A4324A"/>
    <w:rsid w:val="00A43C59"/>
    <w:rsid w:val="00A4405F"/>
    <w:rsid w:val="00A44265"/>
    <w:rsid w:val="00A4442B"/>
    <w:rsid w:val="00A44452"/>
    <w:rsid w:val="00A4478D"/>
    <w:rsid w:val="00A45C70"/>
    <w:rsid w:val="00A45EC8"/>
    <w:rsid w:val="00A4626D"/>
    <w:rsid w:val="00A46626"/>
    <w:rsid w:val="00A46727"/>
    <w:rsid w:val="00A46B7D"/>
    <w:rsid w:val="00A46CAC"/>
    <w:rsid w:val="00A4719F"/>
    <w:rsid w:val="00A47299"/>
    <w:rsid w:val="00A475FA"/>
    <w:rsid w:val="00A47866"/>
    <w:rsid w:val="00A47884"/>
    <w:rsid w:val="00A47910"/>
    <w:rsid w:val="00A479EE"/>
    <w:rsid w:val="00A47B8B"/>
    <w:rsid w:val="00A5018C"/>
    <w:rsid w:val="00A50CA6"/>
    <w:rsid w:val="00A50CC4"/>
    <w:rsid w:val="00A50ECD"/>
    <w:rsid w:val="00A50F77"/>
    <w:rsid w:val="00A515FF"/>
    <w:rsid w:val="00A517C3"/>
    <w:rsid w:val="00A5185F"/>
    <w:rsid w:val="00A518F3"/>
    <w:rsid w:val="00A5193B"/>
    <w:rsid w:val="00A51E20"/>
    <w:rsid w:val="00A51F13"/>
    <w:rsid w:val="00A5231A"/>
    <w:rsid w:val="00A52465"/>
    <w:rsid w:val="00A52489"/>
    <w:rsid w:val="00A52729"/>
    <w:rsid w:val="00A5283C"/>
    <w:rsid w:val="00A52A52"/>
    <w:rsid w:val="00A52B41"/>
    <w:rsid w:val="00A52BDD"/>
    <w:rsid w:val="00A53402"/>
    <w:rsid w:val="00A53547"/>
    <w:rsid w:val="00A535E0"/>
    <w:rsid w:val="00A53675"/>
    <w:rsid w:val="00A537AC"/>
    <w:rsid w:val="00A538A1"/>
    <w:rsid w:val="00A53A4E"/>
    <w:rsid w:val="00A53B71"/>
    <w:rsid w:val="00A53F53"/>
    <w:rsid w:val="00A5545C"/>
    <w:rsid w:val="00A55706"/>
    <w:rsid w:val="00A55C34"/>
    <w:rsid w:val="00A55E6C"/>
    <w:rsid w:val="00A55ED3"/>
    <w:rsid w:val="00A56190"/>
    <w:rsid w:val="00A56411"/>
    <w:rsid w:val="00A5644D"/>
    <w:rsid w:val="00A564D7"/>
    <w:rsid w:val="00A56B6A"/>
    <w:rsid w:val="00A57079"/>
    <w:rsid w:val="00A578DC"/>
    <w:rsid w:val="00A57DB1"/>
    <w:rsid w:val="00A57E8E"/>
    <w:rsid w:val="00A6057D"/>
    <w:rsid w:val="00A606B5"/>
    <w:rsid w:val="00A609DC"/>
    <w:rsid w:val="00A60B6B"/>
    <w:rsid w:val="00A60C88"/>
    <w:rsid w:val="00A6152D"/>
    <w:rsid w:val="00A61806"/>
    <w:rsid w:val="00A61AFA"/>
    <w:rsid w:val="00A6207F"/>
    <w:rsid w:val="00A623BD"/>
    <w:rsid w:val="00A62468"/>
    <w:rsid w:val="00A62B20"/>
    <w:rsid w:val="00A630BF"/>
    <w:rsid w:val="00A63860"/>
    <w:rsid w:val="00A63AE3"/>
    <w:rsid w:val="00A640E2"/>
    <w:rsid w:val="00A6415B"/>
    <w:rsid w:val="00A6458F"/>
    <w:rsid w:val="00A6461B"/>
    <w:rsid w:val="00A648D6"/>
    <w:rsid w:val="00A64CC3"/>
    <w:rsid w:val="00A64D65"/>
    <w:rsid w:val="00A64F2E"/>
    <w:rsid w:val="00A65054"/>
    <w:rsid w:val="00A65618"/>
    <w:rsid w:val="00A6578E"/>
    <w:rsid w:val="00A65996"/>
    <w:rsid w:val="00A65B6B"/>
    <w:rsid w:val="00A65E20"/>
    <w:rsid w:val="00A66791"/>
    <w:rsid w:val="00A669CA"/>
    <w:rsid w:val="00A66A04"/>
    <w:rsid w:val="00A66BDD"/>
    <w:rsid w:val="00A6725B"/>
    <w:rsid w:val="00A67407"/>
    <w:rsid w:val="00A679F2"/>
    <w:rsid w:val="00A67A38"/>
    <w:rsid w:val="00A67AF1"/>
    <w:rsid w:val="00A67DD6"/>
    <w:rsid w:val="00A67F1C"/>
    <w:rsid w:val="00A7003B"/>
    <w:rsid w:val="00A700C2"/>
    <w:rsid w:val="00A70120"/>
    <w:rsid w:val="00A705C6"/>
    <w:rsid w:val="00A70605"/>
    <w:rsid w:val="00A7078E"/>
    <w:rsid w:val="00A70990"/>
    <w:rsid w:val="00A709FA"/>
    <w:rsid w:val="00A70CEA"/>
    <w:rsid w:val="00A71131"/>
    <w:rsid w:val="00A71280"/>
    <w:rsid w:val="00A712BA"/>
    <w:rsid w:val="00A71380"/>
    <w:rsid w:val="00A71667"/>
    <w:rsid w:val="00A71A9C"/>
    <w:rsid w:val="00A72794"/>
    <w:rsid w:val="00A727BA"/>
    <w:rsid w:val="00A728B4"/>
    <w:rsid w:val="00A72C4E"/>
    <w:rsid w:val="00A72EFB"/>
    <w:rsid w:val="00A730E3"/>
    <w:rsid w:val="00A73134"/>
    <w:rsid w:val="00A7365A"/>
    <w:rsid w:val="00A73840"/>
    <w:rsid w:val="00A73BDD"/>
    <w:rsid w:val="00A73BE6"/>
    <w:rsid w:val="00A73E50"/>
    <w:rsid w:val="00A73FBC"/>
    <w:rsid w:val="00A741D6"/>
    <w:rsid w:val="00A748B4"/>
    <w:rsid w:val="00A74ADD"/>
    <w:rsid w:val="00A74C9F"/>
    <w:rsid w:val="00A74CA4"/>
    <w:rsid w:val="00A74D1E"/>
    <w:rsid w:val="00A74E3F"/>
    <w:rsid w:val="00A7502A"/>
    <w:rsid w:val="00A7517D"/>
    <w:rsid w:val="00A7521A"/>
    <w:rsid w:val="00A757B4"/>
    <w:rsid w:val="00A75B7E"/>
    <w:rsid w:val="00A75BBF"/>
    <w:rsid w:val="00A75CC2"/>
    <w:rsid w:val="00A75D4D"/>
    <w:rsid w:val="00A76001"/>
    <w:rsid w:val="00A763E1"/>
    <w:rsid w:val="00A765CD"/>
    <w:rsid w:val="00A766EB"/>
    <w:rsid w:val="00A76DBC"/>
    <w:rsid w:val="00A770E1"/>
    <w:rsid w:val="00A77249"/>
    <w:rsid w:val="00A77264"/>
    <w:rsid w:val="00A77292"/>
    <w:rsid w:val="00A77451"/>
    <w:rsid w:val="00A774C9"/>
    <w:rsid w:val="00A7758F"/>
    <w:rsid w:val="00A777B2"/>
    <w:rsid w:val="00A77832"/>
    <w:rsid w:val="00A778C6"/>
    <w:rsid w:val="00A77BEC"/>
    <w:rsid w:val="00A77D06"/>
    <w:rsid w:val="00A80411"/>
    <w:rsid w:val="00A8068D"/>
    <w:rsid w:val="00A80992"/>
    <w:rsid w:val="00A80C75"/>
    <w:rsid w:val="00A80D4F"/>
    <w:rsid w:val="00A80E8D"/>
    <w:rsid w:val="00A80FE8"/>
    <w:rsid w:val="00A81385"/>
    <w:rsid w:val="00A81610"/>
    <w:rsid w:val="00A81B81"/>
    <w:rsid w:val="00A81C0B"/>
    <w:rsid w:val="00A8231B"/>
    <w:rsid w:val="00A82348"/>
    <w:rsid w:val="00A823D4"/>
    <w:rsid w:val="00A825D4"/>
    <w:rsid w:val="00A826A3"/>
    <w:rsid w:val="00A828B3"/>
    <w:rsid w:val="00A828F6"/>
    <w:rsid w:val="00A82B73"/>
    <w:rsid w:val="00A82BF5"/>
    <w:rsid w:val="00A82CE0"/>
    <w:rsid w:val="00A830B3"/>
    <w:rsid w:val="00A83195"/>
    <w:rsid w:val="00A8345E"/>
    <w:rsid w:val="00A839EE"/>
    <w:rsid w:val="00A83CFE"/>
    <w:rsid w:val="00A83E95"/>
    <w:rsid w:val="00A83F22"/>
    <w:rsid w:val="00A83F69"/>
    <w:rsid w:val="00A8434D"/>
    <w:rsid w:val="00A844CE"/>
    <w:rsid w:val="00A847C0"/>
    <w:rsid w:val="00A847CB"/>
    <w:rsid w:val="00A84CA6"/>
    <w:rsid w:val="00A84D65"/>
    <w:rsid w:val="00A852AB"/>
    <w:rsid w:val="00A853BF"/>
    <w:rsid w:val="00A854E7"/>
    <w:rsid w:val="00A85537"/>
    <w:rsid w:val="00A8581C"/>
    <w:rsid w:val="00A86556"/>
    <w:rsid w:val="00A8662C"/>
    <w:rsid w:val="00A86664"/>
    <w:rsid w:val="00A86A98"/>
    <w:rsid w:val="00A86DC5"/>
    <w:rsid w:val="00A86E8B"/>
    <w:rsid w:val="00A87164"/>
    <w:rsid w:val="00A87506"/>
    <w:rsid w:val="00A877CC"/>
    <w:rsid w:val="00A879AF"/>
    <w:rsid w:val="00A879B4"/>
    <w:rsid w:val="00A87B5A"/>
    <w:rsid w:val="00A87F87"/>
    <w:rsid w:val="00A904D8"/>
    <w:rsid w:val="00A904E2"/>
    <w:rsid w:val="00A908FF"/>
    <w:rsid w:val="00A90970"/>
    <w:rsid w:val="00A90A8D"/>
    <w:rsid w:val="00A90AB6"/>
    <w:rsid w:val="00A90C94"/>
    <w:rsid w:val="00A90DE1"/>
    <w:rsid w:val="00A90EDF"/>
    <w:rsid w:val="00A90FD7"/>
    <w:rsid w:val="00A90FE3"/>
    <w:rsid w:val="00A91075"/>
    <w:rsid w:val="00A910FD"/>
    <w:rsid w:val="00A912D3"/>
    <w:rsid w:val="00A91CE0"/>
    <w:rsid w:val="00A9201B"/>
    <w:rsid w:val="00A92552"/>
    <w:rsid w:val="00A92919"/>
    <w:rsid w:val="00A929E9"/>
    <w:rsid w:val="00A92CD6"/>
    <w:rsid w:val="00A92FF2"/>
    <w:rsid w:val="00A93072"/>
    <w:rsid w:val="00A93130"/>
    <w:rsid w:val="00A9315C"/>
    <w:rsid w:val="00A935CD"/>
    <w:rsid w:val="00A937A1"/>
    <w:rsid w:val="00A938BD"/>
    <w:rsid w:val="00A93953"/>
    <w:rsid w:val="00A93BF5"/>
    <w:rsid w:val="00A941C7"/>
    <w:rsid w:val="00A9424C"/>
    <w:rsid w:val="00A9446F"/>
    <w:rsid w:val="00A94668"/>
    <w:rsid w:val="00A9491A"/>
    <w:rsid w:val="00A94A09"/>
    <w:rsid w:val="00A94B99"/>
    <w:rsid w:val="00A94F1F"/>
    <w:rsid w:val="00A95471"/>
    <w:rsid w:val="00A9576A"/>
    <w:rsid w:val="00A959D8"/>
    <w:rsid w:val="00A95B12"/>
    <w:rsid w:val="00A96058"/>
    <w:rsid w:val="00A9609B"/>
    <w:rsid w:val="00A9654C"/>
    <w:rsid w:val="00A9665E"/>
    <w:rsid w:val="00A967C1"/>
    <w:rsid w:val="00A96CE0"/>
    <w:rsid w:val="00A96D05"/>
    <w:rsid w:val="00A96D8D"/>
    <w:rsid w:val="00A96E6D"/>
    <w:rsid w:val="00A96EC6"/>
    <w:rsid w:val="00A96ED7"/>
    <w:rsid w:val="00A973AC"/>
    <w:rsid w:val="00A9795F"/>
    <w:rsid w:val="00AA0A95"/>
    <w:rsid w:val="00AA113D"/>
    <w:rsid w:val="00AA1292"/>
    <w:rsid w:val="00AA1296"/>
    <w:rsid w:val="00AA12FA"/>
    <w:rsid w:val="00AA1A74"/>
    <w:rsid w:val="00AA1D1C"/>
    <w:rsid w:val="00AA1E9F"/>
    <w:rsid w:val="00AA200E"/>
    <w:rsid w:val="00AA2034"/>
    <w:rsid w:val="00AA22DA"/>
    <w:rsid w:val="00AA25BB"/>
    <w:rsid w:val="00AA2915"/>
    <w:rsid w:val="00AA337C"/>
    <w:rsid w:val="00AA34E3"/>
    <w:rsid w:val="00AA3522"/>
    <w:rsid w:val="00AA3523"/>
    <w:rsid w:val="00AA3A1F"/>
    <w:rsid w:val="00AA3AC0"/>
    <w:rsid w:val="00AA4293"/>
    <w:rsid w:val="00AA4756"/>
    <w:rsid w:val="00AA4937"/>
    <w:rsid w:val="00AA4ADD"/>
    <w:rsid w:val="00AA4D4C"/>
    <w:rsid w:val="00AA4DE6"/>
    <w:rsid w:val="00AA4E75"/>
    <w:rsid w:val="00AA4EEF"/>
    <w:rsid w:val="00AA500E"/>
    <w:rsid w:val="00AA543B"/>
    <w:rsid w:val="00AA563D"/>
    <w:rsid w:val="00AA5DF7"/>
    <w:rsid w:val="00AA5E5A"/>
    <w:rsid w:val="00AA5FE3"/>
    <w:rsid w:val="00AA64A7"/>
    <w:rsid w:val="00AA6728"/>
    <w:rsid w:val="00AA6BD5"/>
    <w:rsid w:val="00AA6BD8"/>
    <w:rsid w:val="00AA6C7D"/>
    <w:rsid w:val="00AA6DFB"/>
    <w:rsid w:val="00AA6F99"/>
    <w:rsid w:val="00AA7A9A"/>
    <w:rsid w:val="00AA7D20"/>
    <w:rsid w:val="00AA7FD6"/>
    <w:rsid w:val="00AB005E"/>
    <w:rsid w:val="00AB0168"/>
    <w:rsid w:val="00AB035F"/>
    <w:rsid w:val="00AB042A"/>
    <w:rsid w:val="00AB0819"/>
    <w:rsid w:val="00AB09DA"/>
    <w:rsid w:val="00AB0E6F"/>
    <w:rsid w:val="00AB0F28"/>
    <w:rsid w:val="00AB11AD"/>
    <w:rsid w:val="00AB15A2"/>
    <w:rsid w:val="00AB171C"/>
    <w:rsid w:val="00AB17D8"/>
    <w:rsid w:val="00AB19EF"/>
    <w:rsid w:val="00AB1BB3"/>
    <w:rsid w:val="00AB1E72"/>
    <w:rsid w:val="00AB1E82"/>
    <w:rsid w:val="00AB2495"/>
    <w:rsid w:val="00AB281D"/>
    <w:rsid w:val="00AB2B59"/>
    <w:rsid w:val="00AB2BAE"/>
    <w:rsid w:val="00AB2C70"/>
    <w:rsid w:val="00AB2CC5"/>
    <w:rsid w:val="00AB2D34"/>
    <w:rsid w:val="00AB2F08"/>
    <w:rsid w:val="00AB2F0E"/>
    <w:rsid w:val="00AB338D"/>
    <w:rsid w:val="00AB3430"/>
    <w:rsid w:val="00AB37B9"/>
    <w:rsid w:val="00AB37E7"/>
    <w:rsid w:val="00AB3888"/>
    <w:rsid w:val="00AB3BCC"/>
    <w:rsid w:val="00AB3FFF"/>
    <w:rsid w:val="00AB4025"/>
    <w:rsid w:val="00AB409D"/>
    <w:rsid w:val="00AB4146"/>
    <w:rsid w:val="00AB4202"/>
    <w:rsid w:val="00AB4264"/>
    <w:rsid w:val="00AB465A"/>
    <w:rsid w:val="00AB46C6"/>
    <w:rsid w:val="00AB47CA"/>
    <w:rsid w:val="00AB4A65"/>
    <w:rsid w:val="00AB4AD1"/>
    <w:rsid w:val="00AB4B10"/>
    <w:rsid w:val="00AB4CC0"/>
    <w:rsid w:val="00AB4CC5"/>
    <w:rsid w:val="00AB4CD5"/>
    <w:rsid w:val="00AB4D7F"/>
    <w:rsid w:val="00AB50AC"/>
    <w:rsid w:val="00AB5200"/>
    <w:rsid w:val="00AB57B3"/>
    <w:rsid w:val="00AB58C1"/>
    <w:rsid w:val="00AB5B27"/>
    <w:rsid w:val="00AB5E07"/>
    <w:rsid w:val="00AB5FAE"/>
    <w:rsid w:val="00AB651B"/>
    <w:rsid w:val="00AB68A5"/>
    <w:rsid w:val="00AB7053"/>
    <w:rsid w:val="00AB71A3"/>
    <w:rsid w:val="00AB72B3"/>
    <w:rsid w:val="00AB7595"/>
    <w:rsid w:val="00AB76B5"/>
    <w:rsid w:val="00AB79CC"/>
    <w:rsid w:val="00AB7CFA"/>
    <w:rsid w:val="00AB7E73"/>
    <w:rsid w:val="00AC0182"/>
    <w:rsid w:val="00AC04D8"/>
    <w:rsid w:val="00AC06DA"/>
    <w:rsid w:val="00AC0A2D"/>
    <w:rsid w:val="00AC0CF5"/>
    <w:rsid w:val="00AC0F4B"/>
    <w:rsid w:val="00AC1580"/>
    <w:rsid w:val="00AC19C2"/>
    <w:rsid w:val="00AC1BF3"/>
    <w:rsid w:val="00AC1C19"/>
    <w:rsid w:val="00AC251B"/>
    <w:rsid w:val="00AC2738"/>
    <w:rsid w:val="00AC2B92"/>
    <w:rsid w:val="00AC2C6B"/>
    <w:rsid w:val="00AC3102"/>
    <w:rsid w:val="00AC310B"/>
    <w:rsid w:val="00AC384A"/>
    <w:rsid w:val="00AC3951"/>
    <w:rsid w:val="00AC40C2"/>
    <w:rsid w:val="00AC44AB"/>
    <w:rsid w:val="00AC4AED"/>
    <w:rsid w:val="00AC4E7C"/>
    <w:rsid w:val="00AC4F55"/>
    <w:rsid w:val="00AC502A"/>
    <w:rsid w:val="00AC5577"/>
    <w:rsid w:val="00AC5941"/>
    <w:rsid w:val="00AC5B42"/>
    <w:rsid w:val="00AC5B48"/>
    <w:rsid w:val="00AC5B95"/>
    <w:rsid w:val="00AC5C1B"/>
    <w:rsid w:val="00AC5DDE"/>
    <w:rsid w:val="00AC5F16"/>
    <w:rsid w:val="00AC5F63"/>
    <w:rsid w:val="00AC603B"/>
    <w:rsid w:val="00AC6340"/>
    <w:rsid w:val="00AC683D"/>
    <w:rsid w:val="00AC696C"/>
    <w:rsid w:val="00AC6A89"/>
    <w:rsid w:val="00AC6DBC"/>
    <w:rsid w:val="00AC6F1F"/>
    <w:rsid w:val="00AC6F74"/>
    <w:rsid w:val="00AC7036"/>
    <w:rsid w:val="00AC72E1"/>
    <w:rsid w:val="00AC77EC"/>
    <w:rsid w:val="00AC7C1E"/>
    <w:rsid w:val="00AD00F2"/>
    <w:rsid w:val="00AD0369"/>
    <w:rsid w:val="00AD0926"/>
    <w:rsid w:val="00AD0B66"/>
    <w:rsid w:val="00AD0BC3"/>
    <w:rsid w:val="00AD120B"/>
    <w:rsid w:val="00AD12C4"/>
    <w:rsid w:val="00AD13F7"/>
    <w:rsid w:val="00AD1450"/>
    <w:rsid w:val="00AD15D2"/>
    <w:rsid w:val="00AD15E8"/>
    <w:rsid w:val="00AD16DA"/>
    <w:rsid w:val="00AD1784"/>
    <w:rsid w:val="00AD178C"/>
    <w:rsid w:val="00AD18F8"/>
    <w:rsid w:val="00AD1BF4"/>
    <w:rsid w:val="00AD1D32"/>
    <w:rsid w:val="00AD1FA2"/>
    <w:rsid w:val="00AD205E"/>
    <w:rsid w:val="00AD2353"/>
    <w:rsid w:val="00AD31A9"/>
    <w:rsid w:val="00AD3201"/>
    <w:rsid w:val="00AD3210"/>
    <w:rsid w:val="00AD3478"/>
    <w:rsid w:val="00AD356D"/>
    <w:rsid w:val="00AD35DD"/>
    <w:rsid w:val="00AD3602"/>
    <w:rsid w:val="00AD368D"/>
    <w:rsid w:val="00AD3B5C"/>
    <w:rsid w:val="00AD421B"/>
    <w:rsid w:val="00AD42CE"/>
    <w:rsid w:val="00AD42E7"/>
    <w:rsid w:val="00AD42E9"/>
    <w:rsid w:val="00AD44A1"/>
    <w:rsid w:val="00AD4634"/>
    <w:rsid w:val="00AD530C"/>
    <w:rsid w:val="00AD5790"/>
    <w:rsid w:val="00AD5A04"/>
    <w:rsid w:val="00AD5BCB"/>
    <w:rsid w:val="00AD61BF"/>
    <w:rsid w:val="00AD627B"/>
    <w:rsid w:val="00AD6483"/>
    <w:rsid w:val="00AD6502"/>
    <w:rsid w:val="00AD66A5"/>
    <w:rsid w:val="00AD6A3E"/>
    <w:rsid w:val="00AD6AF8"/>
    <w:rsid w:val="00AD7654"/>
    <w:rsid w:val="00AD7708"/>
    <w:rsid w:val="00AD7709"/>
    <w:rsid w:val="00AD7D7D"/>
    <w:rsid w:val="00AE0267"/>
    <w:rsid w:val="00AE05E6"/>
    <w:rsid w:val="00AE0695"/>
    <w:rsid w:val="00AE079A"/>
    <w:rsid w:val="00AE085C"/>
    <w:rsid w:val="00AE0A9E"/>
    <w:rsid w:val="00AE0ABF"/>
    <w:rsid w:val="00AE0FD6"/>
    <w:rsid w:val="00AE10EC"/>
    <w:rsid w:val="00AE1635"/>
    <w:rsid w:val="00AE1BCB"/>
    <w:rsid w:val="00AE1C4E"/>
    <w:rsid w:val="00AE1E39"/>
    <w:rsid w:val="00AE244A"/>
    <w:rsid w:val="00AE2486"/>
    <w:rsid w:val="00AE248B"/>
    <w:rsid w:val="00AE25A7"/>
    <w:rsid w:val="00AE29E5"/>
    <w:rsid w:val="00AE2B08"/>
    <w:rsid w:val="00AE2D0C"/>
    <w:rsid w:val="00AE2D43"/>
    <w:rsid w:val="00AE2F6A"/>
    <w:rsid w:val="00AE3196"/>
    <w:rsid w:val="00AE322B"/>
    <w:rsid w:val="00AE3B1A"/>
    <w:rsid w:val="00AE3CFC"/>
    <w:rsid w:val="00AE3E7E"/>
    <w:rsid w:val="00AE401A"/>
    <w:rsid w:val="00AE4306"/>
    <w:rsid w:val="00AE43EA"/>
    <w:rsid w:val="00AE4591"/>
    <w:rsid w:val="00AE4BB6"/>
    <w:rsid w:val="00AE4D09"/>
    <w:rsid w:val="00AE53F6"/>
    <w:rsid w:val="00AE5457"/>
    <w:rsid w:val="00AE54C5"/>
    <w:rsid w:val="00AE5991"/>
    <w:rsid w:val="00AE5CBB"/>
    <w:rsid w:val="00AE5F29"/>
    <w:rsid w:val="00AE6BC6"/>
    <w:rsid w:val="00AE6E43"/>
    <w:rsid w:val="00AE7B38"/>
    <w:rsid w:val="00AE7E53"/>
    <w:rsid w:val="00AE7E5D"/>
    <w:rsid w:val="00AF0B41"/>
    <w:rsid w:val="00AF111F"/>
    <w:rsid w:val="00AF117F"/>
    <w:rsid w:val="00AF12F1"/>
    <w:rsid w:val="00AF1315"/>
    <w:rsid w:val="00AF138A"/>
    <w:rsid w:val="00AF16A0"/>
    <w:rsid w:val="00AF174D"/>
    <w:rsid w:val="00AF19BF"/>
    <w:rsid w:val="00AF2196"/>
    <w:rsid w:val="00AF2DC3"/>
    <w:rsid w:val="00AF2F6F"/>
    <w:rsid w:val="00AF37A1"/>
    <w:rsid w:val="00AF42DD"/>
    <w:rsid w:val="00AF4880"/>
    <w:rsid w:val="00AF4929"/>
    <w:rsid w:val="00AF4ACF"/>
    <w:rsid w:val="00AF4CB9"/>
    <w:rsid w:val="00AF530C"/>
    <w:rsid w:val="00AF57A8"/>
    <w:rsid w:val="00AF5968"/>
    <w:rsid w:val="00AF5BD0"/>
    <w:rsid w:val="00AF5E91"/>
    <w:rsid w:val="00AF658B"/>
    <w:rsid w:val="00AF67B6"/>
    <w:rsid w:val="00AF6834"/>
    <w:rsid w:val="00AF76B3"/>
    <w:rsid w:val="00AF7965"/>
    <w:rsid w:val="00B0006D"/>
    <w:rsid w:val="00B0038C"/>
    <w:rsid w:val="00B00B17"/>
    <w:rsid w:val="00B0101C"/>
    <w:rsid w:val="00B012CA"/>
    <w:rsid w:val="00B012D3"/>
    <w:rsid w:val="00B014E1"/>
    <w:rsid w:val="00B01524"/>
    <w:rsid w:val="00B018F4"/>
    <w:rsid w:val="00B019C9"/>
    <w:rsid w:val="00B01A09"/>
    <w:rsid w:val="00B01A60"/>
    <w:rsid w:val="00B01E49"/>
    <w:rsid w:val="00B02022"/>
    <w:rsid w:val="00B0209B"/>
    <w:rsid w:val="00B0283F"/>
    <w:rsid w:val="00B02B66"/>
    <w:rsid w:val="00B02FB4"/>
    <w:rsid w:val="00B030E8"/>
    <w:rsid w:val="00B0318C"/>
    <w:rsid w:val="00B033E5"/>
    <w:rsid w:val="00B03629"/>
    <w:rsid w:val="00B03718"/>
    <w:rsid w:val="00B0394B"/>
    <w:rsid w:val="00B03A63"/>
    <w:rsid w:val="00B03CDD"/>
    <w:rsid w:val="00B03E44"/>
    <w:rsid w:val="00B04133"/>
    <w:rsid w:val="00B044C9"/>
    <w:rsid w:val="00B0452D"/>
    <w:rsid w:val="00B049D6"/>
    <w:rsid w:val="00B04CF6"/>
    <w:rsid w:val="00B051E1"/>
    <w:rsid w:val="00B05425"/>
    <w:rsid w:val="00B05463"/>
    <w:rsid w:val="00B059DA"/>
    <w:rsid w:val="00B05A8A"/>
    <w:rsid w:val="00B05F32"/>
    <w:rsid w:val="00B0663A"/>
    <w:rsid w:val="00B06C35"/>
    <w:rsid w:val="00B06E30"/>
    <w:rsid w:val="00B06EDB"/>
    <w:rsid w:val="00B073BD"/>
    <w:rsid w:val="00B073DA"/>
    <w:rsid w:val="00B073DF"/>
    <w:rsid w:val="00B074A1"/>
    <w:rsid w:val="00B074E6"/>
    <w:rsid w:val="00B07606"/>
    <w:rsid w:val="00B07921"/>
    <w:rsid w:val="00B07ADF"/>
    <w:rsid w:val="00B07E63"/>
    <w:rsid w:val="00B102D3"/>
    <w:rsid w:val="00B1032C"/>
    <w:rsid w:val="00B10419"/>
    <w:rsid w:val="00B104A1"/>
    <w:rsid w:val="00B1062A"/>
    <w:rsid w:val="00B10AC9"/>
    <w:rsid w:val="00B10DF8"/>
    <w:rsid w:val="00B115DF"/>
    <w:rsid w:val="00B1180B"/>
    <w:rsid w:val="00B11B4E"/>
    <w:rsid w:val="00B11BD2"/>
    <w:rsid w:val="00B11C19"/>
    <w:rsid w:val="00B11F02"/>
    <w:rsid w:val="00B123E7"/>
    <w:rsid w:val="00B124C0"/>
    <w:rsid w:val="00B125D6"/>
    <w:rsid w:val="00B128F8"/>
    <w:rsid w:val="00B129A4"/>
    <w:rsid w:val="00B12A29"/>
    <w:rsid w:val="00B12DEE"/>
    <w:rsid w:val="00B131B5"/>
    <w:rsid w:val="00B133C0"/>
    <w:rsid w:val="00B13AAF"/>
    <w:rsid w:val="00B13EE2"/>
    <w:rsid w:val="00B145E0"/>
    <w:rsid w:val="00B14B1D"/>
    <w:rsid w:val="00B15297"/>
    <w:rsid w:val="00B15CF9"/>
    <w:rsid w:val="00B1607A"/>
    <w:rsid w:val="00B1627E"/>
    <w:rsid w:val="00B1641D"/>
    <w:rsid w:val="00B16D58"/>
    <w:rsid w:val="00B16D75"/>
    <w:rsid w:val="00B1729E"/>
    <w:rsid w:val="00B17593"/>
    <w:rsid w:val="00B176EB"/>
    <w:rsid w:val="00B1796E"/>
    <w:rsid w:val="00B17B73"/>
    <w:rsid w:val="00B17BB1"/>
    <w:rsid w:val="00B201A4"/>
    <w:rsid w:val="00B201D1"/>
    <w:rsid w:val="00B202DC"/>
    <w:rsid w:val="00B202DE"/>
    <w:rsid w:val="00B2049C"/>
    <w:rsid w:val="00B205C4"/>
    <w:rsid w:val="00B2067A"/>
    <w:rsid w:val="00B20878"/>
    <w:rsid w:val="00B2093D"/>
    <w:rsid w:val="00B20D9E"/>
    <w:rsid w:val="00B20F51"/>
    <w:rsid w:val="00B213A6"/>
    <w:rsid w:val="00B213EF"/>
    <w:rsid w:val="00B2142F"/>
    <w:rsid w:val="00B216AC"/>
    <w:rsid w:val="00B21907"/>
    <w:rsid w:val="00B21953"/>
    <w:rsid w:val="00B21D95"/>
    <w:rsid w:val="00B21F34"/>
    <w:rsid w:val="00B21FBE"/>
    <w:rsid w:val="00B22016"/>
    <w:rsid w:val="00B22266"/>
    <w:rsid w:val="00B227B4"/>
    <w:rsid w:val="00B22E41"/>
    <w:rsid w:val="00B2358B"/>
    <w:rsid w:val="00B235B0"/>
    <w:rsid w:val="00B2374A"/>
    <w:rsid w:val="00B23871"/>
    <w:rsid w:val="00B23ABC"/>
    <w:rsid w:val="00B23C28"/>
    <w:rsid w:val="00B241D8"/>
    <w:rsid w:val="00B24274"/>
    <w:rsid w:val="00B247B3"/>
    <w:rsid w:val="00B24A61"/>
    <w:rsid w:val="00B24DF6"/>
    <w:rsid w:val="00B24E5D"/>
    <w:rsid w:val="00B252F9"/>
    <w:rsid w:val="00B25D09"/>
    <w:rsid w:val="00B25D1D"/>
    <w:rsid w:val="00B25D9B"/>
    <w:rsid w:val="00B25DB9"/>
    <w:rsid w:val="00B26752"/>
    <w:rsid w:val="00B267FC"/>
    <w:rsid w:val="00B26B48"/>
    <w:rsid w:val="00B26FBC"/>
    <w:rsid w:val="00B2712F"/>
    <w:rsid w:val="00B277AB"/>
    <w:rsid w:val="00B27A61"/>
    <w:rsid w:val="00B27F56"/>
    <w:rsid w:val="00B27F7F"/>
    <w:rsid w:val="00B30086"/>
    <w:rsid w:val="00B301DA"/>
    <w:rsid w:val="00B3046D"/>
    <w:rsid w:val="00B3092A"/>
    <w:rsid w:val="00B309AF"/>
    <w:rsid w:val="00B30C16"/>
    <w:rsid w:val="00B30F75"/>
    <w:rsid w:val="00B31308"/>
    <w:rsid w:val="00B31534"/>
    <w:rsid w:val="00B31865"/>
    <w:rsid w:val="00B31942"/>
    <w:rsid w:val="00B3264B"/>
    <w:rsid w:val="00B329D0"/>
    <w:rsid w:val="00B330D7"/>
    <w:rsid w:val="00B33140"/>
    <w:rsid w:val="00B33893"/>
    <w:rsid w:val="00B34858"/>
    <w:rsid w:val="00B349F3"/>
    <w:rsid w:val="00B34E47"/>
    <w:rsid w:val="00B34EFF"/>
    <w:rsid w:val="00B34FE2"/>
    <w:rsid w:val="00B35166"/>
    <w:rsid w:val="00B357D8"/>
    <w:rsid w:val="00B358A4"/>
    <w:rsid w:val="00B35B59"/>
    <w:rsid w:val="00B35BD5"/>
    <w:rsid w:val="00B35C7A"/>
    <w:rsid w:val="00B360F4"/>
    <w:rsid w:val="00B36351"/>
    <w:rsid w:val="00B367C2"/>
    <w:rsid w:val="00B3699B"/>
    <w:rsid w:val="00B36A00"/>
    <w:rsid w:val="00B36A49"/>
    <w:rsid w:val="00B36DE7"/>
    <w:rsid w:val="00B376AE"/>
    <w:rsid w:val="00B37776"/>
    <w:rsid w:val="00B3792B"/>
    <w:rsid w:val="00B3796A"/>
    <w:rsid w:val="00B37BFC"/>
    <w:rsid w:val="00B37DDC"/>
    <w:rsid w:val="00B37E9E"/>
    <w:rsid w:val="00B37FF0"/>
    <w:rsid w:val="00B40301"/>
    <w:rsid w:val="00B40358"/>
    <w:rsid w:val="00B40442"/>
    <w:rsid w:val="00B4045D"/>
    <w:rsid w:val="00B40598"/>
    <w:rsid w:val="00B4067B"/>
    <w:rsid w:val="00B40732"/>
    <w:rsid w:val="00B40750"/>
    <w:rsid w:val="00B4076C"/>
    <w:rsid w:val="00B40A7A"/>
    <w:rsid w:val="00B40AB9"/>
    <w:rsid w:val="00B40AF6"/>
    <w:rsid w:val="00B40BCD"/>
    <w:rsid w:val="00B4128C"/>
    <w:rsid w:val="00B41486"/>
    <w:rsid w:val="00B414BE"/>
    <w:rsid w:val="00B41592"/>
    <w:rsid w:val="00B41614"/>
    <w:rsid w:val="00B4172C"/>
    <w:rsid w:val="00B419B5"/>
    <w:rsid w:val="00B41A09"/>
    <w:rsid w:val="00B41D62"/>
    <w:rsid w:val="00B41E93"/>
    <w:rsid w:val="00B4243B"/>
    <w:rsid w:val="00B42851"/>
    <w:rsid w:val="00B428CE"/>
    <w:rsid w:val="00B42F80"/>
    <w:rsid w:val="00B42FD6"/>
    <w:rsid w:val="00B430EA"/>
    <w:rsid w:val="00B435CB"/>
    <w:rsid w:val="00B43715"/>
    <w:rsid w:val="00B43A9D"/>
    <w:rsid w:val="00B43AF3"/>
    <w:rsid w:val="00B43BFA"/>
    <w:rsid w:val="00B43EE6"/>
    <w:rsid w:val="00B440FF"/>
    <w:rsid w:val="00B450CB"/>
    <w:rsid w:val="00B45A0E"/>
    <w:rsid w:val="00B461B3"/>
    <w:rsid w:val="00B465EC"/>
    <w:rsid w:val="00B4689D"/>
    <w:rsid w:val="00B4696B"/>
    <w:rsid w:val="00B46C2A"/>
    <w:rsid w:val="00B46F96"/>
    <w:rsid w:val="00B4705F"/>
    <w:rsid w:val="00B47218"/>
    <w:rsid w:val="00B473E9"/>
    <w:rsid w:val="00B4761B"/>
    <w:rsid w:val="00B47DD4"/>
    <w:rsid w:val="00B47E72"/>
    <w:rsid w:val="00B47F17"/>
    <w:rsid w:val="00B47FC4"/>
    <w:rsid w:val="00B500CD"/>
    <w:rsid w:val="00B5049A"/>
    <w:rsid w:val="00B50542"/>
    <w:rsid w:val="00B505C8"/>
    <w:rsid w:val="00B506FA"/>
    <w:rsid w:val="00B507FD"/>
    <w:rsid w:val="00B5081D"/>
    <w:rsid w:val="00B50DB8"/>
    <w:rsid w:val="00B50E18"/>
    <w:rsid w:val="00B51084"/>
    <w:rsid w:val="00B510AD"/>
    <w:rsid w:val="00B5113C"/>
    <w:rsid w:val="00B513A1"/>
    <w:rsid w:val="00B5149D"/>
    <w:rsid w:val="00B515FD"/>
    <w:rsid w:val="00B516BF"/>
    <w:rsid w:val="00B51899"/>
    <w:rsid w:val="00B51AAC"/>
    <w:rsid w:val="00B51BD5"/>
    <w:rsid w:val="00B51E34"/>
    <w:rsid w:val="00B51EB3"/>
    <w:rsid w:val="00B521F4"/>
    <w:rsid w:val="00B522D6"/>
    <w:rsid w:val="00B523A8"/>
    <w:rsid w:val="00B52776"/>
    <w:rsid w:val="00B52AD5"/>
    <w:rsid w:val="00B52C4E"/>
    <w:rsid w:val="00B52C8F"/>
    <w:rsid w:val="00B52DB0"/>
    <w:rsid w:val="00B5301E"/>
    <w:rsid w:val="00B531DA"/>
    <w:rsid w:val="00B53219"/>
    <w:rsid w:val="00B533D5"/>
    <w:rsid w:val="00B53559"/>
    <w:rsid w:val="00B53575"/>
    <w:rsid w:val="00B5357E"/>
    <w:rsid w:val="00B53654"/>
    <w:rsid w:val="00B53783"/>
    <w:rsid w:val="00B537B5"/>
    <w:rsid w:val="00B53905"/>
    <w:rsid w:val="00B53910"/>
    <w:rsid w:val="00B53D01"/>
    <w:rsid w:val="00B54350"/>
    <w:rsid w:val="00B54522"/>
    <w:rsid w:val="00B546DB"/>
    <w:rsid w:val="00B5471C"/>
    <w:rsid w:val="00B54B5B"/>
    <w:rsid w:val="00B54F8D"/>
    <w:rsid w:val="00B5562E"/>
    <w:rsid w:val="00B5585E"/>
    <w:rsid w:val="00B55862"/>
    <w:rsid w:val="00B55D65"/>
    <w:rsid w:val="00B55DC0"/>
    <w:rsid w:val="00B56305"/>
    <w:rsid w:val="00B568FF"/>
    <w:rsid w:val="00B56AFD"/>
    <w:rsid w:val="00B56D44"/>
    <w:rsid w:val="00B56D94"/>
    <w:rsid w:val="00B56E29"/>
    <w:rsid w:val="00B57000"/>
    <w:rsid w:val="00B57105"/>
    <w:rsid w:val="00B57583"/>
    <w:rsid w:val="00B5763F"/>
    <w:rsid w:val="00B576CF"/>
    <w:rsid w:val="00B577AF"/>
    <w:rsid w:val="00B57AA0"/>
    <w:rsid w:val="00B57EDB"/>
    <w:rsid w:val="00B60939"/>
    <w:rsid w:val="00B60AFD"/>
    <w:rsid w:val="00B60B1A"/>
    <w:rsid w:val="00B61283"/>
    <w:rsid w:val="00B6143A"/>
    <w:rsid w:val="00B614EF"/>
    <w:rsid w:val="00B617FA"/>
    <w:rsid w:val="00B61C92"/>
    <w:rsid w:val="00B62669"/>
    <w:rsid w:val="00B62715"/>
    <w:rsid w:val="00B62EE7"/>
    <w:rsid w:val="00B63106"/>
    <w:rsid w:val="00B6328A"/>
    <w:rsid w:val="00B63373"/>
    <w:rsid w:val="00B6366F"/>
    <w:rsid w:val="00B6371F"/>
    <w:rsid w:val="00B63760"/>
    <w:rsid w:val="00B63B49"/>
    <w:rsid w:val="00B63ED1"/>
    <w:rsid w:val="00B63F53"/>
    <w:rsid w:val="00B64551"/>
    <w:rsid w:val="00B64CD1"/>
    <w:rsid w:val="00B64FD3"/>
    <w:rsid w:val="00B6543D"/>
    <w:rsid w:val="00B65611"/>
    <w:rsid w:val="00B65AE0"/>
    <w:rsid w:val="00B65BD4"/>
    <w:rsid w:val="00B65FF1"/>
    <w:rsid w:val="00B66308"/>
    <w:rsid w:val="00B6634C"/>
    <w:rsid w:val="00B66599"/>
    <w:rsid w:val="00B66AA1"/>
    <w:rsid w:val="00B66ADF"/>
    <w:rsid w:val="00B66D6F"/>
    <w:rsid w:val="00B67021"/>
    <w:rsid w:val="00B6745C"/>
    <w:rsid w:val="00B67470"/>
    <w:rsid w:val="00B67823"/>
    <w:rsid w:val="00B6799A"/>
    <w:rsid w:val="00B67B51"/>
    <w:rsid w:val="00B70257"/>
    <w:rsid w:val="00B7033F"/>
    <w:rsid w:val="00B704C4"/>
    <w:rsid w:val="00B70E1B"/>
    <w:rsid w:val="00B70E8E"/>
    <w:rsid w:val="00B70F86"/>
    <w:rsid w:val="00B711DB"/>
    <w:rsid w:val="00B7142C"/>
    <w:rsid w:val="00B71483"/>
    <w:rsid w:val="00B716FB"/>
    <w:rsid w:val="00B71E6E"/>
    <w:rsid w:val="00B71F59"/>
    <w:rsid w:val="00B72819"/>
    <w:rsid w:val="00B72A52"/>
    <w:rsid w:val="00B72FC1"/>
    <w:rsid w:val="00B733DE"/>
    <w:rsid w:val="00B73769"/>
    <w:rsid w:val="00B73D3B"/>
    <w:rsid w:val="00B73EE2"/>
    <w:rsid w:val="00B7484A"/>
    <w:rsid w:val="00B7493E"/>
    <w:rsid w:val="00B74BAF"/>
    <w:rsid w:val="00B74C04"/>
    <w:rsid w:val="00B754F8"/>
    <w:rsid w:val="00B75CEA"/>
    <w:rsid w:val="00B75F86"/>
    <w:rsid w:val="00B76130"/>
    <w:rsid w:val="00B76281"/>
    <w:rsid w:val="00B76C92"/>
    <w:rsid w:val="00B76F59"/>
    <w:rsid w:val="00B7700F"/>
    <w:rsid w:val="00B77071"/>
    <w:rsid w:val="00B77154"/>
    <w:rsid w:val="00B77173"/>
    <w:rsid w:val="00B7719F"/>
    <w:rsid w:val="00B77258"/>
    <w:rsid w:val="00B77290"/>
    <w:rsid w:val="00B772F3"/>
    <w:rsid w:val="00B77364"/>
    <w:rsid w:val="00B779A9"/>
    <w:rsid w:val="00B77BA9"/>
    <w:rsid w:val="00B80117"/>
    <w:rsid w:val="00B803EE"/>
    <w:rsid w:val="00B803F3"/>
    <w:rsid w:val="00B8042E"/>
    <w:rsid w:val="00B806AF"/>
    <w:rsid w:val="00B80B70"/>
    <w:rsid w:val="00B80C7E"/>
    <w:rsid w:val="00B80EC1"/>
    <w:rsid w:val="00B80EFD"/>
    <w:rsid w:val="00B8162B"/>
    <w:rsid w:val="00B81838"/>
    <w:rsid w:val="00B818A4"/>
    <w:rsid w:val="00B81A9E"/>
    <w:rsid w:val="00B821F8"/>
    <w:rsid w:val="00B82870"/>
    <w:rsid w:val="00B82CB6"/>
    <w:rsid w:val="00B83602"/>
    <w:rsid w:val="00B836FD"/>
    <w:rsid w:val="00B83739"/>
    <w:rsid w:val="00B8384D"/>
    <w:rsid w:val="00B83AC8"/>
    <w:rsid w:val="00B83B19"/>
    <w:rsid w:val="00B83BE5"/>
    <w:rsid w:val="00B83C03"/>
    <w:rsid w:val="00B83C5C"/>
    <w:rsid w:val="00B84117"/>
    <w:rsid w:val="00B84828"/>
    <w:rsid w:val="00B84A4D"/>
    <w:rsid w:val="00B84BF7"/>
    <w:rsid w:val="00B84CED"/>
    <w:rsid w:val="00B850C6"/>
    <w:rsid w:val="00B85240"/>
    <w:rsid w:val="00B852F7"/>
    <w:rsid w:val="00B85378"/>
    <w:rsid w:val="00B8540C"/>
    <w:rsid w:val="00B85705"/>
    <w:rsid w:val="00B85774"/>
    <w:rsid w:val="00B858F0"/>
    <w:rsid w:val="00B85A61"/>
    <w:rsid w:val="00B85AA2"/>
    <w:rsid w:val="00B85F38"/>
    <w:rsid w:val="00B86094"/>
    <w:rsid w:val="00B8613A"/>
    <w:rsid w:val="00B8649C"/>
    <w:rsid w:val="00B867DE"/>
    <w:rsid w:val="00B8695D"/>
    <w:rsid w:val="00B86A69"/>
    <w:rsid w:val="00B86B12"/>
    <w:rsid w:val="00B87503"/>
    <w:rsid w:val="00B87795"/>
    <w:rsid w:val="00B87F0A"/>
    <w:rsid w:val="00B9033E"/>
    <w:rsid w:val="00B9045F"/>
    <w:rsid w:val="00B9046A"/>
    <w:rsid w:val="00B909DB"/>
    <w:rsid w:val="00B90BBB"/>
    <w:rsid w:val="00B90EC4"/>
    <w:rsid w:val="00B90FB3"/>
    <w:rsid w:val="00B9114C"/>
    <w:rsid w:val="00B91384"/>
    <w:rsid w:val="00B915E9"/>
    <w:rsid w:val="00B91811"/>
    <w:rsid w:val="00B918E9"/>
    <w:rsid w:val="00B91FA2"/>
    <w:rsid w:val="00B920DE"/>
    <w:rsid w:val="00B926CF"/>
    <w:rsid w:val="00B92A3D"/>
    <w:rsid w:val="00B92D0B"/>
    <w:rsid w:val="00B93293"/>
    <w:rsid w:val="00B934D0"/>
    <w:rsid w:val="00B937A0"/>
    <w:rsid w:val="00B938D4"/>
    <w:rsid w:val="00B93BB1"/>
    <w:rsid w:val="00B93C64"/>
    <w:rsid w:val="00B93C8F"/>
    <w:rsid w:val="00B93D92"/>
    <w:rsid w:val="00B93EE4"/>
    <w:rsid w:val="00B944D2"/>
    <w:rsid w:val="00B947F7"/>
    <w:rsid w:val="00B94945"/>
    <w:rsid w:val="00B9494B"/>
    <w:rsid w:val="00B949D5"/>
    <w:rsid w:val="00B94B46"/>
    <w:rsid w:val="00B94CF0"/>
    <w:rsid w:val="00B94DD6"/>
    <w:rsid w:val="00B94E9B"/>
    <w:rsid w:val="00B94F21"/>
    <w:rsid w:val="00B956EA"/>
    <w:rsid w:val="00B95855"/>
    <w:rsid w:val="00B95A48"/>
    <w:rsid w:val="00B95AE8"/>
    <w:rsid w:val="00B95AFC"/>
    <w:rsid w:val="00B95D3D"/>
    <w:rsid w:val="00B95F49"/>
    <w:rsid w:val="00B96023"/>
    <w:rsid w:val="00B960A8"/>
    <w:rsid w:val="00B9618A"/>
    <w:rsid w:val="00B9644C"/>
    <w:rsid w:val="00B965D4"/>
    <w:rsid w:val="00B96CFE"/>
    <w:rsid w:val="00B96D76"/>
    <w:rsid w:val="00B96FFD"/>
    <w:rsid w:val="00B972C0"/>
    <w:rsid w:val="00B97365"/>
    <w:rsid w:val="00B974D2"/>
    <w:rsid w:val="00B978DB"/>
    <w:rsid w:val="00B97A5B"/>
    <w:rsid w:val="00B97B3A"/>
    <w:rsid w:val="00B97F6B"/>
    <w:rsid w:val="00BA0229"/>
    <w:rsid w:val="00BA0230"/>
    <w:rsid w:val="00BA03B0"/>
    <w:rsid w:val="00BA0419"/>
    <w:rsid w:val="00BA0E9D"/>
    <w:rsid w:val="00BA1499"/>
    <w:rsid w:val="00BA14F0"/>
    <w:rsid w:val="00BA181E"/>
    <w:rsid w:val="00BA1944"/>
    <w:rsid w:val="00BA1957"/>
    <w:rsid w:val="00BA1AA1"/>
    <w:rsid w:val="00BA1BA8"/>
    <w:rsid w:val="00BA216E"/>
    <w:rsid w:val="00BA2A9E"/>
    <w:rsid w:val="00BA2AB1"/>
    <w:rsid w:val="00BA2BB0"/>
    <w:rsid w:val="00BA2D9F"/>
    <w:rsid w:val="00BA30BB"/>
    <w:rsid w:val="00BA31E4"/>
    <w:rsid w:val="00BA322D"/>
    <w:rsid w:val="00BA3324"/>
    <w:rsid w:val="00BA339E"/>
    <w:rsid w:val="00BA3423"/>
    <w:rsid w:val="00BA360E"/>
    <w:rsid w:val="00BA3720"/>
    <w:rsid w:val="00BA386E"/>
    <w:rsid w:val="00BA397F"/>
    <w:rsid w:val="00BA4478"/>
    <w:rsid w:val="00BA48F5"/>
    <w:rsid w:val="00BA49C0"/>
    <w:rsid w:val="00BA49EC"/>
    <w:rsid w:val="00BA4B71"/>
    <w:rsid w:val="00BA4BF9"/>
    <w:rsid w:val="00BA4CBB"/>
    <w:rsid w:val="00BA5553"/>
    <w:rsid w:val="00BA5968"/>
    <w:rsid w:val="00BA5A7B"/>
    <w:rsid w:val="00BA5B0D"/>
    <w:rsid w:val="00BA63FA"/>
    <w:rsid w:val="00BA68B3"/>
    <w:rsid w:val="00BA69F8"/>
    <w:rsid w:val="00BA6AC1"/>
    <w:rsid w:val="00BA7560"/>
    <w:rsid w:val="00BA7976"/>
    <w:rsid w:val="00BA7996"/>
    <w:rsid w:val="00BA7B5D"/>
    <w:rsid w:val="00BA7CB9"/>
    <w:rsid w:val="00BA7D2E"/>
    <w:rsid w:val="00BA7EC7"/>
    <w:rsid w:val="00BA7F8D"/>
    <w:rsid w:val="00BA7FCF"/>
    <w:rsid w:val="00BB00B3"/>
    <w:rsid w:val="00BB01D6"/>
    <w:rsid w:val="00BB020D"/>
    <w:rsid w:val="00BB0419"/>
    <w:rsid w:val="00BB0441"/>
    <w:rsid w:val="00BB0A66"/>
    <w:rsid w:val="00BB0B72"/>
    <w:rsid w:val="00BB0BDD"/>
    <w:rsid w:val="00BB0E83"/>
    <w:rsid w:val="00BB176C"/>
    <w:rsid w:val="00BB1B35"/>
    <w:rsid w:val="00BB1C42"/>
    <w:rsid w:val="00BB2801"/>
    <w:rsid w:val="00BB291D"/>
    <w:rsid w:val="00BB2A73"/>
    <w:rsid w:val="00BB2BE7"/>
    <w:rsid w:val="00BB313B"/>
    <w:rsid w:val="00BB32EC"/>
    <w:rsid w:val="00BB3474"/>
    <w:rsid w:val="00BB352E"/>
    <w:rsid w:val="00BB392C"/>
    <w:rsid w:val="00BB3A45"/>
    <w:rsid w:val="00BB435C"/>
    <w:rsid w:val="00BB44C2"/>
    <w:rsid w:val="00BB46FB"/>
    <w:rsid w:val="00BB47C2"/>
    <w:rsid w:val="00BB49B0"/>
    <w:rsid w:val="00BB4ACC"/>
    <w:rsid w:val="00BB4D6D"/>
    <w:rsid w:val="00BB4EA4"/>
    <w:rsid w:val="00BB4FA7"/>
    <w:rsid w:val="00BB510C"/>
    <w:rsid w:val="00BB544E"/>
    <w:rsid w:val="00BB5475"/>
    <w:rsid w:val="00BB63B4"/>
    <w:rsid w:val="00BB6FC2"/>
    <w:rsid w:val="00BB703E"/>
    <w:rsid w:val="00BB732D"/>
    <w:rsid w:val="00BB73CE"/>
    <w:rsid w:val="00BB7405"/>
    <w:rsid w:val="00BB7707"/>
    <w:rsid w:val="00BB777D"/>
    <w:rsid w:val="00BB7A84"/>
    <w:rsid w:val="00BC049C"/>
    <w:rsid w:val="00BC0822"/>
    <w:rsid w:val="00BC0ADD"/>
    <w:rsid w:val="00BC0D77"/>
    <w:rsid w:val="00BC0DD6"/>
    <w:rsid w:val="00BC106C"/>
    <w:rsid w:val="00BC12EE"/>
    <w:rsid w:val="00BC138F"/>
    <w:rsid w:val="00BC1967"/>
    <w:rsid w:val="00BC1A71"/>
    <w:rsid w:val="00BC213A"/>
    <w:rsid w:val="00BC2309"/>
    <w:rsid w:val="00BC242E"/>
    <w:rsid w:val="00BC25C4"/>
    <w:rsid w:val="00BC2878"/>
    <w:rsid w:val="00BC2AFE"/>
    <w:rsid w:val="00BC2BF1"/>
    <w:rsid w:val="00BC2DE6"/>
    <w:rsid w:val="00BC2F20"/>
    <w:rsid w:val="00BC336D"/>
    <w:rsid w:val="00BC3371"/>
    <w:rsid w:val="00BC3631"/>
    <w:rsid w:val="00BC3714"/>
    <w:rsid w:val="00BC37A6"/>
    <w:rsid w:val="00BC391E"/>
    <w:rsid w:val="00BC398A"/>
    <w:rsid w:val="00BC3B92"/>
    <w:rsid w:val="00BC3DC2"/>
    <w:rsid w:val="00BC4224"/>
    <w:rsid w:val="00BC4638"/>
    <w:rsid w:val="00BC4890"/>
    <w:rsid w:val="00BC4B6C"/>
    <w:rsid w:val="00BC4C0F"/>
    <w:rsid w:val="00BC4D85"/>
    <w:rsid w:val="00BC516E"/>
    <w:rsid w:val="00BC5541"/>
    <w:rsid w:val="00BC573E"/>
    <w:rsid w:val="00BC591F"/>
    <w:rsid w:val="00BC5B50"/>
    <w:rsid w:val="00BC5E13"/>
    <w:rsid w:val="00BC5E46"/>
    <w:rsid w:val="00BC6446"/>
    <w:rsid w:val="00BC66A3"/>
    <w:rsid w:val="00BC66C5"/>
    <w:rsid w:val="00BC66FB"/>
    <w:rsid w:val="00BC6C0D"/>
    <w:rsid w:val="00BC6C2C"/>
    <w:rsid w:val="00BC6CFA"/>
    <w:rsid w:val="00BC6CFF"/>
    <w:rsid w:val="00BC6D0C"/>
    <w:rsid w:val="00BC7051"/>
    <w:rsid w:val="00BC7AAF"/>
    <w:rsid w:val="00BC7D6D"/>
    <w:rsid w:val="00BD06D2"/>
    <w:rsid w:val="00BD15C9"/>
    <w:rsid w:val="00BD16BC"/>
    <w:rsid w:val="00BD1753"/>
    <w:rsid w:val="00BD2108"/>
    <w:rsid w:val="00BD2244"/>
    <w:rsid w:val="00BD2595"/>
    <w:rsid w:val="00BD25B3"/>
    <w:rsid w:val="00BD27D8"/>
    <w:rsid w:val="00BD2B7A"/>
    <w:rsid w:val="00BD318C"/>
    <w:rsid w:val="00BD31FF"/>
    <w:rsid w:val="00BD3837"/>
    <w:rsid w:val="00BD39AD"/>
    <w:rsid w:val="00BD3ACA"/>
    <w:rsid w:val="00BD4043"/>
    <w:rsid w:val="00BD419D"/>
    <w:rsid w:val="00BD4251"/>
    <w:rsid w:val="00BD446B"/>
    <w:rsid w:val="00BD45AB"/>
    <w:rsid w:val="00BD4651"/>
    <w:rsid w:val="00BD5434"/>
    <w:rsid w:val="00BD5494"/>
    <w:rsid w:val="00BD561C"/>
    <w:rsid w:val="00BD563A"/>
    <w:rsid w:val="00BD5CA5"/>
    <w:rsid w:val="00BD5F36"/>
    <w:rsid w:val="00BD682C"/>
    <w:rsid w:val="00BD6874"/>
    <w:rsid w:val="00BD68A3"/>
    <w:rsid w:val="00BD6938"/>
    <w:rsid w:val="00BD6C14"/>
    <w:rsid w:val="00BD6CF3"/>
    <w:rsid w:val="00BD6DCD"/>
    <w:rsid w:val="00BD6EFE"/>
    <w:rsid w:val="00BD77E9"/>
    <w:rsid w:val="00BD7C57"/>
    <w:rsid w:val="00BD7F72"/>
    <w:rsid w:val="00BE02A2"/>
    <w:rsid w:val="00BE040F"/>
    <w:rsid w:val="00BE07A0"/>
    <w:rsid w:val="00BE08B5"/>
    <w:rsid w:val="00BE0D20"/>
    <w:rsid w:val="00BE0D25"/>
    <w:rsid w:val="00BE0DEB"/>
    <w:rsid w:val="00BE0ECA"/>
    <w:rsid w:val="00BE15DD"/>
    <w:rsid w:val="00BE1618"/>
    <w:rsid w:val="00BE19E2"/>
    <w:rsid w:val="00BE1A92"/>
    <w:rsid w:val="00BE2180"/>
    <w:rsid w:val="00BE21B6"/>
    <w:rsid w:val="00BE21F2"/>
    <w:rsid w:val="00BE23B9"/>
    <w:rsid w:val="00BE26A2"/>
    <w:rsid w:val="00BE27F1"/>
    <w:rsid w:val="00BE284B"/>
    <w:rsid w:val="00BE289A"/>
    <w:rsid w:val="00BE2B0D"/>
    <w:rsid w:val="00BE2EE9"/>
    <w:rsid w:val="00BE3119"/>
    <w:rsid w:val="00BE36DB"/>
    <w:rsid w:val="00BE3751"/>
    <w:rsid w:val="00BE3CB5"/>
    <w:rsid w:val="00BE411E"/>
    <w:rsid w:val="00BE41FF"/>
    <w:rsid w:val="00BE4275"/>
    <w:rsid w:val="00BE4778"/>
    <w:rsid w:val="00BE4E87"/>
    <w:rsid w:val="00BE4F69"/>
    <w:rsid w:val="00BE5A0C"/>
    <w:rsid w:val="00BE5C58"/>
    <w:rsid w:val="00BE5EC4"/>
    <w:rsid w:val="00BE604B"/>
    <w:rsid w:val="00BE6214"/>
    <w:rsid w:val="00BE6775"/>
    <w:rsid w:val="00BE7183"/>
    <w:rsid w:val="00BE75F5"/>
    <w:rsid w:val="00BE7DAF"/>
    <w:rsid w:val="00BF001A"/>
    <w:rsid w:val="00BF0197"/>
    <w:rsid w:val="00BF02FD"/>
    <w:rsid w:val="00BF0382"/>
    <w:rsid w:val="00BF06AE"/>
    <w:rsid w:val="00BF09E0"/>
    <w:rsid w:val="00BF0AE4"/>
    <w:rsid w:val="00BF0BA9"/>
    <w:rsid w:val="00BF0D02"/>
    <w:rsid w:val="00BF0E6E"/>
    <w:rsid w:val="00BF0F95"/>
    <w:rsid w:val="00BF12AE"/>
    <w:rsid w:val="00BF1447"/>
    <w:rsid w:val="00BF227D"/>
    <w:rsid w:val="00BF2433"/>
    <w:rsid w:val="00BF2513"/>
    <w:rsid w:val="00BF2BDA"/>
    <w:rsid w:val="00BF2BE5"/>
    <w:rsid w:val="00BF2E0B"/>
    <w:rsid w:val="00BF2E6E"/>
    <w:rsid w:val="00BF2F1F"/>
    <w:rsid w:val="00BF30EE"/>
    <w:rsid w:val="00BF3298"/>
    <w:rsid w:val="00BF32F3"/>
    <w:rsid w:val="00BF3AE5"/>
    <w:rsid w:val="00BF3B73"/>
    <w:rsid w:val="00BF3BAA"/>
    <w:rsid w:val="00BF3CE9"/>
    <w:rsid w:val="00BF3D59"/>
    <w:rsid w:val="00BF3D75"/>
    <w:rsid w:val="00BF3E7F"/>
    <w:rsid w:val="00BF45CD"/>
    <w:rsid w:val="00BF4B4A"/>
    <w:rsid w:val="00BF4B8C"/>
    <w:rsid w:val="00BF4E08"/>
    <w:rsid w:val="00BF4E7E"/>
    <w:rsid w:val="00BF50BE"/>
    <w:rsid w:val="00BF51F2"/>
    <w:rsid w:val="00BF55F0"/>
    <w:rsid w:val="00BF574A"/>
    <w:rsid w:val="00BF5A75"/>
    <w:rsid w:val="00BF5B15"/>
    <w:rsid w:val="00BF5D92"/>
    <w:rsid w:val="00BF6081"/>
    <w:rsid w:val="00BF61C9"/>
    <w:rsid w:val="00BF62E6"/>
    <w:rsid w:val="00BF62E9"/>
    <w:rsid w:val="00BF647E"/>
    <w:rsid w:val="00BF68C4"/>
    <w:rsid w:val="00BF6976"/>
    <w:rsid w:val="00BF6C94"/>
    <w:rsid w:val="00BF7FC8"/>
    <w:rsid w:val="00C0025C"/>
    <w:rsid w:val="00C0034C"/>
    <w:rsid w:val="00C00424"/>
    <w:rsid w:val="00C00490"/>
    <w:rsid w:val="00C004FC"/>
    <w:rsid w:val="00C007D4"/>
    <w:rsid w:val="00C00BB0"/>
    <w:rsid w:val="00C00E53"/>
    <w:rsid w:val="00C00EC0"/>
    <w:rsid w:val="00C01019"/>
    <w:rsid w:val="00C0105E"/>
    <w:rsid w:val="00C015EC"/>
    <w:rsid w:val="00C01672"/>
    <w:rsid w:val="00C01963"/>
    <w:rsid w:val="00C0199C"/>
    <w:rsid w:val="00C01AF2"/>
    <w:rsid w:val="00C01F1B"/>
    <w:rsid w:val="00C01FB5"/>
    <w:rsid w:val="00C023E2"/>
    <w:rsid w:val="00C02B39"/>
    <w:rsid w:val="00C02FBE"/>
    <w:rsid w:val="00C03881"/>
    <w:rsid w:val="00C0397B"/>
    <w:rsid w:val="00C042E9"/>
    <w:rsid w:val="00C04660"/>
    <w:rsid w:val="00C04775"/>
    <w:rsid w:val="00C04CD3"/>
    <w:rsid w:val="00C051FF"/>
    <w:rsid w:val="00C05363"/>
    <w:rsid w:val="00C055C5"/>
    <w:rsid w:val="00C05D6B"/>
    <w:rsid w:val="00C05D80"/>
    <w:rsid w:val="00C05DD3"/>
    <w:rsid w:val="00C061AE"/>
    <w:rsid w:val="00C0631A"/>
    <w:rsid w:val="00C063DF"/>
    <w:rsid w:val="00C06D5B"/>
    <w:rsid w:val="00C06D98"/>
    <w:rsid w:val="00C07790"/>
    <w:rsid w:val="00C07B41"/>
    <w:rsid w:val="00C07F53"/>
    <w:rsid w:val="00C07FC3"/>
    <w:rsid w:val="00C10753"/>
    <w:rsid w:val="00C10825"/>
    <w:rsid w:val="00C1083D"/>
    <w:rsid w:val="00C11211"/>
    <w:rsid w:val="00C1179F"/>
    <w:rsid w:val="00C11C37"/>
    <w:rsid w:val="00C122E7"/>
    <w:rsid w:val="00C12420"/>
    <w:rsid w:val="00C12424"/>
    <w:rsid w:val="00C12764"/>
    <w:rsid w:val="00C127B9"/>
    <w:rsid w:val="00C127CC"/>
    <w:rsid w:val="00C1289C"/>
    <w:rsid w:val="00C128FA"/>
    <w:rsid w:val="00C12953"/>
    <w:rsid w:val="00C1297B"/>
    <w:rsid w:val="00C12A7C"/>
    <w:rsid w:val="00C12AEF"/>
    <w:rsid w:val="00C12C14"/>
    <w:rsid w:val="00C12D74"/>
    <w:rsid w:val="00C12F4B"/>
    <w:rsid w:val="00C1318C"/>
    <w:rsid w:val="00C132C5"/>
    <w:rsid w:val="00C132F5"/>
    <w:rsid w:val="00C134A7"/>
    <w:rsid w:val="00C138E2"/>
    <w:rsid w:val="00C13B1B"/>
    <w:rsid w:val="00C13E7C"/>
    <w:rsid w:val="00C13F56"/>
    <w:rsid w:val="00C1406E"/>
    <w:rsid w:val="00C1435C"/>
    <w:rsid w:val="00C144B3"/>
    <w:rsid w:val="00C14848"/>
    <w:rsid w:val="00C148BB"/>
    <w:rsid w:val="00C14D29"/>
    <w:rsid w:val="00C15383"/>
    <w:rsid w:val="00C1546D"/>
    <w:rsid w:val="00C15702"/>
    <w:rsid w:val="00C15D7A"/>
    <w:rsid w:val="00C15F04"/>
    <w:rsid w:val="00C15F08"/>
    <w:rsid w:val="00C160A8"/>
    <w:rsid w:val="00C16767"/>
    <w:rsid w:val="00C16BD4"/>
    <w:rsid w:val="00C16D64"/>
    <w:rsid w:val="00C17374"/>
    <w:rsid w:val="00C17936"/>
    <w:rsid w:val="00C179B3"/>
    <w:rsid w:val="00C17A2F"/>
    <w:rsid w:val="00C17AEF"/>
    <w:rsid w:val="00C17C13"/>
    <w:rsid w:val="00C17CA0"/>
    <w:rsid w:val="00C17E3F"/>
    <w:rsid w:val="00C20079"/>
    <w:rsid w:val="00C200AA"/>
    <w:rsid w:val="00C208FE"/>
    <w:rsid w:val="00C209F8"/>
    <w:rsid w:val="00C20FE6"/>
    <w:rsid w:val="00C213CA"/>
    <w:rsid w:val="00C21A1A"/>
    <w:rsid w:val="00C21D4B"/>
    <w:rsid w:val="00C221F3"/>
    <w:rsid w:val="00C224B0"/>
    <w:rsid w:val="00C225AF"/>
    <w:rsid w:val="00C22632"/>
    <w:rsid w:val="00C2276E"/>
    <w:rsid w:val="00C2290E"/>
    <w:rsid w:val="00C229AB"/>
    <w:rsid w:val="00C22C60"/>
    <w:rsid w:val="00C2309B"/>
    <w:rsid w:val="00C230DB"/>
    <w:rsid w:val="00C2310F"/>
    <w:rsid w:val="00C2314A"/>
    <w:rsid w:val="00C23392"/>
    <w:rsid w:val="00C237ED"/>
    <w:rsid w:val="00C2390F"/>
    <w:rsid w:val="00C23F26"/>
    <w:rsid w:val="00C24353"/>
    <w:rsid w:val="00C244B3"/>
    <w:rsid w:val="00C24526"/>
    <w:rsid w:val="00C24632"/>
    <w:rsid w:val="00C24764"/>
    <w:rsid w:val="00C24765"/>
    <w:rsid w:val="00C25418"/>
    <w:rsid w:val="00C25D9C"/>
    <w:rsid w:val="00C25F25"/>
    <w:rsid w:val="00C2676F"/>
    <w:rsid w:val="00C26C2F"/>
    <w:rsid w:val="00C26E9D"/>
    <w:rsid w:val="00C27435"/>
    <w:rsid w:val="00C2747D"/>
    <w:rsid w:val="00C27518"/>
    <w:rsid w:val="00C2777B"/>
    <w:rsid w:val="00C2778B"/>
    <w:rsid w:val="00C278F0"/>
    <w:rsid w:val="00C27951"/>
    <w:rsid w:val="00C27CD4"/>
    <w:rsid w:val="00C303F7"/>
    <w:rsid w:val="00C30837"/>
    <w:rsid w:val="00C30938"/>
    <w:rsid w:val="00C31302"/>
    <w:rsid w:val="00C3163F"/>
    <w:rsid w:val="00C31649"/>
    <w:rsid w:val="00C317A5"/>
    <w:rsid w:val="00C317C1"/>
    <w:rsid w:val="00C318D9"/>
    <w:rsid w:val="00C31B90"/>
    <w:rsid w:val="00C32808"/>
    <w:rsid w:val="00C32836"/>
    <w:rsid w:val="00C32903"/>
    <w:rsid w:val="00C32A0E"/>
    <w:rsid w:val="00C32E3C"/>
    <w:rsid w:val="00C32E79"/>
    <w:rsid w:val="00C32FC5"/>
    <w:rsid w:val="00C33018"/>
    <w:rsid w:val="00C33340"/>
    <w:rsid w:val="00C3355C"/>
    <w:rsid w:val="00C33716"/>
    <w:rsid w:val="00C33800"/>
    <w:rsid w:val="00C3380E"/>
    <w:rsid w:val="00C3382A"/>
    <w:rsid w:val="00C33C29"/>
    <w:rsid w:val="00C33DB2"/>
    <w:rsid w:val="00C33DF4"/>
    <w:rsid w:val="00C3407F"/>
    <w:rsid w:val="00C3434C"/>
    <w:rsid w:val="00C346CC"/>
    <w:rsid w:val="00C34753"/>
    <w:rsid w:val="00C34B52"/>
    <w:rsid w:val="00C34E0C"/>
    <w:rsid w:val="00C34F6B"/>
    <w:rsid w:val="00C35422"/>
    <w:rsid w:val="00C36116"/>
    <w:rsid w:val="00C3637E"/>
    <w:rsid w:val="00C368EC"/>
    <w:rsid w:val="00C36FDD"/>
    <w:rsid w:val="00C37097"/>
    <w:rsid w:val="00C37818"/>
    <w:rsid w:val="00C37F7D"/>
    <w:rsid w:val="00C40003"/>
    <w:rsid w:val="00C40242"/>
    <w:rsid w:val="00C40385"/>
    <w:rsid w:val="00C40499"/>
    <w:rsid w:val="00C4088A"/>
    <w:rsid w:val="00C40C59"/>
    <w:rsid w:val="00C40C8A"/>
    <w:rsid w:val="00C40DB9"/>
    <w:rsid w:val="00C40F43"/>
    <w:rsid w:val="00C41258"/>
    <w:rsid w:val="00C412C8"/>
    <w:rsid w:val="00C41397"/>
    <w:rsid w:val="00C414AF"/>
    <w:rsid w:val="00C415BD"/>
    <w:rsid w:val="00C41768"/>
    <w:rsid w:val="00C41F7C"/>
    <w:rsid w:val="00C420C1"/>
    <w:rsid w:val="00C4236B"/>
    <w:rsid w:val="00C425A3"/>
    <w:rsid w:val="00C42C7A"/>
    <w:rsid w:val="00C42D7B"/>
    <w:rsid w:val="00C42DDD"/>
    <w:rsid w:val="00C432BE"/>
    <w:rsid w:val="00C43436"/>
    <w:rsid w:val="00C434A1"/>
    <w:rsid w:val="00C43629"/>
    <w:rsid w:val="00C436A3"/>
    <w:rsid w:val="00C43735"/>
    <w:rsid w:val="00C43794"/>
    <w:rsid w:val="00C444F2"/>
    <w:rsid w:val="00C444F3"/>
    <w:rsid w:val="00C44AA7"/>
    <w:rsid w:val="00C44CA6"/>
    <w:rsid w:val="00C44DB9"/>
    <w:rsid w:val="00C451ED"/>
    <w:rsid w:val="00C458F6"/>
    <w:rsid w:val="00C458FA"/>
    <w:rsid w:val="00C45926"/>
    <w:rsid w:val="00C459A1"/>
    <w:rsid w:val="00C45F4B"/>
    <w:rsid w:val="00C45FDC"/>
    <w:rsid w:val="00C46017"/>
    <w:rsid w:val="00C46101"/>
    <w:rsid w:val="00C4626C"/>
    <w:rsid w:val="00C462FC"/>
    <w:rsid w:val="00C46842"/>
    <w:rsid w:val="00C46AE3"/>
    <w:rsid w:val="00C470C6"/>
    <w:rsid w:val="00C475AA"/>
    <w:rsid w:val="00C47937"/>
    <w:rsid w:val="00C479D5"/>
    <w:rsid w:val="00C47E52"/>
    <w:rsid w:val="00C50193"/>
    <w:rsid w:val="00C504D3"/>
    <w:rsid w:val="00C504E7"/>
    <w:rsid w:val="00C5089C"/>
    <w:rsid w:val="00C50980"/>
    <w:rsid w:val="00C50E41"/>
    <w:rsid w:val="00C513B7"/>
    <w:rsid w:val="00C513DF"/>
    <w:rsid w:val="00C515AB"/>
    <w:rsid w:val="00C51781"/>
    <w:rsid w:val="00C51E2E"/>
    <w:rsid w:val="00C5210E"/>
    <w:rsid w:val="00C525FF"/>
    <w:rsid w:val="00C5277C"/>
    <w:rsid w:val="00C527C7"/>
    <w:rsid w:val="00C52C3D"/>
    <w:rsid w:val="00C52CDC"/>
    <w:rsid w:val="00C53839"/>
    <w:rsid w:val="00C538BA"/>
    <w:rsid w:val="00C53B97"/>
    <w:rsid w:val="00C53C98"/>
    <w:rsid w:val="00C5406B"/>
    <w:rsid w:val="00C5416D"/>
    <w:rsid w:val="00C543DC"/>
    <w:rsid w:val="00C5473D"/>
    <w:rsid w:val="00C548DC"/>
    <w:rsid w:val="00C54901"/>
    <w:rsid w:val="00C54998"/>
    <w:rsid w:val="00C54A74"/>
    <w:rsid w:val="00C558D7"/>
    <w:rsid w:val="00C55A36"/>
    <w:rsid w:val="00C55D3C"/>
    <w:rsid w:val="00C55E0C"/>
    <w:rsid w:val="00C560BA"/>
    <w:rsid w:val="00C56857"/>
    <w:rsid w:val="00C56A2F"/>
    <w:rsid w:val="00C56C2D"/>
    <w:rsid w:val="00C56FCF"/>
    <w:rsid w:val="00C577FB"/>
    <w:rsid w:val="00C579C7"/>
    <w:rsid w:val="00C57B6C"/>
    <w:rsid w:val="00C57C74"/>
    <w:rsid w:val="00C57CDB"/>
    <w:rsid w:val="00C57E2F"/>
    <w:rsid w:val="00C57E82"/>
    <w:rsid w:val="00C57E91"/>
    <w:rsid w:val="00C57EFC"/>
    <w:rsid w:val="00C57F30"/>
    <w:rsid w:val="00C6025D"/>
    <w:rsid w:val="00C6048D"/>
    <w:rsid w:val="00C60497"/>
    <w:rsid w:val="00C6074D"/>
    <w:rsid w:val="00C6082C"/>
    <w:rsid w:val="00C60CAE"/>
    <w:rsid w:val="00C60CC4"/>
    <w:rsid w:val="00C60E3C"/>
    <w:rsid w:val="00C60EBC"/>
    <w:rsid w:val="00C61400"/>
    <w:rsid w:val="00C61A59"/>
    <w:rsid w:val="00C61DDA"/>
    <w:rsid w:val="00C61E7B"/>
    <w:rsid w:val="00C6205D"/>
    <w:rsid w:val="00C626FB"/>
    <w:rsid w:val="00C628A6"/>
    <w:rsid w:val="00C62AE8"/>
    <w:rsid w:val="00C62E31"/>
    <w:rsid w:val="00C62F65"/>
    <w:rsid w:val="00C630E0"/>
    <w:rsid w:val="00C634B1"/>
    <w:rsid w:val="00C637DE"/>
    <w:rsid w:val="00C637F1"/>
    <w:rsid w:val="00C63888"/>
    <w:rsid w:val="00C639BD"/>
    <w:rsid w:val="00C63D13"/>
    <w:rsid w:val="00C64160"/>
    <w:rsid w:val="00C64344"/>
    <w:rsid w:val="00C643EC"/>
    <w:rsid w:val="00C645B2"/>
    <w:rsid w:val="00C64E31"/>
    <w:rsid w:val="00C65108"/>
    <w:rsid w:val="00C6517C"/>
    <w:rsid w:val="00C653B5"/>
    <w:rsid w:val="00C6553C"/>
    <w:rsid w:val="00C65576"/>
    <w:rsid w:val="00C656B6"/>
    <w:rsid w:val="00C659DA"/>
    <w:rsid w:val="00C65E00"/>
    <w:rsid w:val="00C65FAF"/>
    <w:rsid w:val="00C65FB5"/>
    <w:rsid w:val="00C65FC6"/>
    <w:rsid w:val="00C66165"/>
    <w:rsid w:val="00C66311"/>
    <w:rsid w:val="00C6637F"/>
    <w:rsid w:val="00C668D5"/>
    <w:rsid w:val="00C66A37"/>
    <w:rsid w:val="00C66C58"/>
    <w:rsid w:val="00C66CC3"/>
    <w:rsid w:val="00C66D95"/>
    <w:rsid w:val="00C66FEB"/>
    <w:rsid w:val="00C6709C"/>
    <w:rsid w:val="00C67270"/>
    <w:rsid w:val="00C67525"/>
    <w:rsid w:val="00C6766F"/>
    <w:rsid w:val="00C6787A"/>
    <w:rsid w:val="00C67A15"/>
    <w:rsid w:val="00C67BB0"/>
    <w:rsid w:val="00C67C3F"/>
    <w:rsid w:val="00C67CD0"/>
    <w:rsid w:val="00C67D59"/>
    <w:rsid w:val="00C67DFD"/>
    <w:rsid w:val="00C67E0B"/>
    <w:rsid w:val="00C70251"/>
    <w:rsid w:val="00C702A1"/>
    <w:rsid w:val="00C70484"/>
    <w:rsid w:val="00C7060A"/>
    <w:rsid w:val="00C70BC5"/>
    <w:rsid w:val="00C7151A"/>
    <w:rsid w:val="00C715C1"/>
    <w:rsid w:val="00C717E3"/>
    <w:rsid w:val="00C71E17"/>
    <w:rsid w:val="00C71F60"/>
    <w:rsid w:val="00C72241"/>
    <w:rsid w:val="00C7227B"/>
    <w:rsid w:val="00C72442"/>
    <w:rsid w:val="00C724A1"/>
    <w:rsid w:val="00C72519"/>
    <w:rsid w:val="00C726B8"/>
    <w:rsid w:val="00C728D5"/>
    <w:rsid w:val="00C73480"/>
    <w:rsid w:val="00C7369C"/>
    <w:rsid w:val="00C73F0F"/>
    <w:rsid w:val="00C7407D"/>
    <w:rsid w:val="00C74428"/>
    <w:rsid w:val="00C749FB"/>
    <w:rsid w:val="00C74E17"/>
    <w:rsid w:val="00C74E9E"/>
    <w:rsid w:val="00C750C8"/>
    <w:rsid w:val="00C75143"/>
    <w:rsid w:val="00C755B0"/>
    <w:rsid w:val="00C7560F"/>
    <w:rsid w:val="00C756C8"/>
    <w:rsid w:val="00C75B10"/>
    <w:rsid w:val="00C75B48"/>
    <w:rsid w:val="00C75F1D"/>
    <w:rsid w:val="00C763EB"/>
    <w:rsid w:val="00C76606"/>
    <w:rsid w:val="00C7660E"/>
    <w:rsid w:val="00C76920"/>
    <w:rsid w:val="00C76A56"/>
    <w:rsid w:val="00C76AE0"/>
    <w:rsid w:val="00C77077"/>
    <w:rsid w:val="00C771AA"/>
    <w:rsid w:val="00C772EC"/>
    <w:rsid w:val="00C774C0"/>
    <w:rsid w:val="00C77900"/>
    <w:rsid w:val="00C80175"/>
    <w:rsid w:val="00C80A0E"/>
    <w:rsid w:val="00C80AF2"/>
    <w:rsid w:val="00C81803"/>
    <w:rsid w:val="00C819DF"/>
    <w:rsid w:val="00C81D2A"/>
    <w:rsid w:val="00C81D2B"/>
    <w:rsid w:val="00C81E07"/>
    <w:rsid w:val="00C81FEF"/>
    <w:rsid w:val="00C8213F"/>
    <w:rsid w:val="00C824FF"/>
    <w:rsid w:val="00C82772"/>
    <w:rsid w:val="00C82A3E"/>
    <w:rsid w:val="00C82AC0"/>
    <w:rsid w:val="00C82B51"/>
    <w:rsid w:val="00C82B7A"/>
    <w:rsid w:val="00C82FDD"/>
    <w:rsid w:val="00C82FF1"/>
    <w:rsid w:val="00C8303F"/>
    <w:rsid w:val="00C83231"/>
    <w:rsid w:val="00C83243"/>
    <w:rsid w:val="00C83496"/>
    <w:rsid w:val="00C83529"/>
    <w:rsid w:val="00C835B9"/>
    <w:rsid w:val="00C83DA2"/>
    <w:rsid w:val="00C844CC"/>
    <w:rsid w:val="00C845C4"/>
    <w:rsid w:val="00C8486B"/>
    <w:rsid w:val="00C84EAB"/>
    <w:rsid w:val="00C85154"/>
    <w:rsid w:val="00C85A70"/>
    <w:rsid w:val="00C85F22"/>
    <w:rsid w:val="00C866F3"/>
    <w:rsid w:val="00C868F7"/>
    <w:rsid w:val="00C86B5F"/>
    <w:rsid w:val="00C86BDC"/>
    <w:rsid w:val="00C86DBA"/>
    <w:rsid w:val="00C86E5F"/>
    <w:rsid w:val="00C86F1C"/>
    <w:rsid w:val="00C8708B"/>
    <w:rsid w:val="00C87344"/>
    <w:rsid w:val="00C8741B"/>
    <w:rsid w:val="00C87717"/>
    <w:rsid w:val="00C8776C"/>
    <w:rsid w:val="00C8793A"/>
    <w:rsid w:val="00C8797A"/>
    <w:rsid w:val="00C87D7C"/>
    <w:rsid w:val="00C87F27"/>
    <w:rsid w:val="00C900B8"/>
    <w:rsid w:val="00C90197"/>
    <w:rsid w:val="00C9099D"/>
    <w:rsid w:val="00C90C25"/>
    <w:rsid w:val="00C90C71"/>
    <w:rsid w:val="00C90F8F"/>
    <w:rsid w:val="00C91260"/>
    <w:rsid w:val="00C91568"/>
    <w:rsid w:val="00C915B1"/>
    <w:rsid w:val="00C917AC"/>
    <w:rsid w:val="00C91FA8"/>
    <w:rsid w:val="00C91FD1"/>
    <w:rsid w:val="00C92077"/>
    <w:rsid w:val="00C9218B"/>
    <w:rsid w:val="00C928F7"/>
    <w:rsid w:val="00C92B33"/>
    <w:rsid w:val="00C92DD6"/>
    <w:rsid w:val="00C931CF"/>
    <w:rsid w:val="00C93348"/>
    <w:rsid w:val="00C933FE"/>
    <w:rsid w:val="00C93581"/>
    <w:rsid w:val="00C9361E"/>
    <w:rsid w:val="00C936E7"/>
    <w:rsid w:val="00C938CF"/>
    <w:rsid w:val="00C93AB0"/>
    <w:rsid w:val="00C93B27"/>
    <w:rsid w:val="00C93DAB"/>
    <w:rsid w:val="00C94053"/>
    <w:rsid w:val="00C940B0"/>
    <w:rsid w:val="00C944E8"/>
    <w:rsid w:val="00C94972"/>
    <w:rsid w:val="00C94A59"/>
    <w:rsid w:val="00C94C59"/>
    <w:rsid w:val="00C94E10"/>
    <w:rsid w:val="00C95269"/>
    <w:rsid w:val="00C95653"/>
    <w:rsid w:val="00C956B5"/>
    <w:rsid w:val="00C95717"/>
    <w:rsid w:val="00C95735"/>
    <w:rsid w:val="00C95923"/>
    <w:rsid w:val="00C959B6"/>
    <w:rsid w:val="00C95A6D"/>
    <w:rsid w:val="00C960A6"/>
    <w:rsid w:val="00C9624D"/>
    <w:rsid w:val="00C9679F"/>
    <w:rsid w:val="00C969DA"/>
    <w:rsid w:val="00C96EA2"/>
    <w:rsid w:val="00C96EC7"/>
    <w:rsid w:val="00C96F14"/>
    <w:rsid w:val="00C97033"/>
    <w:rsid w:val="00C97462"/>
    <w:rsid w:val="00C9752B"/>
    <w:rsid w:val="00C97891"/>
    <w:rsid w:val="00C97D0D"/>
    <w:rsid w:val="00C97D73"/>
    <w:rsid w:val="00CA0024"/>
    <w:rsid w:val="00CA022F"/>
    <w:rsid w:val="00CA03EF"/>
    <w:rsid w:val="00CA071F"/>
    <w:rsid w:val="00CA097B"/>
    <w:rsid w:val="00CA0A80"/>
    <w:rsid w:val="00CA0EF8"/>
    <w:rsid w:val="00CA14DE"/>
    <w:rsid w:val="00CA166B"/>
    <w:rsid w:val="00CA1B25"/>
    <w:rsid w:val="00CA20CD"/>
    <w:rsid w:val="00CA2403"/>
    <w:rsid w:val="00CA287E"/>
    <w:rsid w:val="00CA2A17"/>
    <w:rsid w:val="00CA2B86"/>
    <w:rsid w:val="00CA2C77"/>
    <w:rsid w:val="00CA2C86"/>
    <w:rsid w:val="00CA304E"/>
    <w:rsid w:val="00CA342E"/>
    <w:rsid w:val="00CA36EC"/>
    <w:rsid w:val="00CA377B"/>
    <w:rsid w:val="00CA38D1"/>
    <w:rsid w:val="00CA3EDF"/>
    <w:rsid w:val="00CA409C"/>
    <w:rsid w:val="00CA444F"/>
    <w:rsid w:val="00CA47B3"/>
    <w:rsid w:val="00CA48A9"/>
    <w:rsid w:val="00CA4BA0"/>
    <w:rsid w:val="00CA4D4B"/>
    <w:rsid w:val="00CA5047"/>
    <w:rsid w:val="00CA5080"/>
    <w:rsid w:val="00CA5145"/>
    <w:rsid w:val="00CA5245"/>
    <w:rsid w:val="00CA5352"/>
    <w:rsid w:val="00CA5606"/>
    <w:rsid w:val="00CA5613"/>
    <w:rsid w:val="00CA59EA"/>
    <w:rsid w:val="00CA5F22"/>
    <w:rsid w:val="00CA613F"/>
    <w:rsid w:val="00CA6199"/>
    <w:rsid w:val="00CA6567"/>
    <w:rsid w:val="00CA68C4"/>
    <w:rsid w:val="00CA6B70"/>
    <w:rsid w:val="00CA70E3"/>
    <w:rsid w:val="00CA713B"/>
    <w:rsid w:val="00CA71F4"/>
    <w:rsid w:val="00CA731A"/>
    <w:rsid w:val="00CA7388"/>
    <w:rsid w:val="00CA750A"/>
    <w:rsid w:val="00CA77C7"/>
    <w:rsid w:val="00CA7829"/>
    <w:rsid w:val="00CA7A8A"/>
    <w:rsid w:val="00CA7B09"/>
    <w:rsid w:val="00CA7B75"/>
    <w:rsid w:val="00CA7C31"/>
    <w:rsid w:val="00CA7C71"/>
    <w:rsid w:val="00CA7EC5"/>
    <w:rsid w:val="00CA7F0B"/>
    <w:rsid w:val="00CA7F1F"/>
    <w:rsid w:val="00CB0418"/>
    <w:rsid w:val="00CB0509"/>
    <w:rsid w:val="00CB0D3A"/>
    <w:rsid w:val="00CB0D64"/>
    <w:rsid w:val="00CB12A5"/>
    <w:rsid w:val="00CB1397"/>
    <w:rsid w:val="00CB1CAC"/>
    <w:rsid w:val="00CB235C"/>
    <w:rsid w:val="00CB23BB"/>
    <w:rsid w:val="00CB2659"/>
    <w:rsid w:val="00CB2D9C"/>
    <w:rsid w:val="00CB2E31"/>
    <w:rsid w:val="00CB2EEA"/>
    <w:rsid w:val="00CB2F2A"/>
    <w:rsid w:val="00CB344F"/>
    <w:rsid w:val="00CB353A"/>
    <w:rsid w:val="00CB3560"/>
    <w:rsid w:val="00CB3950"/>
    <w:rsid w:val="00CB3B9C"/>
    <w:rsid w:val="00CB3D56"/>
    <w:rsid w:val="00CB42A1"/>
    <w:rsid w:val="00CB4371"/>
    <w:rsid w:val="00CB45CA"/>
    <w:rsid w:val="00CB4659"/>
    <w:rsid w:val="00CB4C9C"/>
    <w:rsid w:val="00CB5020"/>
    <w:rsid w:val="00CB5169"/>
    <w:rsid w:val="00CB5252"/>
    <w:rsid w:val="00CB5B1A"/>
    <w:rsid w:val="00CB5B24"/>
    <w:rsid w:val="00CB6114"/>
    <w:rsid w:val="00CB6351"/>
    <w:rsid w:val="00CB636C"/>
    <w:rsid w:val="00CB64BD"/>
    <w:rsid w:val="00CB6610"/>
    <w:rsid w:val="00CB66D4"/>
    <w:rsid w:val="00CB68E0"/>
    <w:rsid w:val="00CB6A71"/>
    <w:rsid w:val="00CB6B22"/>
    <w:rsid w:val="00CB723F"/>
    <w:rsid w:val="00CB724F"/>
    <w:rsid w:val="00CB7400"/>
    <w:rsid w:val="00CB7660"/>
    <w:rsid w:val="00CB7AC8"/>
    <w:rsid w:val="00CB7BB9"/>
    <w:rsid w:val="00CB7DC2"/>
    <w:rsid w:val="00CB7F5F"/>
    <w:rsid w:val="00CC021B"/>
    <w:rsid w:val="00CC0337"/>
    <w:rsid w:val="00CC039A"/>
    <w:rsid w:val="00CC05F3"/>
    <w:rsid w:val="00CC093C"/>
    <w:rsid w:val="00CC0D5D"/>
    <w:rsid w:val="00CC109D"/>
    <w:rsid w:val="00CC110F"/>
    <w:rsid w:val="00CC1138"/>
    <w:rsid w:val="00CC1336"/>
    <w:rsid w:val="00CC1617"/>
    <w:rsid w:val="00CC18A9"/>
    <w:rsid w:val="00CC1B39"/>
    <w:rsid w:val="00CC1BAA"/>
    <w:rsid w:val="00CC1BFA"/>
    <w:rsid w:val="00CC2372"/>
    <w:rsid w:val="00CC23B6"/>
    <w:rsid w:val="00CC2AAB"/>
    <w:rsid w:val="00CC2BFE"/>
    <w:rsid w:val="00CC2CF2"/>
    <w:rsid w:val="00CC2E9F"/>
    <w:rsid w:val="00CC321B"/>
    <w:rsid w:val="00CC34F7"/>
    <w:rsid w:val="00CC3591"/>
    <w:rsid w:val="00CC35EA"/>
    <w:rsid w:val="00CC365D"/>
    <w:rsid w:val="00CC37BC"/>
    <w:rsid w:val="00CC3848"/>
    <w:rsid w:val="00CC39D4"/>
    <w:rsid w:val="00CC3EEE"/>
    <w:rsid w:val="00CC43CB"/>
    <w:rsid w:val="00CC45AC"/>
    <w:rsid w:val="00CC4618"/>
    <w:rsid w:val="00CC494C"/>
    <w:rsid w:val="00CC4981"/>
    <w:rsid w:val="00CC49F7"/>
    <w:rsid w:val="00CC5363"/>
    <w:rsid w:val="00CC56E4"/>
    <w:rsid w:val="00CC580A"/>
    <w:rsid w:val="00CC5CF9"/>
    <w:rsid w:val="00CC63E3"/>
    <w:rsid w:val="00CC6BA5"/>
    <w:rsid w:val="00CC6D5E"/>
    <w:rsid w:val="00CC6F4C"/>
    <w:rsid w:val="00CC7AEB"/>
    <w:rsid w:val="00CC7CF2"/>
    <w:rsid w:val="00CD0200"/>
    <w:rsid w:val="00CD0271"/>
    <w:rsid w:val="00CD0678"/>
    <w:rsid w:val="00CD0AC8"/>
    <w:rsid w:val="00CD0B8D"/>
    <w:rsid w:val="00CD0DB7"/>
    <w:rsid w:val="00CD0F21"/>
    <w:rsid w:val="00CD0F80"/>
    <w:rsid w:val="00CD14C3"/>
    <w:rsid w:val="00CD1554"/>
    <w:rsid w:val="00CD1E71"/>
    <w:rsid w:val="00CD1F6F"/>
    <w:rsid w:val="00CD1F9A"/>
    <w:rsid w:val="00CD24E9"/>
    <w:rsid w:val="00CD2A30"/>
    <w:rsid w:val="00CD2ACF"/>
    <w:rsid w:val="00CD2F45"/>
    <w:rsid w:val="00CD3801"/>
    <w:rsid w:val="00CD3F20"/>
    <w:rsid w:val="00CD3F77"/>
    <w:rsid w:val="00CD43AF"/>
    <w:rsid w:val="00CD43B2"/>
    <w:rsid w:val="00CD452F"/>
    <w:rsid w:val="00CD47C8"/>
    <w:rsid w:val="00CD50E3"/>
    <w:rsid w:val="00CD5321"/>
    <w:rsid w:val="00CD54AD"/>
    <w:rsid w:val="00CD5686"/>
    <w:rsid w:val="00CD6057"/>
    <w:rsid w:val="00CD6347"/>
    <w:rsid w:val="00CD68B2"/>
    <w:rsid w:val="00CD6ADC"/>
    <w:rsid w:val="00CD7193"/>
    <w:rsid w:val="00CD7509"/>
    <w:rsid w:val="00CD786E"/>
    <w:rsid w:val="00CD7950"/>
    <w:rsid w:val="00CD7C2A"/>
    <w:rsid w:val="00CD7CF4"/>
    <w:rsid w:val="00CD7D27"/>
    <w:rsid w:val="00CD7DFD"/>
    <w:rsid w:val="00CD7EBB"/>
    <w:rsid w:val="00CD7F2A"/>
    <w:rsid w:val="00CD7FDB"/>
    <w:rsid w:val="00CE005E"/>
    <w:rsid w:val="00CE021C"/>
    <w:rsid w:val="00CE023D"/>
    <w:rsid w:val="00CE08B8"/>
    <w:rsid w:val="00CE0D39"/>
    <w:rsid w:val="00CE1235"/>
    <w:rsid w:val="00CE1610"/>
    <w:rsid w:val="00CE164E"/>
    <w:rsid w:val="00CE16CE"/>
    <w:rsid w:val="00CE2093"/>
    <w:rsid w:val="00CE2474"/>
    <w:rsid w:val="00CE3111"/>
    <w:rsid w:val="00CE34CD"/>
    <w:rsid w:val="00CE3628"/>
    <w:rsid w:val="00CE381A"/>
    <w:rsid w:val="00CE38C8"/>
    <w:rsid w:val="00CE3B29"/>
    <w:rsid w:val="00CE3BF6"/>
    <w:rsid w:val="00CE3C86"/>
    <w:rsid w:val="00CE3CC4"/>
    <w:rsid w:val="00CE3D8D"/>
    <w:rsid w:val="00CE3E14"/>
    <w:rsid w:val="00CE3F8A"/>
    <w:rsid w:val="00CE478B"/>
    <w:rsid w:val="00CE47EF"/>
    <w:rsid w:val="00CE4874"/>
    <w:rsid w:val="00CE4DA9"/>
    <w:rsid w:val="00CE4E6A"/>
    <w:rsid w:val="00CE4FCF"/>
    <w:rsid w:val="00CE5234"/>
    <w:rsid w:val="00CE524F"/>
    <w:rsid w:val="00CE54A4"/>
    <w:rsid w:val="00CE58CC"/>
    <w:rsid w:val="00CE60DA"/>
    <w:rsid w:val="00CE6274"/>
    <w:rsid w:val="00CE627A"/>
    <w:rsid w:val="00CE63C3"/>
    <w:rsid w:val="00CE6486"/>
    <w:rsid w:val="00CE6794"/>
    <w:rsid w:val="00CE6D4F"/>
    <w:rsid w:val="00CE6DD4"/>
    <w:rsid w:val="00CE71CD"/>
    <w:rsid w:val="00CE726F"/>
    <w:rsid w:val="00CE77B6"/>
    <w:rsid w:val="00CE77FD"/>
    <w:rsid w:val="00CE78DA"/>
    <w:rsid w:val="00CE7DBD"/>
    <w:rsid w:val="00CE7E3D"/>
    <w:rsid w:val="00CE7F5D"/>
    <w:rsid w:val="00CF00F7"/>
    <w:rsid w:val="00CF079E"/>
    <w:rsid w:val="00CF0907"/>
    <w:rsid w:val="00CF0AE3"/>
    <w:rsid w:val="00CF0BCB"/>
    <w:rsid w:val="00CF0E89"/>
    <w:rsid w:val="00CF0FEC"/>
    <w:rsid w:val="00CF130C"/>
    <w:rsid w:val="00CF14DE"/>
    <w:rsid w:val="00CF195C"/>
    <w:rsid w:val="00CF19CE"/>
    <w:rsid w:val="00CF1BD3"/>
    <w:rsid w:val="00CF1F93"/>
    <w:rsid w:val="00CF23DE"/>
    <w:rsid w:val="00CF2560"/>
    <w:rsid w:val="00CF27EC"/>
    <w:rsid w:val="00CF284A"/>
    <w:rsid w:val="00CF2B8D"/>
    <w:rsid w:val="00CF2D00"/>
    <w:rsid w:val="00CF30FE"/>
    <w:rsid w:val="00CF312C"/>
    <w:rsid w:val="00CF333E"/>
    <w:rsid w:val="00CF37A4"/>
    <w:rsid w:val="00CF3A1B"/>
    <w:rsid w:val="00CF3B0B"/>
    <w:rsid w:val="00CF3C7A"/>
    <w:rsid w:val="00CF3CAD"/>
    <w:rsid w:val="00CF3EA2"/>
    <w:rsid w:val="00CF42EC"/>
    <w:rsid w:val="00CF43C2"/>
    <w:rsid w:val="00CF456B"/>
    <w:rsid w:val="00CF48EA"/>
    <w:rsid w:val="00CF4953"/>
    <w:rsid w:val="00CF4C27"/>
    <w:rsid w:val="00CF513A"/>
    <w:rsid w:val="00CF59F2"/>
    <w:rsid w:val="00CF5A22"/>
    <w:rsid w:val="00CF5E35"/>
    <w:rsid w:val="00CF61F9"/>
    <w:rsid w:val="00CF66AC"/>
    <w:rsid w:val="00CF69CF"/>
    <w:rsid w:val="00CF6CF2"/>
    <w:rsid w:val="00CF6D0F"/>
    <w:rsid w:val="00CF6FA7"/>
    <w:rsid w:val="00CF6FCF"/>
    <w:rsid w:val="00CF7262"/>
    <w:rsid w:val="00CF74CB"/>
    <w:rsid w:val="00CF75DF"/>
    <w:rsid w:val="00CF79DE"/>
    <w:rsid w:val="00CF7CC1"/>
    <w:rsid w:val="00CF7CCB"/>
    <w:rsid w:val="00CF7D64"/>
    <w:rsid w:val="00CF7FCD"/>
    <w:rsid w:val="00D0080D"/>
    <w:rsid w:val="00D00900"/>
    <w:rsid w:val="00D00D49"/>
    <w:rsid w:val="00D0116B"/>
    <w:rsid w:val="00D01225"/>
    <w:rsid w:val="00D018D6"/>
    <w:rsid w:val="00D01A12"/>
    <w:rsid w:val="00D01A35"/>
    <w:rsid w:val="00D01C6D"/>
    <w:rsid w:val="00D02309"/>
    <w:rsid w:val="00D0262E"/>
    <w:rsid w:val="00D02703"/>
    <w:rsid w:val="00D033AA"/>
    <w:rsid w:val="00D0343A"/>
    <w:rsid w:val="00D03679"/>
    <w:rsid w:val="00D0379E"/>
    <w:rsid w:val="00D038A0"/>
    <w:rsid w:val="00D03C93"/>
    <w:rsid w:val="00D0416C"/>
    <w:rsid w:val="00D043B4"/>
    <w:rsid w:val="00D04AC7"/>
    <w:rsid w:val="00D04D18"/>
    <w:rsid w:val="00D04E87"/>
    <w:rsid w:val="00D05116"/>
    <w:rsid w:val="00D0530F"/>
    <w:rsid w:val="00D0570D"/>
    <w:rsid w:val="00D058FC"/>
    <w:rsid w:val="00D05901"/>
    <w:rsid w:val="00D05E3D"/>
    <w:rsid w:val="00D060F5"/>
    <w:rsid w:val="00D06139"/>
    <w:rsid w:val="00D06217"/>
    <w:rsid w:val="00D06A36"/>
    <w:rsid w:val="00D06B70"/>
    <w:rsid w:val="00D06CAB"/>
    <w:rsid w:val="00D06D26"/>
    <w:rsid w:val="00D074B2"/>
    <w:rsid w:val="00D104AB"/>
    <w:rsid w:val="00D105E5"/>
    <w:rsid w:val="00D106D9"/>
    <w:rsid w:val="00D108C3"/>
    <w:rsid w:val="00D109D0"/>
    <w:rsid w:val="00D110BD"/>
    <w:rsid w:val="00D11438"/>
    <w:rsid w:val="00D11721"/>
    <w:rsid w:val="00D11965"/>
    <w:rsid w:val="00D11AEA"/>
    <w:rsid w:val="00D123CC"/>
    <w:rsid w:val="00D1252E"/>
    <w:rsid w:val="00D12A2B"/>
    <w:rsid w:val="00D12D15"/>
    <w:rsid w:val="00D12EAE"/>
    <w:rsid w:val="00D12EC8"/>
    <w:rsid w:val="00D12EF0"/>
    <w:rsid w:val="00D13051"/>
    <w:rsid w:val="00D13127"/>
    <w:rsid w:val="00D132DB"/>
    <w:rsid w:val="00D1334D"/>
    <w:rsid w:val="00D133FE"/>
    <w:rsid w:val="00D13447"/>
    <w:rsid w:val="00D1361F"/>
    <w:rsid w:val="00D13648"/>
    <w:rsid w:val="00D13675"/>
    <w:rsid w:val="00D13812"/>
    <w:rsid w:val="00D13A15"/>
    <w:rsid w:val="00D13CD9"/>
    <w:rsid w:val="00D13D43"/>
    <w:rsid w:val="00D13D71"/>
    <w:rsid w:val="00D13EA9"/>
    <w:rsid w:val="00D13F5C"/>
    <w:rsid w:val="00D1411F"/>
    <w:rsid w:val="00D141E1"/>
    <w:rsid w:val="00D14530"/>
    <w:rsid w:val="00D1494E"/>
    <w:rsid w:val="00D14A3B"/>
    <w:rsid w:val="00D14A58"/>
    <w:rsid w:val="00D14C1F"/>
    <w:rsid w:val="00D14F53"/>
    <w:rsid w:val="00D151AF"/>
    <w:rsid w:val="00D15314"/>
    <w:rsid w:val="00D15B48"/>
    <w:rsid w:val="00D15F8D"/>
    <w:rsid w:val="00D16073"/>
    <w:rsid w:val="00D16602"/>
    <w:rsid w:val="00D16673"/>
    <w:rsid w:val="00D16BC4"/>
    <w:rsid w:val="00D173C2"/>
    <w:rsid w:val="00D17427"/>
    <w:rsid w:val="00D176BD"/>
    <w:rsid w:val="00D17937"/>
    <w:rsid w:val="00D17C9E"/>
    <w:rsid w:val="00D17D6C"/>
    <w:rsid w:val="00D17E65"/>
    <w:rsid w:val="00D2001B"/>
    <w:rsid w:val="00D20255"/>
    <w:rsid w:val="00D2034C"/>
    <w:rsid w:val="00D20A84"/>
    <w:rsid w:val="00D2102C"/>
    <w:rsid w:val="00D2155B"/>
    <w:rsid w:val="00D2161E"/>
    <w:rsid w:val="00D21967"/>
    <w:rsid w:val="00D219D6"/>
    <w:rsid w:val="00D22210"/>
    <w:rsid w:val="00D22A9A"/>
    <w:rsid w:val="00D22B47"/>
    <w:rsid w:val="00D22D03"/>
    <w:rsid w:val="00D22FFB"/>
    <w:rsid w:val="00D23125"/>
    <w:rsid w:val="00D23334"/>
    <w:rsid w:val="00D233FC"/>
    <w:rsid w:val="00D2365A"/>
    <w:rsid w:val="00D23A28"/>
    <w:rsid w:val="00D23BCC"/>
    <w:rsid w:val="00D23C5E"/>
    <w:rsid w:val="00D23D11"/>
    <w:rsid w:val="00D23EA9"/>
    <w:rsid w:val="00D23F1A"/>
    <w:rsid w:val="00D24231"/>
    <w:rsid w:val="00D2435D"/>
    <w:rsid w:val="00D24472"/>
    <w:rsid w:val="00D244B6"/>
    <w:rsid w:val="00D24758"/>
    <w:rsid w:val="00D24BD0"/>
    <w:rsid w:val="00D24CA5"/>
    <w:rsid w:val="00D24E0C"/>
    <w:rsid w:val="00D24E4F"/>
    <w:rsid w:val="00D2524E"/>
    <w:rsid w:val="00D25FDC"/>
    <w:rsid w:val="00D262A3"/>
    <w:rsid w:val="00D26430"/>
    <w:rsid w:val="00D26785"/>
    <w:rsid w:val="00D26E7D"/>
    <w:rsid w:val="00D2713E"/>
    <w:rsid w:val="00D27403"/>
    <w:rsid w:val="00D2754D"/>
    <w:rsid w:val="00D27AAE"/>
    <w:rsid w:val="00D27B27"/>
    <w:rsid w:val="00D3003F"/>
    <w:rsid w:val="00D3019B"/>
    <w:rsid w:val="00D3031C"/>
    <w:rsid w:val="00D30D5B"/>
    <w:rsid w:val="00D310C9"/>
    <w:rsid w:val="00D3121C"/>
    <w:rsid w:val="00D31313"/>
    <w:rsid w:val="00D3135E"/>
    <w:rsid w:val="00D314E0"/>
    <w:rsid w:val="00D31637"/>
    <w:rsid w:val="00D318DA"/>
    <w:rsid w:val="00D31BC5"/>
    <w:rsid w:val="00D31F37"/>
    <w:rsid w:val="00D320C2"/>
    <w:rsid w:val="00D3217D"/>
    <w:rsid w:val="00D32633"/>
    <w:rsid w:val="00D3274D"/>
    <w:rsid w:val="00D32A67"/>
    <w:rsid w:val="00D32AB0"/>
    <w:rsid w:val="00D32D4F"/>
    <w:rsid w:val="00D32D68"/>
    <w:rsid w:val="00D32D95"/>
    <w:rsid w:val="00D33648"/>
    <w:rsid w:val="00D336CE"/>
    <w:rsid w:val="00D33748"/>
    <w:rsid w:val="00D33BAE"/>
    <w:rsid w:val="00D33BE9"/>
    <w:rsid w:val="00D33F5F"/>
    <w:rsid w:val="00D33F76"/>
    <w:rsid w:val="00D33F93"/>
    <w:rsid w:val="00D34085"/>
    <w:rsid w:val="00D342F1"/>
    <w:rsid w:val="00D3442E"/>
    <w:rsid w:val="00D344C3"/>
    <w:rsid w:val="00D346A3"/>
    <w:rsid w:val="00D34725"/>
    <w:rsid w:val="00D34B9A"/>
    <w:rsid w:val="00D35381"/>
    <w:rsid w:val="00D35519"/>
    <w:rsid w:val="00D355F6"/>
    <w:rsid w:val="00D357FF"/>
    <w:rsid w:val="00D3580A"/>
    <w:rsid w:val="00D35831"/>
    <w:rsid w:val="00D358B6"/>
    <w:rsid w:val="00D35916"/>
    <w:rsid w:val="00D35C7A"/>
    <w:rsid w:val="00D35CEC"/>
    <w:rsid w:val="00D35E79"/>
    <w:rsid w:val="00D360A5"/>
    <w:rsid w:val="00D360D4"/>
    <w:rsid w:val="00D36886"/>
    <w:rsid w:val="00D36956"/>
    <w:rsid w:val="00D36D5B"/>
    <w:rsid w:val="00D36DFC"/>
    <w:rsid w:val="00D37010"/>
    <w:rsid w:val="00D374A9"/>
    <w:rsid w:val="00D37912"/>
    <w:rsid w:val="00D379B0"/>
    <w:rsid w:val="00D379E8"/>
    <w:rsid w:val="00D37B90"/>
    <w:rsid w:val="00D37C5C"/>
    <w:rsid w:val="00D37E2A"/>
    <w:rsid w:val="00D40388"/>
    <w:rsid w:val="00D4060E"/>
    <w:rsid w:val="00D4094C"/>
    <w:rsid w:val="00D41CB6"/>
    <w:rsid w:val="00D41CD6"/>
    <w:rsid w:val="00D41E1E"/>
    <w:rsid w:val="00D424C7"/>
    <w:rsid w:val="00D42615"/>
    <w:rsid w:val="00D4261F"/>
    <w:rsid w:val="00D42976"/>
    <w:rsid w:val="00D42EDB"/>
    <w:rsid w:val="00D43062"/>
    <w:rsid w:val="00D43196"/>
    <w:rsid w:val="00D433C1"/>
    <w:rsid w:val="00D433CD"/>
    <w:rsid w:val="00D4343E"/>
    <w:rsid w:val="00D43B06"/>
    <w:rsid w:val="00D43B2A"/>
    <w:rsid w:val="00D43CE2"/>
    <w:rsid w:val="00D43CF1"/>
    <w:rsid w:val="00D43D83"/>
    <w:rsid w:val="00D44230"/>
    <w:rsid w:val="00D44524"/>
    <w:rsid w:val="00D44940"/>
    <w:rsid w:val="00D44C3A"/>
    <w:rsid w:val="00D45CB3"/>
    <w:rsid w:val="00D46137"/>
    <w:rsid w:val="00D4622B"/>
    <w:rsid w:val="00D46374"/>
    <w:rsid w:val="00D468F5"/>
    <w:rsid w:val="00D472FF"/>
    <w:rsid w:val="00D47575"/>
    <w:rsid w:val="00D47715"/>
    <w:rsid w:val="00D4784F"/>
    <w:rsid w:val="00D47DD2"/>
    <w:rsid w:val="00D47F9F"/>
    <w:rsid w:val="00D5033E"/>
    <w:rsid w:val="00D50D9F"/>
    <w:rsid w:val="00D511AE"/>
    <w:rsid w:val="00D512C8"/>
    <w:rsid w:val="00D5159E"/>
    <w:rsid w:val="00D517D6"/>
    <w:rsid w:val="00D51BB2"/>
    <w:rsid w:val="00D51E29"/>
    <w:rsid w:val="00D5222F"/>
    <w:rsid w:val="00D522A4"/>
    <w:rsid w:val="00D523DA"/>
    <w:rsid w:val="00D5243B"/>
    <w:rsid w:val="00D5275D"/>
    <w:rsid w:val="00D529FD"/>
    <w:rsid w:val="00D533EC"/>
    <w:rsid w:val="00D53C1C"/>
    <w:rsid w:val="00D53C74"/>
    <w:rsid w:val="00D53DA5"/>
    <w:rsid w:val="00D53F6D"/>
    <w:rsid w:val="00D543C3"/>
    <w:rsid w:val="00D54577"/>
    <w:rsid w:val="00D546D4"/>
    <w:rsid w:val="00D54A66"/>
    <w:rsid w:val="00D54D48"/>
    <w:rsid w:val="00D55562"/>
    <w:rsid w:val="00D5557A"/>
    <w:rsid w:val="00D5601A"/>
    <w:rsid w:val="00D5622C"/>
    <w:rsid w:val="00D56598"/>
    <w:rsid w:val="00D5690C"/>
    <w:rsid w:val="00D56A95"/>
    <w:rsid w:val="00D57A62"/>
    <w:rsid w:val="00D57F27"/>
    <w:rsid w:val="00D57F7D"/>
    <w:rsid w:val="00D60128"/>
    <w:rsid w:val="00D60413"/>
    <w:rsid w:val="00D60445"/>
    <w:rsid w:val="00D60692"/>
    <w:rsid w:val="00D6076E"/>
    <w:rsid w:val="00D60F15"/>
    <w:rsid w:val="00D61017"/>
    <w:rsid w:val="00D611E4"/>
    <w:rsid w:val="00D614A1"/>
    <w:rsid w:val="00D618FB"/>
    <w:rsid w:val="00D6230D"/>
    <w:rsid w:val="00D624AC"/>
    <w:rsid w:val="00D62838"/>
    <w:rsid w:val="00D62908"/>
    <w:rsid w:val="00D6292D"/>
    <w:rsid w:val="00D62CA1"/>
    <w:rsid w:val="00D62D77"/>
    <w:rsid w:val="00D62EA4"/>
    <w:rsid w:val="00D62FA9"/>
    <w:rsid w:val="00D62FD4"/>
    <w:rsid w:val="00D633AC"/>
    <w:rsid w:val="00D63A4A"/>
    <w:rsid w:val="00D63D04"/>
    <w:rsid w:val="00D63D1D"/>
    <w:rsid w:val="00D63F45"/>
    <w:rsid w:val="00D6433C"/>
    <w:rsid w:val="00D645F6"/>
    <w:rsid w:val="00D64819"/>
    <w:rsid w:val="00D649D6"/>
    <w:rsid w:val="00D64DBA"/>
    <w:rsid w:val="00D6507A"/>
    <w:rsid w:val="00D653DB"/>
    <w:rsid w:val="00D65F37"/>
    <w:rsid w:val="00D6620C"/>
    <w:rsid w:val="00D66387"/>
    <w:rsid w:val="00D667E7"/>
    <w:rsid w:val="00D667F8"/>
    <w:rsid w:val="00D669E4"/>
    <w:rsid w:val="00D66A70"/>
    <w:rsid w:val="00D66A7B"/>
    <w:rsid w:val="00D66D9F"/>
    <w:rsid w:val="00D66F8E"/>
    <w:rsid w:val="00D67187"/>
    <w:rsid w:val="00D6718C"/>
    <w:rsid w:val="00D6719D"/>
    <w:rsid w:val="00D6752B"/>
    <w:rsid w:val="00D67541"/>
    <w:rsid w:val="00D67B48"/>
    <w:rsid w:val="00D67F16"/>
    <w:rsid w:val="00D67F19"/>
    <w:rsid w:val="00D67F62"/>
    <w:rsid w:val="00D701AA"/>
    <w:rsid w:val="00D701B1"/>
    <w:rsid w:val="00D7054D"/>
    <w:rsid w:val="00D705AE"/>
    <w:rsid w:val="00D707CA"/>
    <w:rsid w:val="00D70C79"/>
    <w:rsid w:val="00D70C8B"/>
    <w:rsid w:val="00D70F16"/>
    <w:rsid w:val="00D713B0"/>
    <w:rsid w:val="00D718BF"/>
    <w:rsid w:val="00D7194A"/>
    <w:rsid w:val="00D71D21"/>
    <w:rsid w:val="00D72508"/>
    <w:rsid w:val="00D72617"/>
    <w:rsid w:val="00D7285F"/>
    <w:rsid w:val="00D7290E"/>
    <w:rsid w:val="00D72BB5"/>
    <w:rsid w:val="00D72D76"/>
    <w:rsid w:val="00D72DA5"/>
    <w:rsid w:val="00D72F57"/>
    <w:rsid w:val="00D73037"/>
    <w:rsid w:val="00D73337"/>
    <w:rsid w:val="00D73568"/>
    <w:rsid w:val="00D73B72"/>
    <w:rsid w:val="00D73BA5"/>
    <w:rsid w:val="00D73EAB"/>
    <w:rsid w:val="00D73F7F"/>
    <w:rsid w:val="00D74066"/>
    <w:rsid w:val="00D74869"/>
    <w:rsid w:val="00D74EAD"/>
    <w:rsid w:val="00D750D1"/>
    <w:rsid w:val="00D75420"/>
    <w:rsid w:val="00D756E7"/>
    <w:rsid w:val="00D75B7D"/>
    <w:rsid w:val="00D760C9"/>
    <w:rsid w:val="00D76171"/>
    <w:rsid w:val="00D764FC"/>
    <w:rsid w:val="00D76912"/>
    <w:rsid w:val="00D769D3"/>
    <w:rsid w:val="00D76A44"/>
    <w:rsid w:val="00D76BDF"/>
    <w:rsid w:val="00D76D53"/>
    <w:rsid w:val="00D7740C"/>
    <w:rsid w:val="00D7758B"/>
    <w:rsid w:val="00D775C9"/>
    <w:rsid w:val="00D77A69"/>
    <w:rsid w:val="00D77AC7"/>
    <w:rsid w:val="00D77CAF"/>
    <w:rsid w:val="00D77D67"/>
    <w:rsid w:val="00D77D7F"/>
    <w:rsid w:val="00D77DBF"/>
    <w:rsid w:val="00D8035E"/>
    <w:rsid w:val="00D808ED"/>
    <w:rsid w:val="00D80900"/>
    <w:rsid w:val="00D80A0A"/>
    <w:rsid w:val="00D80D6B"/>
    <w:rsid w:val="00D8101C"/>
    <w:rsid w:val="00D810AF"/>
    <w:rsid w:val="00D810D6"/>
    <w:rsid w:val="00D81242"/>
    <w:rsid w:val="00D8128A"/>
    <w:rsid w:val="00D812FA"/>
    <w:rsid w:val="00D815EF"/>
    <w:rsid w:val="00D81949"/>
    <w:rsid w:val="00D81B07"/>
    <w:rsid w:val="00D81F26"/>
    <w:rsid w:val="00D8204E"/>
    <w:rsid w:val="00D8205D"/>
    <w:rsid w:val="00D822E2"/>
    <w:rsid w:val="00D823D2"/>
    <w:rsid w:val="00D824B8"/>
    <w:rsid w:val="00D82676"/>
    <w:rsid w:val="00D828E0"/>
    <w:rsid w:val="00D82981"/>
    <w:rsid w:val="00D83135"/>
    <w:rsid w:val="00D83611"/>
    <w:rsid w:val="00D8391B"/>
    <w:rsid w:val="00D83A2D"/>
    <w:rsid w:val="00D83EC9"/>
    <w:rsid w:val="00D84095"/>
    <w:rsid w:val="00D843F2"/>
    <w:rsid w:val="00D8486F"/>
    <w:rsid w:val="00D84B6E"/>
    <w:rsid w:val="00D84EE0"/>
    <w:rsid w:val="00D85106"/>
    <w:rsid w:val="00D8513A"/>
    <w:rsid w:val="00D851D5"/>
    <w:rsid w:val="00D85602"/>
    <w:rsid w:val="00D85A32"/>
    <w:rsid w:val="00D86231"/>
    <w:rsid w:val="00D86725"/>
    <w:rsid w:val="00D869A8"/>
    <w:rsid w:val="00D86CC7"/>
    <w:rsid w:val="00D870FF"/>
    <w:rsid w:val="00D8721F"/>
    <w:rsid w:val="00D8747C"/>
    <w:rsid w:val="00D8765E"/>
    <w:rsid w:val="00D8768E"/>
    <w:rsid w:val="00D8774C"/>
    <w:rsid w:val="00D87CDC"/>
    <w:rsid w:val="00D9031C"/>
    <w:rsid w:val="00D90A5A"/>
    <w:rsid w:val="00D91090"/>
    <w:rsid w:val="00D912AB"/>
    <w:rsid w:val="00D916EC"/>
    <w:rsid w:val="00D91889"/>
    <w:rsid w:val="00D918A3"/>
    <w:rsid w:val="00D91923"/>
    <w:rsid w:val="00D920B7"/>
    <w:rsid w:val="00D92454"/>
    <w:rsid w:val="00D92588"/>
    <w:rsid w:val="00D92B65"/>
    <w:rsid w:val="00D92CB5"/>
    <w:rsid w:val="00D9329D"/>
    <w:rsid w:val="00D9331F"/>
    <w:rsid w:val="00D933AC"/>
    <w:rsid w:val="00D9352B"/>
    <w:rsid w:val="00D93670"/>
    <w:rsid w:val="00D93683"/>
    <w:rsid w:val="00D93753"/>
    <w:rsid w:val="00D937CA"/>
    <w:rsid w:val="00D939D3"/>
    <w:rsid w:val="00D93AF0"/>
    <w:rsid w:val="00D94034"/>
    <w:rsid w:val="00D94647"/>
    <w:rsid w:val="00D94737"/>
    <w:rsid w:val="00D94838"/>
    <w:rsid w:val="00D94950"/>
    <w:rsid w:val="00D94A47"/>
    <w:rsid w:val="00D94C49"/>
    <w:rsid w:val="00D94F23"/>
    <w:rsid w:val="00D94FA8"/>
    <w:rsid w:val="00D95184"/>
    <w:rsid w:val="00D9572B"/>
    <w:rsid w:val="00D9578D"/>
    <w:rsid w:val="00D958FF"/>
    <w:rsid w:val="00D95B0F"/>
    <w:rsid w:val="00D95D5D"/>
    <w:rsid w:val="00D95EFC"/>
    <w:rsid w:val="00D962CF"/>
    <w:rsid w:val="00D96551"/>
    <w:rsid w:val="00D9694D"/>
    <w:rsid w:val="00D96BAD"/>
    <w:rsid w:val="00D96D85"/>
    <w:rsid w:val="00D96E96"/>
    <w:rsid w:val="00D96FDD"/>
    <w:rsid w:val="00D97058"/>
    <w:rsid w:val="00D977BC"/>
    <w:rsid w:val="00D979C1"/>
    <w:rsid w:val="00D97CD6"/>
    <w:rsid w:val="00D97F34"/>
    <w:rsid w:val="00DA0055"/>
    <w:rsid w:val="00DA01BF"/>
    <w:rsid w:val="00DA0332"/>
    <w:rsid w:val="00DA0490"/>
    <w:rsid w:val="00DA0518"/>
    <w:rsid w:val="00DA056A"/>
    <w:rsid w:val="00DA09CA"/>
    <w:rsid w:val="00DA0B95"/>
    <w:rsid w:val="00DA0C66"/>
    <w:rsid w:val="00DA0E2A"/>
    <w:rsid w:val="00DA138A"/>
    <w:rsid w:val="00DA1836"/>
    <w:rsid w:val="00DA1906"/>
    <w:rsid w:val="00DA1ABD"/>
    <w:rsid w:val="00DA1BD4"/>
    <w:rsid w:val="00DA1D6E"/>
    <w:rsid w:val="00DA1D9E"/>
    <w:rsid w:val="00DA1DC3"/>
    <w:rsid w:val="00DA21D5"/>
    <w:rsid w:val="00DA2424"/>
    <w:rsid w:val="00DA2432"/>
    <w:rsid w:val="00DA244C"/>
    <w:rsid w:val="00DA2D2E"/>
    <w:rsid w:val="00DA2F6F"/>
    <w:rsid w:val="00DA3167"/>
    <w:rsid w:val="00DA3212"/>
    <w:rsid w:val="00DA324D"/>
    <w:rsid w:val="00DA32BF"/>
    <w:rsid w:val="00DA372C"/>
    <w:rsid w:val="00DA3E00"/>
    <w:rsid w:val="00DA3FA1"/>
    <w:rsid w:val="00DA4079"/>
    <w:rsid w:val="00DA4DC3"/>
    <w:rsid w:val="00DA4DE1"/>
    <w:rsid w:val="00DA4EAC"/>
    <w:rsid w:val="00DA51D1"/>
    <w:rsid w:val="00DA51D8"/>
    <w:rsid w:val="00DA6218"/>
    <w:rsid w:val="00DA650F"/>
    <w:rsid w:val="00DA6EA0"/>
    <w:rsid w:val="00DA6EC7"/>
    <w:rsid w:val="00DA7067"/>
    <w:rsid w:val="00DA70A4"/>
    <w:rsid w:val="00DA70DF"/>
    <w:rsid w:val="00DA7291"/>
    <w:rsid w:val="00DA77A5"/>
    <w:rsid w:val="00DA796F"/>
    <w:rsid w:val="00DB0388"/>
    <w:rsid w:val="00DB08CD"/>
    <w:rsid w:val="00DB0959"/>
    <w:rsid w:val="00DB0AA1"/>
    <w:rsid w:val="00DB0E36"/>
    <w:rsid w:val="00DB1007"/>
    <w:rsid w:val="00DB184F"/>
    <w:rsid w:val="00DB1BA8"/>
    <w:rsid w:val="00DB1C90"/>
    <w:rsid w:val="00DB1FBB"/>
    <w:rsid w:val="00DB235E"/>
    <w:rsid w:val="00DB26B0"/>
    <w:rsid w:val="00DB2858"/>
    <w:rsid w:val="00DB2B8B"/>
    <w:rsid w:val="00DB2D18"/>
    <w:rsid w:val="00DB30AA"/>
    <w:rsid w:val="00DB3260"/>
    <w:rsid w:val="00DB3477"/>
    <w:rsid w:val="00DB37A2"/>
    <w:rsid w:val="00DB3DBF"/>
    <w:rsid w:val="00DB3FAC"/>
    <w:rsid w:val="00DB43C3"/>
    <w:rsid w:val="00DB44CA"/>
    <w:rsid w:val="00DB460D"/>
    <w:rsid w:val="00DB4805"/>
    <w:rsid w:val="00DB484F"/>
    <w:rsid w:val="00DB493E"/>
    <w:rsid w:val="00DB4A76"/>
    <w:rsid w:val="00DB4B05"/>
    <w:rsid w:val="00DB509D"/>
    <w:rsid w:val="00DB50A6"/>
    <w:rsid w:val="00DB52CD"/>
    <w:rsid w:val="00DB54EE"/>
    <w:rsid w:val="00DB551A"/>
    <w:rsid w:val="00DB5F81"/>
    <w:rsid w:val="00DB60B1"/>
    <w:rsid w:val="00DB6312"/>
    <w:rsid w:val="00DB63D4"/>
    <w:rsid w:val="00DB6641"/>
    <w:rsid w:val="00DB6A22"/>
    <w:rsid w:val="00DB6AAE"/>
    <w:rsid w:val="00DB6DA1"/>
    <w:rsid w:val="00DB6FDD"/>
    <w:rsid w:val="00DB7003"/>
    <w:rsid w:val="00DB7303"/>
    <w:rsid w:val="00DB73CF"/>
    <w:rsid w:val="00DB7493"/>
    <w:rsid w:val="00DB758C"/>
    <w:rsid w:val="00DB7800"/>
    <w:rsid w:val="00DB79E3"/>
    <w:rsid w:val="00DB7D03"/>
    <w:rsid w:val="00DB7D56"/>
    <w:rsid w:val="00DC00AF"/>
    <w:rsid w:val="00DC00BB"/>
    <w:rsid w:val="00DC04F6"/>
    <w:rsid w:val="00DC0690"/>
    <w:rsid w:val="00DC0800"/>
    <w:rsid w:val="00DC092B"/>
    <w:rsid w:val="00DC0ECB"/>
    <w:rsid w:val="00DC1145"/>
    <w:rsid w:val="00DC13E3"/>
    <w:rsid w:val="00DC13E6"/>
    <w:rsid w:val="00DC1634"/>
    <w:rsid w:val="00DC1842"/>
    <w:rsid w:val="00DC1B2A"/>
    <w:rsid w:val="00DC1D65"/>
    <w:rsid w:val="00DC1E6E"/>
    <w:rsid w:val="00DC1E70"/>
    <w:rsid w:val="00DC1F80"/>
    <w:rsid w:val="00DC22D9"/>
    <w:rsid w:val="00DC2960"/>
    <w:rsid w:val="00DC29F3"/>
    <w:rsid w:val="00DC2EFB"/>
    <w:rsid w:val="00DC3065"/>
    <w:rsid w:val="00DC31E4"/>
    <w:rsid w:val="00DC358D"/>
    <w:rsid w:val="00DC3687"/>
    <w:rsid w:val="00DC37E4"/>
    <w:rsid w:val="00DC38A8"/>
    <w:rsid w:val="00DC396B"/>
    <w:rsid w:val="00DC3C57"/>
    <w:rsid w:val="00DC40E5"/>
    <w:rsid w:val="00DC42C6"/>
    <w:rsid w:val="00DC43BF"/>
    <w:rsid w:val="00DC4E46"/>
    <w:rsid w:val="00DC4E65"/>
    <w:rsid w:val="00DC4F78"/>
    <w:rsid w:val="00DC5003"/>
    <w:rsid w:val="00DC5164"/>
    <w:rsid w:val="00DC53B0"/>
    <w:rsid w:val="00DC542D"/>
    <w:rsid w:val="00DC5501"/>
    <w:rsid w:val="00DC5626"/>
    <w:rsid w:val="00DC56DB"/>
    <w:rsid w:val="00DC5CA0"/>
    <w:rsid w:val="00DC5DE4"/>
    <w:rsid w:val="00DC5EAB"/>
    <w:rsid w:val="00DC6143"/>
    <w:rsid w:val="00DC621D"/>
    <w:rsid w:val="00DC649A"/>
    <w:rsid w:val="00DC64FD"/>
    <w:rsid w:val="00DC66BB"/>
    <w:rsid w:val="00DC6811"/>
    <w:rsid w:val="00DC69CE"/>
    <w:rsid w:val="00DC6D2C"/>
    <w:rsid w:val="00DC6F03"/>
    <w:rsid w:val="00DC6F8F"/>
    <w:rsid w:val="00DC7154"/>
    <w:rsid w:val="00DC7297"/>
    <w:rsid w:val="00DC736B"/>
    <w:rsid w:val="00DC73A8"/>
    <w:rsid w:val="00DC7BE8"/>
    <w:rsid w:val="00DC7E8A"/>
    <w:rsid w:val="00DD004B"/>
    <w:rsid w:val="00DD010E"/>
    <w:rsid w:val="00DD0215"/>
    <w:rsid w:val="00DD03E6"/>
    <w:rsid w:val="00DD0565"/>
    <w:rsid w:val="00DD07A4"/>
    <w:rsid w:val="00DD07E7"/>
    <w:rsid w:val="00DD0D4C"/>
    <w:rsid w:val="00DD0F78"/>
    <w:rsid w:val="00DD1135"/>
    <w:rsid w:val="00DD155B"/>
    <w:rsid w:val="00DD166A"/>
    <w:rsid w:val="00DD191A"/>
    <w:rsid w:val="00DD1A37"/>
    <w:rsid w:val="00DD1B22"/>
    <w:rsid w:val="00DD1BAD"/>
    <w:rsid w:val="00DD1BE5"/>
    <w:rsid w:val="00DD1D54"/>
    <w:rsid w:val="00DD20C9"/>
    <w:rsid w:val="00DD2682"/>
    <w:rsid w:val="00DD273C"/>
    <w:rsid w:val="00DD28D0"/>
    <w:rsid w:val="00DD28D6"/>
    <w:rsid w:val="00DD28F9"/>
    <w:rsid w:val="00DD2F01"/>
    <w:rsid w:val="00DD308F"/>
    <w:rsid w:val="00DD3247"/>
    <w:rsid w:val="00DD350D"/>
    <w:rsid w:val="00DD358A"/>
    <w:rsid w:val="00DD367D"/>
    <w:rsid w:val="00DD380A"/>
    <w:rsid w:val="00DD3817"/>
    <w:rsid w:val="00DD3947"/>
    <w:rsid w:val="00DD3DB9"/>
    <w:rsid w:val="00DD3EC0"/>
    <w:rsid w:val="00DD3F28"/>
    <w:rsid w:val="00DD3F7F"/>
    <w:rsid w:val="00DD40C1"/>
    <w:rsid w:val="00DD4323"/>
    <w:rsid w:val="00DD4446"/>
    <w:rsid w:val="00DD4537"/>
    <w:rsid w:val="00DD4A6F"/>
    <w:rsid w:val="00DD4AEC"/>
    <w:rsid w:val="00DD4E15"/>
    <w:rsid w:val="00DD4E6B"/>
    <w:rsid w:val="00DD5498"/>
    <w:rsid w:val="00DD564C"/>
    <w:rsid w:val="00DD59AE"/>
    <w:rsid w:val="00DD5A89"/>
    <w:rsid w:val="00DD5BD5"/>
    <w:rsid w:val="00DD5D82"/>
    <w:rsid w:val="00DD6D2D"/>
    <w:rsid w:val="00DD6F56"/>
    <w:rsid w:val="00DD731E"/>
    <w:rsid w:val="00DD7422"/>
    <w:rsid w:val="00DD77E1"/>
    <w:rsid w:val="00DD7FC0"/>
    <w:rsid w:val="00DE046C"/>
    <w:rsid w:val="00DE0470"/>
    <w:rsid w:val="00DE04A8"/>
    <w:rsid w:val="00DE04D1"/>
    <w:rsid w:val="00DE052B"/>
    <w:rsid w:val="00DE07E3"/>
    <w:rsid w:val="00DE0A52"/>
    <w:rsid w:val="00DE0E4E"/>
    <w:rsid w:val="00DE0F7A"/>
    <w:rsid w:val="00DE0FF7"/>
    <w:rsid w:val="00DE13B6"/>
    <w:rsid w:val="00DE1520"/>
    <w:rsid w:val="00DE1FBE"/>
    <w:rsid w:val="00DE2304"/>
    <w:rsid w:val="00DE23A4"/>
    <w:rsid w:val="00DE28F0"/>
    <w:rsid w:val="00DE2D7F"/>
    <w:rsid w:val="00DE2EA5"/>
    <w:rsid w:val="00DE3138"/>
    <w:rsid w:val="00DE357C"/>
    <w:rsid w:val="00DE3626"/>
    <w:rsid w:val="00DE37F8"/>
    <w:rsid w:val="00DE3965"/>
    <w:rsid w:val="00DE4273"/>
    <w:rsid w:val="00DE44B8"/>
    <w:rsid w:val="00DE45D2"/>
    <w:rsid w:val="00DE4B8C"/>
    <w:rsid w:val="00DE4CEC"/>
    <w:rsid w:val="00DE4FCB"/>
    <w:rsid w:val="00DE52BF"/>
    <w:rsid w:val="00DE53E3"/>
    <w:rsid w:val="00DE5665"/>
    <w:rsid w:val="00DE5668"/>
    <w:rsid w:val="00DE5914"/>
    <w:rsid w:val="00DE5D07"/>
    <w:rsid w:val="00DE5FF0"/>
    <w:rsid w:val="00DE6651"/>
    <w:rsid w:val="00DE6F97"/>
    <w:rsid w:val="00DE7158"/>
    <w:rsid w:val="00DE72A7"/>
    <w:rsid w:val="00DE7324"/>
    <w:rsid w:val="00DE7599"/>
    <w:rsid w:val="00DE7832"/>
    <w:rsid w:val="00DE7C99"/>
    <w:rsid w:val="00DE7C9F"/>
    <w:rsid w:val="00DE7CD4"/>
    <w:rsid w:val="00DF03B7"/>
    <w:rsid w:val="00DF05A0"/>
    <w:rsid w:val="00DF0798"/>
    <w:rsid w:val="00DF0837"/>
    <w:rsid w:val="00DF087B"/>
    <w:rsid w:val="00DF0A17"/>
    <w:rsid w:val="00DF113F"/>
    <w:rsid w:val="00DF12B0"/>
    <w:rsid w:val="00DF1311"/>
    <w:rsid w:val="00DF1405"/>
    <w:rsid w:val="00DF143F"/>
    <w:rsid w:val="00DF160E"/>
    <w:rsid w:val="00DF18FC"/>
    <w:rsid w:val="00DF220F"/>
    <w:rsid w:val="00DF22F0"/>
    <w:rsid w:val="00DF2BAA"/>
    <w:rsid w:val="00DF2FF2"/>
    <w:rsid w:val="00DF318B"/>
    <w:rsid w:val="00DF3D08"/>
    <w:rsid w:val="00DF3FD0"/>
    <w:rsid w:val="00DF40A7"/>
    <w:rsid w:val="00DF44A9"/>
    <w:rsid w:val="00DF4B43"/>
    <w:rsid w:val="00DF4EC7"/>
    <w:rsid w:val="00DF5206"/>
    <w:rsid w:val="00DF548E"/>
    <w:rsid w:val="00DF570E"/>
    <w:rsid w:val="00DF5727"/>
    <w:rsid w:val="00DF58E9"/>
    <w:rsid w:val="00DF5B98"/>
    <w:rsid w:val="00DF5D2B"/>
    <w:rsid w:val="00DF5DB9"/>
    <w:rsid w:val="00DF6341"/>
    <w:rsid w:val="00DF66EB"/>
    <w:rsid w:val="00DF6835"/>
    <w:rsid w:val="00DF69B6"/>
    <w:rsid w:val="00DF6C9B"/>
    <w:rsid w:val="00DF6DD1"/>
    <w:rsid w:val="00DF6EE9"/>
    <w:rsid w:val="00DF6F7D"/>
    <w:rsid w:val="00DF71FD"/>
    <w:rsid w:val="00DF7647"/>
    <w:rsid w:val="00DF7CF6"/>
    <w:rsid w:val="00E00005"/>
    <w:rsid w:val="00E001BA"/>
    <w:rsid w:val="00E00204"/>
    <w:rsid w:val="00E002D3"/>
    <w:rsid w:val="00E00979"/>
    <w:rsid w:val="00E00CFB"/>
    <w:rsid w:val="00E00E8E"/>
    <w:rsid w:val="00E0143E"/>
    <w:rsid w:val="00E0156E"/>
    <w:rsid w:val="00E015AE"/>
    <w:rsid w:val="00E01C77"/>
    <w:rsid w:val="00E01EA5"/>
    <w:rsid w:val="00E02275"/>
    <w:rsid w:val="00E023D0"/>
    <w:rsid w:val="00E0253E"/>
    <w:rsid w:val="00E02554"/>
    <w:rsid w:val="00E026AD"/>
    <w:rsid w:val="00E029AC"/>
    <w:rsid w:val="00E029DD"/>
    <w:rsid w:val="00E02C67"/>
    <w:rsid w:val="00E02C6D"/>
    <w:rsid w:val="00E02F6C"/>
    <w:rsid w:val="00E030F4"/>
    <w:rsid w:val="00E039D1"/>
    <w:rsid w:val="00E045CD"/>
    <w:rsid w:val="00E047FC"/>
    <w:rsid w:val="00E04FBF"/>
    <w:rsid w:val="00E050F6"/>
    <w:rsid w:val="00E05523"/>
    <w:rsid w:val="00E05630"/>
    <w:rsid w:val="00E05803"/>
    <w:rsid w:val="00E05B20"/>
    <w:rsid w:val="00E05C32"/>
    <w:rsid w:val="00E05ED5"/>
    <w:rsid w:val="00E061F3"/>
    <w:rsid w:val="00E0626E"/>
    <w:rsid w:val="00E06AC7"/>
    <w:rsid w:val="00E06B6B"/>
    <w:rsid w:val="00E06C15"/>
    <w:rsid w:val="00E06C6F"/>
    <w:rsid w:val="00E06D29"/>
    <w:rsid w:val="00E06DBB"/>
    <w:rsid w:val="00E070F2"/>
    <w:rsid w:val="00E0778F"/>
    <w:rsid w:val="00E07E41"/>
    <w:rsid w:val="00E07E96"/>
    <w:rsid w:val="00E07F4E"/>
    <w:rsid w:val="00E10149"/>
    <w:rsid w:val="00E102EB"/>
    <w:rsid w:val="00E10339"/>
    <w:rsid w:val="00E10385"/>
    <w:rsid w:val="00E10449"/>
    <w:rsid w:val="00E10751"/>
    <w:rsid w:val="00E10A3D"/>
    <w:rsid w:val="00E10C52"/>
    <w:rsid w:val="00E1125C"/>
    <w:rsid w:val="00E11340"/>
    <w:rsid w:val="00E1137D"/>
    <w:rsid w:val="00E11B43"/>
    <w:rsid w:val="00E11BF6"/>
    <w:rsid w:val="00E11F25"/>
    <w:rsid w:val="00E12034"/>
    <w:rsid w:val="00E120A6"/>
    <w:rsid w:val="00E122A1"/>
    <w:rsid w:val="00E122D3"/>
    <w:rsid w:val="00E12688"/>
    <w:rsid w:val="00E12A72"/>
    <w:rsid w:val="00E12B11"/>
    <w:rsid w:val="00E13263"/>
    <w:rsid w:val="00E133D2"/>
    <w:rsid w:val="00E13719"/>
    <w:rsid w:val="00E13ADD"/>
    <w:rsid w:val="00E13AE1"/>
    <w:rsid w:val="00E13E4A"/>
    <w:rsid w:val="00E13EE8"/>
    <w:rsid w:val="00E1403F"/>
    <w:rsid w:val="00E14129"/>
    <w:rsid w:val="00E14354"/>
    <w:rsid w:val="00E143A8"/>
    <w:rsid w:val="00E1476E"/>
    <w:rsid w:val="00E14827"/>
    <w:rsid w:val="00E14C2D"/>
    <w:rsid w:val="00E14E2B"/>
    <w:rsid w:val="00E151B7"/>
    <w:rsid w:val="00E15468"/>
    <w:rsid w:val="00E1559C"/>
    <w:rsid w:val="00E155AF"/>
    <w:rsid w:val="00E15787"/>
    <w:rsid w:val="00E157AD"/>
    <w:rsid w:val="00E15F73"/>
    <w:rsid w:val="00E1600C"/>
    <w:rsid w:val="00E16372"/>
    <w:rsid w:val="00E1667C"/>
    <w:rsid w:val="00E167D7"/>
    <w:rsid w:val="00E16AD8"/>
    <w:rsid w:val="00E16D1C"/>
    <w:rsid w:val="00E16FCE"/>
    <w:rsid w:val="00E1744F"/>
    <w:rsid w:val="00E17CCE"/>
    <w:rsid w:val="00E17FFA"/>
    <w:rsid w:val="00E200C2"/>
    <w:rsid w:val="00E2052D"/>
    <w:rsid w:val="00E206F9"/>
    <w:rsid w:val="00E207ED"/>
    <w:rsid w:val="00E20B1E"/>
    <w:rsid w:val="00E20B99"/>
    <w:rsid w:val="00E20D42"/>
    <w:rsid w:val="00E20E2E"/>
    <w:rsid w:val="00E20E4D"/>
    <w:rsid w:val="00E20E8A"/>
    <w:rsid w:val="00E20ED6"/>
    <w:rsid w:val="00E20FC4"/>
    <w:rsid w:val="00E2129B"/>
    <w:rsid w:val="00E21358"/>
    <w:rsid w:val="00E2167C"/>
    <w:rsid w:val="00E217A3"/>
    <w:rsid w:val="00E2203E"/>
    <w:rsid w:val="00E22080"/>
    <w:rsid w:val="00E2249B"/>
    <w:rsid w:val="00E226F4"/>
    <w:rsid w:val="00E22713"/>
    <w:rsid w:val="00E2288C"/>
    <w:rsid w:val="00E22988"/>
    <w:rsid w:val="00E22A0D"/>
    <w:rsid w:val="00E23428"/>
    <w:rsid w:val="00E23B1B"/>
    <w:rsid w:val="00E23B76"/>
    <w:rsid w:val="00E24322"/>
    <w:rsid w:val="00E2449F"/>
    <w:rsid w:val="00E244F6"/>
    <w:rsid w:val="00E24AF6"/>
    <w:rsid w:val="00E250DF"/>
    <w:rsid w:val="00E256C9"/>
    <w:rsid w:val="00E25794"/>
    <w:rsid w:val="00E258DB"/>
    <w:rsid w:val="00E25923"/>
    <w:rsid w:val="00E25A57"/>
    <w:rsid w:val="00E25AAD"/>
    <w:rsid w:val="00E25BAC"/>
    <w:rsid w:val="00E25BF1"/>
    <w:rsid w:val="00E25D02"/>
    <w:rsid w:val="00E25E95"/>
    <w:rsid w:val="00E2606A"/>
    <w:rsid w:val="00E26488"/>
    <w:rsid w:val="00E26D7C"/>
    <w:rsid w:val="00E2728B"/>
    <w:rsid w:val="00E2737D"/>
    <w:rsid w:val="00E2771E"/>
    <w:rsid w:val="00E2795F"/>
    <w:rsid w:val="00E2799A"/>
    <w:rsid w:val="00E27DE1"/>
    <w:rsid w:val="00E3013A"/>
    <w:rsid w:val="00E3040D"/>
    <w:rsid w:val="00E3053C"/>
    <w:rsid w:val="00E307DE"/>
    <w:rsid w:val="00E308E3"/>
    <w:rsid w:val="00E30906"/>
    <w:rsid w:val="00E30C3D"/>
    <w:rsid w:val="00E30DC2"/>
    <w:rsid w:val="00E30F09"/>
    <w:rsid w:val="00E30FCA"/>
    <w:rsid w:val="00E311EF"/>
    <w:rsid w:val="00E31437"/>
    <w:rsid w:val="00E3149A"/>
    <w:rsid w:val="00E314B7"/>
    <w:rsid w:val="00E316C5"/>
    <w:rsid w:val="00E3188F"/>
    <w:rsid w:val="00E31A31"/>
    <w:rsid w:val="00E31AE1"/>
    <w:rsid w:val="00E31C53"/>
    <w:rsid w:val="00E31D41"/>
    <w:rsid w:val="00E31DE0"/>
    <w:rsid w:val="00E32180"/>
    <w:rsid w:val="00E322C4"/>
    <w:rsid w:val="00E322E4"/>
    <w:rsid w:val="00E3247B"/>
    <w:rsid w:val="00E324B1"/>
    <w:rsid w:val="00E32744"/>
    <w:rsid w:val="00E32B3F"/>
    <w:rsid w:val="00E32D25"/>
    <w:rsid w:val="00E32D45"/>
    <w:rsid w:val="00E3349F"/>
    <w:rsid w:val="00E336AE"/>
    <w:rsid w:val="00E3376B"/>
    <w:rsid w:val="00E33856"/>
    <w:rsid w:val="00E33C91"/>
    <w:rsid w:val="00E33F96"/>
    <w:rsid w:val="00E34306"/>
    <w:rsid w:val="00E344BA"/>
    <w:rsid w:val="00E345C0"/>
    <w:rsid w:val="00E34948"/>
    <w:rsid w:val="00E34BB5"/>
    <w:rsid w:val="00E34D6D"/>
    <w:rsid w:val="00E350E5"/>
    <w:rsid w:val="00E35158"/>
    <w:rsid w:val="00E35426"/>
    <w:rsid w:val="00E355F5"/>
    <w:rsid w:val="00E356C1"/>
    <w:rsid w:val="00E35881"/>
    <w:rsid w:val="00E35AB4"/>
    <w:rsid w:val="00E35E99"/>
    <w:rsid w:val="00E36269"/>
    <w:rsid w:val="00E362EC"/>
    <w:rsid w:val="00E36891"/>
    <w:rsid w:val="00E36D91"/>
    <w:rsid w:val="00E37404"/>
    <w:rsid w:val="00E37569"/>
    <w:rsid w:val="00E37E25"/>
    <w:rsid w:val="00E401B2"/>
    <w:rsid w:val="00E4046E"/>
    <w:rsid w:val="00E405B9"/>
    <w:rsid w:val="00E40A50"/>
    <w:rsid w:val="00E40ACB"/>
    <w:rsid w:val="00E4127C"/>
    <w:rsid w:val="00E41E1C"/>
    <w:rsid w:val="00E41E30"/>
    <w:rsid w:val="00E41F8E"/>
    <w:rsid w:val="00E4224D"/>
    <w:rsid w:val="00E4251F"/>
    <w:rsid w:val="00E4254B"/>
    <w:rsid w:val="00E426A2"/>
    <w:rsid w:val="00E42746"/>
    <w:rsid w:val="00E4290B"/>
    <w:rsid w:val="00E42952"/>
    <w:rsid w:val="00E42D69"/>
    <w:rsid w:val="00E42DC8"/>
    <w:rsid w:val="00E42F08"/>
    <w:rsid w:val="00E42F73"/>
    <w:rsid w:val="00E431A7"/>
    <w:rsid w:val="00E43551"/>
    <w:rsid w:val="00E43591"/>
    <w:rsid w:val="00E43D70"/>
    <w:rsid w:val="00E4441F"/>
    <w:rsid w:val="00E44802"/>
    <w:rsid w:val="00E448CE"/>
    <w:rsid w:val="00E453D6"/>
    <w:rsid w:val="00E45500"/>
    <w:rsid w:val="00E457EA"/>
    <w:rsid w:val="00E459B3"/>
    <w:rsid w:val="00E45CF2"/>
    <w:rsid w:val="00E45E91"/>
    <w:rsid w:val="00E45FDD"/>
    <w:rsid w:val="00E46000"/>
    <w:rsid w:val="00E4649F"/>
    <w:rsid w:val="00E466F3"/>
    <w:rsid w:val="00E46713"/>
    <w:rsid w:val="00E467A9"/>
    <w:rsid w:val="00E46B30"/>
    <w:rsid w:val="00E46BE2"/>
    <w:rsid w:val="00E46C0E"/>
    <w:rsid w:val="00E4710F"/>
    <w:rsid w:val="00E472E4"/>
    <w:rsid w:val="00E47785"/>
    <w:rsid w:val="00E47B2C"/>
    <w:rsid w:val="00E50715"/>
    <w:rsid w:val="00E509FD"/>
    <w:rsid w:val="00E511AE"/>
    <w:rsid w:val="00E51293"/>
    <w:rsid w:val="00E51560"/>
    <w:rsid w:val="00E5159D"/>
    <w:rsid w:val="00E515C7"/>
    <w:rsid w:val="00E51821"/>
    <w:rsid w:val="00E51AB7"/>
    <w:rsid w:val="00E51C2F"/>
    <w:rsid w:val="00E51E50"/>
    <w:rsid w:val="00E51F43"/>
    <w:rsid w:val="00E5200F"/>
    <w:rsid w:val="00E521FD"/>
    <w:rsid w:val="00E52D07"/>
    <w:rsid w:val="00E52D47"/>
    <w:rsid w:val="00E52F4C"/>
    <w:rsid w:val="00E5314C"/>
    <w:rsid w:val="00E534E4"/>
    <w:rsid w:val="00E53875"/>
    <w:rsid w:val="00E539E4"/>
    <w:rsid w:val="00E53FC8"/>
    <w:rsid w:val="00E5402E"/>
    <w:rsid w:val="00E5405B"/>
    <w:rsid w:val="00E540BD"/>
    <w:rsid w:val="00E5414E"/>
    <w:rsid w:val="00E54347"/>
    <w:rsid w:val="00E5434F"/>
    <w:rsid w:val="00E546CA"/>
    <w:rsid w:val="00E54814"/>
    <w:rsid w:val="00E54D3F"/>
    <w:rsid w:val="00E54F8B"/>
    <w:rsid w:val="00E54FC3"/>
    <w:rsid w:val="00E55163"/>
    <w:rsid w:val="00E55203"/>
    <w:rsid w:val="00E552C1"/>
    <w:rsid w:val="00E55351"/>
    <w:rsid w:val="00E55424"/>
    <w:rsid w:val="00E5551B"/>
    <w:rsid w:val="00E557A4"/>
    <w:rsid w:val="00E55915"/>
    <w:rsid w:val="00E55B93"/>
    <w:rsid w:val="00E55BB5"/>
    <w:rsid w:val="00E55CF4"/>
    <w:rsid w:val="00E55D50"/>
    <w:rsid w:val="00E55DBE"/>
    <w:rsid w:val="00E564E1"/>
    <w:rsid w:val="00E56645"/>
    <w:rsid w:val="00E56652"/>
    <w:rsid w:val="00E566AB"/>
    <w:rsid w:val="00E567A9"/>
    <w:rsid w:val="00E56AA1"/>
    <w:rsid w:val="00E56ED5"/>
    <w:rsid w:val="00E57007"/>
    <w:rsid w:val="00E5739D"/>
    <w:rsid w:val="00E573F1"/>
    <w:rsid w:val="00E57563"/>
    <w:rsid w:val="00E576F4"/>
    <w:rsid w:val="00E57BBE"/>
    <w:rsid w:val="00E57C24"/>
    <w:rsid w:val="00E57E68"/>
    <w:rsid w:val="00E60263"/>
    <w:rsid w:val="00E6052E"/>
    <w:rsid w:val="00E60872"/>
    <w:rsid w:val="00E6093A"/>
    <w:rsid w:val="00E60CDA"/>
    <w:rsid w:val="00E611DF"/>
    <w:rsid w:val="00E61357"/>
    <w:rsid w:val="00E614FA"/>
    <w:rsid w:val="00E615F4"/>
    <w:rsid w:val="00E61729"/>
    <w:rsid w:val="00E61A01"/>
    <w:rsid w:val="00E61CD0"/>
    <w:rsid w:val="00E6216A"/>
    <w:rsid w:val="00E622BA"/>
    <w:rsid w:val="00E622E2"/>
    <w:rsid w:val="00E62BE1"/>
    <w:rsid w:val="00E63187"/>
    <w:rsid w:val="00E63248"/>
    <w:rsid w:val="00E63FBF"/>
    <w:rsid w:val="00E64054"/>
    <w:rsid w:val="00E64289"/>
    <w:rsid w:val="00E647E2"/>
    <w:rsid w:val="00E64DF6"/>
    <w:rsid w:val="00E65447"/>
    <w:rsid w:val="00E65498"/>
    <w:rsid w:val="00E6597D"/>
    <w:rsid w:val="00E65C88"/>
    <w:rsid w:val="00E65E79"/>
    <w:rsid w:val="00E667F1"/>
    <w:rsid w:val="00E66BA2"/>
    <w:rsid w:val="00E66D9D"/>
    <w:rsid w:val="00E66E05"/>
    <w:rsid w:val="00E66FBE"/>
    <w:rsid w:val="00E66FF6"/>
    <w:rsid w:val="00E67319"/>
    <w:rsid w:val="00E673FC"/>
    <w:rsid w:val="00E67416"/>
    <w:rsid w:val="00E70081"/>
    <w:rsid w:val="00E70C66"/>
    <w:rsid w:val="00E71428"/>
    <w:rsid w:val="00E71527"/>
    <w:rsid w:val="00E7178B"/>
    <w:rsid w:val="00E718B6"/>
    <w:rsid w:val="00E71E33"/>
    <w:rsid w:val="00E723BA"/>
    <w:rsid w:val="00E72625"/>
    <w:rsid w:val="00E72864"/>
    <w:rsid w:val="00E72C57"/>
    <w:rsid w:val="00E72DD9"/>
    <w:rsid w:val="00E72EA7"/>
    <w:rsid w:val="00E73230"/>
    <w:rsid w:val="00E733E8"/>
    <w:rsid w:val="00E73581"/>
    <w:rsid w:val="00E7375C"/>
    <w:rsid w:val="00E73E33"/>
    <w:rsid w:val="00E7404D"/>
    <w:rsid w:val="00E74132"/>
    <w:rsid w:val="00E74430"/>
    <w:rsid w:val="00E7456B"/>
    <w:rsid w:val="00E74828"/>
    <w:rsid w:val="00E74D85"/>
    <w:rsid w:val="00E74E74"/>
    <w:rsid w:val="00E74F4D"/>
    <w:rsid w:val="00E752EE"/>
    <w:rsid w:val="00E75E1E"/>
    <w:rsid w:val="00E76491"/>
    <w:rsid w:val="00E764B5"/>
    <w:rsid w:val="00E764BA"/>
    <w:rsid w:val="00E76BA0"/>
    <w:rsid w:val="00E76F1D"/>
    <w:rsid w:val="00E7766A"/>
    <w:rsid w:val="00E77766"/>
    <w:rsid w:val="00E801F1"/>
    <w:rsid w:val="00E80215"/>
    <w:rsid w:val="00E80257"/>
    <w:rsid w:val="00E80A00"/>
    <w:rsid w:val="00E80BB8"/>
    <w:rsid w:val="00E81138"/>
    <w:rsid w:val="00E8130D"/>
    <w:rsid w:val="00E8131E"/>
    <w:rsid w:val="00E8173F"/>
    <w:rsid w:val="00E81838"/>
    <w:rsid w:val="00E819EC"/>
    <w:rsid w:val="00E826AE"/>
    <w:rsid w:val="00E82792"/>
    <w:rsid w:val="00E82809"/>
    <w:rsid w:val="00E82DC4"/>
    <w:rsid w:val="00E82DE4"/>
    <w:rsid w:val="00E82F61"/>
    <w:rsid w:val="00E8306E"/>
    <w:rsid w:val="00E831E7"/>
    <w:rsid w:val="00E833F7"/>
    <w:rsid w:val="00E834F4"/>
    <w:rsid w:val="00E83650"/>
    <w:rsid w:val="00E83A06"/>
    <w:rsid w:val="00E83BDF"/>
    <w:rsid w:val="00E83DEB"/>
    <w:rsid w:val="00E83E36"/>
    <w:rsid w:val="00E840D7"/>
    <w:rsid w:val="00E843D2"/>
    <w:rsid w:val="00E84593"/>
    <w:rsid w:val="00E84656"/>
    <w:rsid w:val="00E84846"/>
    <w:rsid w:val="00E84E66"/>
    <w:rsid w:val="00E85697"/>
    <w:rsid w:val="00E859AC"/>
    <w:rsid w:val="00E86041"/>
    <w:rsid w:val="00E86449"/>
    <w:rsid w:val="00E8684A"/>
    <w:rsid w:val="00E86B97"/>
    <w:rsid w:val="00E86D8A"/>
    <w:rsid w:val="00E86FCC"/>
    <w:rsid w:val="00E8716E"/>
    <w:rsid w:val="00E8722C"/>
    <w:rsid w:val="00E872D0"/>
    <w:rsid w:val="00E873D4"/>
    <w:rsid w:val="00E873EE"/>
    <w:rsid w:val="00E87461"/>
    <w:rsid w:val="00E877A9"/>
    <w:rsid w:val="00E8789F"/>
    <w:rsid w:val="00E878C2"/>
    <w:rsid w:val="00E878FE"/>
    <w:rsid w:val="00E8798C"/>
    <w:rsid w:val="00E87A1D"/>
    <w:rsid w:val="00E90333"/>
    <w:rsid w:val="00E9047F"/>
    <w:rsid w:val="00E904FD"/>
    <w:rsid w:val="00E907E2"/>
    <w:rsid w:val="00E9094A"/>
    <w:rsid w:val="00E90F1F"/>
    <w:rsid w:val="00E9102F"/>
    <w:rsid w:val="00E910FD"/>
    <w:rsid w:val="00E917C0"/>
    <w:rsid w:val="00E91C35"/>
    <w:rsid w:val="00E91D35"/>
    <w:rsid w:val="00E92041"/>
    <w:rsid w:val="00E92135"/>
    <w:rsid w:val="00E9214C"/>
    <w:rsid w:val="00E922A3"/>
    <w:rsid w:val="00E926A5"/>
    <w:rsid w:val="00E926D2"/>
    <w:rsid w:val="00E927C0"/>
    <w:rsid w:val="00E92895"/>
    <w:rsid w:val="00E929D1"/>
    <w:rsid w:val="00E92B91"/>
    <w:rsid w:val="00E93542"/>
    <w:rsid w:val="00E93E3B"/>
    <w:rsid w:val="00E9401A"/>
    <w:rsid w:val="00E9402C"/>
    <w:rsid w:val="00E94138"/>
    <w:rsid w:val="00E94592"/>
    <w:rsid w:val="00E9479F"/>
    <w:rsid w:val="00E947BD"/>
    <w:rsid w:val="00E9492E"/>
    <w:rsid w:val="00E949EC"/>
    <w:rsid w:val="00E94AD6"/>
    <w:rsid w:val="00E94AEE"/>
    <w:rsid w:val="00E94D35"/>
    <w:rsid w:val="00E95F3C"/>
    <w:rsid w:val="00E95F8C"/>
    <w:rsid w:val="00E962CC"/>
    <w:rsid w:val="00E96527"/>
    <w:rsid w:val="00E96602"/>
    <w:rsid w:val="00E9681B"/>
    <w:rsid w:val="00E9685D"/>
    <w:rsid w:val="00E96B47"/>
    <w:rsid w:val="00E96BB8"/>
    <w:rsid w:val="00E96C39"/>
    <w:rsid w:val="00E96D36"/>
    <w:rsid w:val="00E97096"/>
    <w:rsid w:val="00E9730A"/>
    <w:rsid w:val="00E9747A"/>
    <w:rsid w:val="00E975CA"/>
    <w:rsid w:val="00E97A09"/>
    <w:rsid w:val="00EA023D"/>
    <w:rsid w:val="00EA0830"/>
    <w:rsid w:val="00EA1294"/>
    <w:rsid w:val="00EA12A1"/>
    <w:rsid w:val="00EA14A8"/>
    <w:rsid w:val="00EA1570"/>
    <w:rsid w:val="00EA171D"/>
    <w:rsid w:val="00EA17C3"/>
    <w:rsid w:val="00EA1885"/>
    <w:rsid w:val="00EA298E"/>
    <w:rsid w:val="00EA2CAA"/>
    <w:rsid w:val="00EA2D16"/>
    <w:rsid w:val="00EA2D94"/>
    <w:rsid w:val="00EA3040"/>
    <w:rsid w:val="00EA337B"/>
    <w:rsid w:val="00EA33DF"/>
    <w:rsid w:val="00EA3864"/>
    <w:rsid w:val="00EA38A1"/>
    <w:rsid w:val="00EA4078"/>
    <w:rsid w:val="00EA4681"/>
    <w:rsid w:val="00EA47C2"/>
    <w:rsid w:val="00EA4AC2"/>
    <w:rsid w:val="00EA4C33"/>
    <w:rsid w:val="00EA4DD8"/>
    <w:rsid w:val="00EA4E97"/>
    <w:rsid w:val="00EA51A2"/>
    <w:rsid w:val="00EA5587"/>
    <w:rsid w:val="00EA55AF"/>
    <w:rsid w:val="00EA561C"/>
    <w:rsid w:val="00EA58F0"/>
    <w:rsid w:val="00EA601C"/>
    <w:rsid w:val="00EA6140"/>
    <w:rsid w:val="00EA61AE"/>
    <w:rsid w:val="00EA648E"/>
    <w:rsid w:val="00EA66ED"/>
    <w:rsid w:val="00EA6A22"/>
    <w:rsid w:val="00EA6C55"/>
    <w:rsid w:val="00EA6DCA"/>
    <w:rsid w:val="00EA70D8"/>
    <w:rsid w:val="00EA719C"/>
    <w:rsid w:val="00EA727A"/>
    <w:rsid w:val="00EA7370"/>
    <w:rsid w:val="00EA7506"/>
    <w:rsid w:val="00EA757B"/>
    <w:rsid w:val="00EA76B9"/>
    <w:rsid w:val="00EA7728"/>
    <w:rsid w:val="00EA7E22"/>
    <w:rsid w:val="00EA7F1C"/>
    <w:rsid w:val="00EA7FE7"/>
    <w:rsid w:val="00EB0257"/>
    <w:rsid w:val="00EB05E3"/>
    <w:rsid w:val="00EB06D8"/>
    <w:rsid w:val="00EB0FAA"/>
    <w:rsid w:val="00EB10C7"/>
    <w:rsid w:val="00EB1348"/>
    <w:rsid w:val="00EB13B9"/>
    <w:rsid w:val="00EB15B6"/>
    <w:rsid w:val="00EB15F5"/>
    <w:rsid w:val="00EB197A"/>
    <w:rsid w:val="00EB1997"/>
    <w:rsid w:val="00EB1BA5"/>
    <w:rsid w:val="00EB1BE0"/>
    <w:rsid w:val="00EB2CEC"/>
    <w:rsid w:val="00EB333D"/>
    <w:rsid w:val="00EB3417"/>
    <w:rsid w:val="00EB35FF"/>
    <w:rsid w:val="00EB36C8"/>
    <w:rsid w:val="00EB3980"/>
    <w:rsid w:val="00EB3989"/>
    <w:rsid w:val="00EB3D06"/>
    <w:rsid w:val="00EB3F3E"/>
    <w:rsid w:val="00EB4309"/>
    <w:rsid w:val="00EB4813"/>
    <w:rsid w:val="00EB4880"/>
    <w:rsid w:val="00EB4916"/>
    <w:rsid w:val="00EB4B1C"/>
    <w:rsid w:val="00EB4E4D"/>
    <w:rsid w:val="00EB5058"/>
    <w:rsid w:val="00EB512F"/>
    <w:rsid w:val="00EB5236"/>
    <w:rsid w:val="00EB53D8"/>
    <w:rsid w:val="00EB564E"/>
    <w:rsid w:val="00EB61F0"/>
    <w:rsid w:val="00EB697A"/>
    <w:rsid w:val="00EB6BC4"/>
    <w:rsid w:val="00EB6DE5"/>
    <w:rsid w:val="00EB6E56"/>
    <w:rsid w:val="00EB7631"/>
    <w:rsid w:val="00EC00C9"/>
    <w:rsid w:val="00EC0292"/>
    <w:rsid w:val="00EC02DD"/>
    <w:rsid w:val="00EC098F"/>
    <w:rsid w:val="00EC0B93"/>
    <w:rsid w:val="00EC0DD9"/>
    <w:rsid w:val="00EC10A1"/>
    <w:rsid w:val="00EC1420"/>
    <w:rsid w:val="00EC16A1"/>
    <w:rsid w:val="00EC17B1"/>
    <w:rsid w:val="00EC1D68"/>
    <w:rsid w:val="00EC1D8E"/>
    <w:rsid w:val="00EC261E"/>
    <w:rsid w:val="00EC2649"/>
    <w:rsid w:val="00EC2913"/>
    <w:rsid w:val="00EC2917"/>
    <w:rsid w:val="00EC2C60"/>
    <w:rsid w:val="00EC2D6D"/>
    <w:rsid w:val="00EC2F84"/>
    <w:rsid w:val="00EC31ED"/>
    <w:rsid w:val="00EC364C"/>
    <w:rsid w:val="00EC379F"/>
    <w:rsid w:val="00EC3B98"/>
    <w:rsid w:val="00EC3CE8"/>
    <w:rsid w:val="00EC3E5B"/>
    <w:rsid w:val="00EC42B9"/>
    <w:rsid w:val="00EC4D1B"/>
    <w:rsid w:val="00EC5121"/>
    <w:rsid w:val="00EC5334"/>
    <w:rsid w:val="00EC5405"/>
    <w:rsid w:val="00EC553F"/>
    <w:rsid w:val="00EC55E7"/>
    <w:rsid w:val="00EC57BE"/>
    <w:rsid w:val="00EC57F8"/>
    <w:rsid w:val="00EC5836"/>
    <w:rsid w:val="00EC62E3"/>
    <w:rsid w:val="00EC6384"/>
    <w:rsid w:val="00EC6474"/>
    <w:rsid w:val="00EC688C"/>
    <w:rsid w:val="00EC68BF"/>
    <w:rsid w:val="00EC6C13"/>
    <w:rsid w:val="00EC6C94"/>
    <w:rsid w:val="00EC7288"/>
    <w:rsid w:val="00EC72AB"/>
    <w:rsid w:val="00EC75D1"/>
    <w:rsid w:val="00EC763B"/>
    <w:rsid w:val="00EC788A"/>
    <w:rsid w:val="00EC7AEF"/>
    <w:rsid w:val="00EC7F24"/>
    <w:rsid w:val="00EC7F8F"/>
    <w:rsid w:val="00ED0888"/>
    <w:rsid w:val="00ED0902"/>
    <w:rsid w:val="00ED0AD2"/>
    <w:rsid w:val="00ED0CFC"/>
    <w:rsid w:val="00ED12C5"/>
    <w:rsid w:val="00ED12E3"/>
    <w:rsid w:val="00ED1FA7"/>
    <w:rsid w:val="00ED203E"/>
    <w:rsid w:val="00ED21E0"/>
    <w:rsid w:val="00ED2A23"/>
    <w:rsid w:val="00ED2C3A"/>
    <w:rsid w:val="00ED2EC8"/>
    <w:rsid w:val="00ED2EC9"/>
    <w:rsid w:val="00ED3136"/>
    <w:rsid w:val="00ED3814"/>
    <w:rsid w:val="00ED384B"/>
    <w:rsid w:val="00ED38C2"/>
    <w:rsid w:val="00ED3955"/>
    <w:rsid w:val="00ED3CA7"/>
    <w:rsid w:val="00ED3DB7"/>
    <w:rsid w:val="00ED415F"/>
    <w:rsid w:val="00ED4B04"/>
    <w:rsid w:val="00ED50C6"/>
    <w:rsid w:val="00ED53CE"/>
    <w:rsid w:val="00ED5594"/>
    <w:rsid w:val="00ED57EA"/>
    <w:rsid w:val="00ED58B7"/>
    <w:rsid w:val="00ED5A20"/>
    <w:rsid w:val="00ED5BD4"/>
    <w:rsid w:val="00ED5D03"/>
    <w:rsid w:val="00ED5F7E"/>
    <w:rsid w:val="00ED5FD3"/>
    <w:rsid w:val="00ED653F"/>
    <w:rsid w:val="00ED6A1F"/>
    <w:rsid w:val="00ED6A9E"/>
    <w:rsid w:val="00ED6B1B"/>
    <w:rsid w:val="00ED6B36"/>
    <w:rsid w:val="00ED6D71"/>
    <w:rsid w:val="00ED6DC4"/>
    <w:rsid w:val="00ED6E4C"/>
    <w:rsid w:val="00ED7052"/>
    <w:rsid w:val="00ED7190"/>
    <w:rsid w:val="00ED71E5"/>
    <w:rsid w:val="00ED7324"/>
    <w:rsid w:val="00ED7344"/>
    <w:rsid w:val="00ED79C6"/>
    <w:rsid w:val="00ED7BA9"/>
    <w:rsid w:val="00ED7C99"/>
    <w:rsid w:val="00ED7E26"/>
    <w:rsid w:val="00ED7E9E"/>
    <w:rsid w:val="00EE0369"/>
    <w:rsid w:val="00EE0371"/>
    <w:rsid w:val="00EE038E"/>
    <w:rsid w:val="00EE06DE"/>
    <w:rsid w:val="00EE07D3"/>
    <w:rsid w:val="00EE09C2"/>
    <w:rsid w:val="00EE0E6A"/>
    <w:rsid w:val="00EE11A0"/>
    <w:rsid w:val="00EE1613"/>
    <w:rsid w:val="00EE1890"/>
    <w:rsid w:val="00EE1996"/>
    <w:rsid w:val="00EE1C01"/>
    <w:rsid w:val="00EE211D"/>
    <w:rsid w:val="00EE223D"/>
    <w:rsid w:val="00EE228A"/>
    <w:rsid w:val="00EE22AF"/>
    <w:rsid w:val="00EE22D1"/>
    <w:rsid w:val="00EE2991"/>
    <w:rsid w:val="00EE2C47"/>
    <w:rsid w:val="00EE31E2"/>
    <w:rsid w:val="00EE34DE"/>
    <w:rsid w:val="00EE35CC"/>
    <w:rsid w:val="00EE39B6"/>
    <w:rsid w:val="00EE39D9"/>
    <w:rsid w:val="00EE3D9A"/>
    <w:rsid w:val="00EE42E5"/>
    <w:rsid w:val="00EE4CB9"/>
    <w:rsid w:val="00EE4CE1"/>
    <w:rsid w:val="00EE4ED3"/>
    <w:rsid w:val="00EE4F5D"/>
    <w:rsid w:val="00EE51B6"/>
    <w:rsid w:val="00EE589F"/>
    <w:rsid w:val="00EE58CD"/>
    <w:rsid w:val="00EE599F"/>
    <w:rsid w:val="00EE5AFD"/>
    <w:rsid w:val="00EE60D4"/>
    <w:rsid w:val="00EE613A"/>
    <w:rsid w:val="00EE6271"/>
    <w:rsid w:val="00EE63C4"/>
    <w:rsid w:val="00EE6B2C"/>
    <w:rsid w:val="00EE6CCB"/>
    <w:rsid w:val="00EE7481"/>
    <w:rsid w:val="00EE7507"/>
    <w:rsid w:val="00EF00C4"/>
    <w:rsid w:val="00EF0171"/>
    <w:rsid w:val="00EF04FB"/>
    <w:rsid w:val="00EF0704"/>
    <w:rsid w:val="00EF0897"/>
    <w:rsid w:val="00EF09DA"/>
    <w:rsid w:val="00EF0C8D"/>
    <w:rsid w:val="00EF0EEB"/>
    <w:rsid w:val="00EF11EA"/>
    <w:rsid w:val="00EF135D"/>
    <w:rsid w:val="00EF1A96"/>
    <w:rsid w:val="00EF1B25"/>
    <w:rsid w:val="00EF1BAD"/>
    <w:rsid w:val="00EF1C69"/>
    <w:rsid w:val="00EF1DA0"/>
    <w:rsid w:val="00EF1FC0"/>
    <w:rsid w:val="00EF2275"/>
    <w:rsid w:val="00EF252F"/>
    <w:rsid w:val="00EF2566"/>
    <w:rsid w:val="00EF28F6"/>
    <w:rsid w:val="00EF2926"/>
    <w:rsid w:val="00EF2B42"/>
    <w:rsid w:val="00EF3015"/>
    <w:rsid w:val="00EF31E2"/>
    <w:rsid w:val="00EF3393"/>
    <w:rsid w:val="00EF372C"/>
    <w:rsid w:val="00EF3CC7"/>
    <w:rsid w:val="00EF3EAB"/>
    <w:rsid w:val="00EF40CD"/>
    <w:rsid w:val="00EF40EB"/>
    <w:rsid w:val="00EF4117"/>
    <w:rsid w:val="00EF4747"/>
    <w:rsid w:val="00EF4B1C"/>
    <w:rsid w:val="00EF4BF8"/>
    <w:rsid w:val="00EF4EC2"/>
    <w:rsid w:val="00EF4FB5"/>
    <w:rsid w:val="00EF518D"/>
    <w:rsid w:val="00EF518E"/>
    <w:rsid w:val="00EF5253"/>
    <w:rsid w:val="00EF52FD"/>
    <w:rsid w:val="00EF5535"/>
    <w:rsid w:val="00EF5560"/>
    <w:rsid w:val="00EF5711"/>
    <w:rsid w:val="00EF58D5"/>
    <w:rsid w:val="00EF5A68"/>
    <w:rsid w:val="00EF5BB9"/>
    <w:rsid w:val="00EF6A7A"/>
    <w:rsid w:val="00EF6ACB"/>
    <w:rsid w:val="00EF6ADF"/>
    <w:rsid w:val="00EF6D07"/>
    <w:rsid w:val="00EF6EAA"/>
    <w:rsid w:val="00EF749F"/>
    <w:rsid w:val="00EF7659"/>
    <w:rsid w:val="00EF7B24"/>
    <w:rsid w:val="00EF7BA8"/>
    <w:rsid w:val="00EF7DCD"/>
    <w:rsid w:val="00EF7EC6"/>
    <w:rsid w:val="00F0004A"/>
    <w:rsid w:val="00F000D7"/>
    <w:rsid w:val="00F001D5"/>
    <w:rsid w:val="00F0032F"/>
    <w:rsid w:val="00F00445"/>
    <w:rsid w:val="00F005A5"/>
    <w:rsid w:val="00F010F4"/>
    <w:rsid w:val="00F014AA"/>
    <w:rsid w:val="00F01A81"/>
    <w:rsid w:val="00F01CAF"/>
    <w:rsid w:val="00F01F2B"/>
    <w:rsid w:val="00F0200F"/>
    <w:rsid w:val="00F0222C"/>
    <w:rsid w:val="00F02253"/>
    <w:rsid w:val="00F03244"/>
    <w:rsid w:val="00F0325C"/>
    <w:rsid w:val="00F03615"/>
    <w:rsid w:val="00F037FF"/>
    <w:rsid w:val="00F03C2E"/>
    <w:rsid w:val="00F03E35"/>
    <w:rsid w:val="00F04281"/>
    <w:rsid w:val="00F04750"/>
    <w:rsid w:val="00F04989"/>
    <w:rsid w:val="00F04A66"/>
    <w:rsid w:val="00F04B4B"/>
    <w:rsid w:val="00F04C54"/>
    <w:rsid w:val="00F04FCD"/>
    <w:rsid w:val="00F0516C"/>
    <w:rsid w:val="00F056D7"/>
    <w:rsid w:val="00F05A0C"/>
    <w:rsid w:val="00F05B37"/>
    <w:rsid w:val="00F05D0C"/>
    <w:rsid w:val="00F060A3"/>
    <w:rsid w:val="00F067A2"/>
    <w:rsid w:val="00F06914"/>
    <w:rsid w:val="00F06AA5"/>
    <w:rsid w:val="00F0704D"/>
    <w:rsid w:val="00F0735E"/>
    <w:rsid w:val="00F07553"/>
    <w:rsid w:val="00F07762"/>
    <w:rsid w:val="00F07B9E"/>
    <w:rsid w:val="00F07D05"/>
    <w:rsid w:val="00F10706"/>
    <w:rsid w:val="00F107A0"/>
    <w:rsid w:val="00F10B56"/>
    <w:rsid w:val="00F10BB0"/>
    <w:rsid w:val="00F1116F"/>
    <w:rsid w:val="00F11265"/>
    <w:rsid w:val="00F118B5"/>
    <w:rsid w:val="00F118E1"/>
    <w:rsid w:val="00F1198A"/>
    <w:rsid w:val="00F11AE4"/>
    <w:rsid w:val="00F1200F"/>
    <w:rsid w:val="00F121DC"/>
    <w:rsid w:val="00F12202"/>
    <w:rsid w:val="00F12623"/>
    <w:rsid w:val="00F1263A"/>
    <w:rsid w:val="00F126B7"/>
    <w:rsid w:val="00F12A81"/>
    <w:rsid w:val="00F12AC2"/>
    <w:rsid w:val="00F12BEC"/>
    <w:rsid w:val="00F12DED"/>
    <w:rsid w:val="00F13315"/>
    <w:rsid w:val="00F138F0"/>
    <w:rsid w:val="00F1395E"/>
    <w:rsid w:val="00F139C5"/>
    <w:rsid w:val="00F13CCF"/>
    <w:rsid w:val="00F14132"/>
    <w:rsid w:val="00F14189"/>
    <w:rsid w:val="00F1442E"/>
    <w:rsid w:val="00F14487"/>
    <w:rsid w:val="00F147EA"/>
    <w:rsid w:val="00F14835"/>
    <w:rsid w:val="00F14C26"/>
    <w:rsid w:val="00F14C81"/>
    <w:rsid w:val="00F14DF0"/>
    <w:rsid w:val="00F14EEC"/>
    <w:rsid w:val="00F14FDC"/>
    <w:rsid w:val="00F15236"/>
    <w:rsid w:val="00F1546C"/>
    <w:rsid w:val="00F15746"/>
    <w:rsid w:val="00F157A7"/>
    <w:rsid w:val="00F15A1B"/>
    <w:rsid w:val="00F15B77"/>
    <w:rsid w:val="00F15E88"/>
    <w:rsid w:val="00F161DA"/>
    <w:rsid w:val="00F1638B"/>
    <w:rsid w:val="00F165F1"/>
    <w:rsid w:val="00F168C4"/>
    <w:rsid w:val="00F16967"/>
    <w:rsid w:val="00F169F3"/>
    <w:rsid w:val="00F16A6B"/>
    <w:rsid w:val="00F16A87"/>
    <w:rsid w:val="00F16C33"/>
    <w:rsid w:val="00F16EC1"/>
    <w:rsid w:val="00F1706C"/>
    <w:rsid w:val="00F171CD"/>
    <w:rsid w:val="00F173E1"/>
    <w:rsid w:val="00F177E3"/>
    <w:rsid w:val="00F17829"/>
    <w:rsid w:val="00F17F07"/>
    <w:rsid w:val="00F17F3C"/>
    <w:rsid w:val="00F20130"/>
    <w:rsid w:val="00F20207"/>
    <w:rsid w:val="00F20244"/>
    <w:rsid w:val="00F2037A"/>
    <w:rsid w:val="00F206F4"/>
    <w:rsid w:val="00F2086B"/>
    <w:rsid w:val="00F209B1"/>
    <w:rsid w:val="00F20A36"/>
    <w:rsid w:val="00F20DDE"/>
    <w:rsid w:val="00F20F83"/>
    <w:rsid w:val="00F210C8"/>
    <w:rsid w:val="00F21181"/>
    <w:rsid w:val="00F21236"/>
    <w:rsid w:val="00F21311"/>
    <w:rsid w:val="00F215DF"/>
    <w:rsid w:val="00F21666"/>
    <w:rsid w:val="00F21A20"/>
    <w:rsid w:val="00F21ABA"/>
    <w:rsid w:val="00F21B69"/>
    <w:rsid w:val="00F21CD9"/>
    <w:rsid w:val="00F21D8C"/>
    <w:rsid w:val="00F2237E"/>
    <w:rsid w:val="00F22523"/>
    <w:rsid w:val="00F22635"/>
    <w:rsid w:val="00F226BA"/>
    <w:rsid w:val="00F227C8"/>
    <w:rsid w:val="00F2286B"/>
    <w:rsid w:val="00F22EFD"/>
    <w:rsid w:val="00F235EA"/>
    <w:rsid w:val="00F23A97"/>
    <w:rsid w:val="00F23B45"/>
    <w:rsid w:val="00F23CCD"/>
    <w:rsid w:val="00F24837"/>
    <w:rsid w:val="00F24B7A"/>
    <w:rsid w:val="00F24CDC"/>
    <w:rsid w:val="00F24D5A"/>
    <w:rsid w:val="00F24F8D"/>
    <w:rsid w:val="00F254E6"/>
    <w:rsid w:val="00F2574D"/>
    <w:rsid w:val="00F2575F"/>
    <w:rsid w:val="00F25DB6"/>
    <w:rsid w:val="00F260D1"/>
    <w:rsid w:val="00F26710"/>
    <w:rsid w:val="00F268EB"/>
    <w:rsid w:val="00F26AB5"/>
    <w:rsid w:val="00F26B22"/>
    <w:rsid w:val="00F26D33"/>
    <w:rsid w:val="00F2736C"/>
    <w:rsid w:val="00F274C2"/>
    <w:rsid w:val="00F27565"/>
    <w:rsid w:val="00F27A96"/>
    <w:rsid w:val="00F27BBA"/>
    <w:rsid w:val="00F27BBF"/>
    <w:rsid w:val="00F27E96"/>
    <w:rsid w:val="00F301C7"/>
    <w:rsid w:val="00F3079D"/>
    <w:rsid w:val="00F3085A"/>
    <w:rsid w:val="00F30984"/>
    <w:rsid w:val="00F30E9F"/>
    <w:rsid w:val="00F30F28"/>
    <w:rsid w:val="00F310B6"/>
    <w:rsid w:val="00F310D4"/>
    <w:rsid w:val="00F315DA"/>
    <w:rsid w:val="00F31706"/>
    <w:rsid w:val="00F31CAB"/>
    <w:rsid w:val="00F31D5A"/>
    <w:rsid w:val="00F31E3A"/>
    <w:rsid w:val="00F320C6"/>
    <w:rsid w:val="00F32242"/>
    <w:rsid w:val="00F32291"/>
    <w:rsid w:val="00F3268B"/>
    <w:rsid w:val="00F3278F"/>
    <w:rsid w:val="00F32888"/>
    <w:rsid w:val="00F32922"/>
    <w:rsid w:val="00F32D27"/>
    <w:rsid w:val="00F32E80"/>
    <w:rsid w:val="00F32FF7"/>
    <w:rsid w:val="00F3365F"/>
    <w:rsid w:val="00F33721"/>
    <w:rsid w:val="00F3387F"/>
    <w:rsid w:val="00F33975"/>
    <w:rsid w:val="00F33A0E"/>
    <w:rsid w:val="00F33C0E"/>
    <w:rsid w:val="00F33CD9"/>
    <w:rsid w:val="00F33DBC"/>
    <w:rsid w:val="00F33DE9"/>
    <w:rsid w:val="00F33F1A"/>
    <w:rsid w:val="00F340F8"/>
    <w:rsid w:val="00F34258"/>
    <w:rsid w:val="00F343E0"/>
    <w:rsid w:val="00F34FD3"/>
    <w:rsid w:val="00F35478"/>
    <w:rsid w:val="00F354D4"/>
    <w:rsid w:val="00F3557F"/>
    <w:rsid w:val="00F355EC"/>
    <w:rsid w:val="00F35695"/>
    <w:rsid w:val="00F35801"/>
    <w:rsid w:val="00F35945"/>
    <w:rsid w:val="00F35C58"/>
    <w:rsid w:val="00F35E6D"/>
    <w:rsid w:val="00F3603E"/>
    <w:rsid w:val="00F3619A"/>
    <w:rsid w:val="00F361AD"/>
    <w:rsid w:val="00F36397"/>
    <w:rsid w:val="00F36D0F"/>
    <w:rsid w:val="00F36DE2"/>
    <w:rsid w:val="00F36EEB"/>
    <w:rsid w:val="00F36FA6"/>
    <w:rsid w:val="00F37390"/>
    <w:rsid w:val="00F37574"/>
    <w:rsid w:val="00F37E5C"/>
    <w:rsid w:val="00F37E95"/>
    <w:rsid w:val="00F37F53"/>
    <w:rsid w:val="00F40316"/>
    <w:rsid w:val="00F4074E"/>
    <w:rsid w:val="00F40AAA"/>
    <w:rsid w:val="00F40B03"/>
    <w:rsid w:val="00F40BA7"/>
    <w:rsid w:val="00F40D34"/>
    <w:rsid w:val="00F40F9D"/>
    <w:rsid w:val="00F41764"/>
    <w:rsid w:val="00F418CA"/>
    <w:rsid w:val="00F418F7"/>
    <w:rsid w:val="00F41ACD"/>
    <w:rsid w:val="00F41EEC"/>
    <w:rsid w:val="00F42149"/>
    <w:rsid w:val="00F421F4"/>
    <w:rsid w:val="00F42289"/>
    <w:rsid w:val="00F423E9"/>
    <w:rsid w:val="00F42408"/>
    <w:rsid w:val="00F42622"/>
    <w:rsid w:val="00F42988"/>
    <w:rsid w:val="00F42AD3"/>
    <w:rsid w:val="00F42D03"/>
    <w:rsid w:val="00F42DD2"/>
    <w:rsid w:val="00F42F0D"/>
    <w:rsid w:val="00F43308"/>
    <w:rsid w:val="00F433A3"/>
    <w:rsid w:val="00F433CE"/>
    <w:rsid w:val="00F43411"/>
    <w:rsid w:val="00F43524"/>
    <w:rsid w:val="00F43602"/>
    <w:rsid w:val="00F437C2"/>
    <w:rsid w:val="00F437EF"/>
    <w:rsid w:val="00F43935"/>
    <w:rsid w:val="00F43CA1"/>
    <w:rsid w:val="00F43DEC"/>
    <w:rsid w:val="00F440D3"/>
    <w:rsid w:val="00F445E3"/>
    <w:rsid w:val="00F448D9"/>
    <w:rsid w:val="00F45394"/>
    <w:rsid w:val="00F453A5"/>
    <w:rsid w:val="00F454AC"/>
    <w:rsid w:val="00F456B0"/>
    <w:rsid w:val="00F456C0"/>
    <w:rsid w:val="00F4597F"/>
    <w:rsid w:val="00F46364"/>
    <w:rsid w:val="00F463B2"/>
    <w:rsid w:val="00F466C2"/>
    <w:rsid w:val="00F46A9D"/>
    <w:rsid w:val="00F46C1E"/>
    <w:rsid w:val="00F46CB6"/>
    <w:rsid w:val="00F46EFA"/>
    <w:rsid w:val="00F47178"/>
    <w:rsid w:val="00F47239"/>
    <w:rsid w:val="00F47346"/>
    <w:rsid w:val="00F47406"/>
    <w:rsid w:val="00F4752B"/>
    <w:rsid w:val="00F4756D"/>
    <w:rsid w:val="00F47A0E"/>
    <w:rsid w:val="00F47CC2"/>
    <w:rsid w:val="00F47DE8"/>
    <w:rsid w:val="00F500F0"/>
    <w:rsid w:val="00F5041A"/>
    <w:rsid w:val="00F504DF"/>
    <w:rsid w:val="00F5098B"/>
    <w:rsid w:val="00F50AC1"/>
    <w:rsid w:val="00F50BC4"/>
    <w:rsid w:val="00F50FCA"/>
    <w:rsid w:val="00F5166A"/>
    <w:rsid w:val="00F51AE6"/>
    <w:rsid w:val="00F51D8E"/>
    <w:rsid w:val="00F51E5B"/>
    <w:rsid w:val="00F51ED6"/>
    <w:rsid w:val="00F52012"/>
    <w:rsid w:val="00F528E5"/>
    <w:rsid w:val="00F52A20"/>
    <w:rsid w:val="00F52B35"/>
    <w:rsid w:val="00F52BB9"/>
    <w:rsid w:val="00F52BE1"/>
    <w:rsid w:val="00F52F06"/>
    <w:rsid w:val="00F530E7"/>
    <w:rsid w:val="00F5312F"/>
    <w:rsid w:val="00F53184"/>
    <w:rsid w:val="00F531F1"/>
    <w:rsid w:val="00F53A3D"/>
    <w:rsid w:val="00F53FAE"/>
    <w:rsid w:val="00F5413E"/>
    <w:rsid w:val="00F541CC"/>
    <w:rsid w:val="00F541F0"/>
    <w:rsid w:val="00F542C1"/>
    <w:rsid w:val="00F5438B"/>
    <w:rsid w:val="00F5445C"/>
    <w:rsid w:val="00F5466B"/>
    <w:rsid w:val="00F549D4"/>
    <w:rsid w:val="00F54ABA"/>
    <w:rsid w:val="00F54B35"/>
    <w:rsid w:val="00F54CD2"/>
    <w:rsid w:val="00F54CE2"/>
    <w:rsid w:val="00F550E3"/>
    <w:rsid w:val="00F5512C"/>
    <w:rsid w:val="00F55268"/>
    <w:rsid w:val="00F556E7"/>
    <w:rsid w:val="00F55833"/>
    <w:rsid w:val="00F55A1A"/>
    <w:rsid w:val="00F55B07"/>
    <w:rsid w:val="00F55E04"/>
    <w:rsid w:val="00F55E73"/>
    <w:rsid w:val="00F55E77"/>
    <w:rsid w:val="00F55EDA"/>
    <w:rsid w:val="00F560F0"/>
    <w:rsid w:val="00F5611B"/>
    <w:rsid w:val="00F5660F"/>
    <w:rsid w:val="00F568D8"/>
    <w:rsid w:val="00F56A50"/>
    <w:rsid w:val="00F56A5B"/>
    <w:rsid w:val="00F56C3F"/>
    <w:rsid w:val="00F56C80"/>
    <w:rsid w:val="00F56F3A"/>
    <w:rsid w:val="00F5701C"/>
    <w:rsid w:val="00F5772B"/>
    <w:rsid w:val="00F578A0"/>
    <w:rsid w:val="00F5791A"/>
    <w:rsid w:val="00F57986"/>
    <w:rsid w:val="00F57A5A"/>
    <w:rsid w:val="00F57C8B"/>
    <w:rsid w:val="00F60016"/>
    <w:rsid w:val="00F60092"/>
    <w:rsid w:val="00F606F1"/>
    <w:rsid w:val="00F60C02"/>
    <w:rsid w:val="00F60E08"/>
    <w:rsid w:val="00F60E64"/>
    <w:rsid w:val="00F60F5A"/>
    <w:rsid w:val="00F61913"/>
    <w:rsid w:val="00F61C18"/>
    <w:rsid w:val="00F62556"/>
    <w:rsid w:val="00F626C0"/>
    <w:rsid w:val="00F62BD7"/>
    <w:rsid w:val="00F62C42"/>
    <w:rsid w:val="00F62EDC"/>
    <w:rsid w:val="00F631C0"/>
    <w:rsid w:val="00F63593"/>
    <w:rsid w:val="00F63846"/>
    <w:rsid w:val="00F63C8B"/>
    <w:rsid w:val="00F63E3D"/>
    <w:rsid w:val="00F6405B"/>
    <w:rsid w:val="00F64310"/>
    <w:rsid w:val="00F644BD"/>
    <w:rsid w:val="00F64674"/>
    <w:rsid w:val="00F65084"/>
    <w:rsid w:val="00F651CB"/>
    <w:rsid w:val="00F65312"/>
    <w:rsid w:val="00F65D94"/>
    <w:rsid w:val="00F65F4B"/>
    <w:rsid w:val="00F660C2"/>
    <w:rsid w:val="00F66173"/>
    <w:rsid w:val="00F673A8"/>
    <w:rsid w:val="00F67545"/>
    <w:rsid w:val="00F67A69"/>
    <w:rsid w:val="00F67F0C"/>
    <w:rsid w:val="00F70231"/>
    <w:rsid w:val="00F70A28"/>
    <w:rsid w:val="00F70BFF"/>
    <w:rsid w:val="00F70C9D"/>
    <w:rsid w:val="00F70F24"/>
    <w:rsid w:val="00F71092"/>
    <w:rsid w:val="00F7157A"/>
    <w:rsid w:val="00F71699"/>
    <w:rsid w:val="00F71CF0"/>
    <w:rsid w:val="00F71FF5"/>
    <w:rsid w:val="00F7264A"/>
    <w:rsid w:val="00F726F3"/>
    <w:rsid w:val="00F72731"/>
    <w:rsid w:val="00F7277B"/>
    <w:rsid w:val="00F7277D"/>
    <w:rsid w:val="00F72891"/>
    <w:rsid w:val="00F72BA4"/>
    <w:rsid w:val="00F73321"/>
    <w:rsid w:val="00F737EC"/>
    <w:rsid w:val="00F7395A"/>
    <w:rsid w:val="00F73A6B"/>
    <w:rsid w:val="00F73E08"/>
    <w:rsid w:val="00F73E4E"/>
    <w:rsid w:val="00F74252"/>
    <w:rsid w:val="00F742BB"/>
    <w:rsid w:val="00F74335"/>
    <w:rsid w:val="00F74470"/>
    <w:rsid w:val="00F74812"/>
    <w:rsid w:val="00F74CD9"/>
    <w:rsid w:val="00F74DDF"/>
    <w:rsid w:val="00F74E85"/>
    <w:rsid w:val="00F752BB"/>
    <w:rsid w:val="00F7542F"/>
    <w:rsid w:val="00F75878"/>
    <w:rsid w:val="00F760C2"/>
    <w:rsid w:val="00F76139"/>
    <w:rsid w:val="00F761EF"/>
    <w:rsid w:val="00F76437"/>
    <w:rsid w:val="00F7661F"/>
    <w:rsid w:val="00F7692B"/>
    <w:rsid w:val="00F773A3"/>
    <w:rsid w:val="00F7788F"/>
    <w:rsid w:val="00F77988"/>
    <w:rsid w:val="00F77A7A"/>
    <w:rsid w:val="00F77BC6"/>
    <w:rsid w:val="00F77F63"/>
    <w:rsid w:val="00F8023F"/>
    <w:rsid w:val="00F80A7B"/>
    <w:rsid w:val="00F80E5D"/>
    <w:rsid w:val="00F8163C"/>
    <w:rsid w:val="00F81668"/>
    <w:rsid w:val="00F81729"/>
    <w:rsid w:val="00F81896"/>
    <w:rsid w:val="00F81E78"/>
    <w:rsid w:val="00F81FEB"/>
    <w:rsid w:val="00F82479"/>
    <w:rsid w:val="00F825D3"/>
    <w:rsid w:val="00F82B32"/>
    <w:rsid w:val="00F82F28"/>
    <w:rsid w:val="00F8324D"/>
    <w:rsid w:val="00F835A0"/>
    <w:rsid w:val="00F835C9"/>
    <w:rsid w:val="00F83608"/>
    <w:rsid w:val="00F8371E"/>
    <w:rsid w:val="00F83916"/>
    <w:rsid w:val="00F83AB6"/>
    <w:rsid w:val="00F83E62"/>
    <w:rsid w:val="00F841D4"/>
    <w:rsid w:val="00F84774"/>
    <w:rsid w:val="00F84B40"/>
    <w:rsid w:val="00F84FAB"/>
    <w:rsid w:val="00F851B2"/>
    <w:rsid w:val="00F851CE"/>
    <w:rsid w:val="00F8523F"/>
    <w:rsid w:val="00F85434"/>
    <w:rsid w:val="00F85480"/>
    <w:rsid w:val="00F859BF"/>
    <w:rsid w:val="00F85C15"/>
    <w:rsid w:val="00F85F2C"/>
    <w:rsid w:val="00F85F99"/>
    <w:rsid w:val="00F86455"/>
    <w:rsid w:val="00F864A2"/>
    <w:rsid w:val="00F86689"/>
    <w:rsid w:val="00F8682B"/>
    <w:rsid w:val="00F869AE"/>
    <w:rsid w:val="00F86BE1"/>
    <w:rsid w:val="00F87146"/>
    <w:rsid w:val="00F8728D"/>
    <w:rsid w:val="00F872EC"/>
    <w:rsid w:val="00F8736C"/>
    <w:rsid w:val="00F87CCB"/>
    <w:rsid w:val="00F9035D"/>
    <w:rsid w:val="00F905BB"/>
    <w:rsid w:val="00F90A3F"/>
    <w:rsid w:val="00F90D64"/>
    <w:rsid w:val="00F90D92"/>
    <w:rsid w:val="00F90E85"/>
    <w:rsid w:val="00F90FC6"/>
    <w:rsid w:val="00F91219"/>
    <w:rsid w:val="00F913A1"/>
    <w:rsid w:val="00F91481"/>
    <w:rsid w:val="00F915F9"/>
    <w:rsid w:val="00F916BD"/>
    <w:rsid w:val="00F919A8"/>
    <w:rsid w:val="00F91A48"/>
    <w:rsid w:val="00F91D61"/>
    <w:rsid w:val="00F9200F"/>
    <w:rsid w:val="00F92205"/>
    <w:rsid w:val="00F9231C"/>
    <w:rsid w:val="00F92444"/>
    <w:rsid w:val="00F92786"/>
    <w:rsid w:val="00F92A20"/>
    <w:rsid w:val="00F92C78"/>
    <w:rsid w:val="00F92E9C"/>
    <w:rsid w:val="00F9300E"/>
    <w:rsid w:val="00F936F4"/>
    <w:rsid w:val="00F9393E"/>
    <w:rsid w:val="00F93A28"/>
    <w:rsid w:val="00F94135"/>
    <w:rsid w:val="00F9427B"/>
    <w:rsid w:val="00F9438E"/>
    <w:rsid w:val="00F9449D"/>
    <w:rsid w:val="00F947D2"/>
    <w:rsid w:val="00F9487C"/>
    <w:rsid w:val="00F94BCF"/>
    <w:rsid w:val="00F94F91"/>
    <w:rsid w:val="00F9524C"/>
    <w:rsid w:val="00F9527A"/>
    <w:rsid w:val="00F95462"/>
    <w:rsid w:val="00F956D5"/>
    <w:rsid w:val="00F95DDD"/>
    <w:rsid w:val="00F9600D"/>
    <w:rsid w:val="00F966F4"/>
    <w:rsid w:val="00F966F5"/>
    <w:rsid w:val="00F96761"/>
    <w:rsid w:val="00F96FD0"/>
    <w:rsid w:val="00F97070"/>
    <w:rsid w:val="00F974D2"/>
    <w:rsid w:val="00F9762E"/>
    <w:rsid w:val="00F97640"/>
    <w:rsid w:val="00F97A78"/>
    <w:rsid w:val="00F97AB5"/>
    <w:rsid w:val="00F97B7D"/>
    <w:rsid w:val="00F97CC4"/>
    <w:rsid w:val="00F97DAF"/>
    <w:rsid w:val="00FA0350"/>
    <w:rsid w:val="00FA09D2"/>
    <w:rsid w:val="00FA0B20"/>
    <w:rsid w:val="00FA0B58"/>
    <w:rsid w:val="00FA13D2"/>
    <w:rsid w:val="00FA1722"/>
    <w:rsid w:val="00FA1AA2"/>
    <w:rsid w:val="00FA1CF7"/>
    <w:rsid w:val="00FA1DA2"/>
    <w:rsid w:val="00FA1EA4"/>
    <w:rsid w:val="00FA2402"/>
    <w:rsid w:val="00FA24E7"/>
    <w:rsid w:val="00FA258D"/>
    <w:rsid w:val="00FA25EA"/>
    <w:rsid w:val="00FA2631"/>
    <w:rsid w:val="00FA2693"/>
    <w:rsid w:val="00FA282F"/>
    <w:rsid w:val="00FA2DB3"/>
    <w:rsid w:val="00FA3390"/>
    <w:rsid w:val="00FA355E"/>
    <w:rsid w:val="00FA36BF"/>
    <w:rsid w:val="00FA3791"/>
    <w:rsid w:val="00FA3ABC"/>
    <w:rsid w:val="00FA40FA"/>
    <w:rsid w:val="00FA41EA"/>
    <w:rsid w:val="00FA4217"/>
    <w:rsid w:val="00FA4340"/>
    <w:rsid w:val="00FA463C"/>
    <w:rsid w:val="00FA469D"/>
    <w:rsid w:val="00FA47F4"/>
    <w:rsid w:val="00FA4876"/>
    <w:rsid w:val="00FA4908"/>
    <w:rsid w:val="00FA50F9"/>
    <w:rsid w:val="00FA5A52"/>
    <w:rsid w:val="00FA5EB3"/>
    <w:rsid w:val="00FA5EE6"/>
    <w:rsid w:val="00FA5F57"/>
    <w:rsid w:val="00FA60B4"/>
    <w:rsid w:val="00FA60EF"/>
    <w:rsid w:val="00FA63CD"/>
    <w:rsid w:val="00FA6968"/>
    <w:rsid w:val="00FA69C6"/>
    <w:rsid w:val="00FA6E5B"/>
    <w:rsid w:val="00FA6EAB"/>
    <w:rsid w:val="00FA703F"/>
    <w:rsid w:val="00FA7306"/>
    <w:rsid w:val="00FA73A7"/>
    <w:rsid w:val="00FA74D0"/>
    <w:rsid w:val="00FA76FE"/>
    <w:rsid w:val="00FA7757"/>
    <w:rsid w:val="00FA7956"/>
    <w:rsid w:val="00FA7EBC"/>
    <w:rsid w:val="00FB0005"/>
    <w:rsid w:val="00FB0110"/>
    <w:rsid w:val="00FB0824"/>
    <w:rsid w:val="00FB0967"/>
    <w:rsid w:val="00FB0EA1"/>
    <w:rsid w:val="00FB1040"/>
    <w:rsid w:val="00FB1172"/>
    <w:rsid w:val="00FB12E2"/>
    <w:rsid w:val="00FB1437"/>
    <w:rsid w:val="00FB172B"/>
    <w:rsid w:val="00FB1802"/>
    <w:rsid w:val="00FB1A57"/>
    <w:rsid w:val="00FB1CE8"/>
    <w:rsid w:val="00FB1DAD"/>
    <w:rsid w:val="00FB1E72"/>
    <w:rsid w:val="00FB2617"/>
    <w:rsid w:val="00FB26FE"/>
    <w:rsid w:val="00FB270F"/>
    <w:rsid w:val="00FB28A3"/>
    <w:rsid w:val="00FB2FCB"/>
    <w:rsid w:val="00FB3214"/>
    <w:rsid w:val="00FB34F1"/>
    <w:rsid w:val="00FB377A"/>
    <w:rsid w:val="00FB3780"/>
    <w:rsid w:val="00FB3A36"/>
    <w:rsid w:val="00FB3D28"/>
    <w:rsid w:val="00FB3D8B"/>
    <w:rsid w:val="00FB40EB"/>
    <w:rsid w:val="00FB4401"/>
    <w:rsid w:val="00FB46E5"/>
    <w:rsid w:val="00FB4721"/>
    <w:rsid w:val="00FB48B4"/>
    <w:rsid w:val="00FB49A1"/>
    <w:rsid w:val="00FB4AD8"/>
    <w:rsid w:val="00FB4B97"/>
    <w:rsid w:val="00FB4C9C"/>
    <w:rsid w:val="00FB5204"/>
    <w:rsid w:val="00FB56D5"/>
    <w:rsid w:val="00FB58E4"/>
    <w:rsid w:val="00FB5A6D"/>
    <w:rsid w:val="00FB624F"/>
    <w:rsid w:val="00FB662B"/>
    <w:rsid w:val="00FB6708"/>
    <w:rsid w:val="00FB67D8"/>
    <w:rsid w:val="00FB6939"/>
    <w:rsid w:val="00FB6A34"/>
    <w:rsid w:val="00FB6B66"/>
    <w:rsid w:val="00FB70C7"/>
    <w:rsid w:val="00FB751B"/>
    <w:rsid w:val="00FB7B76"/>
    <w:rsid w:val="00FB7B9E"/>
    <w:rsid w:val="00FB7BB4"/>
    <w:rsid w:val="00FB7C55"/>
    <w:rsid w:val="00FB7E5A"/>
    <w:rsid w:val="00FB7E99"/>
    <w:rsid w:val="00FC0344"/>
    <w:rsid w:val="00FC03D3"/>
    <w:rsid w:val="00FC03EB"/>
    <w:rsid w:val="00FC073B"/>
    <w:rsid w:val="00FC0777"/>
    <w:rsid w:val="00FC0F44"/>
    <w:rsid w:val="00FC1020"/>
    <w:rsid w:val="00FC106D"/>
    <w:rsid w:val="00FC1074"/>
    <w:rsid w:val="00FC113C"/>
    <w:rsid w:val="00FC1395"/>
    <w:rsid w:val="00FC17AF"/>
    <w:rsid w:val="00FC1884"/>
    <w:rsid w:val="00FC1B64"/>
    <w:rsid w:val="00FC20BC"/>
    <w:rsid w:val="00FC2404"/>
    <w:rsid w:val="00FC2654"/>
    <w:rsid w:val="00FC2DC4"/>
    <w:rsid w:val="00FC32CB"/>
    <w:rsid w:val="00FC3326"/>
    <w:rsid w:val="00FC371D"/>
    <w:rsid w:val="00FC373B"/>
    <w:rsid w:val="00FC3B1D"/>
    <w:rsid w:val="00FC40B6"/>
    <w:rsid w:val="00FC41DC"/>
    <w:rsid w:val="00FC4668"/>
    <w:rsid w:val="00FC516F"/>
    <w:rsid w:val="00FC5746"/>
    <w:rsid w:val="00FC5CAA"/>
    <w:rsid w:val="00FC5CE3"/>
    <w:rsid w:val="00FC5E85"/>
    <w:rsid w:val="00FC5F0B"/>
    <w:rsid w:val="00FC6070"/>
    <w:rsid w:val="00FC60BE"/>
    <w:rsid w:val="00FC6256"/>
    <w:rsid w:val="00FC6418"/>
    <w:rsid w:val="00FC676A"/>
    <w:rsid w:val="00FC6949"/>
    <w:rsid w:val="00FC6AB5"/>
    <w:rsid w:val="00FC7084"/>
    <w:rsid w:val="00FC7327"/>
    <w:rsid w:val="00FC78DC"/>
    <w:rsid w:val="00FC7BE5"/>
    <w:rsid w:val="00FC7BF1"/>
    <w:rsid w:val="00FC7D3C"/>
    <w:rsid w:val="00FC7DAE"/>
    <w:rsid w:val="00FC7FD7"/>
    <w:rsid w:val="00FD0091"/>
    <w:rsid w:val="00FD029E"/>
    <w:rsid w:val="00FD041B"/>
    <w:rsid w:val="00FD0815"/>
    <w:rsid w:val="00FD0E3B"/>
    <w:rsid w:val="00FD1101"/>
    <w:rsid w:val="00FD1852"/>
    <w:rsid w:val="00FD1D01"/>
    <w:rsid w:val="00FD1EF7"/>
    <w:rsid w:val="00FD2100"/>
    <w:rsid w:val="00FD2225"/>
    <w:rsid w:val="00FD236B"/>
    <w:rsid w:val="00FD24EA"/>
    <w:rsid w:val="00FD264A"/>
    <w:rsid w:val="00FD278B"/>
    <w:rsid w:val="00FD27BB"/>
    <w:rsid w:val="00FD2916"/>
    <w:rsid w:val="00FD29FA"/>
    <w:rsid w:val="00FD2BAA"/>
    <w:rsid w:val="00FD2BDE"/>
    <w:rsid w:val="00FD2DAB"/>
    <w:rsid w:val="00FD31C7"/>
    <w:rsid w:val="00FD36D4"/>
    <w:rsid w:val="00FD3721"/>
    <w:rsid w:val="00FD3A5A"/>
    <w:rsid w:val="00FD3ADB"/>
    <w:rsid w:val="00FD3D19"/>
    <w:rsid w:val="00FD3E7B"/>
    <w:rsid w:val="00FD4040"/>
    <w:rsid w:val="00FD41B0"/>
    <w:rsid w:val="00FD4252"/>
    <w:rsid w:val="00FD436C"/>
    <w:rsid w:val="00FD446D"/>
    <w:rsid w:val="00FD45F2"/>
    <w:rsid w:val="00FD46C2"/>
    <w:rsid w:val="00FD46FF"/>
    <w:rsid w:val="00FD4B2F"/>
    <w:rsid w:val="00FD4C2F"/>
    <w:rsid w:val="00FD4D95"/>
    <w:rsid w:val="00FD4E69"/>
    <w:rsid w:val="00FD4F2C"/>
    <w:rsid w:val="00FD52BB"/>
    <w:rsid w:val="00FD534B"/>
    <w:rsid w:val="00FD54C8"/>
    <w:rsid w:val="00FD55F7"/>
    <w:rsid w:val="00FD5E16"/>
    <w:rsid w:val="00FD5EB8"/>
    <w:rsid w:val="00FD5F7C"/>
    <w:rsid w:val="00FD6394"/>
    <w:rsid w:val="00FD63CB"/>
    <w:rsid w:val="00FD6738"/>
    <w:rsid w:val="00FD69BE"/>
    <w:rsid w:val="00FD69EA"/>
    <w:rsid w:val="00FD6C31"/>
    <w:rsid w:val="00FD6CEF"/>
    <w:rsid w:val="00FD6F3F"/>
    <w:rsid w:val="00FD6FEF"/>
    <w:rsid w:val="00FD7278"/>
    <w:rsid w:val="00FD74E8"/>
    <w:rsid w:val="00FD75DC"/>
    <w:rsid w:val="00FD75FE"/>
    <w:rsid w:val="00FD7BC6"/>
    <w:rsid w:val="00FD7E70"/>
    <w:rsid w:val="00FD7F0D"/>
    <w:rsid w:val="00FD7F42"/>
    <w:rsid w:val="00FD7FB5"/>
    <w:rsid w:val="00FE00BF"/>
    <w:rsid w:val="00FE0555"/>
    <w:rsid w:val="00FE095C"/>
    <w:rsid w:val="00FE0973"/>
    <w:rsid w:val="00FE09C4"/>
    <w:rsid w:val="00FE0C4C"/>
    <w:rsid w:val="00FE0C75"/>
    <w:rsid w:val="00FE0E6C"/>
    <w:rsid w:val="00FE0F2E"/>
    <w:rsid w:val="00FE10D5"/>
    <w:rsid w:val="00FE11B7"/>
    <w:rsid w:val="00FE11F7"/>
    <w:rsid w:val="00FE12D4"/>
    <w:rsid w:val="00FE150F"/>
    <w:rsid w:val="00FE16D4"/>
    <w:rsid w:val="00FE1CDC"/>
    <w:rsid w:val="00FE1E5D"/>
    <w:rsid w:val="00FE2090"/>
    <w:rsid w:val="00FE2460"/>
    <w:rsid w:val="00FE253A"/>
    <w:rsid w:val="00FE29FE"/>
    <w:rsid w:val="00FE2A7A"/>
    <w:rsid w:val="00FE3003"/>
    <w:rsid w:val="00FE33ED"/>
    <w:rsid w:val="00FE3AF1"/>
    <w:rsid w:val="00FE417A"/>
    <w:rsid w:val="00FE44F6"/>
    <w:rsid w:val="00FE4C93"/>
    <w:rsid w:val="00FE4C9E"/>
    <w:rsid w:val="00FE4DDE"/>
    <w:rsid w:val="00FE504B"/>
    <w:rsid w:val="00FE5177"/>
    <w:rsid w:val="00FE58CC"/>
    <w:rsid w:val="00FE603C"/>
    <w:rsid w:val="00FE610A"/>
    <w:rsid w:val="00FE6349"/>
    <w:rsid w:val="00FE63A1"/>
    <w:rsid w:val="00FE6639"/>
    <w:rsid w:val="00FE6676"/>
    <w:rsid w:val="00FE70C3"/>
    <w:rsid w:val="00FE7380"/>
    <w:rsid w:val="00FE78E2"/>
    <w:rsid w:val="00FE7AA3"/>
    <w:rsid w:val="00FE7B36"/>
    <w:rsid w:val="00FE7ECD"/>
    <w:rsid w:val="00FF0344"/>
    <w:rsid w:val="00FF08AD"/>
    <w:rsid w:val="00FF0900"/>
    <w:rsid w:val="00FF0C0D"/>
    <w:rsid w:val="00FF13CF"/>
    <w:rsid w:val="00FF1421"/>
    <w:rsid w:val="00FF16D9"/>
    <w:rsid w:val="00FF19FE"/>
    <w:rsid w:val="00FF1A8B"/>
    <w:rsid w:val="00FF1F1E"/>
    <w:rsid w:val="00FF214B"/>
    <w:rsid w:val="00FF2340"/>
    <w:rsid w:val="00FF25D7"/>
    <w:rsid w:val="00FF2AD9"/>
    <w:rsid w:val="00FF2BA9"/>
    <w:rsid w:val="00FF30B8"/>
    <w:rsid w:val="00FF3158"/>
    <w:rsid w:val="00FF359F"/>
    <w:rsid w:val="00FF3DCF"/>
    <w:rsid w:val="00FF3E64"/>
    <w:rsid w:val="00FF4251"/>
    <w:rsid w:val="00FF45C7"/>
    <w:rsid w:val="00FF4650"/>
    <w:rsid w:val="00FF4847"/>
    <w:rsid w:val="00FF492C"/>
    <w:rsid w:val="00FF4A21"/>
    <w:rsid w:val="00FF4C19"/>
    <w:rsid w:val="00FF4D03"/>
    <w:rsid w:val="00FF4DDE"/>
    <w:rsid w:val="00FF4EB5"/>
    <w:rsid w:val="00FF512D"/>
    <w:rsid w:val="00FF52EB"/>
    <w:rsid w:val="00FF5310"/>
    <w:rsid w:val="00FF5417"/>
    <w:rsid w:val="00FF56D3"/>
    <w:rsid w:val="00FF59E7"/>
    <w:rsid w:val="00FF5AA3"/>
    <w:rsid w:val="00FF5AD8"/>
    <w:rsid w:val="00FF5F8C"/>
    <w:rsid w:val="00FF60E9"/>
    <w:rsid w:val="00FF6816"/>
    <w:rsid w:val="00FF6CAA"/>
    <w:rsid w:val="00FF6F2B"/>
    <w:rsid w:val="00FF705F"/>
    <w:rsid w:val="00FF70CE"/>
    <w:rsid w:val="00FF70CF"/>
    <w:rsid w:val="00FF7907"/>
    <w:rsid w:val="00FF7AFF"/>
    <w:rsid w:val="00FF7C1E"/>
    <w:rsid w:val="013FFCFE"/>
    <w:rsid w:val="01D01C92"/>
    <w:rsid w:val="0288EFB2"/>
    <w:rsid w:val="029C3B55"/>
    <w:rsid w:val="02F2FFE5"/>
    <w:rsid w:val="03377E39"/>
    <w:rsid w:val="0349B4C1"/>
    <w:rsid w:val="0366C1F4"/>
    <w:rsid w:val="036BECF3"/>
    <w:rsid w:val="03788734"/>
    <w:rsid w:val="03C58ABB"/>
    <w:rsid w:val="0427E28C"/>
    <w:rsid w:val="0434F41F"/>
    <w:rsid w:val="044A08C6"/>
    <w:rsid w:val="044E1C7C"/>
    <w:rsid w:val="04724FCD"/>
    <w:rsid w:val="04BEBC4E"/>
    <w:rsid w:val="0556E60C"/>
    <w:rsid w:val="0559986B"/>
    <w:rsid w:val="05800021"/>
    <w:rsid w:val="0598F095"/>
    <w:rsid w:val="05A5231B"/>
    <w:rsid w:val="062B45FE"/>
    <w:rsid w:val="064FC86B"/>
    <w:rsid w:val="069FEF33"/>
    <w:rsid w:val="073BA1A2"/>
    <w:rsid w:val="077DFAAF"/>
    <w:rsid w:val="07F30A18"/>
    <w:rsid w:val="08253E99"/>
    <w:rsid w:val="0845FF5F"/>
    <w:rsid w:val="084D626C"/>
    <w:rsid w:val="08531F74"/>
    <w:rsid w:val="086286AA"/>
    <w:rsid w:val="0944B4BD"/>
    <w:rsid w:val="0A08CF85"/>
    <w:rsid w:val="0A733769"/>
    <w:rsid w:val="0AC95500"/>
    <w:rsid w:val="0AFCA093"/>
    <w:rsid w:val="0AFF5787"/>
    <w:rsid w:val="0B2AF613"/>
    <w:rsid w:val="0B5B783A"/>
    <w:rsid w:val="0B92A0A7"/>
    <w:rsid w:val="0BBEC4B0"/>
    <w:rsid w:val="0BEBA520"/>
    <w:rsid w:val="0C3EEBAC"/>
    <w:rsid w:val="0C518EBD"/>
    <w:rsid w:val="0C7F4897"/>
    <w:rsid w:val="0CC3E2D6"/>
    <w:rsid w:val="0D091728"/>
    <w:rsid w:val="0D81C55C"/>
    <w:rsid w:val="0DA1622F"/>
    <w:rsid w:val="0DEAC8E1"/>
    <w:rsid w:val="0EC86926"/>
    <w:rsid w:val="0F419051"/>
    <w:rsid w:val="0F57FE7E"/>
    <w:rsid w:val="0F95CB55"/>
    <w:rsid w:val="0FC8705C"/>
    <w:rsid w:val="0FE92BF8"/>
    <w:rsid w:val="1020837C"/>
    <w:rsid w:val="1041251A"/>
    <w:rsid w:val="10C9E79E"/>
    <w:rsid w:val="1107841F"/>
    <w:rsid w:val="1108C43B"/>
    <w:rsid w:val="113BBCB6"/>
    <w:rsid w:val="113F5DD9"/>
    <w:rsid w:val="114728A7"/>
    <w:rsid w:val="11700177"/>
    <w:rsid w:val="118D663E"/>
    <w:rsid w:val="11998A06"/>
    <w:rsid w:val="12448367"/>
    <w:rsid w:val="1269DF23"/>
    <w:rsid w:val="12A4949C"/>
    <w:rsid w:val="1345B388"/>
    <w:rsid w:val="13AC5834"/>
    <w:rsid w:val="13B5A618"/>
    <w:rsid w:val="13BB315B"/>
    <w:rsid w:val="142CEDE8"/>
    <w:rsid w:val="14843EFF"/>
    <w:rsid w:val="14FA3807"/>
    <w:rsid w:val="1572E623"/>
    <w:rsid w:val="15976D74"/>
    <w:rsid w:val="15B253DC"/>
    <w:rsid w:val="1621B93F"/>
    <w:rsid w:val="16311EB5"/>
    <w:rsid w:val="169B5E23"/>
    <w:rsid w:val="16BAB4F2"/>
    <w:rsid w:val="16CF274A"/>
    <w:rsid w:val="16D72F33"/>
    <w:rsid w:val="1704281E"/>
    <w:rsid w:val="1785D09F"/>
    <w:rsid w:val="17AA6135"/>
    <w:rsid w:val="17DC7983"/>
    <w:rsid w:val="17F15418"/>
    <w:rsid w:val="18278FF0"/>
    <w:rsid w:val="1852728B"/>
    <w:rsid w:val="1885CAC7"/>
    <w:rsid w:val="18A3C83B"/>
    <w:rsid w:val="191E890C"/>
    <w:rsid w:val="192DBC2C"/>
    <w:rsid w:val="193766F1"/>
    <w:rsid w:val="1A225A63"/>
    <w:rsid w:val="1A544C3B"/>
    <w:rsid w:val="1AC246F3"/>
    <w:rsid w:val="1ACB8A05"/>
    <w:rsid w:val="1B40B497"/>
    <w:rsid w:val="1B62E031"/>
    <w:rsid w:val="1B729334"/>
    <w:rsid w:val="1C6F07B3"/>
    <w:rsid w:val="1CEB504D"/>
    <w:rsid w:val="1CF607F4"/>
    <w:rsid w:val="1D06C556"/>
    <w:rsid w:val="1D08768C"/>
    <w:rsid w:val="1D3B951B"/>
    <w:rsid w:val="1D559EB8"/>
    <w:rsid w:val="1D837F5E"/>
    <w:rsid w:val="1DE8E10F"/>
    <w:rsid w:val="1DFFB648"/>
    <w:rsid w:val="1E034817"/>
    <w:rsid w:val="1ECAE987"/>
    <w:rsid w:val="1EE6BF47"/>
    <w:rsid w:val="1F238AC6"/>
    <w:rsid w:val="1F6235FF"/>
    <w:rsid w:val="1FC2D8E3"/>
    <w:rsid w:val="1FFCB4BC"/>
    <w:rsid w:val="20B7ECE9"/>
    <w:rsid w:val="20BA74F5"/>
    <w:rsid w:val="2178CBEA"/>
    <w:rsid w:val="21C40EE6"/>
    <w:rsid w:val="21D3374D"/>
    <w:rsid w:val="21FE5ACC"/>
    <w:rsid w:val="22043587"/>
    <w:rsid w:val="2244C717"/>
    <w:rsid w:val="22926C15"/>
    <w:rsid w:val="22C8A227"/>
    <w:rsid w:val="22CCA9B9"/>
    <w:rsid w:val="22D1D3BD"/>
    <w:rsid w:val="23247A87"/>
    <w:rsid w:val="232A69DE"/>
    <w:rsid w:val="23CDC31B"/>
    <w:rsid w:val="23F29BB4"/>
    <w:rsid w:val="2415B8FF"/>
    <w:rsid w:val="242977E5"/>
    <w:rsid w:val="249991F7"/>
    <w:rsid w:val="25C49AF3"/>
    <w:rsid w:val="25F6A1F4"/>
    <w:rsid w:val="2604792A"/>
    <w:rsid w:val="2604F99A"/>
    <w:rsid w:val="263939DA"/>
    <w:rsid w:val="26717396"/>
    <w:rsid w:val="26B35306"/>
    <w:rsid w:val="26BF2B2D"/>
    <w:rsid w:val="270EDF88"/>
    <w:rsid w:val="278491D0"/>
    <w:rsid w:val="27AEED3B"/>
    <w:rsid w:val="27CA3F32"/>
    <w:rsid w:val="27D01663"/>
    <w:rsid w:val="286598C3"/>
    <w:rsid w:val="28689623"/>
    <w:rsid w:val="28954AE0"/>
    <w:rsid w:val="28D5E7CC"/>
    <w:rsid w:val="28FAA0A4"/>
    <w:rsid w:val="29A5CD88"/>
    <w:rsid w:val="2A18BD4F"/>
    <w:rsid w:val="2A3959AD"/>
    <w:rsid w:val="2A5870E5"/>
    <w:rsid w:val="2A7769E6"/>
    <w:rsid w:val="2AE55E35"/>
    <w:rsid w:val="2B0B8225"/>
    <w:rsid w:val="2BBBB417"/>
    <w:rsid w:val="2D6DEF1C"/>
    <w:rsid w:val="2E4F4E12"/>
    <w:rsid w:val="2EFB9674"/>
    <w:rsid w:val="2F890090"/>
    <w:rsid w:val="30A4D4CA"/>
    <w:rsid w:val="30DDB58A"/>
    <w:rsid w:val="31347831"/>
    <w:rsid w:val="31BFD4A8"/>
    <w:rsid w:val="3211CD3E"/>
    <w:rsid w:val="329693CA"/>
    <w:rsid w:val="329EF328"/>
    <w:rsid w:val="32DF0F0A"/>
    <w:rsid w:val="32EFE50D"/>
    <w:rsid w:val="330024B7"/>
    <w:rsid w:val="330C7106"/>
    <w:rsid w:val="33656576"/>
    <w:rsid w:val="33B7344A"/>
    <w:rsid w:val="33BEC8DF"/>
    <w:rsid w:val="345F6D60"/>
    <w:rsid w:val="349B94FF"/>
    <w:rsid w:val="34E73E03"/>
    <w:rsid w:val="3523B574"/>
    <w:rsid w:val="35619CF0"/>
    <w:rsid w:val="35D88C76"/>
    <w:rsid w:val="377994CC"/>
    <w:rsid w:val="377A3A20"/>
    <w:rsid w:val="37907876"/>
    <w:rsid w:val="379E65FC"/>
    <w:rsid w:val="37D195E3"/>
    <w:rsid w:val="382B43D9"/>
    <w:rsid w:val="38810EC2"/>
    <w:rsid w:val="388FDD1D"/>
    <w:rsid w:val="38979ECA"/>
    <w:rsid w:val="38CE7D4E"/>
    <w:rsid w:val="38D0CAEE"/>
    <w:rsid w:val="39E48D21"/>
    <w:rsid w:val="39FB754B"/>
    <w:rsid w:val="3A0E2568"/>
    <w:rsid w:val="3ACE9E21"/>
    <w:rsid w:val="3B3F0D6D"/>
    <w:rsid w:val="3B4DD467"/>
    <w:rsid w:val="3B521BB8"/>
    <w:rsid w:val="3BCF1D6A"/>
    <w:rsid w:val="3BEE49AB"/>
    <w:rsid w:val="3C142A69"/>
    <w:rsid w:val="3CD7B941"/>
    <w:rsid w:val="3E40A2F2"/>
    <w:rsid w:val="3E43787C"/>
    <w:rsid w:val="3EA2CED9"/>
    <w:rsid w:val="3EBF105F"/>
    <w:rsid w:val="3ED611F9"/>
    <w:rsid w:val="3F400C72"/>
    <w:rsid w:val="3F919CC4"/>
    <w:rsid w:val="3FCA75C2"/>
    <w:rsid w:val="3FFF5605"/>
    <w:rsid w:val="4009936F"/>
    <w:rsid w:val="400ACCF7"/>
    <w:rsid w:val="405ABA2E"/>
    <w:rsid w:val="40C3B785"/>
    <w:rsid w:val="4117B847"/>
    <w:rsid w:val="4122A0C9"/>
    <w:rsid w:val="413486B4"/>
    <w:rsid w:val="417E9C85"/>
    <w:rsid w:val="41994AF2"/>
    <w:rsid w:val="42390B35"/>
    <w:rsid w:val="42514886"/>
    <w:rsid w:val="431227A3"/>
    <w:rsid w:val="431D1D88"/>
    <w:rsid w:val="432815B0"/>
    <w:rsid w:val="43347458"/>
    <w:rsid w:val="43413431"/>
    <w:rsid w:val="43E493E9"/>
    <w:rsid w:val="4452D32A"/>
    <w:rsid w:val="44552AFE"/>
    <w:rsid w:val="44DD0492"/>
    <w:rsid w:val="44DE3E1A"/>
    <w:rsid w:val="453FC6D6"/>
    <w:rsid w:val="454701E0"/>
    <w:rsid w:val="45700B63"/>
    <w:rsid w:val="45F4970E"/>
    <w:rsid w:val="46285326"/>
    <w:rsid w:val="46F2B367"/>
    <w:rsid w:val="47C96BE7"/>
    <w:rsid w:val="4859D54F"/>
    <w:rsid w:val="489F2012"/>
    <w:rsid w:val="48C5D9D0"/>
    <w:rsid w:val="498AF57F"/>
    <w:rsid w:val="49C2B444"/>
    <w:rsid w:val="4A8C77F7"/>
    <w:rsid w:val="4A9D8151"/>
    <w:rsid w:val="4AAC6E09"/>
    <w:rsid w:val="4AD441BE"/>
    <w:rsid w:val="4BC7DFED"/>
    <w:rsid w:val="4C3441BB"/>
    <w:rsid w:val="4C37A9BC"/>
    <w:rsid w:val="4C46E439"/>
    <w:rsid w:val="4C65DF4A"/>
    <w:rsid w:val="4C6894C2"/>
    <w:rsid w:val="4CF4D98B"/>
    <w:rsid w:val="4D29EB56"/>
    <w:rsid w:val="4D46BFEE"/>
    <w:rsid w:val="4D9ADC02"/>
    <w:rsid w:val="4DA1377E"/>
    <w:rsid w:val="4DA4C5CA"/>
    <w:rsid w:val="4E1DE3F3"/>
    <w:rsid w:val="4E2A88C1"/>
    <w:rsid w:val="4E37B085"/>
    <w:rsid w:val="4EA0A8B8"/>
    <w:rsid w:val="4F0757FC"/>
    <w:rsid w:val="4F248C5A"/>
    <w:rsid w:val="4F75D6C9"/>
    <w:rsid w:val="4FEF13C8"/>
    <w:rsid w:val="501CF2E9"/>
    <w:rsid w:val="50E9E269"/>
    <w:rsid w:val="51721821"/>
    <w:rsid w:val="518D58A0"/>
    <w:rsid w:val="520EB2F5"/>
    <w:rsid w:val="52134A6F"/>
    <w:rsid w:val="52383112"/>
    <w:rsid w:val="5246F978"/>
    <w:rsid w:val="5268D6AE"/>
    <w:rsid w:val="53292901"/>
    <w:rsid w:val="534B3C90"/>
    <w:rsid w:val="535933CB"/>
    <w:rsid w:val="5422B510"/>
    <w:rsid w:val="54C34E24"/>
    <w:rsid w:val="550C8767"/>
    <w:rsid w:val="5543F61C"/>
    <w:rsid w:val="554952F1"/>
    <w:rsid w:val="5588C5AC"/>
    <w:rsid w:val="55F74AEA"/>
    <w:rsid w:val="55FB598D"/>
    <w:rsid w:val="564FD1C5"/>
    <w:rsid w:val="5667410E"/>
    <w:rsid w:val="566A97E0"/>
    <w:rsid w:val="56BCB05F"/>
    <w:rsid w:val="56BF8FE9"/>
    <w:rsid w:val="577F65A9"/>
    <w:rsid w:val="583F1C0F"/>
    <w:rsid w:val="58524A84"/>
    <w:rsid w:val="58767EA3"/>
    <w:rsid w:val="5877C8DF"/>
    <w:rsid w:val="58B32B7D"/>
    <w:rsid w:val="597D96EA"/>
    <w:rsid w:val="598A12DF"/>
    <w:rsid w:val="59ACFF5B"/>
    <w:rsid w:val="5A0C6817"/>
    <w:rsid w:val="5A91381E"/>
    <w:rsid w:val="5B0AD255"/>
    <w:rsid w:val="5B1BB81C"/>
    <w:rsid w:val="5B1FECAF"/>
    <w:rsid w:val="5B4A93ED"/>
    <w:rsid w:val="5B5B6269"/>
    <w:rsid w:val="5B62C954"/>
    <w:rsid w:val="5BDD6622"/>
    <w:rsid w:val="5C28AF80"/>
    <w:rsid w:val="5CABDAAB"/>
    <w:rsid w:val="5CE2368B"/>
    <w:rsid w:val="5D156639"/>
    <w:rsid w:val="5D70E44C"/>
    <w:rsid w:val="5D739F94"/>
    <w:rsid w:val="5DE7BFD8"/>
    <w:rsid w:val="5E1B8EEE"/>
    <w:rsid w:val="5E41EE54"/>
    <w:rsid w:val="5E42BC1F"/>
    <w:rsid w:val="5E4522C5"/>
    <w:rsid w:val="5E45D5E4"/>
    <w:rsid w:val="5E634F95"/>
    <w:rsid w:val="5EA1E622"/>
    <w:rsid w:val="5EAB1E3B"/>
    <w:rsid w:val="5F0578C3"/>
    <w:rsid w:val="5F2386E3"/>
    <w:rsid w:val="5F96D576"/>
    <w:rsid w:val="5FD15E2A"/>
    <w:rsid w:val="609616E7"/>
    <w:rsid w:val="61044475"/>
    <w:rsid w:val="6253775E"/>
    <w:rsid w:val="626A0BDD"/>
    <w:rsid w:val="628A07D1"/>
    <w:rsid w:val="62BC7206"/>
    <w:rsid w:val="63498FA4"/>
    <w:rsid w:val="634B401E"/>
    <w:rsid w:val="63EF47BF"/>
    <w:rsid w:val="63FAC8AC"/>
    <w:rsid w:val="642FFA30"/>
    <w:rsid w:val="64A77827"/>
    <w:rsid w:val="64ECB096"/>
    <w:rsid w:val="64F1238D"/>
    <w:rsid w:val="65464E5E"/>
    <w:rsid w:val="65B04C44"/>
    <w:rsid w:val="65B3C870"/>
    <w:rsid w:val="663AAA4F"/>
    <w:rsid w:val="663BBE29"/>
    <w:rsid w:val="66403827"/>
    <w:rsid w:val="66A642B8"/>
    <w:rsid w:val="66B5E226"/>
    <w:rsid w:val="66E99154"/>
    <w:rsid w:val="66F2D59B"/>
    <w:rsid w:val="66FD7FF0"/>
    <w:rsid w:val="6724C813"/>
    <w:rsid w:val="67AA6031"/>
    <w:rsid w:val="67AECF23"/>
    <w:rsid w:val="67AF0589"/>
    <w:rsid w:val="67C060E0"/>
    <w:rsid w:val="67CC6C2E"/>
    <w:rsid w:val="680A0736"/>
    <w:rsid w:val="68215B1C"/>
    <w:rsid w:val="685DAEC2"/>
    <w:rsid w:val="68EBAD46"/>
    <w:rsid w:val="692C9B17"/>
    <w:rsid w:val="6993CCDE"/>
    <w:rsid w:val="69A6F95C"/>
    <w:rsid w:val="6A89E65F"/>
    <w:rsid w:val="6B0EF1FA"/>
    <w:rsid w:val="6B31F88C"/>
    <w:rsid w:val="6BB5986C"/>
    <w:rsid w:val="6BF217AF"/>
    <w:rsid w:val="6CE5E499"/>
    <w:rsid w:val="6D4D3179"/>
    <w:rsid w:val="6D53526A"/>
    <w:rsid w:val="6D6E9916"/>
    <w:rsid w:val="6DA29270"/>
    <w:rsid w:val="6DE79CFE"/>
    <w:rsid w:val="6DF44D55"/>
    <w:rsid w:val="6E2BF1F2"/>
    <w:rsid w:val="6E70C49B"/>
    <w:rsid w:val="6E99D431"/>
    <w:rsid w:val="6FD4C111"/>
    <w:rsid w:val="6FFFA123"/>
    <w:rsid w:val="70095EDB"/>
    <w:rsid w:val="701D855B"/>
    <w:rsid w:val="70582FC9"/>
    <w:rsid w:val="707BADC3"/>
    <w:rsid w:val="7094CB98"/>
    <w:rsid w:val="70E8B5F5"/>
    <w:rsid w:val="71023886"/>
    <w:rsid w:val="713C5FB2"/>
    <w:rsid w:val="7189F396"/>
    <w:rsid w:val="722C422F"/>
    <w:rsid w:val="72343DDA"/>
    <w:rsid w:val="7247FD32"/>
    <w:rsid w:val="730B08AE"/>
    <w:rsid w:val="73352F78"/>
    <w:rsid w:val="737E8B54"/>
    <w:rsid w:val="73AD5449"/>
    <w:rsid w:val="742C7DDA"/>
    <w:rsid w:val="74D6532C"/>
    <w:rsid w:val="74F95613"/>
    <w:rsid w:val="75184A2B"/>
    <w:rsid w:val="751F48B2"/>
    <w:rsid w:val="75DCCF87"/>
    <w:rsid w:val="766624F0"/>
    <w:rsid w:val="7681CACD"/>
    <w:rsid w:val="769910CF"/>
    <w:rsid w:val="76B7C053"/>
    <w:rsid w:val="76BB1913"/>
    <w:rsid w:val="76BD2AA8"/>
    <w:rsid w:val="76D0CACB"/>
    <w:rsid w:val="7825CA21"/>
    <w:rsid w:val="78845EA8"/>
    <w:rsid w:val="7953415D"/>
    <w:rsid w:val="79553237"/>
    <w:rsid w:val="79B37742"/>
    <w:rsid w:val="79F2B9D5"/>
    <w:rsid w:val="7A67ED1B"/>
    <w:rsid w:val="7AE5CAA2"/>
    <w:rsid w:val="7B507670"/>
    <w:rsid w:val="7B5FA08A"/>
    <w:rsid w:val="7BA3484C"/>
    <w:rsid w:val="7C1FC219"/>
    <w:rsid w:val="7C5FF4D7"/>
    <w:rsid w:val="7D123549"/>
    <w:rsid w:val="7D41086E"/>
    <w:rsid w:val="7D4F8192"/>
    <w:rsid w:val="7D9255DD"/>
    <w:rsid w:val="7E22A2F6"/>
    <w:rsid w:val="7E9FC64A"/>
    <w:rsid w:val="7ED86706"/>
    <w:rsid w:val="7F0211B3"/>
    <w:rsid w:val="7FC20B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819"/>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7E1C14"/>
    <w:pPr>
      <w:widowControl w:val="0"/>
      <w:numPr>
        <w:numId w:val="22"/>
      </w:numPr>
      <w:spacing w:after="120"/>
      <w:ind w:left="1134"/>
      <w:jc w:val="both"/>
    </w:pPr>
    <w:rPr>
      <w:rFonts w:asciiTheme="minorHAnsi" w:hAnsiTheme="minorHAnsi" w:cs="Arial"/>
      <w:snapToGrid w:val="0"/>
      <w:sz w:val="24"/>
      <w:szCs w:val="24"/>
      <w:lang w:val="en-GB"/>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7E1C14"/>
    <w:rPr>
      <w:rFonts w:asciiTheme="minorHAnsi" w:hAnsiTheme="minorHAnsi" w:cs="Arial"/>
      <w:snapToGrid w:val="0"/>
      <w:sz w:val="24"/>
      <w:szCs w:val="24"/>
      <w:lang w:val="en-GB"/>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B1007"/>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lang w:val="en-GB"/>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263D6"/>
    <w:rPr>
      <w:color w:val="605E5C"/>
      <w:shd w:val="clear" w:color="auto" w:fill="E1DFDD"/>
    </w:rPr>
  </w:style>
  <w:style w:type="character" w:customStyle="1" w:styleId="PBACTableTextChar">
    <w:name w:val="PBAC Table Text Char"/>
    <w:basedOn w:val="DefaultParagraphFont"/>
    <w:link w:val="PBACTableText"/>
    <w:locked/>
    <w:rsid w:val="00CF6CF2"/>
    <w:rPr>
      <w:rFonts w:ascii="Arial Narrow" w:hAnsi="Arial Narrow"/>
    </w:rPr>
  </w:style>
  <w:style w:type="paragraph" w:customStyle="1" w:styleId="PBACTableText">
    <w:name w:val="PBAC Table Text"/>
    <w:basedOn w:val="Normal"/>
    <w:link w:val="PBACTableTextChar"/>
    <w:qFormat/>
    <w:rsid w:val="00CF6CF2"/>
    <w:pPr>
      <w:spacing w:before="40" w:after="40"/>
      <w:jc w:val="left"/>
    </w:pPr>
    <w:rPr>
      <w:rFonts w:ascii="Arial Narrow" w:hAnsi="Arial Narrow" w:cs="Times New Roman"/>
      <w:sz w:val="20"/>
      <w:szCs w:val="20"/>
    </w:rPr>
  </w:style>
  <w:style w:type="character" w:customStyle="1" w:styleId="NoSpacingChar">
    <w:name w:val="No Spacing Char"/>
    <w:aliases w:val="PBAC Table Footnote Char"/>
    <w:basedOn w:val="DefaultParagraphFont"/>
    <w:link w:val="NoSpacing"/>
    <w:uiPriority w:val="1"/>
    <w:locked/>
    <w:rsid w:val="00FE5177"/>
    <w:rPr>
      <w:rFonts w:ascii="Arial" w:hAnsi="Arial" w:cs="Arial"/>
      <w:snapToGrid w:val="0"/>
      <w:sz w:val="22"/>
      <w:lang w:eastAsia="en-US"/>
    </w:rPr>
  </w:style>
  <w:style w:type="character" w:customStyle="1" w:styleId="PBACcaptionChar">
    <w:name w:val="PBAC caption Char"/>
    <w:basedOn w:val="DefaultParagraphFont"/>
    <w:link w:val="PBACcaption"/>
    <w:locked/>
    <w:rsid w:val="00FE5177"/>
    <w:rPr>
      <w:rFonts w:ascii="Sabon" w:eastAsia="SimSun" w:hAnsi="Sabon"/>
      <w:b/>
      <w:sz w:val="22"/>
      <w:szCs w:val="22"/>
    </w:rPr>
  </w:style>
  <w:style w:type="paragraph" w:customStyle="1" w:styleId="PBACcaption">
    <w:name w:val="PBAC caption"/>
    <w:basedOn w:val="Normal"/>
    <w:link w:val="PBACcaptionChar"/>
    <w:qFormat/>
    <w:rsid w:val="00FE5177"/>
    <w:pPr>
      <w:jc w:val="left"/>
    </w:pPr>
    <w:rPr>
      <w:rFonts w:ascii="Sabon" w:eastAsia="SimSun" w:hAnsi="Sabon" w:cs="Times New Roman"/>
      <w:b/>
      <w:sz w:val="22"/>
      <w:szCs w:val="22"/>
    </w:rPr>
  </w:style>
  <w:style w:type="paragraph" w:customStyle="1" w:styleId="PbacTableHeading">
    <w:name w:val="Pbac Table Heading"/>
    <w:basedOn w:val="PBACTableText"/>
    <w:qFormat/>
    <w:rsid w:val="00FE5177"/>
    <w:pPr>
      <w:spacing w:before="0" w:after="80"/>
    </w:pPr>
    <w:rPr>
      <w:rFonts w:eastAsia="SimSun" w:cs="Arial"/>
      <w:b/>
      <w:sz w:val="22"/>
    </w:rPr>
  </w:style>
  <w:style w:type="table" w:customStyle="1" w:styleId="THM">
    <w:name w:val="THM"/>
    <w:basedOn w:val="TableNormal"/>
    <w:uiPriority w:val="99"/>
    <w:qFormat/>
    <w:rsid w:val="00F92A20"/>
    <w:pPr>
      <w:spacing w:before="60" w:after="60"/>
    </w:pPr>
    <w:rPr>
      <w:rFonts w:ascii="News Gothic MT" w:hAnsi="News Gothic MT"/>
      <w:sz w:val="16"/>
      <w:lang w:val="en-GB" w:eastAsia="en-GB"/>
    </w:rPr>
    <w:tblPr>
      <w:tblStyleRowBandSize w:val="2"/>
      <w:tblInd w:w="108" w:type="dxa"/>
      <w:tblBorders>
        <w:bottom w:val="single" w:sz="12" w:space="0" w:color="005350"/>
      </w:tblBorders>
    </w:tblPr>
    <w:tblStylePr w:type="firstRow">
      <w:rPr>
        <w:rFonts w:ascii="Arial" w:hAnsi="Arial"/>
        <w:b/>
        <w:sz w:val="18"/>
      </w:rPr>
      <w:tblPr/>
      <w:tcPr>
        <w:tcBorders>
          <w:top w:val="single" w:sz="24" w:space="0" w:color="003468"/>
          <w:left w:val="nil"/>
          <w:bottom w:val="nil"/>
          <w:right w:val="nil"/>
          <w:insideH w:val="nil"/>
          <w:insideV w:val="nil"/>
          <w:tl2br w:val="nil"/>
          <w:tr2bl w:val="nil"/>
        </w:tcBorders>
        <w:shd w:val="clear" w:color="auto" w:fill="D9D9D9"/>
      </w:tcPr>
    </w:tblStylePr>
    <w:tblStylePr w:type="lastRow">
      <w:pPr>
        <w:wordWrap/>
        <w:spacing w:beforeLines="0" w:beforeAutospacing="0" w:afterLines="0" w:afterAutospacing="0" w:line="240" w:lineRule="auto"/>
      </w:pPr>
      <w:rPr>
        <w:rFonts w:ascii="Arial" w:hAnsi="Arial"/>
      </w:rPr>
      <w:tblPr/>
      <w:tcPr>
        <w:tcBorders>
          <w:top w:val="nil"/>
          <w:left w:val="nil"/>
          <w:bottom w:val="single" w:sz="12" w:space="0" w:color="003468"/>
          <w:right w:val="nil"/>
          <w:insideH w:val="nil"/>
          <w:insideV w:val="nil"/>
          <w:tl2br w:val="nil"/>
          <w:tr2bl w:val="nil"/>
        </w:tcBorders>
      </w:tcPr>
    </w:tblStylePr>
  </w:style>
  <w:style w:type="numbering" w:customStyle="1" w:styleId="PBACTableTextLetteredList">
    <w:name w:val="PBAC Table Text + Lettered List"/>
    <w:basedOn w:val="NoList"/>
    <w:rsid w:val="00F92A20"/>
    <w:pPr>
      <w:numPr>
        <w:numId w:val="6"/>
      </w:numPr>
    </w:pPr>
  </w:style>
  <w:style w:type="paragraph" w:styleId="FootnoteText">
    <w:name w:val="footnote text"/>
    <w:basedOn w:val="Normal"/>
    <w:link w:val="FootnoteTextChar"/>
    <w:semiHidden/>
    <w:unhideWhenUsed/>
    <w:rsid w:val="00F92A20"/>
    <w:rPr>
      <w:sz w:val="20"/>
      <w:szCs w:val="20"/>
    </w:rPr>
  </w:style>
  <w:style w:type="character" w:customStyle="1" w:styleId="FootnoteTextChar">
    <w:name w:val="Footnote Text Char"/>
    <w:basedOn w:val="DefaultParagraphFont"/>
    <w:link w:val="FootnoteText"/>
    <w:semiHidden/>
    <w:rsid w:val="00F92A20"/>
    <w:rPr>
      <w:rFonts w:ascii="Calibri" w:hAnsi="Calibri" w:cs="Arial"/>
    </w:rPr>
  </w:style>
  <w:style w:type="character" w:styleId="FootnoteReference">
    <w:name w:val="footnote reference"/>
    <w:basedOn w:val="DefaultParagraphFont"/>
    <w:semiHidden/>
    <w:unhideWhenUsed/>
    <w:rsid w:val="00F92A20"/>
    <w:rPr>
      <w:vertAlign w:val="superscript"/>
    </w:rPr>
  </w:style>
  <w:style w:type="character" w:styleId="Mention">
    <w:name w:val="Mention"/>
    <w:basedOn w:val="DefaultParagraphFont"/>
    <w:uiPriority w:val="99"/>
    <w:unhideWhenUsed/>
    <w:rsid w:val="00EA47C2"/>
    <w:rPr>
      <w:color w:val="2B579A"/>
      <w:shd w:val="clear" w:color="auto" w:fill="E1DFDD"/>
    </w:rPr>
  </w:style>
  <w:style w:type="paragraph" w:customStyle="1" w:styleId="PBACtablecaption">
    <w:name w:val="PBAC table caption"/>
    <w:basedOn w:val="PBACTableText"/>
    <w:link w:val="PBACtablecaptionChar"/>
    <w:rsid w:val="00EE60D4"/>
    <w:pPr>
      <w:spacing w:before="0" w:after="0"/>
    </w:pPr>
    <w:rPr>
      <w:rFonts w:eastAsia="SimSun" w:cs="Arial"/>
      <w:sz w:val="18"/>
      <w:szCs w:val="18"/>
      <w:lang w:eastAsia="en-US"/>
    </w:rPr>
  </w:style>
  <w:style w:type="character" w:customStyle="1" w:styleId="PBACtablecaptionChar">
    <w:name w:val="PBAC table caption Char"/>
    <w:basedOn w:val="PBACTableTextChar"/>
    <w:link w:val="PBACtablecaption"/>
    <w:rsid w:val="00EE60D4"/>
    <w:rPr>
      <w:rFonts w:ascii="Arial Narrow" w:eastAsia="SimSun" w:hAnsi="Arial Narrow" w:cs="Arial"/>
      <w:sz w:val="18"/>
      <w:szCs w:val="18"/>
      <w:lang w:eastAsia="en-US"/>
    </w:rPr>
  </w:style>
  <w:style w:type="character" w:styleId="PlaceholderText">
    <w:name w:val="Placeholder Text"/>
    <w:basedOn w:val="DefaultParagraphFont"/>
    <w:uiPriority w:val="99"/>
    <w:semiHidden/>
    <w:rsid w:val="00EE60D4"/>
    <w:rPr>
      <w:color w:val="808080"/>
    </w:rPr>
  </w:style>
  <w:style w:type="character" w:customStyle="1" w:styleId="UnresolvedMention1">
    <w:name w:val="Unresolved Mention1"/>
    <w:basedOn w:val="DefaultParagraphFont"/>
    <w:uiPriority w:val="99"/>
    <w:semiHidden/>
    <w:unhideWhenUsed/>
    <w:rsid w:val="00B473E9"/>
    <w:rPr>
      <w:color w:val="605E5C"/>
      <w:shd w:val="clear" w:color="auto" w:fill="E1DFDD"/>
    </w:rPr>
  </w:style>
  <w:style w:type="paragraph" w:styleId="EndnoteText">
    <w:name w:val="endnote text"/>
    <w:basedOn w:val="Normal"/>
    <w:link w:val="EndnoteTextChar"/>
    <w:uiPriority w:val="99"/>
    <w:unhideWhenUsed/>
    <w:rsid w:val="00B473E9"/>
    <w:pPr>
      <w:jc w:val="left"/>
    </w:pPr>
    <w:rPr>
      <w:rFonts w:ascii="Sabon" w:eastAsia="SimSun" w:hAnsi="Sabon"/>
      <w:sz w:val="22"/>
      <w:szCs w:val="20"/>
      <w:lang w:eastAsia="en-US"/>
    </w:rPr>
  </w:style>
  <w:style w:type="character" w:customStyle="1" w:styleId="EndnoteTextChar">
    <w:name w:val="Endnote Text Char"/>
    <w:basedOn w:val="DefaultParagraphFont"/>
    <w:link w:val="EndnoteText"/>
    <w:uiPriority w:val="99"/>
    <w:rsid w:val="00B473E9"/>
    <w:rPr>
      <w:rFonts w:ascii="Sabon" w:eastAsia="SimSun" w:hAnsi="Sabon" w:cs="Arial"/>
      <w:sz w:val="22"/>
      <w:lang w:eastAsia="en-US"/>
    </w:rPr>
  </w:style>
  <w:style w:type="character" w:styleId="EndnoteReference">
    <w:name w:val="endnote reference"/>
    <w:basedOn w:val="DefaultParagraphFont"/>
    <w:uiPriority w:val="99"/>
    <w:semiHidden/>
    <w:unhideWhenUsed/>
    <w:rsid w:val="00B473E9"/>
    <w:rPr>
      <w:vertAlign w:val="superscript"/>
    </w:rPr>
  </w:style>
  <w:style w:type="character" w:customStyle="1" w:styleId="normaltextrun">
    <w:name w:val="normaltextrun"/>
    <w:basedOn w:val="DefaultParagraphFont"/>
    <w:rsid w:val="00B473E9"/>
  </w:style>
  <w:style w:type="character" w:styleId="Emphasis">
    <w:name w:val="Emphasis"/>
    <w:basedOn w:val="DefaultParagraphFont"/>
    <w:uiPriority w:val="20"/>
    <w:qFormat/>
    <w:rsid w:val="004125BB"/>
    <w:rPr>
      <w:i/>
      <w:iCs/>
    </w:rPr>
  </w:style>
  <w:style w:type="character" w:customStyle="1" w:styleId="cf01">
    <w:name w:val="cf01"/>
    <w:basedOn w:val="DefaultParagraphFont"/>
    <w:rsid w:val="00255953"/>
    <w:rPr>
      <w:rFonts w:ascii="Segoe UI" w:hAnsi="Segoe UI" w:cs="Segoe UI" w:hint="default"/>
      <w:i/>
      <w:iCs/>
      <w:sz w:val="18"/>
      <w:szCs w:val="18"/>
    </w:rPr>
  </w:style>
  <w:style w:type="paragraph" w:customStyle="1" w:styleId="3-SubsectionHeading">
    <w:name w:val="3-Subsection Heading"/>
    <w:basedOn w:val="Heading2"/>
    <w:next w:val="Normal"/>
    <w:link w:val="3-SubsectionHeadingChar"/>
    <w:qFormat/>
    <w:rsid w:val="00A304A7"/>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A304A7"/>
    <w:rPr>
      <w:rFonts w:asciiTheme="minorHAnsi" w:eastAsiaTheme="majorEastAsia" w:hAnsiTheme="minorHAnsi" w:cstheme="majorBidi"/>
      <w:b/>
      <w:i/>
      <w:snapToGrid/>
      <w:spacing w:val="5"/>
      <w:kern w:val="28"/>
      <w:sz w:val="28"/>
      <w:szCs w:val="36"/>
      <w:lang w:eastAsia="en-US"/>
    </w:rPr>
  </w:style>
  <w:style w:type="paragraph" w:customStyle="1" w:styleId="xxmsolistparagraph">
    <w:name w:val="x_xmsolistparagraph"/>
    <w:basedOn w:val="Normal"/>
    <w:rsid w:val="00375EB6"/>
    <w:pPr>
      <w:ind w:left="720"/>
      <w:jc w:val="left"/>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6163">
      <w:bodyDiv w:val="1"/>
      <w:marLeft w:val="0"/>
      <w:marRight w:val="0"/>
      <w:marTop w:val="0"/>
      <w:marBottom w:val="0"/>
      <w:divBdr>
        <w:top w:val="none" w:sz="0" w:space="0" w:color="auto"/>
        <w:left w:val="none" w:sz="0" w:space="0" w:color="auto"/>
        <w:bottom w:val="none" w:sz="0" w:space="0" w:color="auto"/>
        <w:right w:val="none" w:sz="0" w:space="0" w:color="auto"/>
      </w:divBdr>
    </w:div>
    <w:div w:id="24645235">
      <w:bodyDiv w:val="1"/>
      <w:marLeft w:val="0"/>
      <w:marRight w:val="0"/>
      <w:marTop w:val="0"/>
      <w:marBottom w:val="0"/>
      <w:divBdr>
        <w:top w:val="none" w:sz="0" w:space="0" w:color="auto"/>
        <w:left w:val="none" w:sz="0" w:space="0" w:color="auto"/>
        <w:bottom w:val="none" w:sz="0" w:space="0" w:color="auto"/>
        <w:right w:val="none" w:sz="0" w:space="0" w:color="auto"/>
      </w:divBdr>
      <w:divsChild>
        <w:div w:id="168957019">
          <w:marLeft w:val="0"/>
          <w:marRight w:val="0"/>
          <w:marTop w:val="0"/>
          <w:marBottom w:val="0"/>
          <w:divBdr>
            <w:top w:val="single" w:sz="2" w:space="0" w:color="auto"/>
            <w:left w:val="single" w:sz="2" w:space="0" w:color="auto"/>
            <w:bottom w:val="single" w:sz="6" w:space="0" w:color="auto"/>
            <w:right w:val="single" w:sz="2" w:space="0" w:color="auto"/>
          </w:divBdr>
          <w:divsChild>
            <w:div w:id="1975870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8778250">
                  <w:marLeft w:val="0"/>
                  <w:marRight w:val="0"/>
                  <w:marTop w:val="0"/>
                  <w:marBottom w:val="0"/>
                  <w:divBdr>
                    <w:top w:val="single" w:sz="2" w:space="0" w:color="D9D9E3"/>
                    <w:left w:val="single" w:sz="2" w:space="0" w:color="D9D9E3"/>
                    <w:bottom w:val="single" w:sz="2" w:space="0" w:color="D9D9E3"/>
                    <w:right w:val="single" w:sz="2" w:space="0" w:color="D9D9E3"/>
                  </w:divBdr>
                  <w:divsChild>
                    <w:div w:id="635258974">
                      <w:marLeft w:val="0"/>
                      <w:marRight w:val="0"/>
                      <w:marTop w:val="0"/>
                      <w:marBottom w:val="0"/>
                      <w:divBdr>
                        <w:top w:val="single" w:sz="2" w:space="0" w:color="D9D9E3"/>
                        <w:left w:val="single" w:sz="2" w:space="0" w:color="D9D9E3"/>
                        <w:bottom w:val="single" w:sz="2" w:space="0" w:color="D9D9E3"/>
                        <w:right w:val="single" w:sz="2" w:space="0" w:color="D9D9E3"/>
                      </w:divBdr>
                      <w:divsChild>
                        <w:div w:id="779952782">
                          <w:marLeft w:val="0"/>
                          <w:marRight w:val="0"/>
                          <w:marTop w:val="0"/>
                          <w:marBottom w:val="0"/>
                          <w:divBdr>
                            <w:top w:val="single" w:sz="2" w:space="0" w:color="D9D9E3"/>
                            <w:left w:val="single" w:sz="2" w:space="0" w:color="D9D9E3"/>
                            <w:bottom w:val="single" w:sz="2" w:space="0" w:color="D9D9E3"/>
                            <w:right w:val="single" w:sz="2" w:space="0" w:color="D9D9E3"/>
                          </w:divBdr>
                          <w:divsChild>
                            <w:div w:id="1255087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39688">
      <w:bodyDiv w:val="1"/>
      <w:marLeft w:val="0"/>
      <w:marRight w:val="0"/>
      <w:marTop w:val="0"/>
      <w:marBottom w:val="0"/>
      <w:divBdr>
        <w:top w:val="none" w:sz="0" w:space="0" w:color="auto"/>
        <w:left w:val="none" w:sz="0" w:space="0" w:color="auto"/>
        <w:bottom w:val="none" w:sz="0" w:space="0" w:color="auto"/>
        <w:right w:val="none" w:sz="0" w:space="0" w:color="auto"/>
      </w:divBdr>
    </w:div>
    <w:div w:id="53503593">
      <w:bodyDiv w:val="1"/>
      <w:marLeft w:val="0"/>
      <w:marRight w:val="0"/>
      <w:marTop w:val="0"/>
      <w:marBottom w:val="0"/>
      <w:divBdr>
        <w:top w:val="none" w:sz="0" w:space="0" w:color="auto"/>
        <w:left w:val="none" w:sz="0" w:space="0" w:color="auto"/>
        <w:bottom w:val="none" w:sz="0" w:space="0" w:color="auto"/>
        <w:right w:val="none" w:sz="0" w:space="0" w:color="auto"/>
      </w:divBdr>
    </w:div>
    <w:div w:id="6857861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2041087">
      <w:bodyDiv w:val="1"/>
      <w:marLeft w:val="0"/>
      <w:marRight w:val="0"/>
      <w:marTop w:val="0"/>
      <w:marBottom w:val="0"/>
      <w:divBdr>
        <w:top w:val="none" w:sz="0" w:space="0" w:color="auto"/>
        <w:left w:val="none" w:sz="0" w:space="0" w:color="auto"/>
        <w:bottom w:val="none" w:sz="0" w:space="0" w:color="auto"/>
        <w:right w:val="none" w:sz="0" w:space="0" w:color="auto"/>
      </w:divBdr>
    </w:div>
    <w:div w:id="130683035">
      <w:bodyDiv w:val="1"/>
      <w:marLeft w:val="0"/>
      <w:marRight w:val="0"/>
      <w:marTop w:val="0"/>
      <w:marBottom w:val="0"/>
      <w:divBdr>
        <w:top w:val="none" w:sz="0" w:space="0" w:color="auto"/>
        <w:left w:val="none" w:sz="0" w:space="0" w:color="auto"/>
        <w:bottom w:val="none" w:sz="0" w:space="0" w:color="auto"/>
        <w:right w:val="none" w:sz="0" w:space="0" w:color="auto"/>
      </w:divBdr>
    </w:div>
    <w:div w:id="172188432">
      <w:bodyDiv w:val="1"/>
      <w:marLeft w:val="0"/>
      <w:marRight w:val="0"/>
      <w:marTop w:val="0"/>
      <w:marBottom w:val="0"/>
      <w:divBdr>
        <w:top w:val="none" w:sz="0" w:space="0" w:color="auto"/>
        <w:left w:val="none" w:sz="0" w:space="0" w:color="auto"/>
        <w:bottom w:val="none" w:sz="0" w:space="0" w:color="auto"/>
        <w:right w:val="none" w:sz="0" w:space="0" w:color="auto"/>
      </w:divBdr>
    </w:div>
    <w:div w:id="178005062">
      <w:bodyDiv w:val="1"/>
      <w:marLeft w:val="0"/>
      <w:marRight w:val="0"/>
      <w:marTop w:val="0"/>
      <w:marBottom w:val="0"/>
      <w:divBdr>
        <w:top w:val="none" w:sz="0" w:space="0" w:color="auto"/>
        <w:left w:val="none" w:sz="0" w:space="0" w:color="auto"/>
        <w:bottom w:val="none" w:sz="0" w:space="0" w:color="auto"/>
        <w:right w:val="none" w:sz="0" w:space="0" w:color="auto"/>
      </w:divBdr>
    </w:div>
    <w:div w:id="184947571">
      <w:bodyDiv w:val="1"/>
      <w:marLeft w:val="0"/>
      <w:marRight w:val="0"/>
      <w:marTop w:val="0"/>
      <w:marBottom w:val="0"/>
      <w:divBdr>
        <w:top w:val="none" w:sz="0" w:space="0" w:color="auto"/>
        <w:left w:val="none" w:sz="0" w:space="0" w:color="auto"/>
        <w:bottom w:val="none" w:sz="0" w:space="0" w:color="auto"/>
        <w:right w:val="none" w:sz="0" w:space="0" w:color="auto"/>
      </w:divBdr>
    </w:div>
    <w:div w:id="190148726">
      <w:bodyDiv w:val="1"/>
      <w:marLeft w:val="0"/>
      <w:marRight w:val="0"/>
      <w:marTop w:val="0"/>
      <w:marBottom w:val="0"/>
      <w:divBdr>
        <w:top w:val="none" w:sz="0" w:space="0" w:color="auto"/>
        <w:left w:val="none" w:sz="0" w:space="0" w:color="auto"/>
        <w:bottom w:val="none" w:sz="0" w:space="0" w:color="auto"/>
        <w:right w:val="none" w:sz="0" w:space="0" w:color="auto"/>
      </w:divBdr>
      <w:divsChild>
        <w:div w:id="2116123123">
          <w:marLeft w:val="0"/>
          <w:marRight w:val="0"/>
          <w:marTop w:val="0"/>
          <w:marBottom w:val="0"/>
          <w:divBdr>
            <w:top w:val="none" w:sz="0" w:space="0" w:color="auto"/>
            <w:left w:val="none" w:sz="0" w:space="0" w:color="auto"/>
            <w:bottom w:val="none" w:sz="0" w:space="0" w:color="auto"/>
            <w:right w:val="none" w:sz="0" w:space="0" w:color="auto"/>
          </w:divBdr>
          <w:divsChild>
            <w:div w:id="13937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2608">
      <w:bodyDiv w:val="1"/>
      <w:marLeft w:val="0"/>
      <w:marRight w:val="0"/>
      <w:marTop w:val="0"/>
      <w:marBottom w:val="0"/>
      <w:divBdr>
        <w:top w:val="none" w:sz="0" w:space="0" w:color="auto"/>
        <w:left w:val="none" w:sz="0" w:space="0" w:color="auto"/>
        <w:bottom w:val="none" w:sz="0" w:space="0" w:color="auto"/>
        <w:right w:val="none" w:sz="0" w:space="0" w:color="auto"/>
      </w:divBdr>
    </w:div>
    <w:div w:id="216668861">
      <w:bodyDiv w:val="1"/>
      <w:marLeft w:val="0"/>
      <w:marRight w:val="0"/>
      <w:marTop w:val="0"/>
      <w:marBottom w:val="0"/>
      <w:divBdr>
        <w:top w:val="none" w:sz="0" w:space="0" w:color="auto"/>
        <w:left w:val="none" w:sz="0" w:space="0" w:color="auto"/>
        <w:bottom w:val="none" w:sz="0" w:space="0" w:color="auto"/>
        <w:right w:val="none" w:sz="0" w:space="0" w:color="auto"/>
      </w:divBdr>
    </w:div>
    <w:div w:id="258298261">
      <w:bodyDiv w:val="1"/>
      <w:marLeft w:val="0"/>
      <w:marRight w:val="0"/>
      <w:marTop w:val="0"/>
      <w:marBottom w:val="0"/>
      <w:divBdr>
        <w:top w:val="none" w:sz="0" w:space="0" w:color="auto"/>
        <w:left w:val="none" w:sz="0" w:space="0" w:color="auto"/>
        <w:bottom w:val="none" w:sz="0" w:space="0" w:color="auto"/>
        <w:right w:val="none" w:sz="0" w:space="0" w:color="auto"/>
      </w:divBdr>
    </w:div>
    <w:div w:id="297928054">
      <w:bodyDiv w:val="1"/>
      <w:marLeft w:val="0"/>
      <w:marRight w:val="0"/>
      <w:marTop w:val="0"/>
      <w:marBottom w:val="0"/>
      <w:divBdr>
        <w:top w:val="none" w:sz="0" w:space="0" w:color="auto"/>
        <w:left w:val="none" w:sz="0" w:space="0" w:color="auto"/>
        <w:bottom w:val="none" w:sz="0" w:space="0" w:color="auto"/>
        <w:right w:val="none" w:sz="0" w:space="0" w:color="auto"/>
      </w:divBdr>
    </w:div>
    <w:div w:id="29972618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8853210">
      <w:bodyDiv w:val="1"/>
      <w:marLeft w:val="0"/>
      <w:marRight w:val="0"/>
      <w:marTop w:val="0"/>
      <w:marBottom w:val="0"/>
      <w:divBdr>
        <w:top w:val="none" w:sz="0" w:space="0" w:color="auto"/>
        <w:left w:val="none" w:sz="0" w:space="0" w:color="auto"/>
        <w:bottom w:val="none" w:sz="0" w:space="0" w:color="auto"/>
        <w:right w:val="none" w:sz="0" w:space="0" w:color="auto"/>
      </w:divBdr>
    </w:div>
    <w:div w:id="342168556">
      <w:bodyDiv w:val="1"/>
      <w:marLeft w:val="0"/>
      <w:marRight w:val="0"/>
      <w:marTop w:val="0"/>
      <w:marBottom w:val="0"/>
      <w:divBdr>
        <w:top w:val="none" w:sz="0" w:space="0" w:color="auto"/>
        <w:left w:val="none" w:sz="0" w:space="0" w:color="auto"/>
        <w:bottom w:val="none" w:sz="0" w:space="0" w:color="auto"/>
        <w:right w:val="none" w:sz="0" w:space="0" w:color="auto"/>
      </w:divBdr>
    </w:div>
    <w:div w:id="354423007">
      <w:bodyDiv w:val="1"/>
      <w:marLeft w:val="0"/>
      <w:marRight w:val="0"/>
      <w:marTop w:val="0"/>
      <w:marBottom w:val="0"/>
      <w:divBdr>
        <w:top w:val="none" w:sz="0" w:space="0" w:color="auto"/>
        <w:left w:val="none" w:sz="0" w:space="0" w:color="auto"/>
        <w:bottom w:val="none" w:sz="0" w:space="0" w:color="auto"/>
        <w:right w:val="none" w:sz="0" w:space="0" w:color="auto"/>
      </w:divBdr>
      <w:divsChild>
        <w:div w:id="1719235456">
          <w:marLeft w:val="0"/>
          <w:marRight w:val="0"/>
          <w:marTop w:val="0"/>
          <w:marBottom w:val="0"/>
          <w:divBdr>
            <w:top w:val="single" w:sz="2" w:space="0" w:color="auto"/>
            <w:left w:val="single" w:sz="2" w:space="0" w:color="auto"/>
            <w:bottom w:val="single" w:sz="6" w:space="0" w:color="auto"/>
            <w:right w:val="single" w:sz="2" w:space="0" w:color="auto"/>
          </w:divBdr>
          <w:divsChild>
            <w:div w:id="1910074975">
              <w:marLeft w:val="0"/>
              <w:marRight w:val="0"/>
              <w:marTop w:val="100"/>
              <w:marBottom w:val="100"/>
              <w:divBdr>
                <w:top w:val="single" w:sz="2" w:space="0" w:color="D9D9E3"/>
                <w:left w:val="single" w:sz="2" w:space="0" w:color="D9D9E3"/>
                <w:bottom w:val="single" w:sz="2" w:space="0" w:color="D9D9E3"/>
                <w:right w:val="single" w:sz="2" w:space="0" w:color="D9D9E3"/>
              </w:divBdr>
              <w:divsChild>
                <w:div w:id="659777489">
                  <w:marLeft w:val="0"/>
                  <w:marRight w:val="0"/>
                  <w:marTop w:val="0"/>
                  <w:marBottom w:val="0"/>
                  <w:divBdr>
                    <w:top w:val="single" w:sz="2" w:space="0" w:color="D9D9E3"/>
                    <w:left w:val="single" w:sz="2" w:space="0" w:color="D9D9E3"/>
                    <w:bottom w:val="single" w:sz="2" w:space="0" w:color="D9D9E3"/>
                    <w:right w:val="single" w:sz="2" w:space="0" w:color="D9D9E3"/>
                  </w:divBdr>
                  <w:divsChild>
                    <w:div w:id="896210299">
                      <w:marLeft w:val="0"/>
                      <w:marRight w:val="0"/>
                      <w:marTop w:val="0"/>
                      <w:marBottom w:val="0"/>
                      <w:divBdr>
                        <w:top w:val="single" w:sz="2" w:space="0" w:color="D9D9E3"/>
                        <w:left w:val="single" w:sz="2" w:space="0" w:color="D9D9E3"/>
                        <w:bottom w:val="single" w:sz="2" w:space="0" w:color="D9D9E3"/>
                        <w:right w:val="single" w:sz="2" w:space="0" w:color="D9D9E3"/>
                      </w:divBdr>
                      <w:divsChild>
                        <w:div w:id="205921420">
                          <w:marLeft w:val="0"/>
                          <w:marRight w:val="0"/>
                          <w:marTop w:val="0"/>
                          <w:marBottom w:val="0"/>
                          <w:divBdr>
                            <w:top w:val="single" w:sz="2" w:space="0" w:color="D9D9E3"/>
                            <w:left w:val="single" w:sz="2" w:space="0" w:color="D9D9E3"/>
                            <w:bottom w:val="single" w:sz="2" w:space="0" w:color="D9D9E3"/>
                            <w:right w:val="single" w:sz="2" w:space="0" w:color="D9D9E3"/>
                          </w:divBdr>
                          <w:divsChild>
                            <w:div w:id="128208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8094004">
      <w:bodyDiv w:val="1"/>
      <w:marLeft w:val="0"/>
      <w:marRight w:val="0"/>
      <w:marTop w:val="0"/>
      <w:marBottom w:val="0"/>
      <w:divBdr>
        <w:top w:val="none" w:sz="0" w:space="0" w:color="auto"/>
        <w:left w:val="none" w:sz="0" w:space="0" w:color="auto"/>
        <w:bottom w:val="none" w:sz="0" w:space="0" w:color="auto"/>
        <w:right w:val="none" w:sz="0" w:space="0" w:color="auto"/>
      </w:divBdr>
    </w:div>
    <w:div w:id="369691830">
      <w:bodyDiv w:val="1"/>
      <w:marLeft w:val="0"/>
      <w:marRight w:val="0"/>
      <w:marTop w:val="0"/>
      <w:marBottom w:val="0"/>
      <w:divBdr>
        <w:top w:val="none" w:sz="0" w:space="0" w:color="auto"/>
        <w:left w:val="none" w:sz="0" w:space="0" w:color="auto"/>
        <w:bottom w:val="none" w:sz="0" w:space="0" w:color="auto"/>
        <w:right w:val="none" w:sz="0" w:space="0" w:color="auto"/>
      </w:divBdr>
    </w:div>
    <w:div w:id="369838775">
      <w:bodyDiv w:val="1"/>
      <w:marLeft w:val="0"/>
      <w:marRight w:val="0"/>
      <w:marTop w:val="0"/>
      <w:marBottom w:val="0"/>
      <w:divBdr>
        <w:top w:val="none" w:sz="0" w:space="0" w:color="auto"/>
        <w:left w:val="none" w:sz="0" w:space="0" w:color="auto"/>
        <w:bottom w:val="none" w:sz="0" w:space="0" w:color="auto"/>
        <w:right w:val="none" w:sz="0" w:space="0" w:color="auto"/>
      </w:divBdr>
    </w:div>
    <w:div w:id="371074085">
      <w:bodyDiv w:val="1"/>
      <w:marLeft w:val="0"/>
      <w:marRight w:val="0"/>
      <w:marTop w:val="0"/>
      <w:marBottom w:val="0"/>
      <w:divBdr>
        <w:top w:val="none" w:sz="0" w:space="0" w:color="auto"/>
        <w:left w:val="none" w:sz="0" w:space="0" w:color="auto"/>
        <w:bottom w:val="none" w:sz="0" w:space="0" w:color="auto"/>
        <w:right w:val="none" w:sz="0" w:space="0" w:color="auto"/>
      </w:divBdr>
    </w:div>
    <w:div w:id="376899585">
      <w:bodyDiv w:val="1"/>
      <w:marLeft w:val="0"/>
      <w:marRight w:val="0"/>
      <w:marTop w:val="0"/>
      <w:marBottom w:val="0"/>
      <w:divBdr>
        <w:top w:val="none" w:sz="0" w:space="0" w:color="auto"/>
        <w:left w:val="none" w:sz="0" w:space="0" w:color="auto"/>
        <w:bottom w:val="none" w:sz="0" w:space="0" w:color="auto"/>
        <w:right w:val="none" w:sz="0" w:space="0" w:color="auto"/>
      </w:divBdr>
    </w:div>
    <w:div w:id="387921735">
      <w:bodyDiv w:val="1"/>
      <w:marLeft w:val="0"/>
      <w:marRight w:val="0"/>
      <w:marTop w:val="0"/>
      <w:marBottom w:val="0"/>
      <w:divBdr>
        <w:top w:val="none" w:sz="0" w:space="0" w:color="auto"/>
        <w:left w:val="none" w:sz="0" w:space="0" w:color="auto"/>
        <w:bottom w:val="none" w:sz="0" w:space="0" w:color="auto"/>
        <w:right w:val="none" w:sz="0" w:space="0" w:color="auto"/>
      </w:divBdr>
    </w:div>
    <w:div w:id="408162754">
      <w:bodyDiv w:val="1"/>
      <w:marLeft w:val="0"/>
      <w:marRight w:val="0"/>
      <w:marTop w:val="0"/>
      <w:marBottom w:val="0"/>
      <w:divBdr>
        <w:top w:val="none" w:sz="0" w:space="0" w:color="auto"/>
        <w:left w:val="none" w:sz="0" w:space="0" w:color="auto"/>
        <w:bottom w:val="none" w:sz="0" w:space="0" w:color="auto"/>
        <w:right w:val="none" w:sz="0" w:space="0" w:color="auto"/>
      </w:divBdr>
    </w:div>
    <w:div w:id="445004485">
      <w:bodyDiv w:val="1"/>
      <w:marLeft w:val="0"/>
      <w:marRight w:val="0"/>
      <w:marTop w:val="0"/>
      <w:marBottom w:val="0"/>
      <w:divBdr>
        <w:top w:val="none" w:sz="0" w:space="0" w:color="auto"/>
        <w:left w:val="none" w:sz="0" w:space="0" w:color="auto"/>
        <w:bottom w:val="none" w:sz="0" w:space="0" w:color="auto"/>
        <w:right w:val="none" w:sz="0" w:space="0" w:color="auto"/>
      </w:divBdr>
    </w:div>
    <w:div w:id="495540187">
      <w:bodyDiv w:val="1"/>
      <w:marLeft w:val="0"/>
      <w:marRight w:val="0"/>
      <w:marTop w:val="0"/>
      <w:marBottom w:val="0"/>
      <w:divBdr>
        <w:top w:val="none" w:sz="0" w:space="0" w:color="auto"/>
        <w:left w:val="none" w:sz="0" w:space="0" w:color="auto"/>
        <w:bottom w:val="none" w:sz="0" w:space="0" w:color="auto"/>
        <w:right w:val="none" w:sz="0" w:space="0" w:color="auto"/>
      </w:divBdr>
    </w:div>
    <w:div w:id="496384445">
      <w:bodyDiv w:val="1"/>
      <w:marLeft w:val="0"/>
      <w:marRight w:val="0"/>
      <w:marTop w:val="0"/>
      <w:marBottom w:val="0"/>
      <w:divBdr>
        <w:top w:val="none" w:sz="0" w:space="0" w:color="auto"/>
        <w:left w:val="none" w:sz="0" w:space="0" w:color="auto"/>
        <w:bottom w:val="none" w:sz="0" w:space="0" w:color="auto"/>
        <w:right w:val="none" w:sz="0" w:space="0" w:color="auto"/>
      </w:divBdr>
    </w:div>
    <w:div w:id="502478421">
      <w:bodyDiv w:val="1"/>
      <w:marLeft w:val="0"/>
      <w:marRight w:val="0"/>
      <w:marTop w:val="0"/>
      <w:marBottom w:val="0"/>
      <w:divBdr>
        <w:top w:val="none" w:sz="0" w:space="0" w:color="auto"/>
        <w:left w:val="none" w:sz="0" w:space="0" w:color="auto"/>
        <w:bottom w:val="none" w:sz="0" w:space="0" w:color="auto"/>
        <w:right w:val="none" w:sz="0" w:space="0" w:color="auto"/>
      </w:divBdr>
    </w:div>
    <w:div w:id="507599404">
      <w:bodyDiv w:val="1"/>
      <w:marLeft w:val="0"/>
      <w:marRight w:val="0"/>
      <w:marTop w:val="0"/>
      <w:marBottom w:val="0"/>
      <w:divBdr>
        <w:top w:val="none" w:sz="0" w:space="0" w:color="auto"/>
        <w:left w:val="none" w:sz="0" w:space="0" w:color="auto"/>
        <w:bottom w:val="none" w:sz="0" w:space="0" w:color="auto"/>
        <w:right w:val="none" w:sz="0" w:space="0" w:color="auto"/>
      </w:divBdr>
      <w:divsChild>
        <w:div w:id="428698505">
          <w:marLeft w:val="0"/>
          <w:marRight w:val="0"/>
          <w:marTop w:val="0"/>
          <w:marBottom w:val="0"/>
          <w:divBdr>
            <w:top w:val="single" w:sz="2" w:space="0" w:color="auto"/>
            <w:left w:val="single" w:sz="2" w:space="0" w:color="auto"/>
            <w:bottom w:val="single" w:sz="6" w:space="0" w:color="auto"/>
            <w:right w:val="single" w:sz="2" w:space="0" w:color="auto"/>
          </w:divBdr>
          <w:divsChild>
            <w:div w:id="601570983">
              <w:marLeft w:val="0"/>
              <w:marRight w:val="0"/>
              <w:marTop w:val="100"/>
              <w:marBottom w:val="100"/>
              <w:divBdr>
                <w:top w:val="single" w:sz="2" w:space="0" w:color="D9D9E3"/>
                <w:left w:val="single" w:sz="2" w:space="0" w:color="D9D9E3"/>
                <w:bottom w:val="single" w:sz="2" w:space="0" w:color="D9D9E3"/>
                <w:right w:val="single" w:sz="2" w:space="0" w:color="D9D9E3"/>
              </w:divBdr>
              <w:divsChild>
                <w:div w:id="921912272">
                  <w:marLeft w:val="0"/>
                  <w:marRight w:val="0"/>
                  <w:marTop w:val="0"/>
                  <w:marBottom w:val="0"/>
                  <w:divBdr>
                    <w:top w:val="single" w:sz="2" w:space="0" w:color="D9D9E3"/>
                    <w:left w:val="single" w:sz="2" w:space="0" w:color="D9D9E3"/>
                    <w:bottom w:val="single" w:sz="2" w:space="0" w:color="D9D9E3"/>
                    <w:right w:val="single" w:sz="2" w:space="0" w:color="D9D9E3"/>
                  </w:divBdr>
                  <w:divsChild>
                    <w:div w:id="1497768467">
                      <w:marLeft w:val="0"/>
                      <w:marRight w:val="0"/>
                      <w:marTop w:val="0"/>
                      <w:marBottom w:val="0"/>
                      <w:divBdr>
                        <w:top w:val="single" w:sz="2" w:space="0" w:color="D9D9E3"/>
                        <w:left w:val="single" w:sz="2" w:space="0" w:color="D9D9E3"/>
                        <w:bottom w:val="single" w:sz="2" w:space="0" w:color="D9D9E3"/>
                        <w:right w:val="single" w:sz="2" w:space="0" w:color="D9D9E3"/>
                      </w:divBdr>
                      <w:divsChild>
                        <w:div w:id="1199048069">
                          <w:marLeft w:val="0"/>
                          <w:marRight w:val="0"/>
                          <w:marTop w:val="0"/>
                          <w:marBottom w:val="0"/>
                          <w:divBdr>
                            <w:top w:val="single" w:sz="2" w:space="0" w:color="D9D9E3"/>
                            <w:left w:val="single" w:sz="2" w:space="0" w:color="D9D9E3"/>
                            <w:bottom w:val="single" w:sz="2" w:space="0" w:color="D9D9E3"/>
                            <w:right w:val="single" w:sz="2" w:space="0" w:color="D9D9E3"/>
                          </w:divBdr>
                          <w:divsChild>
                            <w:div w:id="1345278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5780996">
      <w:bodyDiv w:val="1"/>
      <w:marLeft w:val="0"/>
      <w:marRight w:val="0"/>
      <w:marTop w:val="0"/>
      <w:marBottom w:val="0"/>
      <w:divBdr>
        <w:top w:val="none" w:sz="0" w:space="0" w:color="auto"/>
        <w:left w:val="none" w:sz="0" w:space="0" w:color="auto"/>
        <w:bottom w:val="none" w:sz="0" w:space="0" w:color="auto"/>
        <w:right w:val="none" w:sz="0" w:space="0" w:color="auto"/>
      </w:divBdr>
      <w:divsChild>
        <w:div w:id="1333992297">
          <w:marLeft w:val="0"/>
          <w:marRight w:val="0"/>
          <w:marTop w:val="0"/>
          <w:marBottom w:val="0"/>
          <w:divBdr>
            <w:top w:val="single" w:sz="2" w:space="0" w:color="auto"/>
            <w:left w:val="single" w:sz="2" w:space="0" w:color="auto"/>
            <w:bottom w:val="single" w:sz="6" w:space="0" w:color="auto"/>
            <w:right w:val="single" w:sz="2" w:space="0" w:color="auto"/>
          </w:divBdr>
          <w:divsChild>
            <w:div w:id="747003222">
              <w:marLeft w:val="0"/>
              <w:marRight w:val="0"/>
              <w:marTop w:val="100"/>
              <w:marBottom w:val="100"/>
              <w:divBdr>
                <w:top w:val="single" w:sz="2" w:space="0" w:color="D9D9E3"/>
                <w:left w:val="single" w:sz="2" w:space="0" w:color="D9D9E3"/>
                <w:bottom w:val="single" w:sz="2" w:space="0" w:color="D9D9E3"/>
                <w:right w:val="single" w:sz="2" w:space="0" w:color="D9D9E3"/>
              </w:divBdr>
              <w:divsChild>
                <w:div w:id="634455218">
                  <w:marLeft w:val="0"/>
                  <w:marRight w:val="0"/>
                  <w:marTop w:val="0"/>
                  <w:marBottom w:val="0"/>
                  <w:divBdr>
                    <w:top w:val="single" w:sz="2" w:space="0" w:color="D9D9E3"/>
                    <w:left w:val="single" w:sz="2" w:space="0" w:color="D9D9E3"/>
                    <w:bottom w:val="single" w:sz="2" w:space="0" w:color="D9D9E3"/>
                    <w:right w:val="single" w:sz="2" w:space="0" w:color="D9D9E3"/>
                  </w:divBdr>
                  <w:divsChild>
                    <w:div w:id="16200328">
                      <w:marLeft w:val="0"/>
                      <w:marRight w:val="0"/>
                      <w:marTop w:val="0"/>
                      <w:marBottom w:val="0"/>
                      <w:divBdr>
                        <w:top w:val="single" w:sz="2" w:space="0" w:color="D9D9E3"/>
                        <w:left w:val="single" w:sz="2" w:space="0" w:color="D9D9E3"/>
                        <w:bottom w:val="single" w:sz="2" w:space="0" w:color="D9D9E3"/>
                        <w:right w:val="single" w:sz="2" w:space="0" w:color="D9D9E3"/>
                      </w:divBdr>
                      <w:divsChild>
                        <w:div w:id="357199983">
                          <w:marLeft w:val="0"/>
                          <w:marRight w:val="0"/>
                          <w:marTop w:val="0"/>
                          <w:marBottom w:val="0"/>
                          <w:divBdr>
                            <w:top w:val="single" w:sz="2" w:space="0" w:color="D9D9E3"/>
                            <w:left w:val="single" w:sz="2" w:space="0" w:color="D9D9E3"/>
                            <w:bottom w:val="single" w:sz="2" w:space="0" w:color="D9D9E3"/>
                            <w:right w:val="single" w:sz="2" w:space="0" w:color="D9D9E3"/>
                          </w:divBdr>
                          <w:divsChild>
                            <w:div w:id="989869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3151967">
      <w:bodyDiv w:val="1"/>
      <w:marLeft w:val="0"/>
      <w:marRight w:val="0"/>
      <w:marTop w:val="0"/>
      <w:marBottom w:val="0"/>
      <w:divBdr>
        <w:top w:val="none" w:sz="0" w:space="0" w:color="auto"/>
        <w:left w:val="none" w:sz="0" w:space="0" w:color="auto"/>
        <w:bottom w:val="none" w:sz="0" w:space="0" w:color="auto"/>
        <w:right w:val="none" w:sz="0" w:space="0" w:color="auto"/>
      </w:divBdr>
    </w:div>
    <w:div w:id="586887899">
      <w:bodyDiv w:val="1"/>
      <w:marLeft w:val="0"/>
      <w:marRight w:val="0"/>
      <w:marTop w:val="0"/>
      <w:marBottom w:val="0"/>
      <w:divBdr>
        <w:top w:val="none" w:sz="0" w:space="0" w:color="auto"/>
        <w:left w:val="none" w:sz="0" w:space="0" w:color="auto"/>
        <w:bottom w:val="none" w:sz="0" w:space="0" w:color="auto"/>
        <w:right w:val="none" w:sz="0" w:space="0" w:color="auto"/>
      </w:divBdr>
    </w:div>
    <w:div w:id="586962629">
      <w:bodyDiv w:val="1"/>
      <w:marLeft w:val="0"/>
      <w:marRight w:val="0"/>
      <w:marTop w:val="0"/>
      <w:marBottom w:val="0"/>
      <w:divBdr>
        <w:top w:val="none" w:sz="0" w:space="0" w:color="auto"/>
        <w:left w:val="none" w:sz="0" w:space="0" w:color="auto"/>
        <w:bottom w:val="none" w:sz="0" w:space="0" w:color="auto"/>
        <w:right w:val="none" w:sz="0" w:space="0" w:color="auto"/>
      </w:divBdr>
    </w:div>
    <w:div w:id="614754287">
      <w:bodyDiv w:val="1"/>
      <w:marLeft w:val="0"/>
      <w:marRight w:val="0"/>
      <w:marTop w:val="0"/>
      <w:marBottom w:val="0"/>
      <w:divBdr>
        <w:top w:val="none" w:sz="0" w:space="0" w:color="auto"/>
        <w:left w:val="none" w:sz="0" w:space="0" w:color="auto"/>
        <w:bottom w:val="none" w:sz="0" w:space="0" w:color="auto"/>
        <w:right w:val="none" w:sz="0" w:space="0" w:color="auto"/>
      </w:divBdr>
    </w:div>
    <w:div w:id="629556081">
      <w:bodyDiv w:val="1"/>
      <w:marLeft w:val="0"/>
      <w:marRight w:val="0"/>
      <w:marTop w:val="0"/>
      <w:marBottom w:val="0"/>
      <w:divBdr>
        <w:top w:val="none" w:sz="0" w:space="0" w:color="auto"/>
        <w:left w:val="none" w:sz="0" w:space="0" w:color="auto"/>
        <w:bottom w:val="none" w:sz="0" w:space="0" w:color="auto"/>
        <w:right w:val="none" w:sz="0" w:space="0" w:color="auto"/>
      </w:divBdr>
    </w:div>
    <w:div w:id="638268786">
      <w:bodyDiv w:val="1"/>
      <w:marLeft w:val="0"/>
      <w:marRight w:val="0"/>
      <w:marTop w:val="0"/>
      <w:marBottom w:val="0"/>
      <w:divBdr>
        <w:top w:val="none" w:sz="0" w:space="0" w:color="auto"/>
        <w:left w:val="none" w:sz="0" w:space="0" w:color="auto"/>
        <w:bottom w:val="none" w:sz="0" w:space="0" w:color="auto"/>
        <w:right w:val="none" w:sz="0" w:space="0" w:color="auto"/>
      </w:divBdr>
    </w:div>
    <w:div w:id="643659612">
      <w:bodyDiv w:val="1"/>
      <w:marLeft w:val="0"/>
      <w:marRight w:val="0"/>
      <w:marTop w:val="0"/>
      <w:marBottom w:val="0"/>
      <w:divBdr>
        <w:top w:val="none" w:sz="0" w:space="0" w:color="auto"/>
        <w:left w:val="none" w:sz="0" w:space="0" w:color="auto"/>
        <w:bottom w:val="none" w:sz="0" w:space="0" w:color="auto"/>
        <w:right w:val="none" w:sz="0" w:space="0" w:color="auto"/>
      </w:divBdr>
    </w:div>
    <w:div w:id="645814344">
      <w:bodyDiv w:val="1"/>
      <w:marLeft w:val="0"/>
      <w:marRight w:val="0"/>
      <w:marTop w:val="0"/>
      <w:marBottom w:val="0"/>
      <w:divBdr>
        <w:top w:val="none" w:sz="0" w:space="0" w:color="auto"/>
        <w:left w:val="none" w:sz="0" w:space="0" w:color="auto"/>
        <w:bottom w:val="none" w:sz="0" w:space="0" w:color="auto"/>
        <w:right w:val="none" w:sz="0" w:space="0" w:color="auto"/>
      </w:divBdr>
    </w:div>
    <w:div w:id="655844405">
      <w:bodyDiv w:val="1"/>
      <w:marLeft w:val="0"/>
      <w:marRight w:val="0"/>
      <w:marTop w:val="0"/>
      <w:marBottom w:val="0"/>
      <w:divBdr>
        <w:top w:val="none" w:sz="0" w:space="0" w:color="auto"/>
        <w:left w:val="none" w:sz="0" w:space="0" w:color="auto"/>
        <w:bottom w:val="none" w:sz="0" w:space="0" w:color="auto"/>
        <w:right w:val="none" w:sz="0" w:space="0" w:color="auto"/>
      </w:divBdr>
    </w:div>
    <w:div w:id="659433238">
      <w:bodyDiv w:val="1"/>
      <w:marLeft w:val="0"/>
      <w:marRight w:val="0"/>
      <w:marTop w:val="0"/>
      <w:marBottom w:val="0"/>
      <w:divBdr>
        <w:top w:val="none" w:sz="0" w:space="0" w:color="auto"/>
        <w:left w:val="none" w:sz="0" w:space="0" w:color="auto"/>
        <w:bottom w:val="none" w:sz="0" w:space="0" w:color="auto"/>
        <w:right w:val="none" w:sz="0" w:space="0" w:color="auto"/>
      </w:divBdr>
    </w:div>
    <w:div w:id="662510371">
      <w:bodyDiv w:val="1"/>
      <w:marLeft w:val="0"/>
      <w:marRight w:val="0"/>
      <w:marTop w:val="0"/>
      <w:marBottom w:val="0"/>
      <w:divBdr>
        <w:top w:val="none" w:sz="0" w:space="0" w:color="auto"/>
        <w:left w:val="none" w:sz="0" w:space="0" w:color="auto"/>
        <w:bottom w:val="none" w:sz="0" w:space="0" w:color="auto"/>
        <w:right w:val="none" w:sz="0" w:space="0" w:color="auto"/>
      </w:divBdr>
    </w:div>
    <w:div w:id="691760286">
      <w:bodyDiv w:val="1"/>
      <w:marLeft w:val="0"/>
      <w:marRight w:val="0"/>
      <w:marTop w:val="0"/>
      <w:marBottom w:val="0"/>
      <w:divBdr>
        <w:top w:val="none" w:sz="0" w:space="0" w:color="auto"/>
        <w:left w:val="none" w:sz="0" w:space="0" w:color="auto"/>
        <w:bottom w:val="none" w:sz="0" w:space="0" w:color="auto"/>
        <w:right w:val="none" w:sz="0" w:space="0" w:color="auto"/>
      </w:divBdr>
    </w:div>
    <w:div w:id="706681267">
      <w:bodyDiv w:val="1"/>
      <w:marLeft w:val="0"/>
      <w:marRight w:val="0"/>
      <w:marTop w:val="0"/>
      <w:marBottom w:val="0"/>
      <w:divBdr>
        <w:top w:val="none" w:sz="0" w:space="0" w:color="auto"/>
        <w:left w:val="none" w:sz="0" w:space="0" w:color="auto"/>
        <w:bottom w:val="none" w:sz="0" w:space="0" w:color="auto"/>
        <w:right w:val="none" w:sz="0" w:space="0" w:color="auto"/>
      </w:divBdr>
    </w:div>
    <w:div w:id="752354853">
      <w:bodyDiv w:val="1"/>
      <w:marLeft w:val="0"/>
      <w:marRight w:val="0"/>
      <w:marTop w:val="0"/>
      <w:marBottom w:val="0"/>
      <w:divBdr>
        <w:top w:val="none" w:sz="0" w:space="0" w:color="auto"/>
        <w:left w:val="none" w:sz="0" w:space="0" w:color="auto"/>
        <w:bottom w:val="none" w:sz="0" w:space="0" w:color="auto"/>
        <w:right w:val="none" w:sz="0" w:space="0" w:color="auto"/>
      </w:divBdr>
    </w:div>
    <w:div w:id="758987924">
      <w:bodyDiv w:val="1"/>
      <w:marLeft w:val="0"/>
      <w:marRight w:val="0"/>
      <w:marTop w:val="0"/>
      <w:marBottom w:val="0"/>
      <w:divBdr>
        <w:top w:val="none" w:sz="0" w:space="0" w:color="auto"/>
        <w:left w:val="none" w:sz="0" w:space="0" w:color="auto"/>
        <w:bottom w:val="none" w:sz="0" w:space="0" w:color="auto"/>
        <w:right w:val="none" w:sz="0" w:space="0" w:color="auto"/>
      </w:divBdr>
    </w:div>
    <w:div w:id="776174320">
      <w:bodyDiv w:val="1"/>
      <w:marLeft w:val="0"/>
      <w:marRight w:val="0"/>
      <w:marTop w:val="0"/>
      <w:marBottom w:val="0"/>
      <w:divBdr>
        <w:top w:val="none" w:sz="0" w:space="0" w:color="auto"/>
        <w:left w:val="none" w:sz="0" w:space="0" w:color="auto"/>
        <w:bottom w:val="none" w:sz="0" w:space="0" w:color="auto"/>
        <w:right w:val="none" w:sz="0" w:space="0" w:color="auto"/>
      </w:divBdr>
    </w:div>
    <w:div w:id="804078426">
      <w:bodyDiv w:val="1"/>
      <w:marLeft w:val="0"/>
      <w:marRight w:val="0"/>
      <w:marTop w:val="0"/>
      <w:marBottom w:val="0"/>
      <w:divBdr>
        <w:top w:val="none" w:sz="0" w:space="0" w:color="auto"/>
        <w:left w:val="none" w:sz="0" w:space="0" w:color="auto"/>
        <w:bottom w:val="none" w:sz="0" w:space="0" w:color="auto"/>
        <w:right w:val="none" w:sz="0" w:space="0" w:color="auto"/>
      </w:divBdr>
    </w:div>
    <w:div w:id="806238928">
      <w:bodyDiv w:val="1"/>
      <w:marLeft w:val="0"/>
      <w:marRight w:val="0"/>
      <w:marTop w:val="0"/>
      <w:marBottom w:val="0"/>
      <w:divBdr>
        <w:top w:val="none" w:sz="0" w:space="0" w:color="auto"/>
        <w:left w:val="none" w:sz="0" w:space="0" w:color="auto"/>
        <w:bottom w:val="none" w:sz="0" w:space="0" w:color="auto"/>
        <w:right w:val="none" w:sz="0" w:space="0" w:color="auto"/>
      </w:divBdr>
    </w:div>
    <w:div w:id="807361455">
      <w:bodyDiv w:val="1"/>
      <w:marLeft w:val="0"/>
      <w:marRight w:val="0"/>
      <w:marTop w:val="0"/>
      <w:marBottom w:val="0"/>
      <w:divBdr>
        <w:top w:val="none" w:sz="0" w:space="0" w:color="auto"/>
        <w:left w:val="none" w:sz="0" w:space="0" w:color="auto"/>
        <w:bottom w:val="none" w:sz="0" w:space="0" w:color="auto"/>
        <w:right w:val="none" w:sz="0" w:space="0" w:color="auto"/>
      </w:divBdr>
    </w:div>
    <w:div w:id="81830242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5440194">
      <w:bodyDiv w:val="1"/>
      <w:marLeft w:val="0"/>
      <w:marRight w:val="0"/>
      <w:marTop w:val="0"/>
      <w:marBottom w:val="0"/>
      <w:divBdr>
        <w:top w:val="none" w:sz="0" w:space="0" w:color="auto"/>
        <w:left w:val="none" w:sz="0" w:space="0" w:color="auto"/>
        <w:bottom w:val="none" w:sz="0" w:space="0" w:color="auto"/>
        <w:right w:val="none" w:sz="0" w:space="0" w:color="auto"/>
      </w:divBdr>
    </w:div>
    <w:div w:id="867137712">
      <w:bodyDiv w:val="1"/>
      <w:marLeft w:val="0"/>
      <w:marRight w:val="0"/>
      <w:marTop w:val="0"/>
      <w:marBottom w:val="0"/>
      <w:divBdr>
        <w:top w:val="none" w:sz="0" w:space="0" w:color="auto"/>
        <w:left w:val="none" w:sz="0" w:space="0" w:color="auto"/>
        <w:bottom w:val="none" w:sz="0" w:space="0" w:color="auto"/>
        <w:right w:val="none" w:sz="0" w:space="0" w:color="auto"/>
      </w:divBdr>
    </w:div>
    <w:div w:id="888881524">
      <w:bodyDiv w:val="1"/>
      <w:marLeft w:val="0"/>
      <w:marRight w:val="0"/>
      <w:marTop w:val="0"/>
      <w:marBottom w:val="0"/>
      <w:divBdr>
        <w:top w:val="none" w:sz="0" w:space="0" w:color="auto"/>
        <w:left w:val="none" w:sz="0" w:space="0" w:color="auto"/>
        <w:bottom w:val="none" w:sz="0" w:space="0" w:color="auto"/>
        <w:right w:val="none" w:sz="0" w:space="0" w:color="auto"/>
      </w:divBdr>
    </w:div>
    <w:div w:id="893125775">
      <w:bodyDiv w:val="1"/>
      <w:marLeft w:val="0"/>
      <w:marRight w:val="0"/>
      <w:marTop w:val="0"/>
      <w:marBottom w:val="0"/>
      <w:divBdr>
        <w:top w:val="none" w:sz="0" w:space="0" w:color="auto"/>
        <w:left w:val="none" w:sz="0" w:space="0" w:color="auto"/>
        <w:bottom w:val="none" w:sz="0" w:space="0" w:color="auto"/>
        <w:right w:val="none" w:sz="0" w:space="0" w:color="auto"/>
      </w:divBdr>
    </w:div>
    <w:div w:id="934288755">
      <w:bodyDiv w:val="1"/>
      <w:marLeft w:val="0"/>
      <w:marRight w:val="0"/>
      <w:marTop w:val="0"/>
      <w:marBottom w:val="0"/>
      <w:divBdr>
        <w:top w:val="none" w:sz="0" w:space="0" w:color="auto"/>
        <w:left w:val="none" w:sz="0" w:space="0" w:color="auto"/>
        <w:bottom w:val="none" w:sz="0" w:space="0" w:color="auto"/>
        <w:right w:val="none" w:sz="0" w:space="0" w:color="auto"/>
      </w:divBdr>
      <w:divsChild>
        <w:div w:id="1246960536">
          <w:marLeft w:val="0"/>
          <w:marRight w:val="0"/>
          <w:marTop w:val="0"/>
          <w:marBottom w:val="0"/>
          <w:divBdr>
            <w:top w:val="single" w:sz="2" w:space="0" w:color="auto"/>
            <w:left w:val="single" w:sz="2" w:space="0" w:color="auto"/>
            <w:bottom w:val="single" w:sz="6" w:space="0" w:color="auto"/>
            <w:right w:val="single" w:sz="2" w:space="0" w:color="auto"/>
          </w:divBdr>
          <w:divsChild>
            <w:div w:id="20418525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4526052">
                  <w:marLeft w:val="0"/>
                  <w:marRight w:val="0"/>
                  <w:marTop w:val="0"/>
                  <w:marBottom w:val="0"/>
                  <w:divBdr>
                    <w:top w:val="single" w:sz="2" w:space="0" w:color="D9D9E3"/>
                    <w:left w:val="single" w:sz="2" w:space="0" w:color="D9D9E3"/>
                    <w:bottom w:val="single" w:sz="2" w:space="0" w:color="D9D9E3"/>
                    <w:right w:val="single" w:sz="2" w:space="0" w:color="D9D9E3"/>
                  </w:divBdr>
                  <w:divsChild>
                    <w:div w:id="2100055065">
                      <w:marLeft w:val="0"/>
                      <w:marRight w:val="0"/>
                      <w:marTop w:val="0"/>
                      <w:marBottom w:val="0"/>
                      <w:divBdr>
                        <w:top w:val="single" w:sz="2" w:space="0" w:color="D9D9E3"/>
                        <w:left w:val="single" w:sz="2" w:space="0" w:color="D9D9E3"/>
                        <w:bottom w:val="single" w:sz="2" w:space="0" w:color="D9D9E3"/>
                        <w:right w:val="single" w:sz="2" w:space="0" w:color="D9D9E3"/>
                      </w:divBdr>
                      <w:divsChild>
                        <w:div w:id="1860846730">
                          <w:marLeft w:val="0"/>
                          <w:marRight w:val="0"/>
                          <w:marTop w:val="0"/>
                          <w:marBottom w:val="0"/>
                          <w:divBdr>
                            <w:top w:val="single" w:sz="2" w:space="0" w:color="D9D9E3"/>
                            <w:left w:val="single" w:sz="2" w:space="0" w:color="D9D9E3"/>
                            <w:bottom w:val="single" w:sz="2" w:space="0" w:color="D9D9E3"/>
                            <w:right w:val="single" w:sz="2" w:space="0" w:color="D9D9E3"/>
                          </w:divBdr>
                          <w:divsChild>
                            <w:div w:id="245967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2687000">
      <w:bodyDiv w:val="1"/>
      <w:marLeft w:val="0"/>
      <w:marRight w:val="0"/>
      <w:marTop w:val="0"/>
      <w:marBottom w:val="0"/>
      <w:divBdr>
        <w:top w:val="none" w:sz="0" w:space="0" w:color="auto"/>
        <w:left w:val="none" w:sz="0" w:space="0" w:color="auto"/>
        <w:bottom w:val="none" w:sz="0" w:space="0" w:color="auto"/>
        <w:right w:val="none" w:sz="0" w:space="0" w:color="auto"/>
      </w:divBdr>
    </w:div>
    <w:div w:id="966660866">
      <w:bodyDiv w:val="1"/>
      <w:marLeft w:val="0"/>
      <w:marRight w:val="0"/>
      <w:marTop w:val="0"/>
      <w:marBottom w:val="0"/>
      <w:divBdr>
        <w:top w:val="none" w:sz="0" w:space="0" w:color="auto"/>
        <w:left w:val="none" w:sz="0" w:space="0" w:color="auto"/>
        <w:bottom w:val="none" w:sz="0" w:space="0" w:color="auto"/>
        <w:right w:val="none" w:sz="0" w:space="0" w:color="auto"/>
      </w:divBdr>
    </w:div>
    <w:div w:id="987242184">
      <w:bodyDiv w:val="1"/>
      <w:marLeft w:val="0"/>
      <w:marRight w:val="0"/>
      <w:marTop w:val="0"/>
      <w:marBottom w:val="0"/>
      <w:divBdr>
        <w:top w:val="none" w:sz="0" w:space="0" w:color="auto"/>
        <w:left w:val="none" w:sz="0" w:space="0" w:color="auto"/>
        <w:bottom w:val="none" w:sz="0" w:space="0" w:color="auto"/>
        <w:right w:val="none" w:sz="0" w:space="0" w:color="auto"/>
      </w:divBdr>
    </w:div>
    <w:div w:id="1007756691">
      <w:bodyDiv w:val="1"/>
      <w:marLeft w:val="0"/>
      <w:marRight w:val="0"/>
      <w:marTop w:val="0"/>
      <w:marBottom w:val="0"/>
      <w:divBdr>
        <w:top w:val="none" w:sz="0" w:space="0" w:color="auto"/>
        <w:left w:val="none" w:sz="0" w:space="0" w:color="auto"/>
        <w:bottom w:val="none" w:sz="0" w:space="0" w:color="auto"/>
        <w:right w:val="none" w:sz="0" w:space="0" w:color="auto"/>
      </w:divBdr>
    </w:div>
    <w:div w:id="1016729828">
      <w:bodyDiv w:val="1"/>
      <w:marLeft w:val="0"/>
      <w:marRight w:val="0"/>
      <w:marTop w:val="0"/>
      <w:marBottom w:val="0"/>
      <w:divBdr>
        <w:top w:val="none" w:sz="0" w:space="0" w:color="auto"/>
        <w:left w:val="none" w:sz="0" w:space="0" w:color="auto"/>
        <w:bottom w:val="none" w:sz="0" w:space="0" w:color="auto"/>
        <w:right w:val="none" w:sz="0" w:space="0" w:color="auto"/>
      </w:divBdr>
    </w:div>
    <w:div w:id="1036347376">
      <w:bodyDiv w:val="1"/>
      <w:marLeft w:val="0"/>
      <w:marRight w:val="0"/>
      <w:marTop w:val="0"/>
      <w:marBottom w:val="0"/>
      <w:divBdr>
        <w:top w:val="none" w:sz="0" w:space="0" w:color="auto"/>
        <w:left w:val="none" w:sz="0" w:space="0" w:color="auto"/>
        <w:bottom w:val="none" w:sz="0" w:space="0" w:color="auto"/>
        <w:right w:val="none" w:sz="0" w:space="0" w:color="auto"/>
      </w:divBdr>
      <w:divsChild>
        <w:div w:id="1738357352">
          <w:marLeft w:val="0"/>
          <w:marRight w:val="0"/>
          <w:marTop w:val="0"/>
          <w:marBottom w:val="0"/>
          <w:divBdr>
            <w:top w:val="single" w:sz="2" w:space="0" w:color="D9D9E3"/>
            <w:left w:val="single" w:sz="2" w:space="0" w:color="D9D9E3"/>
            <w:bottom w:val="single" w:sz="2" w:space="0" w:color="D9D9E3"/>
            <w:right w:val="single" w:sz="2" w:space="0" w:color="D9D9E3"/>
          </w:divBdr>
          <w:divsChild>
            <w:div w:id="1833136792">
              <w:marLeft w:val="0"/>
              <w:marRight w:val="0"/>
              <w:marTop w:val="0"/>
              <w:marBottom w:val="0"/>
              <w:divBdr>
                <w:top w:val="single" w:sz="2" w:space="0" w:color="D9D9E3"/>
                <w:left w:val="single" w:sz="2" w:space="0" w:color="D9D9E3"/>
                <w:bottom w:val="single" w:sz="2" w:space="0" w:color="D9D9E3"/>
                <w:right w:val="single" w:sz="2" w:space="0" w:color="D9D9E3"/>
              </w:divBdr>
              <w:divsChild>
                <w:div w:id="100106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2940484">
      <w:bodyDiv w:val="1"/>
      <w:marLeft w:val="0"/>
      <w:marRight w:val="0"/>
      <w:marTop w:val="0"/>
      <w:marBottom w:val="0"/>
      <w:divBdr>
        <w:top w:val="none" w:sz="0" w:space="0" w:color="auto"/>
        <w:left w:val="none" w:sz="0" w:space="0" w:color="auto"/>
        <w:bottom w:val="none" w:sz="0" w:space="0" w:color="auto"/>
        <w:right w:val="none" w:sz="0" w:space="0" w:color="auto"/>
      </w:divBdr>
    </w:div>
    <w:div w:id="1047296656">
      <w:bodyDiv w:val="1"/>
      <w:marLeft w:val="0"/>
      <w:marRight w:val="0"/>
      <w:marTop w:val="0"/>
      <w:marBottom w:val="0"/>
      <w:divBdr>
        <w:top w:val="none" w:sz="0" w:space="0" w:color="auto"/>
        <w:left w:val="none" w:sz="0" w:space="0" w:color="auto"/>
        <w:bottom w:val="none" w:sz="0" w:space="0" w:color="auto"/>
        <w:right w:val="none" w:sz="0" w:space="0" w:color="auto"/>
      </w:divBdr>
    </w:div>
    <w:div w:id="1068770897">
      <w:bodyDiv w:val="1"/>
      <w:marLeft w:val="0"/>
      <w:marRight w:val="0"/>
      <w:marTop w:val="0"/>
      <w:marBottom w:val="0"/>
      <w:divBdr>
        <w:top w:val="none" w:sz="0" w:space="0" w:color="auto"/>
        <w:left w:val="none" w:sz="0" w:space="0" w:color="auto"/>
        <w:bottom w:val="none" w:sz="0" w:space="0" w:color="auto"/>
        <w:right w:val="none" w:sz="0" w:space="0" w:color="auto"/>
      </w:divBdr>
    </w:div>
    <w:div w:id="1097210942">
      <w:bodyDiv w:val="1"/>
      <w:marLeft w:val="0"/>
      <w:marRight w:val="0"/>
      <w:marTop w:val="0"/>
      <w:marBottom w:val="0"/>
      <w:divBdr>
        <w:top w:val="none" w:sz="0" w:space="0" w:color="auto"/>
        <w:left w:val="none" w:sz="0" w:space="0" w:color="auto"/>
        <w:bottom w:val="none" w:sz="0" w:space="0" w:color="auto"/>
        <w:right w:val="none" w:sz="0" w:space="0" w:color="auto"/>
      </w:divBdr>
      <w:divsChild>
        <w:div w:id="619143336">
          <w:marLeft w:val="605"/>
          <w:marRight w:val="0"/>
          <w:marTop w:val="40"/>
          <w:marBottom w:val="80"/>
          <w:divBdr>
            <w:top w:val="none" w:sz="0" w:space="0" w:color="auto"/>
            <w:left w:val="none" w:sz="0" w:space="0" w:color="auto"/>
            <w:bottom w:val="none" w:sz="0" w:space="0" w:color="auto"/>
            <w:right w:val="none" w:sz="0" w:space="0" w:color="auto"/>
          </w:divBdr>
        </w:div>
      </w:divsChild>
    </w:div>
    <w:div w:id="1107192610">
      <w:bodyDiv w:val="1"/>
      <w:marLeft w:val="0"/>
      <w:marRight w:val="0"/>
      <w:marTop w:val="0"/>
      <w:marBottom w:val="0"/>
      <w:divBdr>
        <w:top w:val="none" w:sz="0" w:space="0" w:color="auto"/>
        <w:left w:val="none" w:sz="0" w:space="0" w:color="auto"/>
        <w:bottom w:val="none" w:sz="0" w:space="0" w:color="auto"/>
        <w:right w:val="none" w:sz="0" w:space="0" w:color="auto"/>
      </w:divBdr>
    </w:div>
    <w:div w:id="1139761587">
      <w:bodyDiv w:val="1"/>
      <w:marLeft w:val="0"/>
      <w:marRight w:val="0"/>
      <w:marTop w:val="0"/>
      <w:marBottom w:val="0"/>
      <w:divBdr>
        <w:top w:val="none" w:sz="0" w:space="0" w:color="auto"/>
        <w:left w:val="none" w:sz="0" w:space="0" w:color="auto"/>
        <w:bottom w:val="none" w:sz="0" w:space="0" w:color="auto"/>
        <w:right w:val="none" w:sz="0" w:space="0" w:color="auto"/>
      </w:divBdr>
    </w:div>
    <w:div w:id="1148208853">
      <w:bodyDiv w:val="1"/>
      <w:marLeft w:val="0"/>
      <w:marRight w:val="0"/>
      <w:marTop w:val="0"/>
      <w:marBottom w:val="0"/>
      <w:divBdr>
        <w:top w:val="none" w:sz="0" w:space="0" w:color="auto"/>
        <w:left w:val="none" w:sz="0" w:space="0" w:color="auto"/>
        <w:bottom w:val="none" w:sz="0" w:space="0" w:color="auto"/>
        <w:right w:val="none" w:sz="0" w:space="0" w:color="auto"/>
      </w:divBdr>
    </w:div>
    <w:div w:id="1149202567">
      <w:bodyDiv w:val="1"/>
      <w:marLeft w:val="0"/>
      <w:marRight w:val="0"/>
      <w:marTop w:val="0"/>
      <w:marBottom w:val="0"/>
      <w:divBdr>
        <w:top w:val="none" w:sz="0" w:space="0" w:color="auto"/>
        <w:left w:val="none" w:sz="0" w:space="0" w:color="auto"/>
        <w:bottom w:val="none" w:sz="0" w:space="0" w:color="auto"/>
        <w:right w:val="none" w:sz="0" w:space="0" w:color="auto"/>
      </w:divBdr>
    </w:div>
    <w:div w:id="116774270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5797486">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28344589">
      <w:bodyDiv w:val="1"/>
      <w:marLeft w:val="0"/>
      <w:marRight w:val="0"/>
      <w:marTop w:val="0"/>
      <w:marBottom w:val="0"/>
      <w:divBdr>
        <w:top w:val="none" w:sz="0" w:space="0" w:color="auto"/>
        <w:left w:val="none" w:sz="0" w:space="0" w:color="auto"/>
        <w:bottom w:val="none" w:sz="0" w:space="0" w:color="auto"/>
        <w:right w:val="none" w:sz="0" w:space="0" w:color="auto"/>
      </w:divBdr>
    </w:div>
    <w:div w:id="1229920288">
      <w:bodyDiv w:val="1"/>
      <w:marLeft w:val="0"/>
      <w:marRight w:val="0"/>
      <w:marTop w:val="0"/>
      <w:marBottom w:val="0"/>
      <w:divBdr>
        <w:top w:val="none" w:sz="0" w:space="0" w:color="auto"/>
        <w:left w:val="none" w:sz="0" w:space="0" w:color="auto"/>
        <w:bottom w:val="none" w:sz="0" w:space="0" w:color="auto"/>
        <w:right w:val="none" w:sz="0" w:space="0" w:color="auto"/>
      </w:divBdr>
    </w:div>
    <w:div w:id="1253665648">
      <w:bodyDiv w:val="1"/>
      <w:marLeft w:val="0"/>
      <w:marRight w:val="0"/>
      <w:marTop w:val="0"/>
      <w:marBottom w:val="0"/>
      <w:divBdr>
        <w:top w:val="none" w:sz="0" w:space="0" w:color="auto"/>
        <w:left w:val="none" w:sz="0" w:space="0" w:color="auto"/>
        <w:bottom w:val="none" w:sz="0" w:space="0" w:color="auto"/>
        <w:right w:val="none" w:sz="0" w:space="0" w:color="auto"/>
      </w:divBdr>
    </w:div>
    <w:div w:id="1269659297">
      <w:bodyDiv w:val="1"/>
      <w:marLeft w:val="0"/>
      <w:marRight w:val="0"/>
      <w:marTop w:val="0"/>
      <w:marBottom w:val="0"/>
      <w:divBdr>
        <w:top w:val="none" w:sz="0" w:space="0" w:color="auto"/>
        <w:left w:val="none" w:sz="0" w:space="0" w:color="auto"/>
        <w:bottom w:val="none" w:sz="0" w:space="0" w:color="auto"/>
        <w:right w:val="none" w:sz="0" w:space="0" w:color="auto"/>
      </w:divBdr>
      <w:divsChild>
        <w:div w:id="330136570">
          <w:marLeft w:val="0"/>
          <w:marRight w:val="0"/>
          <w:marTop w:val="0"/>
          <w:marBottom w:val="0"/>
          <w:divBdr>
            <w:top w:val="single" w:sz="2" w:space="0" w:color="auto"/>
            <w:left w:val="single" w:sz="2" w:space="0" w:color="auto"/>
            <w:bottom w:val="single" w:sz="6" w:space="0" w:color="auto"/>
            <w:right w:val="single" w:sz="2" w:space="0" w:color="auto"/>
          </w:divBdr>
          <w:divsChild>
            <w:div w:id="1207138530">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129123">
                  <w:marLeft w:val="0"/>
                  <w:marRight w:val="0"/>
                  <w:marTop w:val="0"/>
                  <w:marBottom w:val="0"/>
                  <w:divBdr>
                    <w:top w:val="single" w:sz="2" w:space="0" w:color="D9D9E3"/>
                    <w:left w:val="single" w:sz="2" w:space="0" w:color="D9D9E3"/>
                    <w:bottom w:val="single" w:sz="2" w:space="0" w:color="D9D9E3"/>
                    <w:right w:val="single" w:sz="2" w:space="0" w:color="D9D9E3"/>
                  </w:divBdr>
                  <w:divsChild>
                    <w:div w:id="831144591">
                      <w:marLeft w:val="0"/>
                      <w:marRight w:val="0"/>
                      <w:marTop w:val="0"/>
                      <w:marBottom w:val="0"/>
                      <w:divBdr>
                        <w:top w:val="single" w:sz="2" w:space="0" w:color="D9D9E3"/>
                        <w:left w:val="single" w:sz="2" w:space="0" w:color="D9D9E3"/>
                        <w:bottom w:val="single" w:sz="2" w:space="0" w:color="D9D9E3"/>
                        <w:right w:val="single" w:sz="2" w:space="0" w:color="D9D9E3"/>
                      </w:divBdr>
                      <w:divsChild>
                        <w:div w:id="858355088">
                          <w:marLeft w:val="0"/>
                          <w:marRight w:val="0"/>
                          <w:marTop w:val="0"/>
                          <w:marBottom w:val="0"/>
                          <w:divBdr>
                            <w:top w:val="single" w:sz="2" w:space="0" w:color="D9D9E3"/>
                            <w:left w:val="single" w:sz="2" w:space="0" w:color="D9D9E3"/>
                            <w:bottom w:val="single" w:sz="2" w:space="0" w:color="D9D9E3"/>
                            <w:right w:val="single" w:sz="2" w:space="0" w:color="D9D9E3"/>
                          </w:divBdr>
                          <w:divsChild>
                            <w:div w:id="1688865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5868101">
      <w:bodyDiv w:val="1"/>
      <w:marLeft w:val="0"/>
      <w:marRight w:val="0"/>
      <w:marTop w:val="0"/>
      <w:marBottom w:val="0"/>
      <w:divBdr>
        <w:top w:val="none" w:sz="0" w:space="0" w:color="auto"/>
        <w:left w:val="none" w:sz="0" w:space="0" w:color="auto"/>
        <w:bottom w:val="none" w:sz="0" w:space="0" w:color="auto"/>
        <w:right w:val="none" w:sz="0" w:space="0" w:color="auto"/>
      </w:divBdr>
    </w:div>
    <w:div w:id="1316842013">
      <w:bodyDiv w:val="1"/>
      <w:marLeft w:val="0"/>
      <w:marRight w:val="0"/>
      <w:marTop w:val="0"/>
      <w:marBottom w:val="0"/>
      <w:divBdr>
        <w:top w:val="none" w:sz="0" w:space="0" w:color="auto"/>
        <w:left w:val="none" w:sz="0" w:space="0" w:color="auto"/>
        <w:bottom w:val="none" w:sz="0" w:space="0" w:color="auto"/>
        <w:right w:val="none" w:sz="0" w:space="0" w:color="auto"/>
      </w:divBdr>
    </w:div>
    <w:div w:id="1345716312">
      <w:bodyDiv w:val="1"/>
      <w:marLeft w:val="0"/>
      <w:marRight w:val="0"/>
      <w:marTop w:val="0"/>
      <w:marBottom w:val="0"/>
      <w:divBdr>
        <w:top w:val="none" w:sz="0" w:space="0" w:color="auto"/>
        <w:left w:val="none" w:sz="0" w:space="0" w:color="auto"/>
        <w:bottom w:val="none" w:sz="0" w:space="0" w:color="auto"/>
        <w:right w:val="none" w:sz="0" w:space="0" w:color="auto"/>
      </w:divBdr>
    </w:div>
    <w:div w:id="1348289510">
      <w:bodyDiv w:val="1"/>
      <w:marLeft w:val="0"/>
      <w:marRight w:val="0"/>
      <w:marTop w:val="0"/>
      <w:marBottom w:val="0"/>
      <w:divBdr>
        <w:top w:val="none" w:sz="0" w:space="0" w:color="auto"/>
        <w:left w:val="none" w:sz="0" w:space="0" w:color="auto"/>
        <w:bottom w:val="none" w:sz="0" w:space="0" w:color="auto"/>
        <w:right w:val="none" w:sz="0" w:space="0" w:color="auto"/>
      </w:divBdr>
    </w:div>
    <w:div w:id="1415319224">
      <w:bodyDiv w:val="1"/>
      <w:marLeft w:val="0"/>
      <w:marRight w:val="0"/>
      <w:marTop w:val="0"/>
      <w:marBottom w:val="0"/>
      <w:divBdr>
        <w:top w:val="none" w:sz="0" w:space="0" w:color="auto"/>
        <w:left w:val="none" w:sz="0" w:space="0" w:color="auto"/>
        <w:bottom w:val="none" w:sz="0" w:space="0" w:color="auto"/>
        <w:right w:val="none" w:sz="0" w:space="0" w:color="auto"/>
      </w:divBdr>
    </w:div>
    <w:div w:id="1427657265">
      <w:bodyDiv w:val="1"/>
      <w:marLeft w:val="0"/>
      <w:marRight w:val="0"/>
      <w:marTop w:val="0"/>
      <w:marBottom w:val="0"/>
      <w:divBdr>
        <w:top w:val="none" w:sz="0" w:space="0" w:color="auto"/>
        <w:left w:val="none" w:sz="0" w:space="0" w:color="auto"/>
        <w:bottom w:val="none" w:sz="0" w:space="0" w:color="auto"/>
        <w:right w:val="none" w:sz="0" w:space="0" w:color="auto"/>
      </w:divBdr>
    </w:div>
    <w:div w:id="1466267939">
      <w:bodyDiv w:val="1"/>
      <w:marLeft w:val="0"/>
      <w:marRight w:val="0"/>
      <w:marTop w:val="0"/>
      <w:marBottom w:val="0"/>
      <w:divBdr>
        <w:top w:val="none" w:sz="0" w:space="0" w:color="auto"/>
        <w:left w:val="none" w:sz="0" w:space="0" w:color="auto"/>
        <w:bottom w:val="none" w:sz="0" w:space="0" w:color="auto"/>
        <w:right w:val="none" w:sz="0" w:space="0" w:color="auto"/>
      </w:divBdr>
      <w:divsChild>
        <w:div w:id="332730214">
          <w:marLeft w:val="0"/>
          <w:marRight w:val="0"/>
          <w:marTop w:val="0"/>
          <w:marBottom w:val="0"/>
          <w:divBdr>
            <w:top w:val="single" w:sz="2" w:space="0" w:color="auto"/>
            <w:left w:val="single" w:sz="2" w:space="0" w:color="auto"/>
            <w:bottom w:val="single" w:sz="6" w:space="0" w:color="auto"/>
            <w:right w:val="single" w:sz="2" w:space="0" w:color="auto"/>
          </w:divBdr>
          <w:divsChild>
            <w:div w:id="746340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66532013">
                  <w:marLeft w:val="0"/>
                  <w:marRight w:val="0"/>
                  <w:marTop w:val="0"/>
                  <w:marBottom w:val="0"/>
                  <w:divBdr>
                    <w:top w:val="single" w:sz="2" w:space="0" w:color="D9D9E3"/>
                    <w:left w:val="single" w:sz="2" w:space="0" w:color="D9D9E3"/>
                    <w:bottom w:val="single" w:sz="2" w:space="0" w:color="D9D9E3"/>
                    <w:right w:val="single" w:sz="2" w:space="0" w:color="D9D9E3"/>
                  </w:divBdr>
                  <w:divsChild>
                    <w:div w:id="1504739049">
                      <w:marLeft w:val="0"/>
                      <w:marRight w:val="0"/>
                      <w:marTop w:val="0"/>
                      <w:marBottom w:val="0"/>
                      <w:divBdr>
                        <w:top w:val="single" w:sz="2" w:space="0" w:color="D9D9E3"/>
                        <w:left w:val="single" w:sz="2" w:space="0" w:color="D9D9E3"/>
                        <w:bottom w:val="single" w:sz="2" w:space="0" w:color="D9D9E3"/>
                        <w:right w:val="single" w:sz="2" w:space="0" w:color="D9D9E3"/>
                      </w:divBdr>
                      <w:divsChild>
                        <w:div w:id="1754400180">
                          <w:marLeft w:val="0"/>
                          <w:marRight w:val="0"/>
                          <w:marTop w:val="0"/>
                          <w:marBottom w:val="0"/>
                          <w:divBdr>
                            <w:top w:val="single" w:sz="2" w:space="0" w:color="D9D9E3"/>
                            <w:left w:val="single" w:sz="2" w:space="0" w:color="D9D9E3"/>
                            <w:bottom w:val="single" w:sz="2" w:space="0" w:color="D9D9E3"/>
                            <w:right w:val="single" w:sz="2" w:space="0" w:color="D9D9E3"/>
                          </w:divBdr>
                          <w:divsChild>
                            <w:div w:id="2084721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0615443">
      <w:bodyDiv w:val="1"/>
      <w:marLeft w:val="0"/>
      <w:marRight w:val="0"/>
      <w:marTop w:val="0"/>
      <w:marBottom w:val="0"/>
      <w:divBdr>
        <w:top w:val="none" w:sz="0" w:space="0" w:color="auto"/>
        <w:left w:val="none" w:sz="0" w:space="0" w:color="auto"/>
        <w:bottom w:val="none" w:sz="0" w:space="0" w:color="auto"/>
        <w:right w:val="none" w:sz="0" w:space="0" w:color="auto"/>
      </w:divBdr>
    </w:div>
    <w:div w:id="1505898437">
      <w:bodyDiv w:val="1"/>
      <w:marLeft w:val="0"/>
      <w:marRight w:val="0"/>
      <w:marTop w:val="0"/>
      <w:marBottom w:val="0"/>
      <w:divBdr>
        <w:top w:val="none" w:sz="0" w:space="0" w:color="auto"/>
        <w:left w:val="none" w:sz="0" w:space="0" w:color="auto"/>
        <w:bottom w:val="none" w:sz="0" w:space="0" w:color="auto"/>
        <w:right w:val="none" w:sz="0" w:space="0" w:color="auto"/>
      </w:divBdr>
    </w:div>
    <w:div w:id="1508059453">
      <w:bodyDiv w:val="1"/>
      <w:marLeft w:val="0"/>
      <w:marRight w:val="0"/>
      <w:marTop w:val="0"/>
      <w:marBottom w:val="0"/>
      <w:divBdr>
        <w:top w:val="none" w:sz="0" w:space="0" w:color="auto"/>
        <w:left w:val="none" w:sz="0" w:space="0" w:color="auto"/>
        <w:bottom w:val="none" w:sz="0" w:space="0" w:color="auto"/>
        <w:right w:val="none" w:sz="0" w:space="0" w:color="auto"/>
      </w:divBdr>
    </w:div>
    <w:div w:id="1520007664">
      <w:bodyDiv w:val="1"/>
      <w:marLeft w:val="0"/>
      <w:marRight w:val="0"/>
      <w:marTop w:val="0"/>
      <w:marBottom w:val="0"/>
      <w:divBdr>
        <w:top w:val="none" w:sz="0" w:space="0" w:color="auto"/>
        <w:left w:val="none" w:sz="0" w:space="0" w:color="auto"/>
        <w:bottom w:val="none" w:sz="0" w:space="0" w:color="auto"/>
        <w:right w:val="none" w:sz="0" w:space="0" w:color="auto"/>
      </w:divBdr>
    </w:div>
    <w:div w:id="1546723208">
      <w:bodyDiv w:val="1"/>
      <w:marLeft w:val="0"/>
      <w:marRight w:val="0"/>
      <w:marTop w:val="0"/>
      <w:marBottom w:val="0"/>
      <w:divBdr>
        <w:top w:val="none" w:sz="0" w:space="0" w:color="auto"/>
        <w:left w:val="none" w:sz="0" w:space="0" w:color="auto"/>
        <w:bottom w:val="none" w:sz="0" w:space="0" w:color="auto"/>
        <w:right w:val="none" w:sz="0" w:space="0" w:color="auto"/>
      </w:divBdr>
    </w:div>
    <w:div w:id="1561597256">
      <w:bodyDiv w:val="1"/>
      <w:marLeft w:val="0"/>
      <w:marRight w:val="0"/>
      <w:marTop w:val="0"/>
      <w:marBottom w:val="0"/>
      <w:divBdr>
        <w:top w:val="none" w:sz="0" w:space="0" w:color="auto"/>
        <w:left w:val="none" w:sz="0" w:space="0" w:color="auto"/>
        <w:bottom w:val="none" w:sz="0" w:space="0" w:color="auto"/>
        <w:right w:val="none" w:sz="0" w:space="0" w:color="auto"/>
      </w:divBdr>
    </w:div>
    <w:div w:id="1568878584">
      <w:bodyDiv w:val="1"/>
      <w:marLeft w:val="0"/>
      <w:marRight w:val="0"/>
      <w:marTop w:val="0"/>
      <w:marBottom w:val="0"/>
      <w:divBdr>
        <w:top w:val="none" w:sz="0" w:space="0" w:color="auto"/>
        <w:left w:val="none" w:sz="0" w:space="0" w:color="auto"/>
        <w:bottom w:val="none" w:sz="0" w:space="0" w:color="auto"/>
        <w:right w:val="none" w:sz="0" w:space="0" w:color="auto"/>
      </w:divBdr>
    </w:div>
    <w:div w:id="1573930312">
      <w:bodyDiv w:val="1"/>
      <w:marLeft w:val="0"/>
      <w:marRight w:val="0"/>
      <w:marTop w:val="0"/>
      <w:marBottom w:val="0"/>
      <w:divBdr>
        <w:top w:val="none" w:sz="0" w:space="0" w:color="auto"/>
        <w:left w:val="none" w:sz="0" w:space="0" w:color="auto"/>
        <w:bottom w:val="none" w:sz="0" w:space="0" w:color="auto"/>
        <w:right w:val="none" w:sz="0" w:space="0" w:color="auto"/>
      </w:divBdr>
      <w:divsChild>
        <w:div w:id="67117835">
          <w:marLeft w:val="0"/>
          <w:marRight w:val="0"/>
          <w:marTop w:val="0"/>
          <w:marBottom w:val="0"/>
          <w:divBdr>
            <w:top w:val="single" w:sz="2" w:space="0" w:color="auto"/>
            <w:left w:val="single" w:sz="2" w:space="0" w:color="auto"/>
            <w:bottom w:val="single" w:sz="6" w:space="0" w:color="auto"/>
            <w:right w:val="single" w:sz="2" w:space="0" w:color="auto"/>
          </w:divBdr>
          <w:divsChild>
            <w:div w:id="579758207">
              <w:marLeft w:val="0"/>
              <w:marRight w:val="0"/>
              <w:marTop w:val="100"/>
              <w:marBottom w:val="100"/>
              <w:divBdr>
                <w:top w:val="single" w:sz="2" w:space="0" w:color="D9D9E3"/>
                <w:left w:val="single" w:sz="2" w:space="0" w:color="D9D9E3"/>
                <w:bottom w:val="single" w:sz="2" w:space="0" w:color="D9D9E3"/>
                <w:right w:val="single" w:sz="2" w:space="0" w:color="D9D9E3"/>
              </w:divBdr>
              <w:divsChild>
                <w:div w:id="512261266">
                  <w:marLeft w:val="0"/>
                  <w:marRight w:val="0"/>
                  <w:marTop w:val="0"/>
                  <w:marBottom w:val="0"/>
                  <w:divBdr>
                    <w:top w:val="single" w:sz="2" w:space="0" w:color="D9D9E3"/>
                    <w:left w:val="single" w:sz="2" w:space="0" w:color="D9D9E3"/>
                    <w:bottom w:val="single" w:sz="2" w:space="0" w:color="D9D9E3"/>
                    <w:right w:val="single" w:sz="2" w:space="0" w:color="D9D9E3"/>
                  </w:divBdr>
                  <w:divsChild>
                    <w:div w:id="1444691109">
                      <w:marLeft w:val="0"/>
                      <w:marRight w:val="0"/>
                      <w:marTop w:val="0"/>
                      <w:marBottom w:val="0"/>
                      <w:divBdr>
                        <w:top w:val="single" w:sz="2" w:space="0" w:color="D9D9E3"/>
                        <w:left w:val="single" w:sz="2" w:space="0" w:color="D9D9E3"/>
                        <w:bottom w:val="single" w:sz="2" w:space="0" w:color="D9D9E3"/>
                        <w:right w:val="single" w:sz="2" w:space="0" w:color="D9D9E3"/>
                      </w:divBdr>
                      <w:divsChild>
                        <w:div w:id="1640500384">
                          <w:marLeft w:val="0"/>
                          <w:marRight w:val="0"/>
                          <w:marTop w:val="0"/>
                          <w:marBottom w:val="0"/>
                          <w:divBdr>
                            <w:top w:val="single" w:sz="2" w:space="0" w:color="D9D9E3"/>
                            <w:left w:val="single" w:sz="2" w:space="0" w:color="D9D9E3"/>
                            <w:bottom w:val="single" w:sz="2" w:space="0" w:color="D9D9E3"/>
                            <w:right w:val="single" w:sz="2" w:space="0" w:color="D9D9E3"/>
                          </w:divBdr>
                          <w:divsChild>
                            <w:div w:id="889876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7878917">
      <w:bodyDiv w:val="1"/>
      <w:marLeft w:val="0"/>
      <w:marRight w:val="0"/>
      <w:marTop w:val="0"/>
      <w:marBottom w:val="0"/>
      <w:divBdr>
        <w:top w:val="none" w:sz="0" w:space="0" w:color="auto"/>
        <w:left w:val="none" w:sz="0" w:space="0" w:color="auto"/>
        <w:bottom w:val="none" w:sz="0" w:space="0" w:color="auto"/>
        <w:right w:val="none" w:sz="0" w:space="0" w:color="auto"/>
      </w:divBdr>
    </w:div>
    <w:div w:id="1611399792">
      <w:bodyDiv w:val="1"/>
      <w:marLeft w:val="0"/>
      <w:marRight w:val="0"/>
      <w:marTop w:val="0"/>
      <w:marBottom w:val="0"/>
      <w:divBdr>
        <w:top w:val="none" w:sz="0" w:space="0" w:color="auto"/>
        <w:left w:val="none" w:sz="0" w:space="0" w:color="auto"/>
        <w:bottom w:val="none" w:sz="0" w:space="0" w:color="auto"/>
        <w:right w:val="none" w:sz="0" w:space="0" w:color="auto"/>
      </w:divBdr>
    </w:div>
    <w:div w:id="1660839829">
      <w:bodyDiv w:val="1"/>
      <w:marLeft w:val="0"/>
      <w:marRight w:val="0"/>
      <w:marTop w:val="0"/>
      <w:marBottom w:val="0"/>
      <w:divBdr>
        <w:top w:val="none" w:sz="0" w:space="0" w:color="auto"/>
        <w:left w:val="none" w:sz="0" w:space="0" w:color="auto"/>
        <w:bottom w:val="none" w:sz="0" w:space="0" w:color="auto"/>
        <w:right w:val="none" w:sz="0" w:space="0" w:color="auto"/>
      </w:divBdr>
    </w:div>
    <w:div w:id="1742749794">
      <w:bodyDiv w:val="1"/>
      <w:marLeft w:val="0"/>
      <w:marRight w:val="0"/>
      <w:marTop w:val="0"/>
      <w:marBottom w:val="0"/>
      <w:divBdr>
        <w:top w:val="none" w:sz="0" w:space="0" w:color="auto"/>
        <w:left w:val="none" w:sz="0" w:space="0" w:color="auto"/>
        <w:bottom w:val="none" w:sz="0" w:space="0" w:color="auto"/>
        <w:right w:val="none" w:sz="0" w:space="0" w:color="auto"/>
      </w:divBdr>
      <w:divsChild>
        <w:div w:id="810556671">
          <w:marLeft w:val="0"/>
          <w:marRight w:val="0"/>
          <w:marTop w:val="0"/>
          <w:marBottom w:val="0"/>
          <w:divBdr>
            <w:top w:val="single" w:sz="2" w:space="0" w:color="D9D9E3"/>
            <w:left w:val="single" w:sz="2" w:space="0" w:color="D9D9E3"/>
            <w:bottom w:val="single" w:sz="2" w:space="0" w:color="D9D9E3"/>
            <w:right w:val="single" w:sz="2" w:space="0" w:color="D9D9E3"/>
          </w:divBdr>
          <w:divsChild>
            <w:div w:id="425542679">
              <w:marLeft w:val="0"/>
              <w:marRight w:val="0"/>
              <w:marTop w:val="0"/>
              <w:marBottom w:val="0"/>
              <w:divBdr>
                <w:top w:val="single" w:sz="2" w:space="0" w:color="D9D9E3"/>
                <w:left w:val="single" w:sz="2" w:space="0" w:color="D9D9E3"/>
                <w:bottom w:val="single" w:sz="2" w:space="0" w:color="D9D9E3"/>
                <w:right w:val="single" w:sz="2" w:space="0" w:color="D9D9E3"/>
              </w:divBdr>
              <w:divsChild>
                <w:div w:id="2098672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46413489">
      <w:bodyDiv w:val="1"/>
      <w:marLeft w:val="0"/>
      <w:marRight w:val="0"/>
      <w:marTop w:val="0"/>
      <w:marBottom w:val="0"/>
      <w:divBdr>
        <w:top w:val="none" w:sz="0" w:space="0" w:color="auto"/>
        <w:left w:val="none" w:sz="0" w:space="0" w:color="auto"/>
        <w:bottom w:val="none" w:sz="0" w:space="0" w:color="auto"/>
        <w:right w:val="none" w:sz="0" w:space="0" w:color="auto"/>
      </w:divBdr>
      <w:divsChild>
        <w:div w:id="614095404">
          <w:marLeft w:val="0"/>
          <w:marRight w:val="0"/>
          <w:marTop w:val="0"/>
          <w:marBottom w:val="0"/>
          <w:divBdr>
            <w:top w:val="single" w:sz="2" w:space="0" w:color="auto"/>
            <w:left w:val="single" w:sz="2" w:space="0" w:color="auto"/>
            <w:bottom w:val="single" w:sz="6" w:space="0" w:color="auto"/>
            <w:right w:val="single" w:sz="2" w:space="0" w:color="auto"/>
          </w:divBdr>
          <w:divsChild>
            <w:div w:id="1362853281">
              <w:marLeft w:val="0"/>
              <w:marRight w:val="0"/>
              <w:marTop w:val="100"/>
              <w:marBottom w:val="100"/>
              <w:divBdr>
                <w:top w:val="single" w:sz="2" w:space="0" w:color="D9D9E3"/>
                <w:left w:val="single" w:sz="2" w:space="0" w:color="D9D9E3"/>
                <w:bottom w:val="single" w:sz="2" w:space="0" w:color="D9D9E3"/>
                <w:right w:val="single" w:sz="2" w:space="0" w:color="D9D9E3"/>
              </w:divBdr>
              <w:divsChild>
                <w:div w:id="1076589545">
                  <w:marLeft w:val="0"/>
                  <w:marRight w:val="0"/>
                  <w:marTop w:val="0"/>
                  <w:marBottom w:val="0"/>
                  <w:divBdr>
                    <w:top w:val="single" w:sz="2" w:space="0" w:color="D9D9E3"/>
                    <w:left w:val="single" w:sz="2" w:space="0" w:color="D9D9E3"/>
                    <w:bottom w:val="single" w:sz="2" w:space="0" w:color="D9D9E3"/>
                    <w:right w:val="single" w:sz="2" w:space="0" w:color="D9D9E3"/>
                  </w:divBdr>
                  <w:divsChild>
                    <w:div w:id="1765105262">
                      <w:marLeft w:val="0"/>
                      <w:marRight w:val="0"/>
                      <w:marTop w:val="0"/>
                      <w:marBottom w:val="0"/>
                      <w:divBdr>
                        <w:top w:val="single" w:sz="2" w:space="0" w:color="D9D9E3"/>
                        <w:left w:val="single" w:sz="2" w:space="0" w:color="D9D9E3"/>
                        <w:bottom w:val="single" w:sz="2" w:space="0" w:color="D9D9E3"/>
                        <w:right w:val="single" w:sz="2" w:space="0" w:color="D9D9E3"/>
                      </w:divBdr>
                      <w:divsChild>
                        <w:div w:id="957762801">
                          <w:marLeft w:val="0"/>
                          <w:marRight w:val="0"/>
                          <w:marTop w:val="0"/>
                          <w:marBottom w:val="0"/>
                          <w:divBdr>
                            <w:top w:val="single" w:sz="2" w:space="0" w:color="D9D9E3"/>
                            <w:left w:val="single" w:sz="2" w:space="0" w:color="D9D9E3"/>
                            <w:bottom w:val="single" w:sz="2" w:space="0" w:color="D9D9E3"/>
                            <w:right w:val="single" w:sz="2" w:space="0" w:color="D9D9E3"/>
                          </w:divBdr>
                          <w:divsChild>
                            <w:div w:id="1123383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4786577">
      <w:bodyDiv w:val="1"/>
      <w:marLeft w:val="0"/>
      <w:marRight w:val="0"/>
      <w:marTop w:val="0"/>
      <w:marBottom w:val="0"/>
      <w:divBdr>
        <w:top w:val="none" w:sz="0" w:space="0" w:color="auto"/>
        <w:left w:val="none" w:sz="0" w:space="0" w:color="auto"/>
        <w:bottom w:val="none" w:sz="0" w:space="0" w:color="auto"/>
        <w:right w:val="none" w:sz="0" w:space="0" w:color="auto"/>
      </w:divBdr>
      <w:divsChild>
        <w:div w:id="983703417">
          <w:marLeft w:val="0"/>
          <w:marRight w:val="0"/>
          <w:marTop w:val="0"/>
          <w:marBottom w:val="0"/>
          <w:divBdr>
            <w:top w:val="none" w:sz="0" w:space="0" w:color="auto"/>
            <w:left w:val="none" w:sz="0" w:space="0" w:color="auto"/>
            <w:bottom w:val="none" w:sz="0" w:space="0" w:color="auto"/>
            <w:right w:val="none" w:sz="0" w:space="0" w:color="auto"/>
          </w:divBdr>
        </w:div>
      </w:divsChild>
    </w:div>
    <w:div w:id="1783114457">
      <w:bodyDiv w:val="1"/>
      <w:marLeft w:val="0"/>
      <w:marRight w:val="0"/>
      <w:marTop w:val="0"/>
      <w:marBottom w:val="0"/>
      <w:divBdr>
        <w:top w:val="none" w:sz="0" w:space="0" w:color="auto"/>
        <w:left w:val="none" w:sz="0" w:space="0" w:color="auto"/>
        <w:bottom w:val="none" w:sz="0" w:space="0" w:color="auto"/>
        <w:right w:val="none" w:sz="0" w:space="0" w:color="auto"/>
      </w:divBdr>
      <w:divsChild>
        <w:div w:id="205874379">
          <w:marLeft w:val="0"/>
          <w:marRight w:val="0"/>
          <w:marTop w:val="0"/>
          <w:marBottom w:val="0"/>
          <w:divBdr>
            <w:top w:val="single" w:sz="2" w:space="0" w:color="auto"/>
            <w:left w:val="single" w:sz="2" w:space="0" w:color="auto"/>
            <w:bottom w:val="single" w:sz="6" w:space="0" w:color="auto"/>
            <w:right w:val="single" w:sz="2" w:space="0" w:color="auto"/>
          </w:divBdr>
          <w:divsChild>
            <w:div w:id="3114436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6595728">
                  <w:marLeft w:val="0"/>
                  <w:marRight w:val="0"/>
                  <w:marTop w:val="0"/>
                  <w:marBottom w:val="0"/>
                  <w:divBdr>
                    <w:top w:val="single" w:sz="2" w:space="0" w:color="D9D9E3"/>
                    <w:left w:val="single" w:sz="2" w:space="0" w:color="D9D9E3"/>
                    <w:bottom w:val="single" w:sz="2" w:space="0" w:color="D9D9E3"/>
                    <w:right w:val="single" w:sz="2" w:space="0" w:color="D9D9E3"/>
                  </w:divBdr>
                  <w:divsChild>
                    <w:div w:id="150221246">
                      <w:marLeft w:val="0"/>
                      <w:marRight w:val="0"/>
                      <w:marTop w:val="0"/>
                      <w:marBottom w:val="0"/>
                      <w:divBdr>
                        <w:top w:val="single" w:sz="2" w:space="0" w:color="D9D9E3"/>
                        <w:left w:val="single" w:sz="2" w:space="0" w:color="D9D9E3"/>
                        <w:bottom w:val="single" w:sz="2" w:space="0" w:color="D9D9E3"/>
                        <w:right w:val="single" w:sz="2" w:space="0" w:color="D9D9E3"/>
                      </w:divBdr>
                      <w:divsChild>
                        <w:div w:id="1136602138">
                          <w:marLeft w:val="0"/>
                          <w:marRight w:val="0"/>
                          <w:marTop w:val="0"/>
                          <w:marBottom w:val="0"/>
                          <w:divBdr>
                            <w:top w:val="single" w:sz="2" w:space="0" w:color="D9D9E3"/>
                            <w:left w:val="single" w:sz="2" w:space="0" w:color="D9D9E3"/>
                            <w:bottom w:val="single" w:sz="2" w:space="0" w:color="D9D9E3"/>
                            <w:right w:val="single" w:sz="2" w:space="0" w:color="D9D9E3"/>
                          </w:divBdr>
                          <w:divsChild>
                            <w:div w:id="1038892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6096463">
      <w:bodyDiv w:val="1"/>
      <w:marLeft w:val="0"/>
      <w:marRight w:val="0"/>
      <w:marTop w:val="0"/>
      <w:marBottom w:val="0"/>
      <w:divBdr>
        <w:top w:val="none" w:sz="0" w:space="0" w:color="auto"/>
        <w:left w:val="none" w:sz="0" w:space="0" w:color="auto"/>
        <w:bottom w:val="none" w:sz="0" w:space="0" w:color="auto"/>
        <w:right w:val="none" w:sz="0" w:space="0" w:color="auto"/>
      </w:divBdr>
    </w:div>
    <w:div w:id="1798600228">
      <w:bodyDiv w:val="1"/>
      <w:marLeft w:val="0"/>
      <w:marRight w:val="0"/>
      <w:marTop w:val="0"/>
      <w:marBottom w:val="0"/>
      <w:divBdr>
        <w:top w:val="none" w:sz="0" w:space="0" w:color="auto"/>
        <w:left w:val="none" w:sz="0" w:space="0" w:color="auto"/>
        <w:bottom w:val="none" w:sz="0" w:space="0" w:color="auto"/>
        <w:right w:val="none" w:sz="0" w:space="0" w:color="auto"/>
      </w:divBdr>
    </w:div>
    <w:div w:id="1826042913">
      <w:bodyDiv w:val="1"/>
      <w:marLeft w:val="0"/>
      <w:marRight w:val="0"/>
      <w:marTop w:val="0"/>
      <w:marBottom w:val="0"/>
      <w:divBdr>
        <w:top w:val="none" w:sz="0" w:space="0" w:color="auto"/>
        <w:left w:val="none" w:sz="0" w:space="0" w:color="auto"/>
        <w:bottom w:val="none" w:sz="0" w:space="0" w:color="auto"/>
        <w:right w:val="none" w:sz="0" w:space="0" w:color="auto"/>
      </w:divBdr>
    </w:div>
    <w:div w:id="1831094914">
      <w:bodyDiv w:val="1"/>
      <w:marLeft w:val="0"/>
      <w:marRight w:val="0"/>
      <w:marTop w:val="0"/>
      <w:marBottom w:val="0"/>
      <w:divBdr>
        <w:top w:val="none" w:sz="0" w:space="0" w:color="auto"/>
        <w:left w:val="none" w:sz="0" w:space="0" w:color="auto"/>
        <w:bottom w:val="none" w:sz="0" w:space="0" w:color="auto"/>
        <w:right w:val="none" w:sz="0" w:space="0" w:color="auto"/>
      </w:divBdr>
    </w:div>
    <w:div w:id="1859157305">
      <w:bodyDiv w:val="1"/>
      <w:marLeft w:val="0"/>
      <w:marRight w:val="0"/>
      <w:marTop w:val="0"/>
      <w:marBottom w:val="0"/>
      <w:divBdr>
        <w:top w:val="none" w:sz="0" w:space="0" w:color="auto"/>
        <w:left w:val="none" w:sz="0" w:space="0" w:color="auto"/>
        <w:bottom w:val="none" w:sz="0" w:space="0" w:color="auto"/>
        <w:right w:val="none" w:sz="0" w:space="0" w:color="auto"/>
      </w:divBdr>
    </w:div>
    <w:div w:id="1862010183">
      <w:bodyDiv w:val="1"/>
      <w:marLeft w:val="0"/>
      <w:marRight w:val="0"/>
      <w:marTop w:val="0"/>
      <w:marBottom w:val="0"/>
      <w:divBdr>
        <w:top w:val="none" w:sz="0" w:space="0" w:color="auto"/>
        <w:left w:val="none" w:sz="0" w:space="0" w:color="auto"/>
        <w:bottom w:val="none" w:sz="0" w:space="0" w:color="auto"/>
        <w:right w:val="none" w:sz="0" w:space="0" w:color="auto"/>
      </w:divBdr>
    </w:div>
    <w:div w:id="1868252845">
      <w:bodyDiv w:val="1"/>
      <w:marLeft w:val="0"/>
      <w:marRight w:val="0"/>
      <w:marTop w:val="0"/>
      <w:marBottom w:val="0"/>
      <w:divBdr>
        <w:top w:val="none" w:sz="0" w:space="0" w:color="auto"/>
        <w:left w:val="none" w:sz="0" w:space="0" w:color="auto"/>
        <w:bottom w:val="none" w:sz="0" w:space="0" w:color="auto"/>
        <w:right w:val="none" w:sz="0" w:space="0" w:color="auto"/>
      </w:divBdr>
    </w:div>
    <w:div w:id="1905287854">
      <w:bodyDiv w:val="1"/>
      <w:marLeft w:val="0"/>
      <w:marRight w:val="0"/>
      <w:marTop w:val="0"/>
      <w:marBottom w:val="0"/>
      <w:divBdr>
        <w:top w:val="none" w:sz="0" w:space="0" w:color="auto"/>
        <w:left w:val="none" w:sz="0" w:space="0" w:color="auto"/>
        <w:bottom w:val="none" w:sz="0" w:space="0" w:color="auto"/>
        <w:right w:val="none" w:sz="0" w:space="0" w:color="auto"/>
      </w:divBdr>
    </w:div>
    <w:div w:id="1924950924">
      <w:bodyDiv w:val="1"/>
      <w:marLeft w:val="0"/>
      <w:marRight w:val="0"/>
      <w:marTop w:val="0"/>
      <w:marBottom w:val="0"/>
      <w:divBdr>
        <w:top w:val="none" w:sz="0" w:space="0" w:color="auto"/>
        <w:left w:val="none" w:sz="0" w:space="0" w:color="auto"/>
        <w:bottom w:val="none" w:sz="0" w:space="0" w:color="auto"/>
        <w:right w:val="none" w:sz="0" w:space="0" w:color="auto"/>
      </w:divBdr>
    </w:div>
    <w:div w:id="194807837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732842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17">
          <w:marLeft w:val="0"/>
          <w:marRight w:val="0"/>
          <w:marTop w:val="0"/>
          <w:marBottom w:val="0"/>
          <w:divBdr>
            <w:top w:val="single" w:sz="2" w:space="0" w:color="auto"/>
            <w:left w:val="single" w:sz="2" w:space="0" w:color="auto"/>
            <w:bottom w:val="single" w:sz="6" w:space="0" w:color="auto"/>
            <w:right w:val="single" w:sz="2" w:space="0" w:color="auto"/>
          </w:divBdr>
          <w:divsChild>
            <w:div w:id="133452361">
              <w:marLeft w:val="0"/>
              <w:marRight w:val="0"/>
              <w:marTop w:val="100"/>
              <w:marBottom w:val="100"/>
              <w:divBdr>
                <w:top w:val="single" w:sz="2" w:space="0" w:color="D9D9E3"/>
                <w:left w:val="single" w:sz="2" w:space="0" w:color="D9D9E3"/>
                <w:bottom w:val="single" w:sz="2" w:space="0" w:color="D9D9E3"/>
                <w:right w:val="single" w:sz="2" w:space="0" w:color="D9D9E3"/>
              </w:divBdr>
              <w:divsChild>
                <w:div w:id="741954769">
                  <w:marLeft w:val="0"/>
                  <w:marRight w:val="0"/>
                  <w:marTop w:val="0"/>
                  <w:marBottom w:val="0"/>
                  <w:divBdr>
                    <w:top w:val="single" w:sz="2" w:space="0" w:color="D9D9E3"/>
                    <w:left w:val="single" w:sz="2" w:space="0" w:color="D9D9E3"/>
                    <w:bottom w:val="single" w:sz="2" w:space="0" w:color="D9D9E3"/>
                    <w:right w:val="single" w:sz="2" w:space="0" w:color="D9D9E3"/>
                  </w:divBdr>
                  <w:divsChild>
                    <w:div w:id="367612161">
                      <w:marLeft w:val="0"/>
                      <w:marRight w:val="0"/>
                      <w:marTop w:val="0"/>
                      <w:marBottom w:val="0"/>
                      <w:divBdr>
                        <w:top w:val="single" w:sz="2" w:space="0" w:color="D9D9E3"/>
                        <w:left w:val="single" w:sz="2" w:space="0" w:color="D9D9E3"/>
                        <w:bottom w:val="single" w:sz="2" w:space="0" w:color="D9D9E3"/>
                        <w:right w:val="single" w:sz="2" w:space="0" w:color="D9D9E3"/>
                      </w:divBdr>
                      <w:divsChild>
                        <w:div w:id="483352593">
                          <w:marLeft w:val="0"/>
                          <w:marRight w:val="0"/>
                          <w:marTop w:val="0"/>
                          <w:marBottom w:val="0"/>
                          <w:divBdr>
                            <w:top w:val="single" w:sz="2" w:space="0" w:color="D9D9E3"/>
                            <w:left w:val="single" w:sz="2" w:space="0" w:color="D9D9E3"/>
                            <w:bottom w:val="single" w:sz="2" w:space="0" w:color="D9D9E3"/>
                            <w:right w:val="single" w:sz="2" w:space="0" w:color="D9D9E3"/>
                          </w:divBdr>
                          <w:divsChild>
                            <w:div w:id="79717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9918444">
      <w:bodyDiv w:val="1"/>
      <w:marLeft w:val="0"/>
      <w:marRight w:val="0"/>
      <w:marTop w:val="0"/>
      <w:marBottom w:val="0"/>
      <w:divBdr>
        <w:top w:val="none" w:sz="0" w:space="0" w:color="auto"/>
        <w:left w:val="none" w:sz="0" w:space="0" w:color="auto"/>
        <w:bottom w:val="none" w:sz="0" w:space="0" w:color="auto"/>
        <w:right w:val="none" w:sz="0" w:space="0" w:color="auto"/>
      </w:divBdr>
    </w:div>
    <w:div w:id="1984964646">
      <w:bodyDiv w:val="1"/>
      <w:marLeft w:val="0"/>
      <w:marRight w:val="0"/>
      <w:marTop w:val="0"/>
      <w:marBottom w:val="0"/>
      <w:divBdr>
        <w:top w:val="none" w:sz="0" w:space="0" w:color="auto"/>
        <w:left w:val="none" w:sz="0" w:space="0" w:color="auto"/>
        <w:bottom w:val="none" w:sz="0" w:space="0" w:color="auto"/>
        <w:right w:val="none" w:sz="0" w:space="0" w:color="auto"/>
      </w:divBdr>
    </w:div>
    <w:div w:id="2011517609">
      <w:bodyDiv w:val="1"/>
      <w:marLeft w:val="0"/>
      <w:marRight w:val="0"/>
      <w:marTop w:val="0"/>
      <w:marBottom w:val="0"/>
      <w:divBdr>
        <w:top w:val="none" w:sz="0" w:space="0" w:color="auto"/>
        <w:left w:val="none" w:sz="0" w:space="0" w:color="auto"/>
        <w:bottom w:val="none" w:sz="0" w:space="0" w:color="auto"/>
        <w:right w:val="none" w:sz="0" w:space="0" w:color="auto"/>
      </w:divBdr>
    </w:div>
    <w:div w:id="2013213369">
      <w:bodyDiv w:val="1"/>
      <w:marLeft w:val="0"/>
      <w:marRight w:val="0"/>
      <w:marTop w:val="0"/>
      <w:marBottom w:val="0"/>
      <w:divBdr>
        <w:top w:val="none" w:sz="0" w:space="0" w:color="auto"/>
        <w:left w:val="none" w:sz="0" w:space="0" w:color="auto"/>
        <w:bottom w:val="none" w:sz="0" w:space="0" w:color="auto"/>
        <w:right w:val="none" w:sz="0" w:space="0" w:color="auto"/>
      </w:divBdr>
    </w:div>
    <w:div w:id="2050839150">
      <w:bodyDiv w:val="1"/>
      <w:marLeft w:val="0"/>
      <w:marRight w:val="0"/>
      <w:marTop w:val="0"/>
      <w:marBottom w:val="0"/>
      <w:divBdr>
        <w:top w:val="none" w:sz="0" w:space="0" w:color="auto"/>
        <w:left w:val="none" w:sz="0" w:space="0" w:color="auto"/>
        <w:bottom w:val="none" w:sz="0" w:space="0" w:color="auto"/>
        <w:right w:val="none" w:sz="0" w:space="0" w:color="auto"/>
      </w:divBdr>
    </w:div>
    <w:div w:id="2066833291">
      <w:bodyDiv w:val="1"/>
      <w:marLeft w:val="0"/>
      <w:marRight w:val="0"/>
      <w:marTop w:val="0"/>
      <w:marBottom w:val="0"/>
      <w:divBdr>
        <w:top w:val="none" w:sz="0" w:space="0" w:color="auto"/>
        <w:left w:val="none" w:sz="0" w:space="0" w:color="auto"/>
        <w:bottom w:val="none" w:sz="0" w:space="0" w:color="auto"/>
        <w:right w:val="none" w:sz="0" w:space="0" w:color="auto"/>
      </w:divBdr>
    </w:div>
    <w:div w:id="2081058343">
      <w:bodyDiv w:val="1"/>
      <w:marLeft w:val="0"/>
      <w:marRight w:val="0"/>
      <w:marTop w:val="0"/>
      <w:marBottom w:val="0"/>
      <w:divBdr>
        <w:top w:val="none" w:sz="0" w:space="0" w:color="auto"/>
        <w:left w:val="none" w:sz="0" w:space="0" w:color="auto"/>
        <w:bottom w:val="none" w:sz="0" w:space="0" w:color="auto"/>
        <w:right w:val="none" w:sz="0" w:space="0" w:color="auto"/>
      </w:divBdr>
    </w:div>
    <w:div w:id="2099524648">
      <w:bodyDiv w:val="1"/>
      <w:marLeft w:val="0"/>
      <w:marRight w:val="0"/>
      <w:marTop w:val="0"/>
      <w:marBottom w:val="0"/>
      <w:divBdr>
        <w:top w:val="none" w:sz="0" w:space="0" w:color="auto"/>
        <w:left w:val="none" w:sz="0" w:space="0" w:color="auto"/>
        <w:bottom w:val="none" w:sz="0" w:space="0" w:color="auto"/>
        <w:right w:val="none" w:sz="0" w:space="0" w:color="auto"/>
      </w:divBdr>
    </w:div>
    <w:div w:id="2107847035">
      <w:bodyDiv w:val="1"/>
      <w:marLeft w:val="0"/>
      <w:marRight w:val="0"/>
      <w:marTop w:val="0"/>
      <w:marBottom w:val="0"/>
      <w:divBdr>
        <w:top w:val="none" w:sz="0" w:space="0" w:color="auto"/>
        <w:left w:val="none" w:sz="0" w:space="0" w:color="auto"/>
        <w:bottom w:val="none" w:sz="0" w:space="0" w:color="auto"/>
        <w:right w:val="none" w:sz="0" w:space="0" w:color="auto"/>
      </w:divBdr>
    </w:div>
    <w:div w:id="2112430423">
      <w:bodyDiv w:val="1"/>
      <w:marLeft w:val="0"/>
      <w:marRight w:val="0"/>
      <w:marTop w:val="0"/>
      <w:marBottom w:val="0"/>
      <w:divBdr>
        <w:top w:val="none" w:sz="0" w:space="0" w:color="auto"/>
        <w:left w:val="none" w:sz="0" w:space="0" w:color="auto"/>
        <w:bottom w:val="none" w:sz="0" w:space="0" w:color="auto"/>
        <w:right w:val="none" w:sz="0" w:space="0" w:color="auto"/>
      </w:divBdr>
    </w:div>
    <w:div w:id="2125802331">
      <w:bodyDiv w:val="1"/>
      <w:marLeft w:val="0"/>
      <w:marRight w:val="0"/>
      <w:marTop w:val="0"/>
      <w:marBottom w:val="0"/>
      <w:divBdr>
        <w:top w:val="none" w:sz="0" w:space="0" w:color="auto"/>
        <w:left w:val="none" w:sz="0" w:space="0" w:color="auto"/>
        <w:bottom w:val="none" w:sz="0" w:space="0" w:color="auto"/>
        <w:right w:val="none" w:sz="0" w:space="0" w:color="auto"/>
      </w:divBdr>
    </w:div>
    <w:div w:id="21421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inicaltrials.gov/ct2/show/NCT014682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linicaltrials.gov/ct2/show/NCT01468207" TargetMode="External"/><Relationship Id="rId17" Type="http://schemas.openxmlformats.org/officeDocument/2006/relationships/hyperlink" Target="https://doi" TargetMode="External"/><Relationship Id="rId2" Type="http://schemas.openxmlformats.org/officeDocument/2006/relationships/numbering" Target="numbering.xml"/><Relationship Id="rId16" Type="http://schemas.openxmlformats.org/officeDocument/2006/relationships/hyperlink" Target="https://clinicaltrials.gov/ct2/show/NCT028089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ct2/show/NCT04179175" TargetMode="External"/><Relationship Id="rId5" Type="http://schemas.openxmlformats.org/officeDocument/2006/relationships/webSettings" Target="webSettings.xml"/><Relationship Id="rId15" Type="http://schemas.openxmlformats.org/officeDocument/2006/relationships/hyperlink" Target="https://clinicaltrials.gov/ct2/show/NCT00918255" TargetMode="External"/><Relationship Id="rId10" Type="http://schemas.openxmlformats.org/officeDocument/2006/relationships/hyperlink" Target="https://clinicaltrials.gov/ct2/show/NCT0371363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inicaltrials.gov/ct2/show/NCT03713619" TargetMode="External"/><Relationship Id="rId14" Type="http://schemas.openxmlformats.org/officeDocument/2006/relationships/hyperlink" Target="https://clinicaltrials.gov/ct2/show/NCT01635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17CF-F684-4BA6-AD1B-335AA0C2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10146</Words>
  <Characters>56574</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66587</CharactersWithSpaces>
  <SharedDoc>false</SharedDoc>
  <HLinks>
    <vt:vector size="480" baseType="variant">
      <vt:variant>
        <vt:i4>7012408</vt:i4>
      </vt:variant>
      <vt:variant>
        <vt:i4>933</vt:i4>
      </vt:variant>
      <vt:variant>
        <vt:i4>0</vt:i4>
      </vt:variant>
      <vt:variant>
        <vt:i4>5</vt:i4>
      </vt:variant>
      <vt:variant>
        <vt:lpwstr>https://clinicaltrials.gov/ct2/show/NCT02808975</vt:lpwstr>
      </vt:variant>
      <vt:variant>
        <vt:lpwstr/>
      </vt:variant>
      <vt:variant>
        <vt:i4>6815792</vt:i4>
      </vt:variant>
      <vt:variant>
        <vt:i4>930</vt:i4>
      </vt:variant>
      <vt:variant>
        <vt:i4>0</vt:i4>
      </vt:variant>
      <vt:variant>
        <vt:i4>5</vt:i4>
      </vt:variant>
      <vt:variant>
        <vt:lpwstr>https://clinicaltrials.gov/ct2/show/NCT00918255</vt:lpwstr>
      </vt:variant>
      <vt:variant>
        <vt:lpwstr/>
      </vt:variant>
      <vt:variant>
        <vt:i4>6881334</vt:i4>
      </vt:variant>
      <vt:variant>
        <vt:i4>927</vt:i4>
      </vt:variant>
      <vt:variant>
        <vt:i4>0</vt:i4>
      </vt:variant>
      <vt:variant>
        <vt:i4>5</vt:i4>
      </vt:variant>
      <vt:variant>
        <vt:lpwstr>https://clinicaltrials.gov/ct2/show/NCT01635764</vt:lpwstr>
      </vt:variant>
      <vt:variant>
        <vt:lpwstr/>
      </vt:variant>
      <vt:variant>
        <vt:i4>3801142</vt:i4>
      </vt:variant>
      <vt:variant>
        <vt:i4>924</vt:i4>
      </vt:variant>
      <vt:variant>
        <vt:i4>0</vt:i4>
      </vt:variant>
      <vt:variant>
        <vt:i4>5</vt:i4>
      </vt:variant>
      <vt:variant>
        <vt:lpwstr>https://www.clinicaltrials.gov/ct2/show/NCT01468233</vt:lpwstr>
      </vt:variant>
      <vt:variant>
        <vt:lpwstr/>
      </vt:variant>
      <vt:variant>
        <vt:i4>3735606</vt:i4>
      </vt:variant>
      <vt:variant>
        <vt:i4>921</vt:i4>
      </vt:variant>
      <vt:variant>
        <vt:i4>0</vt:i4>
      </vt:variant>
      <vt:variant>
        <vt:i4>5</vt:i4>
      </vt:variant>
      <vt:variant>
        <vt:lpwstr>https://www.clinicaltrials.gov/ct2/show/NCT01468207</vt:lpwstr>
      </vt:variant>
      <vt:variant>
        <vt:lpwstr/>
      </vt:variant>
      <vt:variant>
        <vt:i4>6488113</vt:i4>
      </vt:variant>
      <vt:variant>
        <vt:i4>918</vt:i4>
      </vt:variant>
      <vt:variant>
        <vt:i4>0</vt:i4>
      </vt:variant>
      <vt:variant>
        <vt:i4>5</vt:i4>
      </vt:variant>
      <vt:variant>
        <vt:lpwstr>https://clinicaltrials.gov/ct2/show/NCT04179175</vt:lpwstr>
      </vt:variant>
      <vt:variant>
        <vt:lpwstr/>
      </vt:variant>
      <vt:variant>
        <vt:i4>7012407</vt:i4>
      </vt:variant>
      <vt:variant>
        <vt:i4>915</vt:i4>
      </vt:variant>
      <vt:variant>
        <vt:i4>0</vt:i4>
      </vt:variant>
      <vt:variant>
        <vt:i4>5</vt:i4>
      </vt:variant>
      <vt:variant>
        <vt:lpwstr>https://clinicaltrials.gov/ct2/show/NCT03713632</vt:lpwstr>
      </vt:variant>
      <vt:variant>
        <vt:lpwstr/>
      </vt:variant>
      <vt:variant>
        <vt:i4>6881335</vt:i4>
      </vt:variant>
      <vt:variant>
        <vt:i4>912</vt:i4>
      </vt:variant>
      <vt:variant>
        <vt:i4>0</vt:i4>
      </vt:variant>
      <vt:variant>
        <vt:i4>5</vt:i4>
      </vt:variant>
      <vt:variant>
        <vt:lpwstr>https://clinicaltrials.gov/ct2/show/NCT03713619</vt:lpwstr>
      </vt:variant>
      <vt:variant>
        <vt:lpwstr/>
      </vt:variant>
      <vt:variant>
        <vt:i4>7012408</vt:i4>
      </vt:variant>
      <vt:variant>
        <vt:i4>438</vt:i4>
      </vt:variant>
      <vt:variant>
        <vt:i4>0</vt:i4>
      </vt:variant>
      <vt:variant>
        <vt:i4>5</vt:i4>
      </vt:variant>
      <vt:variant>
        <vt:lpwstr>https://clinicaltrials.gov/ct2/show/NCT02808975</vt:lpwstr>
      </vt:variant>
      <vt:variant>
        <vt:lpwstr/>
      </vt:variant>
      <vt:variant>
        <vt:i4>6815792</vt:i4>
      </vt:variant>
      <vt:variant>
        <vt:i4>435</vt:i4>
      </vt:variant>
      <vt:variant>
        <vt:i4>0</vt:i4>
      </vt:variant>
      <vt:variant>
        <vt:i4>5</vt:i4>
      </vt:variant>
      <vt:variant>
        <vt:lpwstr>https://clinicaltrials.gov/ct2/show/NCT00918255</vt:lpwstr>
      </vt:variant>
      <vt:variant>
        <vt:lpwstr/>
      </vt:variant>
      <vt:variant>
        <vt:i4>6881334</vt:i4>
      </vt:variant>
      <vt:variant>
        <vt:i4>432</vt:i4>
      </vt:variant>
      <vt:variant>
        <vt:i4>0</vt:i4>
      </vt:variant>
      <vt:variant>
        <vt:i4>5</vt:i4>
      </vt:variant>
      <vt:variant>
        <vt:lpwstr>https://clinicaltrials.gov/ct2/show/NCT01635764</vt:lpwstr>
      </vt:variant>
      <vt:variant>
        <vt:lpwstr/>
      </vt:variant>
      <vt:variant>
        <vt:i4>3801142</vt:i4>
      </vt:variant>
      <vt:variant>
        <vt:i4>429</vt:i4>
      </vt:variant>
      <vt:variant>
        <vt:i4>0</vt:i4>
      </vt:variant>
      <vt:variant>
        <vt:i4>5</vt:i4>
      </vt:variant>
      <vt:variant>
        <vt:lpwstr>https://www.clinicaltrials.gov/ct2/show/NCT01468233</vt:lpwstr>
      </vt:variant>
      <vt:variant>
        <vt:lpwstr/>
      </vt:variant>
      <vt:variant>
        <vt:i4>3735606</vt:i4>
      </vt:variant>
      <vt:variant>
        <vt:i4>426</vt:i4>
      </vt:variant>
      <vt:variant>
        <vt:i4>0</vt:i4>
      </vt:variant>
      <vt:variant>
        <vt:i4>5</vt:i4>
      </vt:variant>
      <vt:variant>
        <vt:lpwstr>https://www.clinicaltrials.gov/ct2/show/NCT01468207</vt:lpwstr>
      </vt:variant>
      <vt:variant>
        <vt:lpwstr/>
      </vt:variant>
      <vt:variant>
        <vt:i4>6488113</vt:i4>
      </vt:variant>
      <vt:variant>
        <vt:i4>423</vt:i4>
      </vt:variant>
      <vt:variant>
        <vt:i4>0</vt:i4>
      </vt:variant>
      <vt:variant>
        <vt:i4>5</vt:i4>
      </vt:variant>
      <vt:variant>
        <vt:lpwstr>https://clinicaltrials.gov/ct2/show/NCT04179175</vt:lpwstr>
      </vt:variant>
      <vt:variant>
        <vt:lpwstr/>
      </vt:variant>
      <vt:variant>
        <vt:i4>7012407</vt:i4>
      </vt:variant>
      <vt:variant>
        <vt:i4>420</vt:i4>
      </vt:variant>
      <vt:variant>
        <vt:i4>0</vt:i4>
      </vt:variant>
      <vt:variant>
        <vt:i4>5</vt:i4>
      </vt:variant>
      <vt:variant>
        <vt:lpwstr>https://clinicaltrials.gov/ct2/show/NCT03713632</vt:lpwstr>
      </vt:variant>
      <vt:variant>
        <vt:lpwstr/>
      </vt:variant>
      <vt:variant>
        <vt:i4>6881335</vt:i4>
      </vt:variant>
      <vt:variant>
        <vt:i4>417</vt:i4>
      </vt:variant>
      <vt:variant>
        <vt:i4>0</vt:i4>
      </vt:variant>
      <vt:variant>
        <vt:i4>5</vt:i4>
      </vt:variant>
      <vt:variant>
        <vt:lpwstr>https://clinicaltrials.gov/ct2/show/NCT03713619</vt:lpwstr>
      </vt:variant>
      <vt:variant>
        <vt:lpwstr/>
      </vt:variant>
      <vt:variant>
        <vt:i4>1114161</vt:i4>
      </vt:variant>
      <vt:variant>
        <vt:i4>374</vt:i4>
      </vt:variant>
      <vt:variant>
        <vt:i4>0</vt:i4>
      </vt:variant>
      <vt:variant>
        <vt:i4>5</vt:i4>
      </vt:variant>
      <vt:variant>
        <vt:lpwstr/>
      </vt:variant>
      <vt:variant>
        <vt:lpwstr>_Toc134530700</vt:lpwstr>
      </vt:variant>
      <vt:variant>
        <vt:i4>1572912</vt:i4>
      </vt:variant>
      <vt:variant>
        <vt:i4>368</vt:i4>
      </vt:variant>
      <vt:variant>
        <vt:i4>0</vt:i4>
      </vt:variant>
      <vt:variant>
        <vt:i4>5</vt:i4>
      </vt:variant>
      <vt:variant>
        <vt:lpwstr/>
      </vt:variant>
      <vt:variant>
        <vt:lpwstr>_Toc134530699</vt:lpwstr>
      </vt:variant>
      <vt:variant>
        <vt:i4>1572912</vt:i4>
      </vt:variant>
      <vt:variant>
        <vt:i4>362</vt:i4>
      </vt:variant>
      <vt:variant>
        <vt:i4>0</vt:i4>
      </vt:variant>
      <vt:variant>
        <vt:i4>5</vt:i4>
      </vt:variant>
      <vt:variant>
        <vt:lpwstr/>
      </vt:variant>
      <vt:variant>
        <vt:lpwstr>_Toc134530698</vt:lpwstr>
      </vt:variant>
      <vt:variant>
        <vt:i4>1572912</vt:i4>
      </vt:variant>
      <vt:variant>
        <vt:i4>356</vt:i4>
      </vt:variant>
      <vt:variant>
        <vt:i4>0</vt:i4>
      </vt:variant>
      <vt:variant>
        <vt:i4>5</vt:i4>
      </vt:variant>
      <vt:variant>
        <vt:lpwstr/>
      </vt:variant>
      <vt:variant>
        <vt:lpwstr>_Toc134530697</vt:lpwstr>
      </vt:variant>
      <vt:variant>
        <vt:i4>1572912</vt:i4>
      </vt:variant>
      <vt:variant>
        <vt:i4>350</vt:i4>
      </vt:variant>
      <vt:variant>
        <vt:i4>0</vt:i4>
      </vt:variant>
      <vt:variant>
        <vt:i4>5</vt:i4>
      </vt:variant>
      <vt:variant>
        <vt:lpwstr/>
      </vt:variant>
      <vt:variant>
        <vt:lpwstr>_Toc134530696</vt:lpwstr>
      </vt:variant>
      <vt:variant>
        <vt:i4>1572912</vt:i4>
      </vt:variant>
      <vt:variant>
        <vt:i4>344</vt:i4>
      </vt:variant>
      <vt:variant>
        <vt:i4>0</vt:i4>
      </vt:variant>
      <vt:variant>
        <vt:i4>5</vt:i4>
      </vt:variant>
      <vt:variant>
        <vt:lpwstr/>
      </vt:variant>
      <vt:variant>
        <vt:lpwstr>_Toc134530695</vt:lpwstr>
      </vt:variant>
      <vt:variant>
        <vt:i4>1572912</vt:i4>
      </vt:variant>
      <vt:variant>
        <vt:i4>338</vt:i4>
      </vt:variant>
      <vt:variant>
        <vt:i4>0</vt:i4>
      </vt:variant>
      <vt:variant>
        <vt:i4>5</vt:i4>
      </vt:variant>
      <vt:variant>
        <vt:lpwstr/>
      </vt:variant>
      <vt:variant>
        <vt:lpwstr>_Toc134530694</vt:lpwstr>
      </vt:variant>
      <vt:variant>
        <vt:i4>1572912</vt:i4>
      </vt:variant>
      <vt:variant>
        <vt:i4>332</vt:i4>
      </vt:variant>
      <vt:variant>
        <vt:i4>0</vt:i4>
      </vt:variant>
      <vt:variant>
        <vt:i4>5</vt:i4>
      </vt:variant>
      <vt:variant>
        <vt:lpwstr/>
      </vt:variant>
      <vt:variant>
        <vt:lpwstr>_Toc134530693</vt:lpwstr>
      </vt:variant>
      <vt:variant>
        <vt:i4>1572912</vt:i4>
      </vt:variant>
      <vt:variant>
        <vt:i4>326</vt:i4>
      </vt:variant>
      <vt:variant>
        <vt:i4>0</vt:i4>
      </vt:variant>
      <vt:variant>
        <vt:i4>5</vt:i4>
      </vt:variant>
      <vt:variant>
        <vt:lpwstr/>
      </vt:variant>
      <vt:variant>
        <vt:lpwstr>_Toc134530692</vt:lpwstr>
      </vt:variant>
      <vt:variant>
        <vt:i4>1572912</vt:i4>
      </vt:variant>
      <vt:variant>
        <vt:i4>320</vt:i4>
      </vt:variant>
      <vt:variant>
        <vt:i4>0</vt:i4>
      </vt:variant>
      <vt:variant>
        <vt:i4>5</vt:i4>
      </vt:variant>
      <vt:variant>
        <vt:lpwstr/>
      </vt:variant>
      <vt:variant>
        <vt:lpwstr>_Toc134530691</vt:lpwstr>
      </vt:variant>
      <vt:variant>
        <vt:i4>1572912</vt:i4>
      </vt:variant>
      <vt:variant>
        <vt:i4>314</vt:i4>
      </vt:variant>
      <vt:variant>
        <vt:i4>0</vt:i4>
      </vt:variant>
      <vt:variant>
        <vt:i4>5</vt:i4>
      </vt:variant>
      <vt:variant>
        <vt:lpwstr/>
      </vt:variant>
      <vt:variant>
        <vt:lpwstr>_Toc134530690</vt:lpwstr>
      </vt:variant>
      <vt:variant>
        <vt:i4>1638448</vt:i4>
      </vt:variant>
      <vt:variant>
        <vt:i4>308</vt:i4>
      </vt:variant>
      <vt:variant>
        <vt:i4>0</vt:i4>
      </vt:variant>
      <vt:variant>
        <vt:i4>5</vt:i4>
      </vt:variant>
      <vt:variant>
        <vt:lpwstr/>
      </vt:variant>
      <vt:variant>
        <vt:lpwstr>_Toc134530689</vt:lpwstr>
      </vt:variant>
      <vt:variant>
        <vt:i4>1638448</vt:i4>
      </vt:variant>
      <vt:variant>
        <vt:i4>302</vt:i4>
      </vt:variant>
      <vt:variant>
        <vt:i4>0</vt:i4>
      </vt:variant>
      <vt:variant>
        <vt:i4>5</vt:i4>
      </vt:variant>
      <vt:variant>
        <vt:lpwstr/>
      </vt:variant>
      <vt:variant>
        <vt:lpwstr>_Toc134530688</vt:lpwstr>
      </vt:variant>
      <vt:variant>
        <vt:i4>1638448</vt:i4>
      </vt:variant>
      <vt:variant>
        <vt:i4>296</vt:i4>
      </vt:variant>
      <vt:variant>
        <vt:i4>0</vt:i4>
      </vt:variant>
      <vt:variant>
        <vt:i4>5</vt:i4>
      </vt:variant>
      <vt:variant>
        <vt:lpwstr/>
      </vt:variant>
      <vt:variant>
        <vt:lpwstr>_Toc134530687</vt:lpwstr>
      </vt:variant>
      <vt:variant>
        <vt:i4>1638448</vt:i4>
      </vt:variant>
      <vt:variant>
        <vt:i4>290</vt:i4>
      </vt:variant>
      <vt:variant>
        <vt:i4>0</vt:i4>
      </vt:variant>
      <vt:variant>
        <vt:i4>5</vt:i4>
      </vt:variant>
      <vt:variant>
        <vt:lpwstr/>
      </vt:variant>
      <vt:variant>
        <vt:lpwstr>_Toc134530686</vt:lpwstr>
      </vt:variant>
      <vt:variant>
        <vt:i4>1638448</vt:i4>
      </vt:variant>
      <vt:variant>
        <vt:i4>284</vt:i4>
      </vt:variant>
      <vt:variant>
        <vt:i4>0</vt:i4>
      </vt:variant>
      <vt:variant>
        <vt:i4>5</vt:i4>
      </vt:variant>
      <vt:variant>
        <vt:lpwstr/>
      </vt:variant>
      <vt:variant>
        <vt:lpwstr>_Toc134530685</vt:lpwstr>
      </vt:variant>
      <vt:variant>
        <vt:i4>1638448</vt:i4>
      </vt:variant>
      <vt:variant>
        <vt:i4>278</vt:i4>
      </vt:variant>
      <vt:variant>
        <vt:i4>0</vt:i4>
      </vt:variant>
      <vt:variant>
        <vt:i4>5</vt:i4>
      </vt:variant>
      <vt:variant>
        <vt:lpwstr/>
      </vt:variant>
      <vt:variant>
        <vt:lpwstr>_Toc134530684</vt:lpwstr>
      </vt:variant>
      <vt:variant>
        <vt:i4>1638448</vt:i4>
      </vt:variant>
      <vt:variant>
        <vt:i4>272</vt:i4>
      </vt:variant>
      <vt:variant>
        <vt:i4>0</vt:i4>
      </vt:variant>
      <vt:variant>
        <vt:i4>5</vt:i4>
      </vt:variant>
      <vt:variant>
        <vt:lpwstr/>
      </vt:variant>
      <vt:variant>
        <vt:lpwstr>_Toc134530683</vt:lpwstr>
      </vt:variant>
      <vt:variant>
        <vt:i4>1638448</vt:i4>
      </vt:variant>
      <vt:variant>
        <vt:i4>266</vt:i4>
      </vt:variant>
      <vt:variant>
        <vt:i4>0</vt:i4>
      </vt:variant>
      <vt:variant>
        <vt:i4>5</vt:i4>
      </vt:variant>
      <vt:variant>
        <vt:lpwstr/>
      </vt:variant>
      <vt:variant>
        <vt:lpwstr>_Toc134530682</vt:lpwstr>
      </vt:variant>
      <vt:variant>
        <vt:i4>1638448</vt:i4>
      </vt:variant>
      <vt:variant>
        <vt:i4>260</vt:i4>
      </vt:variant>
      <vt:variant>
        <vt:i4>0</vt:i4>
      </vt:variant>
      <vt:variant>
        <vt:i4>5</vt:i4>
      </vt:variant>
      <vt:variant>
        <vt:lpwstr/>
      </vt:variant>
      <vt:variant>
        <vt:lpwstr>_Toc134530681</vt:lpwstr>
      </vt:variant>
      <vt:variant>
        <vt:i4>1638448</vt:i4>
      </vt:variant>
      <vt:variant>
        <vt:i4>254</vt:i4>
      </vt:variant>
      <vt:variant>
        <vt:i4>0</vt:i4>
      </vt:variant>
      <vt:variant>
        <vt:i4>5</vt:i4>
      </vt:variant>
      <vt:variant>
        <vt:lpwstr/>
      </vt:variant>
      <vt:variant>
        <vt:lpwstr>_Toc134530680</vt:lpwstr>
      </vt:variant>
      <vt:variant>
        <vt:i4>1441840</vt:i4>
      </vt:variant>
      <vt:variant>
        <vt:i4>248</vt:i4>
      </vt:variant>
      <vt:variant>
        <vt:i4>0</vt:i4>
      </vt:variant>
      <vt:variant>
        <vt:i4>5</vt:i4>
      </vt:variant>
      <vt:variant>
        <vt:lpwstr/>
      </vt:variant>
      <vt:variant>
        <vt:lpwstr>_Toc134530679</vt:lpwstr>
      </vt:variant>
      <vt:variant>
        <vt:i4>1441840</vt:i4>
      </vt:variant>
      <vt:variant>
        <vt:i4>242</vt:i4>
      </vt:variant>
      <vt:variant>
        <vt:i4>0</vt:i4>
      </vt:variant>
      <vt:variant>
        <vt:i4>5</vt:i4>
      </vt:variant>
      <vt:variant>
        <vt:lpwstr/>
      </vt:variant>
      <vt:variant>
        <vt:lpwstr>_Toc134530678</vt:lpwstr>
      </vt:variant>
      <vt:variant>
        <vt:i4>1441840</vt:i4>
      </vt:variant>
      <vt:variant>
        <vt:i4>236</vt:i4>
      </vt:variant>
      <vt:variant>
        <vt:i4>0</vt:i4>
      </vt:variant>
      <vt:variant>
        <vt:i4>5</vt:i4>
      </vt:variant>
      <vt:variant>
        <vt:lpwstr/>
      </vt:variant>
      <vt:variant>
        <vt:lpwstr>_Toc134530677</vt:lpwstr>
      </vt:variant>
      <vt:variant>
        <vt:i4>1441840</vt:i4>
      </vt:variant>
      <vt:variant>
        <vt:i4>230</vt:i4>
      </vt:variant>
      <vt:variant>
        <vt:i4>0</vt:i4>
      </vt:variant>
      <vt:variant>
        <vt:i4>5</vt:i4>
      </vt:variant>
      <vt:variant>
        <vt:lpwstr/>
      </vt:variant>
      <vt:variant>
        <vt:lpwstr>_Toc134530676</vt:lpwstr>
      </vt:variant>
      <vt:variant>
        <vt:i4>1441840</vt:i4>
      </vt:variant>
      <vt:variant>
        <vt:i4>224</vt:i4>
      </vt:variant>
      <vt:variant>
        <vt:i4>0</vt:i4>
      </vt:variant>
      <vt:variant>
        <vt:i4>5</vt:i4>
      </vt:variant>
      <vt:variant>
        <vt:lpwstr/>
      </vt:variant>
      <vt:variant>
        <vt:lpwstr>_Toc134530675</vt:lpwstr>
      </vt:variant>
      <vt:variant>
        <vt:i4>1441840</vt:i4>
      </vt:variant>
      <vt:variant>
        <vt:i4>218</vt:i4>
      </vt:variant>
      <vt:variant>
        <vt:i4>0</vt:i4>
      </vt:variant>
      <vt:variant>
        <vt:i4>5</vt:i4>
      </vt:variant>
      <vt:variant>
        <vt:lpwstr/>
      </vt:variant>
      <vt:variant>
        <vt:lpwstr>_Toc134530674</vt:lpwstr>
      </vt:variant>
      <vt:variant>
        <vt:i4>1441840</vt:i4>
      </vt:variant>
      <vt:variant>
        <vt:i4>212</vt:i4>
      </vt:variant>
      <vt:variant>
        <vt:i4>0</vt:i4>
      </vt:variant>
      <vt:variant>
        <vt:i4>5</vt:i4>
      </vt:variant>
      <vt:variant>
        <vt:lpwstr/>
      </vt:variant>
      <vt:variant>
        <vt:lpwstr>_Toc134530673</vt:lpwstr>
      </vt:variant>
      <vt:variant>
        <vt:i4>1441840</vt:i4>
      </vt:variant>
      <vt:variant>
        <vt:i4>206</vt:i4>
      </vt:variant>
      <vt:variant>
        <vt:i4>0</vt:i4>
      </vt:variant>
      <vt:variant>
        <vt:i4>5</vt:i4>
      </vt:variant>
      <vt:variant>
        <vt:lpwstr/>
      </vt:variant>
      <vt:variant>
        <vt:lpwstr>_Toc134530672</vt:lpwstr>
      </vt:variant>
      <vt:variant>
        <vt:i4>1441840</vt:i4>
      </vt:variant>
      <vt:variant>
        <vt:i4>200</vt:i4>
      </vt:variant>
      <vt:variant>
        <vt:i4>0</vt:i4>
      </vt:variant>
      <vt:variant>
        <vt:i4>5</vt:i4>
      </vt:variant>
      <vt:variant>
        <vt:lpwstr/>
      </vt:variant>
      <vt:variant>
        <vt:lpwstr>_Toc134530671</vt:lpwstr>
      </vt:variant>
      <vt:variant>
        <vt:i4>1441840</vt:i4>
      </vt:variant>
      <vt:variant>
        <vt:i4>194</vt:i4>
      </vt:variant>
      <vt:variant>
        <vt:i4>0</vt:i4>
      </vt:variant>
      <vt:variant>
        <vt:i4>5</vt:i4>
      </vt:variant>
      <vt:variant>
        <vt:lpwstr/>
      </vt:variant>
      <vt:variant>
        <vt:lpwstr>_Toc134530670</vt:lpwstr>
      </vt:variant>
      <vt:variant>
        <vt:i4>1507376</vt:i4>
      </vt:variant>
      <vt:variant>
        <vt:i4>188</vt:i4>
      </vt:variant>
      <vt:variant>
        <vt:i4>0</vt:i4>
      </vt:variant>
      <vt:variant>
        <vt:i4>5</vt:i4>
      </vt:variant>
      <vt:variant>
        <vt:lpwstr/>
      </vt:variant>
      <vt:variant>
        <vt:lpwstr>_Toc134530669</vt:lpwstr>
      </vt:variant>
      <vt:variant>
        <vt:i4>1507376</vt:i4>
      </vt:variant>
      <vt:variant>
        <vt:i4>182</vt:i4>
      </vt:variant>
      <vt:variant>
        <vt:i4>0</vt:i4>
      </vt:variant>
      <vt:variant>
        <vt:i4>5</vt:i4>
      </vt:variant>
      <vt:variant>
        <vt:lpwstr/>
      </vt:variant>
      <vt:variant>
        <vt:lpwstr>_Toc134530668</vt:lpwstr>
      </vt:variant>
      <vt:variant>
        <vt:i4>1507376</vt:i4>
      </vt:variant>
      <vt:variant>
        <vt:i4>176</vt:i4>
      </vt:variant>
      <vt:variant>
        <vt:i4>0</vt:i4>
      </vt:variant>
      <vt:variant>
        <vt:i4>5</vt:i4>
      </vt:variant>
      <vt:variant>
        <vt:lpwstr/>
      </vt:variant>
      <vt:variant>
        <vt:lpwstr>_Toc134530667</vt:lpwstr>
      </vt:variant>
      <vt:variant>
        <vt:i4>1507376</vt:i4>
      </vt:variant>
      <vt:variant>
        <vt:i4>170</vt:i4>
      </vt:variant>
      <vt:variant>
        <vt:i4>0</vt:i4>
      </vt:variant>
      <vt:variant>
        <vt:i4>5</vt:i4>
      </vt:variant>
      <vt:variant>
        <vt:lpwstr/>
      </vt:variant>
      <vt:variant>
        <vt:lpwstr>_Toc134530666</vt:lpwstr>
      </vt:variant>
      <vt:variant>
        <vt:i4>1507376</vt:i4>
      </vt:variant>
      <vt:variant>
        <vt:i4>164</vt:i4>
      </vt:variant>
      <vt:variant>
        <vt:i4>0</vt:i4>
      </vt:variant>
      <vt:variant>
        <vt:i4>5</vt:i4>
      </vt:variant>
      <vt:variant>
        <vt:lpwstr/>
      </vt:variant>
      <vt:variant>
        <vt:lpwstr>_Toc134530665</vt:lpwstr>
      </vt:variant>
      <vt:variant>
        <vt:i4>1507376</vt:i4>
      </vt:variant>
      <vt:variant>
        <vt:i4>158</vt:i4>
      </vt:variant>
      <vt:variant>
        <vt:i4>0</vt:i4>
      </vt:variant>
      <vt:variant>
        <vt:i4>5</vt:i4>
      </vt:variant>
      <vt:variant>
        <vt:lpwstr/>
      </vt:variant>
      <vt:variant>
        <vt:lpwstr>_Toc134530664</vt:lpwstr>
      </vt:variant>
      <vt:variant>
        <vt:i4>1507376</vt:i4>
      </vt:variant>
      <vt:variant>
        <vt:i4>152</vt:i4>
      </vt:variant>
      <vt:variant>
        <vt:i4>0</vt:i4>
      </vt:variant>
      <vt:variant>
        <vt:i4>5</vt:i4>
      </vt:variant>
      <vt:variant>
        <vt:lpwstr/>
      </vt:variant>
      <vt:variant>
        <vt:lpwstr>_Toc134530663</vt:lpwstr>
      </vt:variant>
      <vt:variant>
        <vt:i4>1507376</vt:i4>
      </vt:variant>
      <vt:variant>
        <vt:i4>146</vt:i4>
      </vt:variant>
      <vt:variant>
        <vt:i4>0</vt:i4>
      </vt:variant>
      <vt:variant>
        <vt:i4>5</vt:i4>
      </vt:variant>
      <vt:variant>
        <vt:lpwstr/>
      </vt:variant>
      <vt:variant>
        <vt:lpwstr>_Toc134530662</vt:lpwstr>
      </vt:variant>
      <vt:variant>
        <vt:i4>1507376</vt:i4>
      </vt:variant>
      <vt:variant>
        <vt:i4>140</vt:i4>
      </vt:variant>
      <vt:variant>
        <vt:i4>0</vt:i4>
      </vt:variant>
      <vt:variant>
        <vt:i4>5</vt:i4>
      </vt:variant>
      <vt:variant>
        <vt:lpwstr/>
      </vt:variant>
      <vt:variant>
        <vt:lpwstr>_Toc134530661</vt:lpwstr>
      </vt:variant>
      <vt:variant>
        <vt:i4>1507376</vt:i4>
      </vt:variant>
      <vt:variant>
        <vt:i4>134</vt:i4>
      </vt:variant>
      <vt:variant>
        <vt:i4>0</vt:i4>
      </vt:variant>
      <vt:variant>
        <vt:i4>5</vt:i4>
      </vt:variant>
      <vt:variant>
        <vt:lpwstr/>
      </vt:variant>
      <vt:variant>
        <vt:lpwstr>_Toc134530660</vt:lpwstr>
      </vt:variant>
      <vt:variant>
        <vt:i4>1310768</vt:i4>
      </vt:variant>
      <vt:variant>
        <vt:i4>128</vt:i4>
      </vt:variant>
      <vt:variant>
        <vt:i4>0</vt:i4>
      </vt:variant>
      <vt:variant>
        <vt:i4>5</vt:i4>
      </vt:variant>
      <vt:variant>
        <vt:lpwstr/>
      </vt:variant>
      <vt:variant>
        <vt:lpwstr>_Toc134530659</vt:lpwstr>
      </vt:variant>
      <vt:variant>
        <vt:i4>1310768</vt:i4>
      </vt:variant>
      <vt:variant>
        <vt:i4>122</vt:i4>
      </vt:variant>
      <vt:variant>
        <vt:i4>0</vt:i4>
      </vt:variant>
      <vt:variant>
        <vt:i4>5</vt:i4>
      </vt:variant>
      <vt:variant>
        <vt:lpwstr/>
      </vt:variant>
      <vt:variant>
        <vt:lpwstr>_Toc134530658</vt:lpwstr>
      </vt:variant>
      <vt:variant>
        <vt:i4>1310768</vt:i4>
      </vt:variant>
      <vt:variant>
        <vt:i4>116</vt:i4>
      </vt:variant>
      <vt:variant>
        <vt:i4>0</vt:i4>
      </vt:variant>
      <vt:variant>
        <vt:i4>5</vt:i4>
      </vt:variant>
      <vt:variant>
        <vt:lpwstr/>
      </vt:variant>
      <vt:variant>
        <vt:lpwstr>_Toc134530657</vt:lpwstr>
      </vt:variant>
      <vt:variant>
        <vt:i4>1310768</vt:i4>
      </vt:variant>
      <vt:variant>
        <vt:i4>110</vt:i4>
      </vt:variant>
      <vt:variant>
        <vt:i4>0</vt:i4>
      </vt:variant>
      <vt:variant>
        <vt:i4>5</vt:i4>
      </vt:variant>
      <vt:variant>
        <vt:lpwstr/>
      </vt:variant>
      <vt:variant>
        <vt:lpwstr>_Toc134530656</vt:lpwstr>
      </vt:variant>
      <vt:variant>
        <vt:i4>1310768</vt:i4>
      </vt:variant>
      <vt:variant>
        <vt:i4>104</vt:i4>
      </vt:variant>
      <vt:variant>
        <vt:i4>0</vt:i4>
      </vt:variant>
      <vt:variant>
        <vt:i4>5</vt:i4>
      </vt:variant>
      <vt:variant>
        <vt:lpwstr/>
      </vt:variant>
      <vt:variant>
        <vt:lpwstr>_Toc134530655</vt:lpwstr>
      </vt:variant>
      <vt:variant>
        <vt:i4>1310768</vt:i4>
      </vt:variant>
      <vt:variant>
        <vt:i4>98</vt:i4>
      </vt:variant>
      <vt:variant>
        <vt:i4>0</vt:i4>
      </vt:variant>
      <vt:variant>
        <vt:i4>5</vt:i4>
      </vt:variant>
      <vt:variant>
        <vt:lpwstr/>
      </vt:variant>
      <vt:variant>
        <vt:lpwstr>_Toc134530654</vt:lpwstr>
      </vt:variant>
      <vt:variant>
        <vt:i4>1310768</vt:i4>
      </vt:variant>
      <vt:variant>
        <vt:i4>92</vt:i4>
      </vt:variant>
      <vt:variant>
        <vt:i4>0</vt:i4>
      </vt:variant>
      <vt:variant>
        <vt:i4>5</vt:i4>
      </vt:variant>
      <vt:variant>
        <vt:lpwstr/>
      </vt:variant>
      <vt:variant>
        <vt:lpwstr>_Toc134530653</vt:lpwstr>
      </vt:variant>
      <vt:variant>
        <vt:i4>1310768</vt:i4>
      </vt:variant>
      <vt:variant>
        <vt:i4>86</vt:i4>
      </vt:variant>
      <vt:variant>
        <vt:i4>0</vt:i4>
      </vt:variant>
      <vt:variant>
        <vt:i4>5</vt:i4>
      </vt:variant>
      <vt:variant>
        <vt:lpwstr/>
      </vt:variant>
      <vt:variant>
        <vt:lpwstr>_Toc134530652</vt:lpwstr>
      </vt:variant>
      <vt:variant>
        <vt:i4>1310768</vt:i4>
      </vt:variant>
      <vt:variant>
        <vt:i4>80</vt:i4>
      </vt:variant>
      <vt:variant>
        <vt:i4>0</vt:i4>
      </vt:variant>
      <vt:variant>
        <vt:i4>5</vt:i4>
      </vt:variant>
      <vt:variant>
        <vt:lpwstr/>
      </vt:variant>
      <vt:variant>
        <vt:lpwstr>_Toc134530651</vt:lpwstr>
      </vt:variant>
      <vt:variant>
        <vt:i4>1310768</vt:i4>
      </vt:variant>
      <vt:variant>
        <vt:i4>74</vt:i4>
      </vt:variant>
      <vt:variant>
        <vt:i4>0</vt:i4>
      </vt:variant>
      <vt:variant>
        <vt:i4>5</vt:i4>
      </vt:variant>
      <vt:variant>
        <vt:lpwstr/>
      </vt:variant>
      <vt:variant>
        <vt:lpwstr>_Toc134530650</vt:lpwstr>
      </vt:variant>
      <vt:variant>
        <vt:i4>1376304</vt:i4>
      </vt:variant>
      <vt:variant>
        <vt:i4>68</vt:i4>
      </vt:variant>
      <vt:variant>
        <vt:i4>0</vt:i4>
      </vt:variant>
      <vt:variant>
        <vt:i4>5</vt:i4>
      </vt:variant>
      <vt:variant>
        <vt:lpwstr/>
      </vt:variant>
      <vt:variant>
        <vt:lpwstr>_Toc134530649</vt:lpwstr>
      </vt:variant>
      <vt:variant>
        <vt:i4>1376304</vt:i4>
      </vt:variant>
      <vt:variant>
        <vt:i4>62</vt:i4>
      </vt:variant>
      <vt:variant>
        <vt:i4>0</vt:i4>
      </vt:variant>
      <vt:variant>
        <vt:i4>5</vt:i4>
      </vt:variant>
      <vt:variant>
        <vt:lpwstr/>
      </vt:variant>
      <vt:variant>
        <vt:lpwstr>_Toc134530648</vt:lpwstr>
      </vt:variant>
      <vt:variant>
        <vt:i4>1376304</vt:i4>
      </vt:variant>
      <vt:variant>
        <vt:i4>56</vt:i4>
      </vt:variant>
      <vt:variant>
        <vt:i4>0</vt:i4>
      </vt:variant>
      <vt:variant>
        <vt:i4>5</vt:i4>
      </vt:variant>
      <vt:variant>
        <vt:lpwstr/>
      </vt:variant>
      <vt:variant>
        <vt:lpwstr>_Toc134530647</vt:lpwstr>
      </vt:variant>
      <vt:variant>
        <vt:i4>1376304</vt:i4>
      </vt:variant>
      <vt:variant>
        <vt:i4>50</vt:i4>
      </vt:variant>
      <vt:variant>
        <vt:i4>0</vt:i4>
      </vt:variant>
      <vt:variant>
        <vt:i4>5</vt:i4>
      </vt:variant>
      <vt:variant>
        <vt:lpwstr/>
      </vt:variant>
      <vt:variant>
        <vt:lpwstr>_Toc134530646</vt:lpwstr>
      </vt:variant>
      <vt:variant>
        <vt:i4>1376304</vt:i4>
      </vt:variant>
      <vt:variant>
        <vt:i4>44</vt:i4>
      </vt:variant>
      <vt:variant>
        <vt:i4>0</vt:i4>
      </vt:variant>
      <vt:variant>
        <vt:i4>5</vt:i4>
      </vt:variant>
      <vt:variant>
        <vt:lpwstr/>
      </vt:variant>
      <vt:variant>
        <vt:lpwstr>_Toc134530645</vt:lpwstr>
      </vt:variant>
      <vt:variant>
        <vt:i4>1376304</vt:i4>
      </vt:variant>
      <vt:variant>
        <vt:i4>38</vt:i4>
      </vt:variant>
      <vt:variant>
        <vt:i4>0</vt:i4>
      </vt:variant>
      <vt:variant>
        <vt:i4>5</vt:i4>
      </vt:variant>
      <vt:variant>
        <vt:lpwstr/>
      </vt:variant>
      <vt:variant>
        <vt:lpwstr>_Toc134530644</vt:lpwstr>
      </vt:variant>
      <vt:variant>
        <vt:i4>1376304</vt:i4>
      </vt:variant>
      <vt:variant>
        <vt:i4>32</vt:i4>
      </vt:variant>
      <vt:variant>
        <vt:i4>0</vt:i4>
      </vt:variant>
      <vt:variant>
        <vt:i4>5</vt:i4>
      </vt:variant>
      <vt:variant>
        <vt:lpwstr/>
      </vt:variant>
      <vt:variant>
        <vt:lpwstr>_Toc134530643</vt:lpwstr>
      </vt:variant>
      <vt:variant>
        <vt:i4>1376304</vt:i4>
      </vt:variant>
      <vt:variant>
        <vt:i4>26</vt:i4>
      </vt:variant>
      <vt:variant>
        <vt:i4>0</vt:i4>
      </vt:variant>
      <vt:variant>
        <vt:i4>5</vt:i4>
      </vt:variant>
      <vt:variant>
        <vt:lpwstr/>
      </vt:variant>
      <vt:variant>
        <vt:lpwstr>_Toc134530642</vt:lpwstr>
      </vt:variant>
      <vt:variant>
        <vt:i4>1376304</vt:i4>
      </vt:variant>
      <vt:variant>
        <vt:i4>20</vt:i4>
      </vt:variant>
      <vt:variant>
        <vt:i4>0</vt:i4>
      </vt:variant>
      <vt:variant>
        <vt:i4>5</vt:i4>
      </vt:variant>
      <vt:variant>
        <vt:lpwstr/>
      </vt:variant>
      <vt:variant>
        <vt:lpwstr>_Toc134530641</vt:lpwstr>
      </vt:variant>
      <vt:variant>
        <vt:i4>1376304</vt:i4>
      </vt:variant>
      <vt:variant>
        <vt:i4>14</vt:i4>
      </vt:variant>
      <vt:variant>
        <vt:i4>0</vt:i4>
      </vt:variant>
      <vt:variant>
        <vt:i4>5</vt:i4>
      </vt:variant>
      <vt:variant>
        <vt:lpwstr/>
      </vt:variant>
      <vt:variant>
        <vt:lpwstr>_Toc134530640</vt:lpwstr>
      </vt:variant>
      <vt:variant>
        <vt:i4>1179696</vt:i4>
      </vt:variant>
      <vt:variant>
        <vt:i4>8</vt:i4>
      </vt:variant>
      <vt:variant>
        <vt:i4>0</vt:i4>
      </vt:variant>
      <vt:variant>
        <vt:i4>5</vt:i4>
      </vt:variant>
      <vt:variant>
        <vt:lpwstr/>
      </vt:variant>
      <vt:variant>
        <vt:lpwstr>_Toc134530639</vt:lpwstr>
      </vt:variant>
      <vt:variant>
        <vt:i4>1179696</vt:i4>
      </vt:variant>
      <vt:variant>
        <vt:i4>2</vt:i4>
      </vt:variant>
      <vt:variant>
        <vt:i4>0</vt:i4>
      </vt:variant>
      <vt:variant>
        <vt:i4>5</vt:i4>
      </vt:variant>
      <vt:variant>
        <vt:lpwstr/>
      </vt:variant>
      <vt:variant>
        <vt:lpwstr>_Toc134530638</vt:lpwstr>
      </vt:variant>
      <vt:variant>
        <vt:i4>6160462</vt:i4>
      </vt:variant>
      <vt:variant>
        <vt:i4>0</vt:i4>
      </vt:variant>
      <vt:variant>
        <vt:i4>0</vt:i4>
      </vt:variant>
      <vt:variant>
        <vt:i4>5</vt:i4>
      </vt:variant>
      <vt:variant>
        <vt:lpwstr>https://sites.google.com/site/riskofbiastool/welcome/rob-2-0-tool/current-version-of-rob-2?authuser=0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2023-10-31T04:00:00Z</dcterms:created>
  <dcterms:modified xsi:type="dcterms:W3CDTF">2023-10-31T04:02:00Z</dcterms:modified>
</cp:coreProperties>
</file>