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6CCFE237" w:rsidR="00B60939" w:rsidRPr="00FA1E86" w:rsidRDefault="00EB5BF4" w:rsidP="00020C4C">
      <w:pPr>
        <w:pStyle w:val="COMH1-non-numbered"/>
      </w:pPr>
      <w:bookmarkStart w:id="0" w:name="_Toc135227800"/>
      <w:r>
        <w:t>5</w:t>
      </w:r>
      <w:r w:rsidR="00433044" w:rsidRPr="00FA1E86">
        <w:t>.</w:t>
      </w:r>
      <w:r>
        <w:t>14</w:t>
      </w:r>
      <w:r w:rsidR="00163F66" w:rsidRPr="00FA1E86">
        <w:tab/>
      </w:r>
      <w:r w:rsidR="00316194" w:rsidRPr="00FA1E86">
        <w:t>TIRZEPATIDE</w:t>
      </w:r>
      <w:r w:rsidR="00584C1D">
        <w:t>,</w:t>
      </w:r>
      <w:r w:rsidR="00163F66" w:rsidRPr="00FA1E86">
        <w:br/>
      </w:r>
      <w:r w:rsidR="009A6F51" w:rsidRPr="00FA1E86">
        <w:t>I</w:t>
      </w:r>
      <w:r w:rsidR="00032EA1" w:rsidRPr="00FA1E86">
        <w:t xml:space="preserve">njection </w:t>
      </w:r>
      <w:r w:rsidR="005B2255" w:rsidRPr="00FA1E86">
        <w:t>2.5 mg</w:t>
      </w:r>
      <w:r w:rsidR="00020C4C" w:rsidRPr="00FA1E86">
        <w:t xml:space="preserve"> in 0.5 mL</w:t>
      </w:r>
      <w:r w:rsidR="007401D2">
        <w:t xml:space="preserve"> </w:t>
      </w:r>
      <w:r w:rsidR="007401D2" w:rsidRPr="007401D2">
        <w:t>pre-filled pen</w:t>
      </w:r>
      <w:r w:rsidR="005B2255" w:rsidRPr="00FA1E86">
        <w:t xml:space="preserve">, </w:t>
      </w:r>
      <w:r w:rsidR="00020C4C" w:rsidRPr="00FA1E86">
        <w:br/>
        <w:t xml:space="preserve">Injection </w:t>
      </w:r>
      <w:r w:rsidR="005B2255" w:rsidRPr="00FA1E86">
        <w:t>5 mg</w:t>
      </w:r>
      <w:r w:rsidR="00020C4C" w:rsidRPr="00FA1E86">
        <w:t xml:space="preserve"> in 0.5 mL</w:t>
      </w:r>
      <w:r w:rsidR="007401D2">
        <w:t xml:space="preserve"> </w:t>
      </w:r>
      <w:r w:rsidR="007401D2" w:rsidRPr="007401D2">
        <w:t>pre-filled pen</w:t>
      </w:r>
      <w:r w:rsidR="005B2255" w:rsidRPr="00FA1E86">
        <w:t xml:space="preserve">, </w:t>
      </w:r>
      <w:r w:rsidR="00020C4C" w:rsidRPr="00FA1E86">
        <w:br/>
        <w:t>Injection 7.5 mg in 0.5 mL</w:t>
      </w:r>
      <w:r w:rsidR="007401D2">
        <w:t xml:space="preserve"> </w:t>
      </w:r>
      <w:r w:rsidR="007401D2" w:rsidRPr="007401D2">
        <w:t>pre-filled pen</w:t>
      </w:r>
      <w:r w:rsidR="00163F66" w:rsidRPr="00FA1E86">
        <w:t>,</w:t>
      </w:r>
      <w:r w:rsidR="002D2B82" w:rsidRPr="00FA1E86">
        <w:br/>
        <w:t>Injection 10 mg in 0.5 mL</w:t>
      </w:r>
      <w:r w:rsidR="007401D2">
        <w:t xml:space="preserve"> </w:t>
      </w:r>
      <w:r w:rsidR="007401D2" w:rsidRPr="007401D2">
        <w:t>pre-filled pen</w:t>
      </w:r>
      <w:r w:rsidR="002D2B82" w:rsidRPr="00FA1E86">
        <w:t>,</w:t>
      </w:r>
      <w:r w:rsidR="002D2B82" w:rsidRPr="00FA1E86">
        <w:br/>
        <w:t>Injection 12.5 mg in 0.5 mL</w:t>
      </w:r>
      <w:r w:rsidR="007401D2">
        <w:t xml:space="preserve"> </w:t>
      </w:r>
      <w:r w:rsidR="007401D2" w:rsidRPr="007401D2">
        <w:t>pre-filled pen</w:t>
      </w:r>
      <w:r w:rsidR="002D2B82" w:rsidRPr="00FA1E86">
        <w:t>,</w:t>
      </w:r>
      <w:r w:rsidR="002D2B82" w:rsidRPr="00FA1E86">
        <w:br/>
        <w:t>Injection 15 mg in 0.5 mL</w:t>
      </w:r>
      <w:r w:rsidR="007401D2">
        <w:t xml:space="preserve"> </w:t>
      </w:r>
      <w:r w:rsidR="007401D2" w:rsidRPr="007401D2">
        <w:t>pre-filled pen</w:t>
      </w:r>
      <w:r w:rsidR="002D2B82" w:rsidRPr="00FA1E86">
        <w:t>,</w:t>
      </w:r>
      <w:r w:rsidR="00163F66" w:rsidRPr="00FA1E86">
        <w:br/>
      </w:r>
      <w:r w:rsidR="00C6646E" w:rsidRPr="00FA1E86">
        <w:t>Mounjaro</w:t>
      </w:r>
      <w:r w:rsidR="00B60939" w:rsidRPr="00FA1E86">
        <w:rPr>
          <w:vertAlign w:val="superscript"/>
        </w:rPr>
        <w:t>®</w:t>
      </w:r>
      <w:r w:rsidR="004A6040" w:rsidRPr="00FA1E86">
        <w:t>,</w:t>
      </w:r>
      <w:r w:rsidR="004A6040" w:rsidRPr="00FA1E86">
        <w:br/>
      </w:r>
      <w:r w:rsidR="00C6646E" w:rsidRPr="00FA1E86">
        <w:t>Eli Lilly Australia Pty Ltd</w:t>
      </w:r>
      <w:bookmarkEnd w:id="0"/>
      <w:r w:rsidR="00204EDA">
        <w:t>.</w:t>
      </w:r>
    </w:p>
    <w:p w14:paraId="11C00795" w14:textId="0FD2F334" w:rsidR="00B50DB8" w:rsidRPr="00885FE5" w:rsidRDefault="00B50DB8" w:rsidP="004A6040">
      <w:pPr>
        <w:pStyle w:val="COMH1numbered"/>
      </w:pPr>
      <w:bookmarkStart w:id="1" w:name="_Toc135227802"/>
      <w:r w:rsidRPr="00885FE5">
        <w:t xml:space="preserve">Purpose of </w:t>
      </w:r>
      <w:r w:rsidR="00CD7193" w:rsidRPr="00885FE5">
        <w:t>s</w:t>
      </w:r>
      <w:r w:rsidR="00BB3A45" w:rsidRPr="00885FE5">
        <w:t>ubmission</w:t>
      </w:r>
      <w:bookmarkEnd w:id="1"/>
    </w:p>
    <w:p w14:paraId="19414AA1" w14:textId="691853DC" w:rsidR="002C2775" w:rsidRPr="00FA1E86" w:rsidRDefault="007170DA" w:rsidP="004E18E9">
      <w:pPr>
        <w:pStyle w:val="COMexecsumnumberedpara"/>
      </w:pPr>
      <w:r w:rsidRPr="00FA1E86">
        <w:t xml:space="preserve">The </w:t>
      </w:r>
      <w:r w:rsidR="00F73E08" w:rsidRPr="00FA1E86">
        <w:t xml:space="preserve">Category </w:t>
      </w:r>
      <w:r w:rsidR="00367E94" w:rsidRPr="00FA1E86">
        <w:t>2</w:t>
      </w:r>
      <w:r w:rsidR="00F73E08" w:rsidRPr="00FA1E86">
        <w:t xml:space="preserve"> </w:t>
      </w:r>
      <w:r w:rsidRPr="00FA1E86">
        <w:t xml:space="preserve">submission requested </w:t>
      </w:r>
      <w:r w:rsidR="00367E94" w:rsidRPr="00FA1E86">
        <w:t>an A</w:t>
      </w:r>
      <w:r w:rsidR="008B1757" w:rsidRPr="00FA1E86">
        <w:t>uthority Required</w:t>
      </w:r>
      <w:r w:rsidR="00367E94" w:rsidRPr="00FA1E86">
        <w:t xml:space="preserve"> (Telephone/Online) l</w:t>
      </w:r>
      <w:r w:rsidR="008B1757" w:rsidRPr="00FA1E86">
        <w:t xml:space="preserve">isting for </w:t>
      </w:r>
      <w:r w:rsidR="00367E94" w:rsidRPr="00FA1E86">
        <w:t>tirzepatide</w:t>
      </w:r>
      <w:r w:rsidR="008B1757" w:rsidRPr="00FA1E86">
        <w:t xml:space="preserve"> for </w:t>
      </w:r>
      <w:r w:rsidR="0050174E" w:rsidRPr="00FA1E86">
        <w:t xml:space="preserve">the </w:t>
      </w:r>
      <w:r w:rsidR="008B1757" w:rsidRPr="00FA1E86">
        <w:t>treatment of</w:t>
      </w:r>
      <w:r w:rsidR="00367E94" w:rsidRPr="00FA1E86">
        <w:t xml:space="preserve"> adult patients with inadequately controlled type 2 diabetes as dual therapy in combination with metformin.</w:t>
      </w:r>
    </w:p>
    <w:p w14:paraId="34B66E00" w14:textId="77777777" w:rsidR="00EC2D33" w:rsidRDefault="000F710A" w:rsidP="004E18E9">
      <w:pPr>
        <w:pStyle w:val="COMexecsumnumberedpara"/>
      </w:pPr>
      <w:r w:rsidRPr="00FA1E86">
        <w:t xml:space="preserve">The submission claimed there remains a high unmet need for treatment alternatives that effectively address both glycaemic control and weight reduction, potentially mitigating the impact of disease progression and diabetes-related complications to the patient and broader society. The submission claimed tirzepatide offers superior effectiveness compared to </w:t>
      </w:r>
      <w:r w:rsidR="008E11B2" w:rsidRPr="00FA1E86">
        <w:t>existing treatment options</w:t>
      </w:r>
      <w:r w:rsidRPr="00FA1E86">
        <w:t>, with a favourable safety and tolerability profile.</w:t>
      </w:r>
    </w:p>
    <w:p w14:paraId="4E9FBCB5" w14:textId="11E5B752" w:rsidR="00C2778B" w:rsidRPr="00FA1E86" w:rsidRDefault="008E11B2" w:rsidP="008E11B2">
      <w:pPr>
        <w:pStyle w:val="COMexecsumnumberedpara"/>
      </w:pPr>
      <w:r w:rsidRPr="00FA1E86">
        <w:t>Listing was requested on the basis of a cost-effectiveness analysis versus current GLP</w:t>
      </w:r>
      <w:r w:rsidR="00A87863" w:rsidRPr="00FA1E86">
        <w:noBreakHyphen/>
      </w:r>
      <w:r w:rsidRPr="00FA1E86">
        <w:t>1 RA therapies (semaglutide, dulaglutide).</w:t>
      </w:r>
    </w:p>
    <w:p w14:paraId="3DA78AF0" w14:textId="7B46B8D1" w:rsidR="008E11B2" w:rsidRPr="00FA1E86" w:rsidRDefault="00733C06" w:rsidP="00E94884">
      <w:pPr>
        <w:pStyle w:val="COMtablefigcaption"/>
      </w:pPr>
      <w:r w:rsidRPr="00FA1E86">
        <w:t xml:space="preserve">Table </w:t>
      </w:r>
      <w:fldSimple w:instr=" SEQ Table \* ARABIC " w:fldLock="1">
        <w:r w:rsidR="00B71E27">
          <w:rPr>
            <w:noProof/>
          </w:rPr>
          <w:t>1</w:t>
        </w:r>
      </w:fldSimple>
      <w:r w:rsidR="008E11B2" w:rsidRPr="00FA1E86">
        <w:t>: Key components of the clinical issue addressed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8E11B2" w:rsidRPr="00FA1E86" w14:paraId="2B51FF24" w14:textId="77777777" w:rsidTr="00253C04">
        <w:tc>
          <w:tcPr>
            <w:tcW w:w="1668" w:type="dxa"/>
            <w:vAlign w:val="center"/>
          </w:tcPr>
          <w:p w14:paraId="5F89DB33" w14:textId="77777777" w:rsidR="008E11B2" w:rsidRPr="00FA1E86" w:rsidRDefault="008E11B2" w:rsidP="00253C04">
            <w:pPr>
              <w:pStyle w:val="COMTableheadingrow"/>
              <w:rPr>
                <w:lang w:val="en-AU"/>
              </w:rPr>
            </w:pPr>
            <w:r w:rsidRPr="00FA1E86">
              <w:rPr>
                <w:lang w:val="en-AU"/>
              </w:rPr>
              <w:t>Component</w:t>
            </w:r>
          </w:p>
        </w:tc>
        <w:tc>
          <w:tcPr>
            <w:tcW w:w="7488" w:type="dxa"/>
            <w:vAlign w:val="center"/>
          </w:tcPr>
          <w:p w14:paraId="46AB0E57" w14:textId="77777777" w:rsidR="008E11B2" w:rsidRPr="00FA1E86" w:rsidRDefault="008E11B2" w:rsidP="00253C04">
            <w:pPr>
              <w:pStyle w:val="COMTableheadingrow"/>
              <w:rPr>
                <w:lang w:val="en-AU"/>
              </w:rPr>
            </w:pPr>
            <w:r w:rsidRPr="00FA1E86">
              <w:rPr>
                <w:lang w:val="en-AU"/>
              </w:rPr>
              <w:t>Description</w:t>
            </w:r>
          </w:p>
        </w:tc>
      </w:tr>
      <w:tr w:rsidR="008E11B2" w:rsidRPr="00FA1E86" w14:paraId="2545FA3D" w14:textId="77777777" w:rsidTr="00253C04">
        <w:tc>
          <w:tcPr>
            <w:tcW w:w="1668" w:type="dxa"/>
            <w:vAlign w:val="center"/>
          </w:tcPr>
          <w:p w14:paraId="03B5D243" w14:textId="77777777" w:rsidR="008E11B2" w:rsidRPr="00FA1E86" w:rsidRDefault="008E11B2" w:rsidP="00253C04">
            <w:pPr>
              <w:pStyle w:val="COMTabletext"/>
            </w:pPr>
            <w:r w:rsidRPr="00FA1E86">
              <w:t>Population</w:t>
            </w:r>
          </w:p>
        </w:tc>
        <w:tc>
          <w:tcPr>
            <w:tcW w:w="7488" w:type="dxa"/>
            <w:vAlign w:val="center"/>
          </w:tcPr>
          <w:p w14:paraId="71500112" w14:textId="77777777" w:rsidR="008E11B2" w:rsidRPr="00FA1E86" w:rsidRDefault="008E11B2" w:rsidP="00253C04">
            <w:pPr>
              <w:pStyle w:val="COMTabletext"/>
              <w:rPr>
                <w:vertAlign w:val="superscript"/>
              </w:rPr>
            </w:pPr>
            <w:r w:rsidRPr="00FA1E86">
              <w:t xml:space="preserve">Patients with inadequately controlled type 2 diabetes, who meet specific prior therapy criteria </w:t>
            </w:r>
            <w:r w:rsidRPr="00FA1E86">
              <w:rPr>
                <w:vertAlign w:val="superscript"/>
              </w:rPr>
              <w:t>a</w:t>
            </w:r>
          </w:p>
        </w:tc>
      </w:tr>
      <w:tr w:rsidR="008E11B2" w:rsidRPr="00FA1E86" w14:paraId="7BE4101D" w14:textId="77777777" w:rsidTr="00253C04">
        <w:tc>
          <w:tcPr>
            <w:tcW w:w="1668" w:type="dxa"/>
            <w:vAlign w:val="center"/>
          </w:tcPr>
          <w:p w14:paraId="089DC2D1" w14:textId="77777777" w:rsidR="008E11B2" w:rsidRPr="00FA1E86" w:rsidRDefault="008E11B2" w:rsidP="00253C04">
            <w:pPr>
              <w:pStyle w:val="COMTabletext"/>
            </w:pPr>
            <w:r w:rsidRPr="00FA1E86">
              <w:t>Intervention</w:t>
            </w:r>
          </w:p>
        </w:tc>
        <w:tc>
          <w:tcPr>
            <w:tcW w:w="7488" w:type="dxa"/>
            <w:vAlign w:val="center"/>
          </w:tcPr>
          <w:p w14:paraId="2747786F" w14:textId="77777777" w:rsidR="008E11B2" w:rsidRPr="00FA1E86" w:rsidRDefault="008E11B2" w:rsidP="00253C04">
            <w:pPr>
              <w:pStyle w:val="COMTabletext"/>
            </w:pPr>
            <w:r w:rsidRPr="00FA1E86">
              <w:t xml:space="preserve">Tirzepatide 5 mg, 10 </w:t>
            </w:r>
            <w:proofErr w:type="gramStart"/>
            <w:r w:rsidRPr="00FA1E86">
              <w:t>mg</w:t>
            </w:r>
            <w:proofErr w:type="gramEnd"/>
            <w:r w:rsidRPr="00FA1E86">
              <w:t xml:space="preserve"> or 15 mg subcutaneous injection once weekly </w:t>
            </w:r>
          </w:p>
        </w:tc>
      </w:tr>
      <w:tr w:rsidR="008E11B2" w:rsidRPr="00FA1E86" w14:paraId="2DFB1CEF" w14:textId="77777777" w:rsidTr="00253C04">
        <w:tc>
          <w:tcPr>
            <w:tcW w:w="1668" w:type="dxa"/>
            <w:vAlign w:val="center"/>
          </w:tcPr>
          <w:p w14:paraId="774B27E9" w14:textId="77777777" w:rsidR="008E11B2" w:rsidRPr="00FA1E86" w:rsidRDefault="008E11B2" w:rsidP="00253C04">
            <w:pPr>
              <w:pStyle w:val="COMTabletext"/>
            </w:pPr>
            <w:r w:rsidRPr="00FA1E86">
              <w:t>Comparator</w:t>
            </w:r>
          </w:p>
        </w:tc>
        <w:tc>
          <w:tcPr>
            <w:tcW w:w="7488" w:type="dxa"/>
            <w:vAlign w:val="center"/>
          </w:tcPr>
          <w:p w14:paraId="19470DC2" w14:textId="77777777" w:rsidR="008E11B2" w:rsidRPr="00FA1E86" w:rsidRDefault="008E11B2" w:rsidP="00253C04">
            <w:pPr>
              <w:pStyle w:val="COMTabletext"/>
            </w:pPr>
            <w:r w:rsidRPr="00FA1E86">
              <w:t>Main: Semaglutide 0.5 mg or 1.0 mg subcutaneous injection once weekly</w:t>
            </w:r>
          </w:p>
          <w:p w14:paraId="55E7858C" w14:textId="77777777" w:rsidR="008E11B2" w:rsidRPr="00FA1E86" w:rsidRDefault="008E11B2" w:rsidP="00253C04">
            <w:pPr>
              <w:pStyle w:val="COMTabletext"/>
            </w:pPr>
            <w:r w:rsidRPr="00FA1E86">
              <w:t>Secondary: Dulaglutide 1.5 mg subcutaneous injection once weekly</w:t>
            </w:r>
          </w:p>
        </w:tc>
      </w:tr>
      <w:tr w:rsidR="008E11B2" w:rsidRPr="00FA1E86" w14:paraId="6631285F" w14:textId="77777777" w:rsidTr="00253C04">
        <w:tc>
          <w:tcPr>
            <w:tcW w:w="1668" w:type="dxa"/>
            <w:vAlign w:val="center"/>
          </w:tcPr>
          <w:p w14:paraId="1591C4D5" w14:textId="77777777" w:rsidR="008E11B2" w:rsidRPr="00FA1E86" w:rsidRDefault="008E11B2" w:rsidP="00253C04">
            <w:pPr>
              <w:pStyle w:val="COMTabletext"/>
            </w:pPr>
            <w:r w:rsidRPr="00FA1E86">
              <w:t>Outcomes</w:t>
            </w:r>
          </w:p>
        </w:tc>
        <w:tc>
          <w:tcPr>
            <w:tcW w:w="7488" w:type="dxa"/>
            <w:vAlign w:val="center"/>
          </w:tcPr>
          <w:p w14:paraId="1438E836" w14:textId="77777777" w:rsidR="008E11B2" w:rsidRPr="00FA1E86" w:rsidRDefault="008E11B2" w:rsidP="00253C04">
            <w:pPr>
              <w:pStyle w:val="COMTabletext"/>
            </w:pPr>
            <w:r w:rsidRPr="00FA1E86">
              <w:t>Improved glycaemic control and body weight management leading to reduced macrovascular and microvascular complications, and associated morbidity and mortality associated with these complications</w:t>
            </w:r>
          </w:p>
        </w:tc>
      </w:tr>
      <w:tr w:rsidR="008E11B2" w:rsidRPr="00FA1E86" w14:paraId="66927BA7" w14:textId="77777777" w:rsidTr="00253C04">
        <w:tc>
          <w:tcPr>
            <w:tcW w:w="1668" w:type="dxa"/>
            <w:vAlign w:val="center"/>
          </w:tcPr>
          <w:p w14:paraId="06E6ACAA" w14:textId="77777777" w:rsidR="008E11B2" w:rsidRPr="00FA1E86" w:rsidRDefault="008E11B2" w:rsidP="00253C04">
            <w:pPr>
              <w:pStyle w:val="COMTabletext"/>
            </w:pPr>
            <w:r w:rsidRPr="00FA1E86">
              <w:t>Clinical claim</w:t>
            </w:r>
          </w:p>
        </w:tc>
        <w:tc>
          <w:tcPr>
            <w:tcW w:w="7488" w:type="dxa"/>
            <w:vAlign w:val="center"/>
          </w:tcPr>
          <w:p w14:paraId="5A7ABBAA" w14:textId="77777777" w:rsidR="008E11B2" w:rsidRPr="00FA1E86" w:rsidRDefault="008E11B2" w:rsidP="00253C04">
            <w:pPr>
              <w:pStyle w:val="COMTabletext"/>
            </w:pPr>
            <w:r w:rsidRPr="00FA1E86">
              <w:t>Tirzepatide 5 mg once weekly is superior in terms of efficacy and non-inferior in terms of safety when compared with semaglutide 0.5 mg once weekly, when used in dual therapy with metformin.</w:t>
            </w:r>
          </w:p>
          <w:p w14:paraId="317E54A8" w14:textId="77777777" w:rsidR="008E11B2" w:rsidRPr="00FA1E86" w:rsidRDefault="008E11B2" w:rsidP="00253C04">
            <w:pPr>
              <w:pStyle w:val="COMTabletext"/>
            </w:pPr>
            <w:r w:rsidRPr="00FA1E86">
              <w:t>Tirzepatide 10 mg or 15 mg once weekly is superior in terms of efficacy and non-inferior in terms of safety when compared with semaglutide 1.0 mg once weekly, when used in dual therapy with metformin.</w:t>
            </w:r>
          </w:p>
          <w:p w14:paraId="56827A16" w14:textId="77777777" w:rsidR="008E11B2" w:rsidRPr="00FA1E86" w:rsidRDefault="008E11B2" w:rsidP="00253C04">
            <w:pPr>
              <w:pStyle w:val="COMTabletext"/>
            </w:pPr>
            <w:r w:rsidRPr="00FA1E86">
              <w:t>Tirzepatide 5 mg, 10 mg or 15 mg once weekly is superior in terms of efficacy and non-inferior in terms of safety when compared with dulaglutide 1.5 mg once weekly, when used in dual therapy with metformin.</w:t>
            </w:r>
          </w:p>
        </w:tc>
      </w:tr>
    </w:tbl>
    <w:p w14:paraId="1C9E9175" w14:textId="77777777" w:rsidR="008E11B2" w:rsidRPr="00FA1E86" w:rsidRDefault="008E11B2" w:rsidP="008E11B2">
      <w:pPr>
        <w:pStyle w:val="COMTablefooter"/>
      </w:pPr>
      <w:r w:rsidRPr="00FA1E86">
        <w:t>Source: Table 1-1, p28 of the submission</w:t>
      </w:r>
    </w:p>
    <w:p w14:paraId="5A441E20" w14:textId="7761B331" w:rsidR="006C31AD" w:rsidRPr="00FA1E86" w:rsidRDefault="008E11B2" w:rsidP="004A6040">
      <w:pPr>
        <w:pStyle w:val="COMTablefooter"/>
      </w:pPr>
      <w:r w:rsidRPr="00FA1E86">
        <w:rPr>
          <w:vertAlign w:val="superscript"/>
        </w:rPr>
        <w:t>a</w:t>
      </w:r>
      <w:r w:rsidRPr="00FA1E86">
        <w:t xml:space="preserve"> The target population in the submission was based on a draft restriction for GLP-1RAs in the DUSC Report 2023 (Attachment A8.14 of the submission).</w:t>
      </w:r>
      <w:r w:rsidR="006C31AD" w:rsidRPr="00FA1E86">
        <w:t xml:space="preserve"> In March 2023, the PBAC recommended that the use of GLP-1</w:t>
      </w:r>
      <w:r w:rsidR="00DD03A8" w:rsidRPr="00FA1E86">
        <w:t xml:space="preserve"> </w:t>
      </w:r>
      <w:r w:rsidR="006C31AD" w:rsidRPr="00FA1E86">
        <w:t xml:space="preserve">RAs should be restricted to patients who are contraindicated, </w:t>
      </w:r>
      <w:r w:rsidR="006C31AD" w:rsidRPr="00FA1E86">
        <w:lastRenderedPageBreak/>
        <w:t>intolerant or inadequately responsive to SGLT2 inhibitors. The PBAC noted that further consultation will be conducted on the wording of the restriction</w:t>
      </w:r>
    </w:p>
    <w:p w14:paraId="6B4AB6C2" w14:textId="483817F5" w:rsidR="005C25FF" w:rsidRPr="00FA1E86" w:rsidRDefault="005C25FF" w:rsidP="004A6040">
      <w:pPr>
        <w:pStyle w:val="COMH1numbered"/>
      </w:pPr>
      <w:bookmarkStart w:id="2" w:name="_Toc135227803"/>
      <w:r w:rsidRPr="00FA1E86">
        <w:t>Background</w:t>
      </w:r>
      <w:bookmarkEnd w:id="2"/>
    </w:p>
    <w:p w14:paraId="2C521D6D" w14:textId="53DB3792" w:rsidR="005C25FF" w:rsidRPr="00FA1E86" w:rsidRDefault="005C25FF" w:rsidP="0045707B">
      <w:pPr>
        <w:pStyle w:val="COMH2-non-numbered"/>
      </w:pPr>
      <w:bookmarkStart w:id="3" w:name="_Toc22897638"/>
      <w:bookmarkStart w:id="4" w:name="_Toc135227804"/>
      <w:r w:rsidRPr="00FA1E86">
        <w:t>Registration status</w:t>
      </w:r>
      <w:bookmarkEnd w:id="3"/>
      <w:bookmarkEnd w:id="4"/>
    </w:p>
    <w:p w14:paraId="169E2BCB" w14:textId="052A5AC5" w:rsidR="00504FEE" w:rsidRPr="00FA1E86" w:rsidRDefault="00504FEE" w:rsidP="00EE11D5">
      <w:pPr>
        <w:pStyle w:val="COMexecsumnumberedpara"/>
        <w:spacing w:after="60"/>
      </w:pPr>
      <w:r w:rsidRPr="00FA1E86">
        <w:t>The TGA approved tirzepatide (pre-filled pens) on 22 December 2022 for the treatment of adults with insufficiently controlled type 2 diabetes mellitus as an adjunct to diet and exercise:</w:t>
      </w:r>
    </w:p>
    <w:p w14:paraId="4D02BDB2" w14:textId="77777777" w:rsidR="00504FEE" w:rsidRPr="00FA1E86" w:rsidRDefault="00504FEE" w:rsidP="00422C04">
      <w:pPr>
        <w:pStyle w:val="COMexecsumnumberedpara"/>
        <w:numPr>
          <w:ilvl w:val="0"/>
          <w:numId w:val="7"/>
        </w:numPr>
        <w:spacing w:after="60"/>
      </w:pPr>
      <w:r w:rsidRPr="00FA1E86">
        <w:t>as monotherapy when metformin is not tolerated or contraindicated.</w:t>
      </w:r>
    </w:p>
    <w:p w14:paraId="6975DD1B" w14:textId="25C6466C" w:rsidR="00504FEE" w:rsidRPr="00FA1E86" w:rsidRDefault="00504FEE" w:rsidP="00422C04">
      <w:pPr>
        <w:pStyle w:val="COMexecsumnumberedpara"/>
        <w:numPr>
          <w:ilvl w:val="0"/>
          <w:numId w:val="7"/>
        </w:numPr>
        <w:ind w:left="1077" w:hanging="357"/>
      </w:pPr>
      <w:r w:rsidRPr="00FA1E86">
        <w:t>in addition to other medicinal products for the treatment of type 2 diabetes.</w:t>
      </w:r>
    </w:p>
    <w:p w14:paraId="451D7156" w14:textId="2E498BAD" w:rsidR="005C25FF" w:rsidRPr="00BC7837" w:rsidRDefault="00504FEE" w:rsidP="004E18E9">
      <w:pPr>
        <w:pStyle w:val="COMexecsumnumberedpara"/>
      </w:pPr>
      <w:bookmarkStart w:id="5" w:name="_Ref137563492"/>
      <w:r w:rsidRPr="00FA1E86">
        <w:t>The submission stated that the sponsor also plans to request registration for tirzepatide vials (same formulation and dose range as pre-filled pens) for use in Australia to ensure sustainable long-term supply.</w:t>
      </w:r>
      <w:r w:rsidR="00DE772D">
        <w:t xml:space="preserve"> </w:t>
      </w:r>
      <w:r w:rsidR="0059235D" w:rsidRPr="001F3ADC">
        <w:t xml:space="preserve">The Pre-Sub-Committee Response (PSCR) clarified that TGA registration for the vials was lodged on 30 March 2023 with a decision anticipated for the end of June 2023. </w:t>
      </w:r>
      <w:r w:rsidR="00757C7F" w:rsidRPr="001F3ADC">
        <w:t xml:space="preserve">The ESC noted that </w:t>
      </w:r>
      <w:r w:rsidR="00757C7F" w:rsidRPr="001F3ADC">
        <w:rPr>
          <w:rFonts w:eastAsia="Calibri" w:cs="Calibri"/>
          <w:lang w:eastAsia="en-US"/>
        </w:rPr>
        <w:t xml:space="preserve">Category 1 and 2 submissions to the PBAC can be made at any time from the lodgement of a TGA registration dossier (i.e. the PBAC submission cannot be made in advance of commencing an application to the TGA) (section 6.3 of the </w:t>
      </w:r>
      <w:hyperlink r:id="rId8" w:history="1">
        <w:r w:rsidR="00757C7F" w:rsidRPr="001F3ADC">
          <w:rPr>
            <w:rFonts w:eastAsia="Calibri" w:cs="Calibri"/>
            <w:color w:val="0563C1"/>
            <w:u w:val="single"/>
            <w:lang w:eastAsia="en-US"/>
          </w:rPr>
          <w:t>Procedure Guidance</w:t>
        </w:r>
      </w:hyperlink>
      <w:r w:rsidR="00757C7F" w:rsidRPr="001F3ADC">
        <w:rPr>
          <w:rFonts w:eastAsia="Calibri" w:cs="Calibri"/>
          <w:lang w:eastAsia="en-US"/>
        </w:rPr>
        <w:t xml:space="preserve">). </w:t>
      </w:r>
      <w:r w:rsidR="001F207D" w:rsidRPr="001F207D">
        <w:rPr>
          <w:rFonts w:eastAsia="Calibri" w:cs="Calibri"/>
          <w:color w:val="000000"/>
          <w:w w:val="65"/>
          <w:shd w:val="solid" w:color="000000" w:fill="000000"/>
          <w:fitText w:val="505" w:id="-1168382719"/>
          <w:lang w:eastAsia="en-US"/>
          <w14:textFill>
            <w14:solidFill>
              <w14:srgbClr w14:val="000000">
                <w14:alpha w14:val="100000"/>
              </w14:srgbClr>
            </w14:solidFill>
          </w14:textFill>
        </w:rPr>
        <w:t>||</w:t>
      </w:r>
      <w:proofErr w:type="gramStart"/>
      <w:r w:rsidR="001F207D" w:rsidRPr="001F207D">
        <w:rPr>
          <w:rFonts w:eastAsia="Calibri" w:cs="Calibri"/>
          <w:color w:val="000000"/>
          <w:w w:val="65"/>
          <w:shd w:val="solid" w:color="000000" w:fill="000000"/>
          <w:fitText w:val="505" w:id="-1168382719"/>
          <w:lang w:eastAsia="en-US"/>
          <w14:textFill>
            <w14:solidFill>
              <w14:srgbClr w14:val="000000">
                <w14:alpha w14:val="100000"/>
              </w14:srgbClr>
            </w14:solidFill>
          </w14:textFill>
        </w:rPr>
        <w:t>|  |</w:t>
      </w:r>
      <w:proofErr w:type="gramEnd"/>
      <w:r w:rsidR="001F207D" w:rsidRPr="001F207D">
        <w:rPr>
          <w:rFonts w:eastAsia="Calibri" w:cs="Calibri"/>
          <w:color w:val="000000"/>
          <w:w w:val="65"/>
          <w:shd w:val="solid" w:color="000000" w:fill="000000"/>
          <w:fitText w:val="505" w:id="-1168382719"/>
          <w:lang w:eastAsia="en-US"/>
          <w14:textFill>
            <w14:solidFill>
              <w14:srgbClr w14:val="000000">
                <w14:alpha w14:val="100000"/>
              </w14:srgbClr>
            </w14:solidFill>
          </w14:textFill>
        </w:rPr>
        <w:t>|</w:t>
      </w:r>
      <w:r w:rsidR="001F207D" w:rsidRPr="001F207D">
        <w:rPr>
          <w:rFonts w:eastAsia="Calibri" w:cs="Calibri"/>
          <w:color w:val="000000"/>
          <w:spacing w:val="4"/>
          <w:w w:val="65"/>
          <w:shd w:val="solid" w:color="000000" w:fill="000000"/>
          <w:fitText w:val="505" w:id="-1168382719"/>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F207D">
        <w:rPr>
          <w:rFonts w:eastAsia="Calibri" w:cs="Calibri"/>
          <w:color w:val="000000"/>
          <w:w w:val="59"/>
          <w:shd w:val="solid" w:color="000000" w:fill="000000"/>
          <w:fitText w:val="325" w:id="-1168382715"/>
          <w:lang w:eastAsia="en-US"/>
          <w14:textFill>
            <w14:solidFill>
              <w14:srgbClr w14:val="000000">
                <w14:alpha w14:val="100000"/>
              </w14:srgbClr>
            </w14:solidFill>
          </w14:textFill>
        </w:rPr>
        <w:t>||  ||</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714"/>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714"/>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713"/>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713"/>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712"/>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712"/>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711"/>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711"/>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710"/>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710"/>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709"/>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709"/>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708"/>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708"/>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464"/>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464"/>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463"/>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463"/>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462"/>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462"/>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461"/>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461"/>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460"/>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460"/>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459"/>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459"/>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458"/>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458"/>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457"/>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457"/>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456"/>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456"/>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455"/>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455"/>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454"/>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454"/>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453"/>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453"/>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452"/>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452"/>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451"/>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451"/>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450"/>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450"/>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449"/>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449"/>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448"/>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448"/>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464"/>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464"/>
          <w:lang w:eastAsia="en-US"/>
          <w14:textFill>
            <w14:solidFill>
              <w14:srgbClr w14:val="000000">
                <w14:alpha w14:val="100000"/>
              </w14:srgbClr>
            </w14:solidFill>
          </w14:textFill>
        </w:rPr>
        <w:t>|</w:t>
      </w:r>
      <w:r w:rsidR="001F207D" w:rsidRPr="001F207D">
        <w:rPr>
          <w:rFonts w:eastAsia="Calibri" w:cs="Calibri"/>
          <w:lang w:eastAsia="en-US"/>
        </w:rPr>
        <w:t xml:space="preserve"> </w:t>
      </w:r>
      <w:r w:rsidR="001F207D" w:rsidRPr="00185CBC">
        <w:rPr>
          <w:rFonts w:eastAsia="Calibri" w:cs="Calibri"/>
          <w:color w:val="000000"/>
          <w:w w:val="15"/>
          <w:shd w:val="solid" w:color="000000" w:fill="000000"/>
          <w:fitText w:val="-20" w:id="-1168382463"/>
          <w:lang w:eastAsia="en-US"/>
          <w14:textFill>
            <w14:solidFill>
              <w14:srgbClr w14:val="000000">
                <w14:alpha w14:val="100000"/>
              </w14:srgbClr>
            </w14:solidFill>
          </w14:textFill>
        </w:rPr>
        <w:t xml:space="preserve">|  </w:t>
      </w:r>
      <w:r w:rsidR="001F207D" w:rsidRPr="00185CBC">
        <w:rPr>
          <w:rFonts w:eastAsia="Calibri" w:cs="Calibri"/>
          <w:color w:val="000000"/>
          <w:spacing w:val="-69"/>
          <w:w w:val="15"/>
          <w:shd w:val="solid" w:color="000000" w:fill="000000"/>
          <w:fitText w:val="-20" w:id="-1168382463"/>
          <w:lang w:eastAsia="en-US"/>
          <w14:textFill>
            <w14:solidFill>
              <w14:srgbClr w14:val="000000">
                <w14:alpha w14:val="100000"/>
              </w14:srgbClr>
            </w14:solidFill>
          </w14:textFill>
        </w:rPr>
        <w:t>|</w:t>
      </w:r>
      <w:r w:rsidR="001F207D" w:rsidRPr="001F207D">
        <w:rPr>
          <w:rFonts w:eastAsia="Calibri" w:cs="Calibri"/>
          <w:lang w:eastAsia="en-US"/>
        </w:rPr>
        <w:t xml:space="preserve"> </w:t>
      </w:r>
      <w:r w:rsidR="00747E09">
        <w:rPr>
          <w:rFonts w:eastAsia="Calibri" w:cs="Calibri"/>
          <w:lang w:eastAsia="en-US"/>
        </w:rPr>
        <w:t xml:space="preserve">However, given issue </w:t>
      </w:r>
      <w:r w:rsidR="001E3978">
        <w:rPr>
          <w:rFonts w:eastAsia="Calibri" w:cs="Calibri"/>
          <w:lang w:eastAsia="en-US"/>
        </w:rPr>
        <w:t xml:space="preserve">the </w:t>
      </w:r>
      <w:r w:rsidR="00747E09">
        <w:rPr>
          <w:rFonts w:eastAsia="Calibri" w:cs="Calibri"/>
          <w:lang w:eastAsia="en-US"/>
        </w:rPr>
        <w:t xml:space="preserve">noted above by the ESC, </w:t>
      </w:r>
      <w:r w:rsidR="00757C7F" w:rsidRPr="001F3ADC">
        <w:rPr>
          <w:rFonts w:eastAsia="Calibri" w:cs="Calibri"/>
          <w:lang w:eastAsia="en-US"/>
        </w:rPr>
        <w:t xml:space="preserve">only the pre-filled pen </w:t>
      </w:r>
      <w:r w:rsidR="00747E09" w:rsidRPr="001F3ADC">
        <w:rPr>
          <w:rFonts w:eastAsia="Calibri" w:cs="Calibri"/>
          <w:lang w:eastAsia="en-US"/>
        </w:rPr>
        <w:t>c</w:t>
      </w:r>
      <w:r w:rsidR="00747E09">
        <w:rPr>
          <w:rFonts w:eastAsia="Calibri" w:cs="Calibri"/>
          <w:lang w:eastAsia="en-US"/>
        </w:rPr>
        <w:t>ould</w:t>
      </w:r>
      <w:r w:rsidR="00747E09" w:rsidRPr="001F3ADC">
        <w:rPr>
          <w:rFonts w:eastAsia="Calibri" w:cs="Calibri"/>
          <w:lang w:eastAsia="en-US"/>
        </w:rPr>
        <w:t xml:space="preserve"> </w:t>
      </w:r>
      <w:r w:rsidR="00D06365" w:rsidRPr="001F3ADC">
        <w:rPr>
          <w:rFonts w:eastAsia="Calibri" w:cs="Calibri"/>
          <w:lang w:eastAsia="en-US"/>
        </w:rPr>
        <w:t>be considered in this submission</w:t>
      </w:r>
      <w:r w:rsidR="00757C7F" w:rsidRPr="001F3ADC">
        <w:rPr>
          <w:rFonts w:eastAsia="Calibri" w:cs="Calibri"/>
          <w:lang w:eastAsia="en-US"/>
        </w:rPr>
        <w:t>.</w:t>
      </w:r>
      <w:bookmarkEnd w:id="5"/>
    </w:p>
    <w:p w14:paraId="65A340B9" w14:textId="3FBE4FB1" w:rsidR="00BC7837" w:rsidRPr="00BC7837" w:rsidRDefault="00BC7837" w:rsidP="00BC7837">
      <w:pPr>
        <w:pStyle w:val="COMexecsumnumberedpara"/>
        <w:numPr>
          <w:ilvl w:val="0"/>
          <w:numId w:val="0"/>
        </w:numPr>
        <w:ind w:left="720"/>
        <w:rPr>
          <w:i/>
          <w:iCs/>
        </w:rPr>
      </w:pPr>
      <w:r w:rsidRPr="00BC7837">
        <w:rPr>
          <w:i/>
          <w:iCs/>
        </w:rPr>
        <w:t>For more detail on PBAC’s view, see section 7 PBAC outcome.</w:t>
      </w:r>
    </w:p>
    <w:p w14:paraId="76E4EF3C" w14:textId="2782AE2B" w:rsidR="00B60939" w:rsidRDefault="00B50DB8" w:rsidP="00DA3819">
      <w:pPr>
        <w:pStyle w:val="COMH1numbered"/>
        <w:keepLines/>
      </w:pPr>
      <w:bookmarkStart w:id="6" w:name="_Toc107902078"/>
      <w:bookmarkStart w:id="7" w:name="_Toc135227805"/>
      <w:bookmarkEnd w:id="6"/>
      <w:r w:rsidRPr="00FA1E86">
        <w:t>Requested listing</w:t>
      </w:r>
      <w:bookmarkEnd w:id="7"/>
    </w:p>
    <w:p w14:paraId="5B606EBA" w14:textId="3257A24C" w:rsidR="00272A28" w:rsidRPr="00272A28" w:rsidRDefault="00272A28" w:rsidP="00272A28">
      <w:pPr>
        <w:pStyle w:val="COMexecsumnumberedpara"/>
      </w:pPr>
      <w:r w:rsidRPr="00272A28">
        <w:t>Suggestions and additions proposed by the Secretariat are added in italics and suggested deletions are crossed out with strikethrough.</w:t>
      </w:r>
    </w:p>
    <w:tbl>
      <w:tblPr>
        <w:tblW w:w="512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171"/>
        <w:gridCol w:w="832"/>
        <w:gridCol w:w="831"/>
        <w:gridCol w:w="832"/>
        <w:gridCol w:w="1879"/>
      </w:tblGrid>
      <w:tr w:rsidR="00504FEE" w:rsidRPr="00FA1E86" w14:paraId="7A977692" w14:textId="77777777" w:rsidTr="00DA3819">
        <w:trPr>
          <w:cantSplit/>
          <w:trHeight w:val="20"/>
        </w:trPr>
        <w:tc>
          <w:tcPr>
            <w:tcW w:w="2694" w:type="dxa"/>
            <w:vAlign w:val="center"/>
          </w:tcPr>
          <w:p w14:paraId="3FD688F7" w14:textId="77777777" w:rsidR="00504FEE" w:rsidRPr="00FA1E86" w:rsidRDefault="00504FEE" w:rsidP="00DA3819">
            <w:pPr>
              <w:keepNext/>
              <w:keepLines/>
              <w:rPr>
                <w:rFonts w:ascii="Arial Narrow" w:hAnsi="Arial Narrow"/>
                <w:b/>
                <w:bCs/>
                <w:sz w:val="20"/>
                <w:szCs w:val="20"/>
              </w:rPr>
            </w:pPr>
            <w:r w:rsidRPr="00FA1E86">
              <w:rPr>
                <w:rFonts w:ascii="Arial Narrow" w:hAnsi="Arial Narrow"/>
                <w:b/>
                <w:bCs/>
                <w:sz w:val="20"/>
                <w:szCs w:val="20"/>
              </w:rPr>
              <w:t>MEDICINAL PRODUCT</w:t>
            </w:r>
          </w:p>
          <w:p w14:paraId="24512FD8" w14:textId="77777777" w:rsidR="00504FEE" w:rsidRPr="00FA1E86" w:rsidRDefault="00504FEE" w:rsidP="00DA3819">
            <w:pPr>
              <w:keepNext/>
              <w:keepLines/>
              <w:rPr>
                <w:rFonts w:ascii="Arial Narrow" w:hAnsi="Arial Narrow"/>
                <w:b/>
                <w:sz w:val="20"/>
                <w:szCs w:val="20"/>
              </w:rPr>
            </w:pPr>
            <w:r w:rsidRPr="00FA1E86">
              <w:rPr>
                <w:rFonts w:ascii="Arial Narrow" w:hAnsi="Arial Narrow"/>
                <w:b/>
                <w:bCs/>
                <w:sz w:val="20"/>
                <w:szCs w:val="20"/>
              </w:rPr>
              <w:t>medicinal product pack</w:t>
            </w:r>
          </w:p>
        </w:tc>
        <w:tc>
          <w:tcPr>
            <w:tcW w:w="2171" w:type="dxa"/>
            <w:vAlign w:val="center"/>
          </w:tcPr>
          <w:p w14:paraId="59A52937" w14:textId="77777777" w:rsidR="00504FEE" w:rsidRPr="00FA1E86" w:rsidRDefault="00504FEE" w:rsidP="00DA3819">
            <w:pPr>
              <w:keepNext/>
              <w:keepLines/>
              <w:jc w:val="center"/>
              <w:rPr>
                <w:rFonts w:ascii="Arial Narrow" w:eastAsiaTheme="majorEastAsia" w:hAnsi="Arial Narrow" w:cstheme="majorBidi"/>
                <w:b/>
                <w:sz w:val="20"/>
                <w:szCs w:val="20"/>
              </w:rPr>
            </w:pPr>
            <w:r w:rsidRPr="00FA1E86">
              <w:rPr>
                <w:rFonts w:ascii="Arial Narrow" w:eastAsiaTheme="majorEastAsia" w:hAnsi="Arial Narrow" w:cstheme="majorBidi"/>
                <w:b/>
                <w:snapToGrid w:val="0"/>
                <w:sz w:val="20"/>
              </w:rPr>
              <w:t>Dispensed Price for Maximum Quantity</w:t>
            </w:r>
          </w:p>
        </w:tc>
        <w:tc>
          <w:tcPr>
            <w:tcW w:w="832" w:type="dxa"/>
            <w:vAlign w:val="center"/>
          </w:tcPr>
          <w:p w14:paraId="302B0237" w14:textId="77777777" w:rsidR="00504FEE" w:rsidRPr="00FA1E86" w:rsidRDefault="00504FEE" w:rsidP="00DA3819">
            <w:pPr>
              <w:keepNext/>
              <w:keepLines/>
              <w:jc w:val="center"/>
              <w:rPr>
                <w:rFonts w:ascii="Arial Narrow" w:hAnsi="Arial Narrow"/>
                <w:b/>
                <w:sz w:val="20"/>
                <w:szCs w:val="20"/>
              </w:rPr>
            </w:pPr>
            <w:r w:rsidRPr="00FA1E86">
              <w:rPr>
                <w:rFonts w:ascii="Arial Narrow" w:hAnsi="Arial Narrow"/>
                <w:b/>
                <w:sz w:val="20"/>
                <w:szCs w:val="20"/>
              </w:rPr>
              <w:t>Max. qty packs</w:t>
            </w:r>
          </w:p>
        </w:tc>
        <w:tc>
          <w:tcPr>
            <w:tcW w:w="831" w:type="dxa"/>
            <w:vAlign w:val="center"/>
          </w:tcPr>
          <w:p w14:paraId="7D00CCA5" w14:textId="77777777" w:rsidR="00504FEE" w:rsidRPr="00FA1E86" w:rsidRDefault="00504FEE" w:rsidP="00DA3819">
            <w:pPr>
              <w:keepNext/>
              <w:keepLines/>
              <w:jc w:val="center"/>
              <w:rPr>
                <w:rFonts w:ascii="Arial Narrow" w:hAnsi="Arial Narrow"/>
                <w:b/>
                <w:sz w:val="20"/>
                <w:szCs w:val="20"/>
              </w:rPr>
            </w:pPr>
            <w:r w:rsidRPr="00FA1E86">
              <w:rPr>
                <w:rFonts w:ascii="Arial Narrow" w:hAnsi="Arial Narrow"/>
                <w:b/>
                <w:sz w:val="20"/>
                <w:szCs w:val="20"/>
              </w:rPr>
              <w:t>Max. qty units</w:t>
            </w:r>
          </w:p>
        </w:tc>
        <w:tc>
          <w:tcPr>
            <w:tcW w:w="832" w:type="dxa"/>
            <w:vAlign w:val="center"/>
          </w:tcPr>
          <w:p w14:paraId="22B7DFE3" w14:textId="77777777" w:rsidR="00504FEE" w:rsidRPr="00FA1E86" w:rsidRDefault="00504FEE" w:rsidP="00DA3819">
            <w:pPr>
              <w:keepNext/>
              <w:keepLines/>
              <w:jc w:val="center"/>
              <w:rPr>
                <w:rFonts w:ascii="Arial Narrow" w:hAnsi="Arial Narrow"/>
                <w:b/>
                <w:sz w:val="20"/>
                <w:szCs w:val="20"/>
              </w:rPr>
            </w:pPr>
            <w:proofErr w:type="gramStart"/>
            <w:r w:rsidRPr="00FA1E86">
              <w:rPr>
                <w:rFonts w:ascii="Arial Narrow" w:hAnsi="Arial Narrow"/>
                <w:b/>
                <w:sz w:val="20"/>
                <w:szCs w:val="20"/>
              </w:rPr>
              <w:t>№.of</w:t>
            </w:r>
            <w:proofErr w:type="gramEnd"/>
          </w:p>
          <w:p w14:paraId="0314CA61" w14:textId="77777777" w:rsidR="00504FEE" w:rsidRPr="00FA1E86" w:rsidRDefault="00504FEE" w:rsidP="00DA3819">
            <w:pPr>
              <w:keepNext/>
              <w:keepLines/>
              <w:jc w:val="center"/>
              <w:rPr>
                <w:rFonts w:ascii="Arial Narrow" w:hAnsi="Arial Narrow"/>
                <w:b/>
                <w:sz w:val="20"/>
                <w:szCs w:val="20"/>
              </w:rPr>
            </w:pPr>
            <w:r w:rsidRPr="00FA1E86">
              <w:rPr>
                <w:rFonts w:ascii="Arial Narrow" w:hAnsi="Arial Narrow"/>
                <w:b/>
                <w:sz w:val="20"/>
                <w:szCs w:val="20"/>
              </w:rPr>
              <w:t>Rpts</w:t>
            </w:r>
          </w:p>
        </w:tc>
        <w:tc>
          <w:tcPr>
            <w:tcW w:w="1879" w:type="dxa"/>
            <w:vAlign w:val="center"/>
          </w:tcPr>
          <w:p w14:paraId="4FA4A695" w14:textId="77777777" w:rsidR="00504FEE" w:rsidRPr="00FA1E86" w:rsidRDefault="00504FEE" w:rsidP="00DA3819">
            <w:pPr>
              <w:keepNext/>
              <w:keepLines/>
              <w:rPr>
                <w:rFonts w:ascii="Arial Narrow" w:hAnsi="Arial Narrow"/>
                <w:b/>
                <w:sz w:val="20"/>
                <w:szCs w:val="20"/>
              </w:rPr>
            </w:pPr>
            <w:r w:rsidRPr="00FA1E86">
              <w:rPr>
                <w:rFonts w:ascii="Arial Narrow" w:hAnsi="Arial Narrow"/>
                <w:b/>
                <w:sz w:val="20"/>
                <w:szCs w:val="20"/>
              </w:rPr>
              <w:t>Available brands</w:t>
            </w:r>
          </w:p>
        </w:tc>
      </w:tr>
      <w:tr w:rsidR="00504FEE" w:rsidRPr="00FA1E86" w14:paraId="0DC654BA" w14:textId="77777777" w:rsidTr="00DA3819">
        <w:trPr>
          <w:cantSplit/>
          <w:trHeight w:val="20"/>
        </w:trPr>
        <w:tc>
          <w:tcPr>
            <w:tcW w:w="2694" w:type="dxa"/>
            <w:vAlign w:val="center"/>
          </w:tcPr>
          <w:p w14:paraId="6E9F9ED1" w14:textId="77777777" w:rsidR="00504FEE" w:rsidRPr="00FA1E86" w:rsidRDefault="00504FEE" w:rsidP="00DA3819">
            <w:pPr>
              <w:keepNext/>
              <w:keepLines/>
              <w:jc w:val="left"/>
              <w:rPr>
                <w:rFonts w:ascii="Arial Narrow" w:eastAsiaTheme="majorEastAsia" w:hAnsi="Arial Narrow" w:cstheme="majorBidi"/>
                <w:bCs/>
                <w:sz w:val="20"/>
                <w:szCs w:val="20"/>
              </w:rPr>
            </w:pPr>
            <w:r w:rsidRPr="00FA1E86">
              <w:rPr>
                <w:rFonts w:ascii="Arial Narrow" w:eastAsiaTheme="majorEastAsia" w:hAnsi="Arial Narrow" w:cstheme="majorBidi"/>
                <w:bCs/>
                <w:sz w:val="20"/>
                <w:szCs w:val="20"/>
              </w:rPr>
              <w:t xml:space="preserve">Tirzepatide 2.5 mg/0.5 mL injection, prefilled pen </w:t>
            </w:r>
          </w:p>
        </w:tc>
        <w:tc>
          <w:tcPr>
            <w:tcW w:w="2171" w:type="dxa"/>
          </w:tcPr>
          <w:p w14:paraId="7C9CABFD" w14:textId="5653459E" w:rsidR="00504FEE" w:rsidRPr="00FA1E86" w:rsidRDefault="00504FEE" w:rsidP="00DA3819">
            <w:pPr>
              <w:keepNext/>
              <w:keepLines/>
              <w:jc w:val="center"/>
              <w:rPr>
                <w:rFonts w:ascii="Arial Narrow" w:eastAsiaTheme="majorEastAsia" w:hAnsi="Arial Narrow" w:cstheme="majorBidi"/>
                <w:bCs/>
                <w:sz w:val="20"/>
              </w:rPr>
            </w:pPr>
            <w:r w:rsidRPr="00FA1E86">
              <w:rPr>
                <w:rFonts w:ascii="Arial Narrow" w:eastAsiaTheme="majorEastAsia" w:hAnsi="Arial Narrow" w:cstheme="majorBidi"/>
                <w:bCs/>
                <w:sz w:val="20"/>
              </w:rPr>
              <w:t>$</w:t>
            </w:r>
            <w:r w:rsidR="001F207D" w:rsidRPr="001F207D">
              <w:rPr>
                <w:rFonts w:ascii="Arial Narrow" w:eastAsiaTheme="majorEastAsia" w:hAnsi="Arial Narrow" w:cstheme="majorBidi"/>
                <w:bCs/>
                <w:color w:val="000000"/>
                <w:spacing w:val="94"/>
                <w:sz w:val="20"/>
                <w:shd w:val="solid" w:color="000000" w:fill="000000"/>
                <w:fitText w:val="180" w:id="-1168382462"/>
                <w14:textFill>
                  <w14:solidFill>
                    <w14:srgbClr w14:val="000000">
                      <w14:alpha w14:val="100000"/>
                    </w14:srgbClr>
                  </w14:solidFill>
                </w14:textFill>
              </w:rPr>
              <w:t>|</w:t>
            </w:r>
            <w:r w:rsidR="001F207D" w:rsidRPr="001F207D">
              <w:rPr>
                <w:rFonts w:ascii="Arial Narrow" w:eastAsiaTheme="majorEastAsia" w:hAnsi="Arial Narrow" w:cstheme="majorBidi"/>
                <w:bCs/>
                <w:color w:val="000000"/>
                <w:sz w:val="20"/>
                <w:shd w:val="solid" w:color="000000" w:fill="000000"/>
                <w:fitText w:val="180" w:id="-1168382462"/>
                <w14:textFill>
                  <w14:solidFill>
                    <w14:srgbClr w14:val="000000">
                      <w14:alpha w14:val="100000"/>
                    </w14:srgbClr>
                  </w14:solidFill>
                </w14:textFill>
              </w:rPr>
              <w:t>|</w:t>
            </w:r>
            <w:r w:rsidR="001F207D" w:rsidRPr="001F207D">
              <w:rPr>
                <w:rFonts w:ascii="Arial Narrow" w:eastAsiaTheme="majorEastAsia" w:hAnsi="Arial Narrow" w:cstheme="majorBidi"/>
                <w:bCs/>
                <w:sz w:val="20"/>
              </w:rPr>
              <w:t xml:space="preserve"> </w:t>
            </w:r>
            <w:r w:rsidRPr="00FA1E86">
              <w:rPr>
                <w:rFonts w:ascii="Arial Narrow" w:eastAsiaTheme="majorEastAsia" w:hAnsi="Arial Narrow" w:cstheme="majorBidi"/>
                <w:bCs/>
                <w:sz w:val="20"/>
              </w:rPr>
              <w:t>published price</w:t>
            </w:r>
          </w:p>
          <w:p w14:paraId="217EF0B0" w14:textId="3A1A59B8" w:rsidR="00504FEE" w:rsidRPr="00FA1E86" w:rsidRDefault="00504FEE" w:rsidP="00DA3819">
            <w:pPr>
              <w:keepNext/>
              <w:keepLines/>
              <w:jc w:val="center"/>
              <w:rPr>
                <w:rFonts w:ascii="Arial Narrow" w:eastAsiaTheme="majorEastAsia" w:hAnsi="Arial Narrow" w:cstheme="majorBidi"/>
                <w:bCs/>
                <w:sz w:val="20"/>
              </w:rPr>
            </w:pPr>
            <w:r w:rsidRPr="00FA1E86">
              <w:rPr>
                <w:rFonts w:ascii="Arial Narrow" w:eastAsiaTheme="majorEastAsia" w:hAnsi="Arial Narrow" w:cstheme="majorBidi"/>
                <w:bCs/>
                <w:sz w:val="20"/>
              </w:rPr>
              <w:t>$</w:t>
            </w:r>
            <w:r w:rsidR="001F207D" w:rsidRPr="001F207D">
              <w:rPr>
                <w:rFonts w:ascii="Arial Narrow" w:eastAsiaTheme="majorEastAsia" w:hAnsi="Arial Narrow" w:cstheme="majorBidi" w:hint="eastAsia"/>
                <w:bCs/>
                <w:color w:val="000000"/>
                <w:w w:val="33"/>
                <w:sz w:val="20"/>
                <w:shd w:val="solid" w:color="000000" w:fill="000000"/>
                <w:fitText w:val="150" w:id="-1168382461"/>
                <w14:textFill>
                  <w14:solidFill>
                    <w14:srgbClr w14:val="000000">
                      <w14:alpha w14:val="100000"/>
                    </w14:srgbClr>
                  </w14:solidFill>
                </w14:textFill>
              </w:rPr>
              <w:t xml:space="preserve">　</w:t>
            </w:r>
            <w:proofErr w:type="gramStart"/>
            <w:r w:rsidR="001F207D" w:rsidRPr="001F207D">
              <w:rPr>
                <w:rFonts w:ascii="Arial Narrow" w:eastAsiaTheme="majorEastAsia" w:hAnsi="Arial Narrow" w:cstheme="majorBidi"/>
                <w:bCs/>
                <w:color w:val="000000"/>
                <w:w w:val="33"/>
                <w:sz w:val="20"/>
                <w:shd w:val="solid" w:color="000000" w:fill="000000"/>
                <w:fitText w:val="150" w:id="-1168382461"/>
                <w14:textFill>
                  <w14:solidFill>
                    <w14:srgbClr w14:val="000000">
                      <w14:alpha w14:val="100000"/>
                    </w14:srgbClr>
                  </w14:solidFill>
                </w14:textFill>
              </w:rPr>
              <w:t>|</w:t>
            </w:r>
            <w:r w:rsidR="001F207D" w:rsidRPr="001F207D">
              <w:rPr>
                <w:rFonts w:ascii="Arial Narrow" w:eastAsiaTheme="majorEastAsia" w:hAnsi="Arial Narrow" w:cstheme="majorBidi" w:hint="eastAsia"/>
                <w:bCs/>
                <w:color w:val="000000"/>
                <w:spacing w:val="4"/>
                <w:w w:val="33"/>
                <w:sz w:val="20"/>
                <w:shd w:val="solid" w:color="000000" w:fill="000000"/>
                <w:fitText w:val="150" w:id="-1168382461"/>
                <w14:textFill>
                  <w14:solidFill>
                    <w14:srgbClr w14:val="000000">
                      <w14:alpha w14:val="100000"/>
                    </w14:srgbClr>
                  </w14:solidFill>
                </w14:textFill>
              </w:rPr>
              <w:t xml:space="preserve">　</w:t>
            </w:r>
            <w:r w:rsidRPr="00FA1E86">
              <w:rPr>
                <w:rFonts w:ascii="Arial Narrow" w:eastAsiaTheme="majorEastAsia" w:hAnsi="Arial Narrow" w:cstheme="majorBidi"/>
                <w:bCs/>
                <w:sz w:val="20"/>
              </w:rPr>
              <w:t xml:space="preserve"> effective</w:t>
            </w:r>
            <w:proofErr w:type="gramEnd"/>
            <w:r w:rsidRPr="00FA1E86">
              <w:rPr>
                <w:rFonts w:ascii="Arial Narrow" w:eastAsiaTheme="majorEastAsia" w:hAnsi="Arial Narrow" w:cstheme="majorBidi"/>
                <w:bCs/>
                <w:sz w:val="20"/>
              </w:rPr>
              <w:t xml:space="preserve"> price</w:t>
            </w:r>
          </w:p>
        </w:tc>
        <w:tc>
          <w:tcPr>
            <w:tcW w:w="832" w:type="dxa"/>
            <w:vAlign w:val="center"/>
          </w:tcPr>
          <w:p w14:paraId="1DE45972" w14:textId="77777777" w:rsidR="00504FEE" w:rsidRPr="00FA1E86" w:rsidRDefault="00504FEE" w:rsidP="00DA3819">
            <w:pPr>
              <w:keepNext/>
              <w:keepLines/>
              <w:jc w:val="center"/>
              <w:rPr>
                <w:rFonts w:ascii="Arial Narrow" w:hAnsi="Arial Narrow"/>
                <w:sz w:val="20"/>
                <w:szCs w:val="20"/>
              </w:rPr>
            </w:pPr>
            <w:r w:rsidRPr="00FA1E86">
              <w:rPr>
                <w:rFonts w:ascii="Arial Narrow" w:hAnsi="Arial Narrow"/>
                <w:sz w:val="20"/>
                <w:szCs w:val="20"/>
              </w:rPr>
              <w:t>1</w:t>
            </w:r>
          </w:p>
        </w:tc>
        <w:tc>
          <w:tcPr>
            <w:tcW w:w="831" w:type="dxa"/>
            <w:vAlign w:val="center"/>
          </w:tcPr>
          <w:p w14:paraId="5C482528" w14:textId="77777777" w:rsidR="00504FEE" w:rsidRPr="00FA1E86" w:rsidRDefault="00504FEE" w:rsidP="00DA3819">
            <w:pPr>
              <w:keepNext/>
              <w:keepLines/>
              <w:jc w:val="center"/>
              <w:rPr>
                <w:rFonts w:ascii="Arial Narrow" w:hAnsi="Arial Narrow"/>
                <w:sz w:val="20"/>
                <w:szCs w:val="20"/>
              </w:rPr>
            </w:pPr>
            <w:r w:rsidRPr="00FA1E86">
              <w:rPr>
                <w:rFonts w:ascii="Arial Narrow" w:hAnsi="Arial Narrow"/>
                <w:sz w:val="20"/>
                <w:szCs w:val="20"/>
              </w:rPr>
              <w:t>4</w:t>
            </w:r>
          </w:p>
        </w:tc>
        <w:tc>
          <w:tcPr>
            <w:tcW w:w="832" w:type="dxa"/>
            <w:vAlign w:val="center"/>
          </w:tcPr>
          <w:p w14:paraId="56C658F4" w14:textId="77777777" w:rsidR="00504FEE" w:rsidRPr="00FA1E86" w:rsidRDefault="00504FEE" w:rsidP="00DA3819">
            <w:pPr>
              <w:keepNext/>
              <w:keepLines/>
              <w:jc w:val="center"/>
              <w:rPr>
                <w:rFonts w:ascii="Arial Narrow" w:hAnsi="Arial Narrow"/>
                <w:sz w:val="20"/>
                <w:szCs w:val="20"/>
              </w:rPr>
            </w:pPr>
            <w:r w:rsidRPr="00FA1E86">
              <w:rPr>
                <w:rFonts w:ascii="Arial Narrow" w:hAnsi="Arial Narrow"/>
                <w:sz w:val="20"/>
                <w:szCs w:val="20"/>
              </w:rPr>
              <w:t>5</w:t>
            </w:r>
          </w:p>
        </w:tc>
        <w:tc>
          <w:tcPr>
            <w:tcW w:w="1879" w:type="dxa"/>
            <w:vAlign w:val="center"/>
          </w:tcPr>
          <w:p w14:paraId="124F7849" w14:textId="77777777" w:rsidR="00504FEE" w:rsidRPr="00FA1E86" w:rsidRDefault="00504FEE" w:rsidP="00DA3819">
            <w:pPr>
              <w:keepNext/>
              <w:keepLines/>
              <w:jc w:val="left"/>
              <w:rPr>
                <w:rFonts w:ascii="Arial Narrow" w:hAnsi="Arial Narrow"/>
                <w:color w:val="0066FF"/>
                <w:sz w:val="20"/>
                <w:szCs w:val="20"/>
              </w:rPr>
            </w:pPr>
            <w:r w:rsidRPr="00FA1E86">
              <w:rPr>
                <w:rFonts w:ascii="Arial Narrow" w:eastAsiaTheme="majorEastAsia" w:hAnsi="Arial Narrow" w:cstheme="majorBidi"/>
                <w:bCs/>
                <w:sz w:val="20"/>
              </w:rPr>
              <w:t>Mounjaro</w:t>
            </w:r>
          </w:p>
        </w:tc>
      </w:tr>
      <w:tr w:rsidR="00504FEE" w:rsidRPr="00FA1E86" w14:paraId="2F139D13" w14:textId="77777777" w:rsidTr="00DA3819">
        <w:trPr>
          <w:cantSplit/>
          <w:trHeight w:val="20"/>
        </w:trPr>
        <w:tc>
          <w:tcPr>
            <w:tcW w:w="2694" w:type="dxa"/>
            <w:vAlign w:val="center"/>
          </w:tcPr>
          <w:p w14:paraId="7AF0833E" w14:textId="77777777" w:rsidR="00EC2D33" w:rsidRDefault="00504FEE" w:rsidP="00DA3819">
            <w:pPr>
              <w:keepNext/>
              <w:keepLines/>
              <w:jc w:val="left"/>
              <w:rPr>
                <w:rFonts w:ascii="Arial Narrow" w:eastAsiaTheme="majorEastAsia" w:hAnsi="Arial Narrow" w:cstheme="majorBidi"/>
                <w:bCs/>
                <w:sz w:val="20"/>
                <w:szCs w:val="20"/>
              </w:rPr>
            </w:pPr>
            <w:r w:rsidRPr="00FA1E86">
              <w:rPr>
                <w:rFonts w:ascii="Arial Narrow" w:eastAsiaTheme="majorEastAsia" w:hAnsi="Arial Narrow" w:cstheme="majorBidi"/>
                <w:bCs/>
                <w:sz w:val="20"/>
                <w:szCs w:val="20"/>
              </w:rPr>
              <w:t>Tirzepatide 5 mg/0.5 mL</w:t>
            </w:r>
          </w:p>
          <w:p w14:paraId="65CA6B01" w14:textId="55A6CC17" w:rsidR="00504FEE" w:rsidRPr="00FA1E86" w:rsidRDefault="00504FEE" w:rsidP="00DA3819">
            <w:pPr>
              <w:keepNext/>
              <w:keepLines/>
              <w:jc w:val="left"/>
              <w:rPr>
                <w:rFonts w:ascii="Arial Narrow" w:eastAsiaTheme="majorEastAsia" w:hAnsi="Arial Narrow" w:cstheme="majorBidi"/>
                <w:bCs/>
                <w:color w:val="0066FF"/>
                <w:sz w:val="20"/>
              </w:rPr>
            </w:pPr>
            <w:r w:rsidRPr="00FA1E86">
              <w:rPr>
                <w:rFonts w:ascii="Arial Narrow" w:eastAsiaTheme="majorEastAsia" w:hAnsi="Arial Narrow" w:cstheme="majorBidi"/>
                <w:bCs/>
                <w:sz w:val="20"/>
                <w:szCs w:val="20"/>
              </w:rPr>
              <w:t>injection, prefilled pen</w:t>
            </w:r>
          </w:p>
        </w:tc>
        <w:tc>
          <w:tcPr>
            <w:tcW w:w="2171" w:type="dxa"/>
          </w:tcPr>
          <w:p w14:paraId="2178027F" w14:textId="088E9514" w:rsidR="00504FEE" w:rsidRPr="00FA1E86" w:rsidRDefault="00504FEE" w:rsidP="00DA3819">
            <w:pPr>
              <w:keepNext/>
              <w:keepLines/>
              <w:jc w:val="center"/>
              <w:rPr>
                <w:rFonts w:ascii="Arial Narrow" w:eastAsiaTheme="majorEastAsia" w:hAnsi="Arial Narrow" w:cstheme="majorBidi"/>
                <w:bCs/>
                <w:sz w:val="20"/>
              </w:rPr>
            </w:pPr>
            <w:r w:rsidRPr="00FA1E86">
              <w:rPr>
                <w:rFonts w:ascii="Arial Narrow" w:eastAsiaTheme="majorEastAsia" w:hAnsi="Arial Narrow" w:cstheme="majorBidi"/>
                <w:bCs/>
                <w:sz w:val="20"/>
              </w:rPr>
              <w:t>$</w:t>
            </w:r>
            <w:r w:rsidR="001F207D" w:rsidRPr="001F207D">
              <w:rPr>
                <w:rFonts w:ascii="Arial Narrow" w:eastAsiaTheme="majorEastAsia" w:hAnsi="Arial Narrow" w:cstheme="majorBidi"/>
                <w:bCs/>
                <w:color w:val="000000"/>
                <w:spacing w:val="94"/>
                <w:sz w:val="20"/>
                <w:shd w:val="solid" w:color="000000" w:fill="000000"/>
                <w:fitText w:val="180" w:id="-1168382460"/>
                <w14:textFill>
                  <w14:solidFill>
                    <w14:srgbClr w14:val="000000">
                      <w14:alpha w14:val="100000"/>
                    </w14:srgbClr>
                  </w14:solidFill>
                </w14:textFill>
              </w:rPr>
              <w:t>|</w:t>
            </w:r>
            <w:r w:rsidR="001F207D" w:rsidRPr="001F207D">
              <w:rPr>
                <w:rFonts w:ascii="Arial Narrow" w:eastAsiaTheme="majorEastAsia" w:hAnsi="Arial Narrow" w:cstheme="majorBidi"/>
                <w:bCs/>
                <w:color w:val="000000"/>
                <w:sz w:val="20"/>
                <w:shd w:val="solid" w:color="000000" w:fill="000000"/>
                <w:fitText w:val="180" w:id="-1168382460"/>
                <w14:textFill>
                  <w14:solidFill>
                    <w14:srgbClr w14:val="000000">
                      <w14:alpha w14:val="100000"/>
                    </w14:srgbClr>
                  </w14:solidFill>
                </w14:textFill>
              </w:rPr>
              <w:t>|</w:t>
            </w:r>
            <w:r w:rsidR="001F207D" w:rsidRPr="001F207D">
              <w:rPr>
                <w:rFonts w:ascii="Arial Narrow" w:eastAsiaTheme="majorEastAsia" w:hAnsi="Arial Narrow" w:cstheme="majorBidi"/>
                <w:bCs/>
                <w:sz w:val="20"/>
              </w:rPr>
              <w:t xml:space="preserve"> </w:t>
            </w:r>
            <w:r w:rsidRPr="00FA1E86">
              <w:rPr>
                <w:rFonts w:ascii="Arial Narrow" w:eastAsiaTheme="majorEastAsia" w:hAnsi="Arial Narrow" w:cstheme="majorBidi"/>
                <w:bCs/>
                <w:sz w:val="20"/>
              </w:rPr>
              <w:t>published price</w:t>
            </w:r>
          </w:p>
          <w:p w14:paraId="140482A7" w14:textId="4D42DF36" w:rsidR="00504FEE" w:rsidRPr="00FA1E86" w:rsidRDefault="00504FEE" w:rsidP="00DA3819">
            <w:pPr>
              <w:keepNext/>
              <w:keepLines/>
              <w:jc w:val="center"/>
              <w:rPr>
                <w:rFonts w:ascii="Arial Narrow" w:eastAsiaTheme="majorEastAsia" w:hAnsi="Arial Narrow" w:cstheme="majorBidi"/>
                <w:bCs/>
                <w:sz w:val="20"/>
              </w:rPr>
            </w:pPr>
            <w:r w:rsidRPr="00FA1E86">
              <w:rPr>
                <w:rFonts w:ascii="Arial Narrow" w:eastAsiaTheme="majorEastAsia" w:hAnsi="Arial Narrow" w:cstheme="majorBidi"/>
                <w:bCs/>
                <w:sz w:val="20"/>
              </w:rPr>
              <w:t>$</w:t>
            </w:r>
            <w:r w:rsidR="001F207D" w:rsidRPr="001F207D">
              <w:rPr>
                <w:rFonts w:ascii="Arial Narrow" w:eastAsiaTheme="majorEastAsia" w:hAnsi="Arial Narrow" w:cstheme="majorBidi" w:hint="eastAsia"/>
                <w:bCs/>
                <w:color w:val="000000"/>
                <w:w w:val="33"/>
                <w:sz w:val="20"/>
                <w:shd w:val="solid" w:color="000000" w:fill="000000"/>
                <w:fitText w:val="150" w:id="-1168382459"/>
                <w14:textFill>
                  <w14:solidFill>
                    <w14:srgbClr w14:val="000000">
                      <w14:alpha w14:val="100000"/>
                    </w14:srgbClr>
                  </w14:solidFill>
                </w14:textFill>
              </w:rPr>
              <w:t xml:space="preserve">　</w:t>
            </w:r>
            <w:proofErr w:type="gramStart"/>
            <w:r w:rsidR="001F207D" w:rsidRPr="001F207D">
              <w:rPr>
                <w:rFonts w:ascii="Arial Narrow" w:eastAsiaTheme="majorEastAsia" w:hAnsi="Arial Narrow" w:cstheme="majorBidi"/>
                <w:bCs/>
                <w:color w:val="000000"/>
                <w:w w:val="33"/>
                <w:sz w:val="20"/>
                <w:shd w:val="solid" w:color="000000" w:fill="000000"/>
                <w:fitText w:val="150" w:id="-1168382459"/>
                <w14:textFill>
                  <w14:solidFill>
                    <w14:srgbClr w14:val="000000">
                      <w14:alpha w14:val="100000"/>
                    </w14:srgbClr>
                  </w14:solidFill>
                </w14:textFill>
              </w:rPr>
              <w:t>|</w:t>
            </w:r>
            <w:r w:rsidR="001F207D" w:rsidRPr="001F207D">
              <w:rPr>
                <w:rFonts w:ascii="Arial Narrow" w:eastAsiaTheme="majorEastAsia" w:hAnsi="Arial Narrow" w:cstheme="majorBidi" w:hint="eastAsia"/>
                <w:bCs/>
                <w:color w:val="000000"/>
                <w:spacing w:val="4"/>
                <w:w w:val="33"/>
                <w:sz w:val="20"/>
                <w:shd w:val="solid" w:color="000000" w:fill="000000"/>
                <w:fitText w:val="150" w:id="-1168382459"/>
                <w14:textFill>
                  <w14:solidFill>
                    <w14:srgbClr w14:val="000000">
                      <w14:alpha w14:val="100000"/>
                    </w14:srgbClr>
                  </w14:solidFill>
                </w14:textFill>
              </w:rPr>
              <w:t xml:space="preserve">　</w:t>
            </w:r>
            <w:r w:rsidRPr="00FA1E86">
              <w:rPr>
                <w:rFonts w:ascii="Arial Narrow" w:eastAsiaTheme="majorEastAsia" w:hAnsi="Arial Narrow" w:cstheme="majorBidi"/>
                <w:bCs/>
                <w:sz w:val="20"/>
              </w:rPr>
              <w:t xml:space="preserve"> effective</w:t>
            </w:r>
            <w:proofErr w:type="gramEnd"/>
            <w:r w:rsidRPr="00FA1E86">
              <w:rPr>
                <w:rFonts w:ascii="Arial Narrow" w:eastAsiaTheme="majorEastAsia" w:hAnsi="Arial Narrow" w:cstheme="majorBidi"/>
                <w:bCs/>
                <w:sz w:val="20"/>
              </w:rPr>
              <w:t xml:space="preserve"> price</w:t>
            </w:r>
          </w:p>
        </w:tc>
        <w:tc>
          <w:tcPr>
            <w:tcW w:w="832" w:type="dxa"/>
            <w:vAlign w:val="center"/>
          </w:tcPr>
          <w:p w14:paraId="0C150335" w14:textId="77777777" w:rsidR="00504FEE" w:rsidRPr="00FA1E86" w:rsidRDefault="00504FEE" w:rsidP="00DA3819">
            <w:pPr>
              <w:keepNext/>
              <w:keepLines/>
              <w:jc w:val="center"/>
              <w:rPr>
                <w:rFonts w:ascii="Arial Narrow" w:hAnsi="Arial Narrow"/>
                <w:sz w:val="20"/>
                <w:szCs w:val="20"/>
              </w:rPr>
            </w:pPr>
            <w:r w:rsidRPr="00FA1E86">
              <w:rPr>
                <w:rFonts w:ascii="Arial Narrow" w:hAnsi="Arial Narrow"/>
                <w:sz w:val="20"/>
                <w:szCs w:val="20"/>
              </w:rPr>
              <w:t>1</w:t>
            </w:r>
          </w:p>
        </w:tc>
        <w:tc>
          <w:tcPr>
            <w:tcW w:w="831" w:type="dxa"/>
            <w:vAlign w:val="center"/>
          </w:tcPr>
          <w:p w14:paraId="1D28C71F" w14:textId="77777777" w:rsidR="00504FEE" w:rsidRPr="00FA1E86" w:rsidRDefault="00504FEE" w:rsidP="00DA3819">
            <w:pPr>
              <w:keepNext/>
              <w:keepLines/>
              <w:jc w:val="center"/>
              <w:rPr>
                <w:rFonts w:ascii="Arial Narrow" w:hAnsi="Arial Narrow"/>
                <w:sz w:val="20"/>
                <w:szCs w:val="20"/>
              </w:rPr>
            </w:pPr>
            <w:r w:rsidRPr="00FA1E86">
              <w:rPr>
                <w:rFonts w:ascii="Arial Narrow" w:hAnsi="Arial Narrow"/>
                <w:sz w:val="20"/>
                <w:szCs w:val="20"/>
              </w:rPr>
              <w:t>4</w:t>
            </w:r>
          </w:p>
        </w:tc>
        <w:tc>
          <w:tcPr>
            <w:tcW w:w="832" w:type="dxa"/>
            <w:vAlign w:val="center"/>
          </w:tcPr>
          <w:p w14:paraId="406BB2F3" w14:textId="77777777" w:rsidR="00504FEE" w:rsidRPr="00FA1E86" w:rsidRDefault="00504FEE" w:rsidP="00DA3819">
            <w:pPr>
              <w:keepNext/>
              <w:keepLines/>
              <w:jc w:val="center"/>
              <w:rPr>
                <w:rFonts w:ascii="Arial Narrow" w:hAnsi="Arial Narrow"/>
                <w:sz w:val="20"/>
                <w:szCs w:val="20"/>
              </w:rPr>
            </w:pPr>
            <w:r w:rsidRPr="00FA1E86">
              <w:rPr>
                <w:rFonts w:ascii="Arial Narrow" w:hAnsi="Arial Narrow"/>
                <w:sz w:val="20"/>
                <w:szCs w:val="20"/>
              </w:rPr>
              <w:t>5</w:t>
            </w:r>
          </w:p>
        </w:tc>
        <w:tc>
          <w:tcPr>
            <w:tcW w:w="1879" w:type="dxa"/>
            <w:vAlign w:val="center"/>
          </w:tcPr>
          <w:p w14:paraId="7EBCE113" w14:textId="77777777" w:rsidR="00504FEE" w:rsidRPr="00FA1E86" w:rsidRDefault="00504FEE" w:rsidP="00DA3819">
            <w:pPr>
              <w:keepNext/>
              <w:keepLines/>
              <w:rPr>
                <w:rFonts w:ascii="Arial Narrow" w:hAnsi="Arial Narrow"/>
                <w:color w:val="0066FF"/>
                <w:sz w:val="20"/>
                <w:szCs w:val="20"/>
              </w:rPr>
            </w:pPr>
            <w:r w:rsidRPr="00FA1E86">
              <w:rPr>
                <w:rFonts w:ascii="Arial Narrow" w:eastAsiaTheme="majorEastAsia" w:hAnsi="Arial Narrow" w:cstheme="majorBidi"/>
                <w:bCs/>
                <w:sz w:val="20"/>
              </w:rPr>
              <w:t>Mounjaro</w:t>
            </w:r>
          </w:p>
        </w:tc>
      </w:tr>
      <w:tr w:rsidR="00504FEE" w:rsidRPr="00FA1E86" w14:paraId="5E25859B" w14:textId="77777777" w:rsidTr="00DA3819">
        <w:trPr>
          <w:cantSplit/>
          <w:trHeight w:val="20"/>
        </w:trPr>
        <w:tc>
          <w:tcPr>
            <w:tcW w:w="2694" w:type="dxa"/>
            <w:vAlign w:val="center"/>
          </w:tcPr>
          <w:p w14:paraId="1E7DAF75" w14:textId="77777777" w:rsidR="00504FEE" w:rsidRPr="00FA1E86" w:rsidRDefault="00504FEE" w:rsidP="00DA3819">
            <w:pPr>
              <w:keepNext/>
              <w:keepLines/>
              <w:jc w:val="left"/>
              <w:rPr>
                <w:rFonts w:ascii="Arial Narrow" w:eastAsiaTheme="majorEastAsia" w:hAnsi="Arial Narrow" w:cstheme="majorBidi"/>
                <w:bCs/>
                <w:color w:val="0066FF"/>
                <w:sz w:val="20"/>
              </w:rPr>
            </w:pPr>
            <w:r w:rsidRPr="00FA1E86">
              <w:rPr>
                <w:rFonts w:ascii="Arial Narrow" w:eastAsiaTheme="majorEastAsia" w:hAnsi="Arial Narrow" w:cstheme="majorBidi"/>
                <w:bCs/>
                <w:sz w:val="20"/>
                <w:szCs w:val="20"/>
              </w:rPr>
              <w:t>Tirzepatide 7.5 mg/0.5 mL injection, prefilled pen</w:t>
            </w:r>
          </w:p>
        </w:tc>
        <w:tc>
          <w:tcPr>
            <w:tcW w:w="2171" w:type="dxa"/>
          </w:tcPr>
          <w:p w14:paraId="56C0CEE7" w14:textId="26CD33B4" w:rsidR="00504FEE" w:rsidRPr="00FA1E86" w:rsidRDefault="00504FEE" w:rsidP="00DA3819">
            <w:pPr>
              <w:keepNext/>
              <w:keepLines/>
              <w:jc w:val="center"/>
              <w:rPr>
                <w:rFonts w:ascii="Arial Narrow" w:eastAsiaTheme="majorEastAsia" w:hAnsi="Arial Narrow" w:cstheme="majorBidi"/>
                <w:bCs/>
                <w:sz w:val="20"/>
              </w:rPr>
            </w:pPr>
            <w:r w:rsidRPr="00FA1E86">
              <w:rPr>
                <w:rFonts w:ascii="Arial Narrow" w:eastAsiaTheme="majorEastAsia" w:hAnsi="Arial Narrow" w:cstheme="majorBidi"/>
                <w:bCs/>
                <w:sz w:val="20"/>
              </w:rPr>
              <w:t>$</w:t>
            </w:r>
            <w:r w:rsidR="001F207D" w:rsidRPr="001F207D">
              <w:rPr>
                <w:rFonts w:ascii="Arial Narrow" w:eastAsiaTheme="majorEastAsia" w:hAnsi="Arial Narrow" w:cstheme="majorBidi"/>
                <w:bCs/>
                <w:color w:val="000000"/>
                <w:spacing w:val="94"/>
                <w:sz w:val="20"/>
                <w:shd w:val="solid" w:color="000000" w:fill="000000"/>
                <w:fitText w:val="180" w:id="-1168382458"/>
                <w14:textFill>
                  <w14:solidFill>
                    <w14:srgbClr w14:val="000000">
                      <w14:alpha w14:val="100000"/>
                    </w14:srgbClr>
                  </w14:solidFill>
                </w14:textFill>
              </w:rPr>
              <w:t>|</w:t>
            </w:r>
            <w:r w:rsidR="001F207D" w:rsidRPr="001F207D">
              <w:rPr>
                <w:rFonts w:ascii="Arial Narrow" w:eastAsiaTheme="majorEastAsia" w:hAnsi="Arial Narrow" w:cstheme="majorBidi"/>
                <w:bCs/>
                <w:color w:val="000000"/>
                <w:sz w:val="20"/>
                <w:shd w:val="solid" w:color="000000" w:fill="000000"/>
                <w:fitText w:val="180" w:id="-1168382458"/>
                <w14:textFill>
                  <w14:solidFill>
                    <w14:srgbClr w14:val="000000">
                      <w14:alpha w14:val="100000"/>
                    </w14:srgbClr>
                  </w14:solidFill>
                </w14:textFill>
              </w:rPr>
              <w:t>|</w:t>
            </w:r>
            <w:r w:rsidR="001F207D" w:rsidRPr="001F207D">
              <w:rPr>
                <w:rFonts w:ascii="Arial Narrow" w:eastAsiaTheme="majorEastAsia" w:hAnsi="Arial Narrow" w:cstheme="majorBidi"/>
                <w:bCs/>
                <w:sz w:val="20"/>
              </w:rPr>
              <w:t xml:space="preserve"> </w:t>
            </w:r>
            <w:r w:rsidRPr="00FA1E86">
              <w:rPr>
                <w:rFonts w:ascii="Arial Narrow" w:eastAsiaTheme="majorEastAsia" w:hAnsi="Arial Narrow" w:cstheme="majorBidi"/>
                <w:bCs/>
                <w:sz w:val="20"/>
              </w:rPr>
              <w:t>published price</w:t>
            </w:r>
          </w:p>
          <w:p w14:paraId="3DCE64FC" w14:textId="4325A65F" w:rsidR="00504FEE" w:rsidRPr="00FA1E86" w:rsidRDefault="00504FEE" w:rsidP="00DA3819">
            <w:pPr>
              <w:keepNext/>
              <w:keepLines/>
              <w:jc w:val="center"/>
              <w:rPr>
                <w:rFonts w:ascii="Arial Narrow" w:eastAsiaTheme="majorEastAsia" w:hAnsi="Arial Narrow" w:cstheme="majorBidi"/>
                <w:bCs/>
                <w:sz w:val="20"/>
              </w:rPr>
            </w:pPr>
            <w:r w:rsidRPr="00FA1E86">
              <w:rPr>
                <w:rFonts w:ascii="Arial Narrow" w:eastAsiaTheme="majorEastAsia" w:hAnsi="Arial Narrow" w:cstheme="majorBidi"/>
                <w:bCs/>
                <w:sz w:val="20"/>
              </w:rPr>
              <w:t>$</w:t>
            </w:r>
            <w:r w:rsidR="001F207D" w:rsidRPr="001F207D">
              <w:rPr>
                <w:rFonts w:ascii="Arial Narrow" w:eastAsiaTheme="majorEastAsia" w:hAnsi="Arial Narrow" w:cstheme="majorBidi" w:hint="eastAsia"/>
                <w:bCs/>
                <w:color w:val="000000"/>
                <w:w w:val="33"/>
                <w:sz w:val="20"/>
                <w:shd w:val="solid" w:color="000000" w:fill="000000"/>
                <w:fitText w:val="150" w:id="-1168382457"/>
                <w14:textFill>
                  <w14:solidFill>
                    <w14:srgbClr w14:val="000000">
                      <w14:alpha w14:val="100000"/>
                    </w14:srgbClr>
                  </w14:solidFill>
                </w14:textFill>
              </w:rPr>
              <w:t xml:space="preserve">　</w:t>
            </w:r>
            <w:proofErr w:type="gramStart"/>
            <w:r w:rsidR="001F207D" w:rsidRPr="001F207D">
              <w:rPr>
                <w:rFonts w:ascii="Arial Narrow" w:eastAsiaTheme="majorEastAsia" w:hAnsi="Arial Narrow" w:cstheme="majorBidi"/>
                <w:bCs/>
                <w:color w:val="000000"/>
                <w:w w:val="33"/>
                <w:sz w:val="20"/>
                <w:shd w:val="solid" w:color="000000" w:fill="000000"/>
                <w:fitText w:val="150" w:id="-1168382457"/>
                <w14:textFill>
                  <w14:solidFill>
                    <w14:srgbClr w14:val="000000">
                      <w14:alpha w14:val="100000"/>
                    </w14:srgbClr>
                  </w14:solidFill>
                </w14:textFill>
              </w:rPr>
              <w:t>|</w:t>
            </w:r>
            <w:r w:rsidR="001F207D" w:rsidRPr="001F207D">
              <w:rPr>
                <w:rFonts w:ascii="Arial Narrow" w:eastAsiaTheme="majorEastAsia" w:hAnsi="Arial Narrow" w:cstheme="majorBidi" w:hint="eastAsia"/>
                <w:bCs/>
                <w:color w:val="000000"/>
                <w:spacing w:val="4"/>
                <w:w w:val="33"/>
                <w:sz w:val="20"/>
                <w:shd w:val="solid" w:color="000000" w:fill="000000"/>
                <w:fitText w:val="150" w:id="-1168382457"/>
                <w14:textFill>
                  <w14:solidFill>
                    <w14:srgbClr w14:val="000000">
                      <w14:alpha w14:val="100000"/>
                    </w14:srgbClr>
                  </w14:solidFill>
                </w14:textFill>
              </w:rPr>
              <w:t xml:space="preserve">　</w:t>
            </w:r>
            <w:r w:rsidRPr="00FA1E86">
              <w:rPr>
                <w:rFonts w:ascii="Arial Narrow" w:eastAsiaTheme="majorEastAsia" w:hAnsi="Arial Narrow" w:cstheme="majorBidi"/>
                <w:bCs/>
                <w:sz w:val="20"/>
              </w:rPr>
              <w:t xml:space="preserve"> effective</w:t>
            </w:r>
            <w:proofErr w:type="gramEnd"/>
            <w:r w:rsidRPr="00FA1E86">
              <w:rPr>
                <w:rFonts w:ascii="Arial Narrow" w:eastAsiaTheme="majorEastAsia" w:hAnsi="Arial Narrow" w:cstheme="majorBidi"/>
                <w:bCs/>
                <w:sz w:val="20"/>
              </w:rPr>
              <w:t xml:space="preserve"> price</w:t>
            </w:r>
          </w:p>
        </w:tc>
        <w:tc>
          <w:tcPr>
            <w:tcW w:w="832" w:type="dxa"/>
            <w:vAlign w:val="center"/>
          </w:tcPr>
          <w:p w14:paraId="3204F50F" w14:textId="77777777" w:rsidR="00504FEE" w:rsidRPr="00FA1E86" w:rsidRDefault="00504FEE" w:rsidP="00DA3819">
            <w:pPr>
              <w:keepNext/>
              <w:keepLines/>
              <w:jc w:val="center"/>
              <w:rPr>
                <w:rFonts w:ascii="Arial Narrow" w:hAnsi="Arial Narrow"/>
                <w:sz w:val="20"/>
                <w:szCs w:val="20"/>
              </w:rPr>
            </w:pPr>
            <w:r w:rsidRPr="00FA1E86">
              <w:rPr>
                <w:rFonts w:ascii="Arial Narrow" w:hAnsi="Arial Narrow"/>
                <w:sz w:val="20"/>
                <w:szCs w:val="20"/>
              </w:rPr>
              <w:t>1</w:t>
            </w:r>
          </w:p>
        </w:tc>
        <w:tc>
          <w:tcPr>
            <w:tcW w:w="831" w:type="dxa"/>
            <w:vAlign w:val="center"/>
          </w:tcPr>
          <w:p w14:paraId="033A0E4E" w14:textId="77777777" w:rsidR="00504FEE" w:rsidRPr="00FA1E86" w:rsidRDefault="00504FEE" w:rsidP="00DA3819">
            <w:pPr>
              <w:keepNext/>
              <w:keepLines/>
              <w:jc w:val="center"/>
              <w:rPr>
                <w:rFonts w:ascii="Arial Narrow" w:hAnsi="Arial Narrow"/>
                <w:sz w:val="20"/>
                <w:szCs w:val="20"/>
              </w:rPr>
            </w:pPr>
            <w:r w:rsidRPr="00FA1E86">
              <w:rPr>
                <w:rFonts w:ascii="Arial Narrow" w:hAnsi="Arial Narrow"/>
                <w:sz w:val="20"/>
                <w:szCs w:val="20"/>
              </w:rPr>
              <w:t>4</w:t>
            </w:r>
          </w:p>
        </w:tc>
        <w:tc>
          <w:tcPr>
            <w:tcW w:w="832" w:type="dxa"/>
            <w:vAlign w:val="center"/>
          </w:tcPr>
          <w:p w14:paraId="65436F3F" w14:textId="77777777" w:rsidR="00504FEE" w:rsidRPr="00FA1E86" w:rsidRDefault="00504FEE" w:rsidP="00DA3819">
            <w:pPr>
              <w:keepNext/>
              <w:keepLines/>
              <w:jc w:val="center"/>
              <w:rPr>
                <w:rFonts w:ascii="Arial Narrow" w:hAnsi="Arial Narrow"/>
                <w:sz w:val="20"/>
                <w:szCs w:val="20"/>
              </w:rPr>
            </w:pPr>
            <w:r w:rsidRPr="00FA1E86">
              <w:rPr>
                <w:rFonts w:ascii="Arial Narrow" w:hAnsi="Arial Narrow"/>
                <w:sz w:val="20"/>
                <w:szCs w:val="20"/>
              </w:rPr>
              <w:t>5</w:t>
            </w:r>
          </w:p>
        </w:tc>
        <w:tc>
          <w:tcPr>
            <w:tcW w:w="1879" w:type="dxa"/>
            <w:vAlign w:val="center"/>
          </w:tcPr>
          <w:p w14:paraId="670FA478" w14:textId="77777777" w:rsidR="00504FEE" w:rsidRPr="00FA1E86" w:rsidRDefault="00504FEE" w:rsidP="00DA3819">
            <w:pPr>
              <w:keepNext/>
              <w:keepLines/>
              <w:rPr>
                <w:rFonts w:ascii="Arial Narrow" w:hAnsi="Arial Narrow"/>
                <w:color w:val="0066FF"/>
                <w:sz w:val="20"/>
                <w:szCs w:val="20"/>
              </w:rPr>
            </w:pPr>
            <w:r w:rsidRPr="00FA1E86">
              <w:rPr>
                <w:rFonts w:ascii="Arial Narrow" w:eastAsiaTheme="majorEastAsia" w:hAnsi="Arial Narrow" w:cstheme="majorBidi"/>
                <w:bCs/>
                <w:sz w:val="20"/>
              </w:rPr>
              <w:t>Mounjaro</w:t>
            </w:r>
          </w:p>
        </w:tc>
      </w:tr>
      <w:tr w:rsidR="00504FEE" w:rsidRPr="00FA1E86" w14:paraId="15903F38" w14:textId="77777777" w:rsidTr="00DA3819">
        <w:trPr>
          <w:cantSplit/>
          <w:trHeight w:val="20"/>
        </w:trPr>
        <w:tc>
          <w:tcPr>
            <w:tcW w:w="2694" w:type="dxa"/>
            <w:vAlign w:val="center"/>
          </w:tcPr>
          <w:p w14:paraId="6083685E" w14:textId="77777777" w:rsidR="00504FEE" w:rsidRPr="00FA1E86" w:rsidRDefault="00504FEE" w:rsidP="00915BD6">
            <w:pPr>
              <w:jc w:val="left"/>
              <w:rPr>
                <w:rFonts w:ascii="Arial Narrow" w:eastAsiaTheme="majorEastAsia" w:hAnsi="Arial Narrow" w:cstheme="majorBidi"/>
                <w:bCs/>
                <w:color w:val="0066FF"/>
                <w:sz w:val="20"/>
              </w:rPr>
            </w:pPr>
            <w:r w:rsidRPr="00FA1E86">
              <w:rPr>
                <w:rFonts w:ascii="Arial Narrow" w:eastAsiaTheme="majorEastAsia" w:hAnsi="Arial Narrow" w:cstheme="majorBidi"/>
                <w:bCs/>
                <w:sz w:val="20"/>
                <w:szCs w:val="20"/>
              </w:rPr>
              <w:t>Tirzepatide 10 mg/0.5 mL injection, prefilled pen</w:t>
            </w:r>
          </w:p>
        </w:tc>
        <w:tc>
          <w:tcPr>
            <w:tcW w:w="2171" w:type="dxa"/>
          </w:tcPr>
          <w:p w14:paraId="2C47CEEB" w14:textId="47D711BD" w:rsidR="00504FEE" w:rsidRPr="00FA1E86" w:rsidRDefault="00504FEE" w:rsidP="00915BD6">
            <w:pPr>
              <w:jc w:val="center"/>
              <w:rPr>
                <w:rFonts w:ascii="Arial Narrow" w:eastAsiaTheme="majorEastAsia" w:hAnsi="Arial Narrow" w:cstheme="majorBidi"/>
                <w:bCs/>
                <w:sz w:val="20"/>
              </w:rPr>
            </w:pPr>
            <w:r w:rsidRPr="00FA1E86">
              <w:rPr>
                <w:rFonts w:ascii="Arial Narrow" w:eastAsiaTheme="majorEastAsia" w:hAnsi="Arial Narrow" w:cstheme="majorBidi"/>
                <w:bCs/>
                <w:sz w:val="20"/>
              </w:rPr>
              <w:t>$</w:t>
            </w:r>
            <w:r w:rsidR="001F207D" w:rsidRPr="001F207D">
              <w:rPr>
                <w:rFonts w:ascii="Arial Narrow" w:eastAsiaTheme="majorEastAsia" w:hAnsi="Arial Narrow" w:cstheme="majorBidi"/>
                <w:bCs/>
                <w:color w:val="000000"/>
                <w:spacing w:val="94"/>
                <w:sz w:val="20"/>
                <w:shd w:val="solid" w:color="000000" w:fill="000000"/>
                <w:fitText w:val="180" w:id="-1168382456"/>
                <w14:textFill>
                  <w14:solidFill>
                    <w14:srgbClr w14:val="000000">
                      <w14:alpha w14:val="100000"/>
                    </w14:srgbClr>
                  </w14:solidFill>
                </w14:textFill>
              </w:rPr>
              <w:t>|</w:t>
            </w:r>
            <w:r w:rsidR="001F207D" w:rsidRPr="001F207D">
              <w:rPr>
                <w:rFonts w:ascii="Arial Narrow" w:eastAsiaTheme="majorEastAsia" w:hAnsi="Arial Narrow" w:cstheme="majorBidi"/>
                <w:bCs/>
                <w:color w:val="000000"/>
                <w:sz w:val="20"/>
                <w:shd w:val="solid" w:color="000000" w:fill="000000"/>
                <w:fitText w:val="180" w:id="-1168382456"/>
                <w14:textFill>
                  <w14:solidFill>
                    <w14:srgbClr w14:val="000000">
                      <w14:alpha w14:val="100000"/>
                    </w14:srgbClr>
                  </w14:solidFill>
                </w14:textFill>
              </w:rPr>
              <w:t>|</w:t>
            </w:r>
            <w:r w:rsidR="001F207D" w:rsidRPr="001F207D">
              <w:rPr>
                <w:rFonts w:ascii="Arial Narrow" w:eastAsiaTheme="majorEastAsia" w:hAnsi="Arial Narrow" w:cstheme="majorBidi"/>
                <w:bCs/>
                <w:sz w:val="20"/>
              </w:rPr>
              <w:t xml:space="preserve"> </w:t>
            </w:r>
            <w:r w:rsidRPr="00FA1E86">
              <w:rPr>
                <w:rFonts w:ascii="Arial Narrow" w:eastAsiaTheme="majorEastAsia" w:hAnsi="Arial Narrow" w:cstheme="majorBidi"/>
                <w:bCs/>
                <w:sz w:val="20"/>
              </w:rPr>
              <w:t>published price</w:t>
            </w:r>
          </w:p>
          <w:p w14:paraId="59D9CF02" w14:textId="23D3AFA7" w:rsidR="00504FEE" w:rsidRPr="00FA1E86" w:rsidRDefault="00504FEE" w:rsidP="00915BD6">
            <w:pPr>
              <w:jc w:val="center"/>
              <w:rPr>
                <w:rFonts w:ascii="Arial Narrow" w:eastAsiaTheme="majorEastAsia" w:hAnsi="Arial Narrow" w:cstheme="majorBidi"/>
                <w:bCs/>
                <w:sz w:val="20"/>
              </w:rPr>
            </w:pPr>
            <w:r w:rsidRPr="00FA1E86">
              <w:rPr>
                <w:rFonts w:ascii="Arial Narrow" w:eastAsiaTheme="majorEastAsia" w:hAnsi="Arial Narrow" w:cstheme="majorBidi"/>
                <w:bCs/>
                <w:sz w:val="20"/>
              </w:rPr>
              <w:t>$</w:t>
            </w:r>
            <w:r w:rsidR="001F207D" w:rsidRPr="001F207D">
              <w:rPr>
                <w:rFonts w:ascii="Arial Narrow" w:eastAsiaTheme="majorEastAsia" w:hAnsi="Arial Narrow" w:cstheme="majorBidi" w:hint="eastAsia"/>
                <w:bCs/>
                <w:color w:val="000000"/>
                <w:w w:val="33"/>
                <w:sz w:val="20"/>
                <w:shd w:val="solid" w:color="000000" w:fill="000000"/>
                <w:fitText w:val="150" w:id="-1168382455"/>
                <w14:textFill>
                  <w14:solidFill>
                    <w14:srgbClr w14:val="000000">
                      <w14:alpha w14:val="100000"/>
                    </w14:srgbClr>
                  </w14:solidFill>
                </w14:textFill>
              </w:rPr>
              <w:t xml:space="preserve">　</w:t>
            </w:r>
            <w:proofErr w:type="gramStart"/>
            <w:r w:rsidR="001F207D" w:rsidRPr="001F207D">
              <w:rPr>
                <w:rFonts w:ascii="Arial Narrow" w:eastAsiaTheme="majorEastAsia" w:hAnsi="Arial Narrow" w:cstheme="majorBidi"/>
                <w:bCs/>
                <w:color w:val="000000"/>
                <w:w w:val="33"/>
                <w:sz w:val="20"/>
                <w:shd w:val="solid" w:color="000000" w:fill="000000"/>
                <w:fitText w:val="150" w:id="-1168382455"/>
                <w14:textFill>
                  <w14:solidFill>
                    <w14:srgbClr w14:val="000000">
                      <w14:alpha w14:val="100000"/>
                    </w14:srgbClr>
                  </w14:solidFill>
                </w14:textFill>
              </w:rPr>
              <w:t>|</w:t>
            </w:r>
            <w:r w:rsidR="001F207D" w:rsidRPr="001F207D">
              <w:rPr>
                <w:rFonts w:ascii="Arial Narrow" w:eastAsiaTheme="majorEastAsia" w:hAnsi="Arial Narrow" w:cstheme="majorBidi" w:hint="eastAsia"/>
                <w:bCs/>
                <w:color w:val="000000"/>
                <w:spacing w:val="4"/>
                <w:w w:val="33"/>
                <w:sz w:val="20"/>
                <w:shd w:val="solid" w:color="000000" w:fill="000000"/>
                <w:fitText w:val="150" w:id="-1168382455"/>
                <w14:textFill>
                  <w14:solidFill>
                    <w14:srgbClr w14:val="000000">
                      <w14:alpha w14:val="100000"/>
                    </w14:srgbClr>
                  </w14:solidFill>
                </w14:textFill>
              </w:rPr>
              <w:t xml:space="preserve">　</w:t>
            </w:r>
            <w:r w:rsidRPr="00FA1E86">
              <w:rPr>
                <w:rFonts w:ascii="Arial Narrow" w:eastAsiaTheme="majorEastAsia" w:hAnsi="Arial Narrow" w:cstheme="majorBidi"/>
                <w:bCs/>
                <w:sz w:val="20"/>
              </w:rPr>
              <w:t xml:space="preserve"> effective</w:t>
            </w:r>
            <w:proofErr w:type="gramEnd"/>
            <w:r w:rsidRPr="00FA1E86">
              <w:rPr>
                <w:rFonts w:ascii="Arial Narrow" w:eastAsiaTheme="majorEastAsia" w:hAnsi="Arial Narrow" w:cstheme="majorBidi"/>
                <w:bCs/>
                <w:sz w:val="20"/>
              </w:rPr>
              <w:t xml:space="preserve"> price</w:t>
            </w:r>
          </w:p>
        </w:tc>
        <w:tc>
          <w:tcPr>
            <w:tcW w:w="832" w:type="dxa"/>
            <w:vAlign w:val="center"/>
          </w:tcPr>
          <w:p w14:paraId="13E75E10" w14:textId="77777777" w:rsidR="00504FEE" w:rsidRPr="00FA1E86" w:rsidRDefault="00504FEE" w:rsidP="00915BD6">
            <w:pPr>
              <w:jc w:val="center"/>
              <w:rPr>
                <w:rFonts w:ascii="Arial Narrow" w:hAnsi="Arial Narrow"/>
                <w:sz w:val="20"/>
                <w:szCs w:val="20"/>
              </w:rPr>
            </w:pPr>
            <w:r w:rsidRPr="00FA1E86">
              <w:rPr>
                <w:rFonts w:ascii="Arial Narrow" w:hAnsi="Arial Narrow"/>
                <w:sz w:val="20"/>
                <w:szCs w:val="20"/>
              </w:rPr>
              <w:t>1</w:t>
            </w:r>
          </w:p>
        </w:tc>
        <w:tc>
          <w:tcPr>
            <w:tcW w:w="831" w:type="dxa"/>
            <w:vAlign w:val="center"/>
          </w:tcPr>
          <w:p w14:paraId="2E105997" w14:textId="77777777" w:rsidR="00504FEE" w:rsidRPr="00FA1E86" w:rsidRDefault="00504FEE" w:rsidP="00915BD6">
            <w:pPr>
              <w:jc w:val="center"/>
              <w:rPr>
                <w:rFonts w:ascii="Arial Narrow" w:hAnsi="Arial Narrow"/>
                <w:sz w:val="20"/>
                <w:szCs w:val="20"/>
              </w:rPr>
            </w:pPr>
            <w:r w:rsidRPr="00FA1E86">
              <w:rPr>
                <w:rFonts w:ascii="Arial Narrow" w:hAnsi="Arial Narrow"/>
                <w:sz w:val="20"/>
                <w:szCs w:val="20"/>
              </w:rPr>
              <w:t>4</w:t>
            </w:r>
          </w:p>
        </w:tc>
        <w:tc>
          <w:tcPr>
            <w:tcW w:w="832" w:type="dxa"/>
            <w:vAlign w:val="center"/>
          </w:tcPr>
          <w:p w14:paraId="4449BE29" w14:textId="77777777" w:rsidR="00504FEE" w:rsidRPr="00FA1E86" w:rsidRDefault="00504FEE" w:rsidP="00915BD6">
            <w:pPr>
              <w:jc w:val="center"/>
              <w:rPr>
                <w:rFonts w:ascii="Arial Narrow" w:hAnsi="Arial Narrow"/>
                <w:sz w:val="20"/>
                <w:szCs w:val="20"/>
              </w:rPr>
            </w:pPr>
            <w:r w:rsidRPr="00FA1E86">
              <w:rPr>
                <w:rFonts w:ascii="Arial Narrow" w:hAnsi="Arial Narrow"/>
                <w:sz w:val="20"/>
                <w:szCs w:val="20"/>
              </w:rPr>
              <w:t>5</w:t>
            </w:r>
          </w:p>
        </w:tc>
        <w:tc>
          <w:tcPr>
            <w:tcW w:w="1879" w:type="dxa"/>
            <w:vAlign w:val="center"/>
          </w:tcPr>
          <w:p w14:paraId="5C110F99" w14:textId="77777777" w:rsidR="00504FEE" w:rsidRPr="00FA1E86" w:rsidRDefault="00504FEE" w:rsidP="00915BD6">
            <w:pPr>
              <w:rPr>
                <w:rFonts w:ascii="Arial Narrow" w:hAnsi="Arial Narrow"/>
                <w:color w:val="0066FF"/>
                <w:sz w:val="20"/>
                <w:szCs w:val="20"/>
              </w:rPr>
            </w:pPr>
            <w:r w:rsidRPr="00FA1E86">
              <w:rPr>
                <w:rFonts w:ascii="Arial Narrow" w:eastAsiaTheme="majorEastAsia" w:hAnsi="Arial Narrow" w:cstheme="majorBidi"/>
                <w:bCs/>
                <w:sz w:val="20"/>
              </w:rPr>
              <w:t>Mounjaro</w:t>
            </w:r>
          </w:p>
        </w:tc>
      </w:tr>
      <w:tr w:rsidR="00504FEE" w:rsidRPr="00FA1E86" w14:paraId="2D22255A" w14:textId="77777777" w:rsidTr="00DA3819">
        <w:trPr>
          <w:cantSplit/>
          <w:trHeight w:val="20"/>
        </w:trPr>
        <w:tc>
          <w:tcPr>
            <w:tcW w:w="2694" w:type="dxa"/>
            <w:vAlign w:val="center"/>
          </w:tcPr>
          <w:p w14:paraId="59D60AA1" w14:textId="77777777" w:rsidR="00504FEE" w:rsidRPr="00FA1E86" w:rsidRDefault="00504FEE" w:rsidP="00915BD6">
            <w:pPr>
              <w:jc w:val="left"/>
              <w:rPr>
                <w:rFonts w:ascii="Arial Narrow" w:eastAsiaTheme="majorEastAsia" w:hAnsi="Arial Narrow" w:cstheme="majorBidi"/>
                <w:bCs/>
                <w:color w:val="0066FF"/>
                <w:sz w:val="20"/>
              </w:rPr>
            </w:pPr>
            <w:r w:rsidRPr="00FA1E86">
              <w:rPr>
                <w:rFonts w:ascii="Arial Narrow" w:eastAsiaTheme="majorEastAsia" w:hAnsi="Arial Narrow" w:cstheme="majorBidi"/>
                <w:bCs/>
                <w:sz w:val="20"/>
                <w:szCs w:val="20"/>
              </w:rPr>
              <w:t>Tirzepatide 12.5 mg/0.5 mL injection, prefilled pen</w:t>
            </w:r>
          </w:p>
        </w:tc>
        <w:tc>
          <w:tcPr>
            <w:tcW w:w="2171" w:type="dxa"/>
          </w:tcPr>
          <w:p w14:paraId="0362A0AD" w14:textId="55287F77" w:rsidR="00504FEE" w:rsidRPr="00FA1E86" w:rsidRDefault="00504FEE" w:rsidP="00915BD6">
            <w:pPr>
              <w:jc w:val="center"/>
              <w:rPr>
                <w:rFonts w:ascii="Arial Narrow" w:eastAsiaTheme="majorEastAsia" w:hAnsi="Arial Narrow" w:cstheme="majorBidi"/>
                <w:bCs/>
                <w:sz w:val="20"/>
              </w:rPr>
            </w:pPr>
            <w:r w:rsidRPr="00FA1E86">
              <w:rPr>
                <w:rFonts w:ascii="Arial Narrow" w:eastAsiaTheme="majorEastAsia" w:hAnsi="Arial Narrow" w:cstheme="majorBidi"/>
                <w:bCs/>
                <w:sz w:val="20"/>
              </w:rPr>
              <w:t>$</w:t>
            </w:r>
            <w:r w:rsidR="001F207D" w:rsidRPr="001F207D">
              <w:rPr>
                <w:rFonts w:ascii="Arial Narrow" w:eastAsiaTheme="majorEastAsia" w:hAnsi="Arial Narrow" w:cstheme="majorBidi"/>
                <w:bCs/>
                <w:color w:val="000000"/>
                <w:spacing w:val="94"/>
                <w:sz w:val="20"/>
                <w:shd w:val="solid" w:color="000000" w:fill="000000"/>
                <w:fitText w:val="180" w:id="-1168382454"/>
                <w14:textFill>
                  <w14:solidFill>
                    <w14:srgbClr w14:val="000000">
                      <w14:alpha w14:val="100000"/>
                    </w14:srgbClr>
                  </w14:solidFill>
                </w14:textFill>
              </w:rPr>
              <w:t>|</w:t>
            </w:r>
            <w:r w:rsidR="001F207D" w:rsidRPr="001F207D">
              <w:rPr>
                <w:rFonts w:ascii="Arial Narrow" w:eastAsiaTheme="majorEastAsia" w:hAnsi="Arial Narrow" w:cstheme="majorBidi"/>
                <w:bCs/>
                <w:color w:val="000000"/>
                <w:sz w:val="20"/>
                <w:shd w:val="solid" w:color="000000" w:fill="000000"/>
                <w:fitText w:val="180" w:id="-1168382454"/>
                <w14:textFill>
                  <w14:solidFill>
                    <w14:srgbClr w14:val="000000">
                      <w14:alpha w14:val="100000"/>
                    </w14:srgbClr>
                  </w14:solidFill>
                </w14:textFill>
              </w:rPr>
              <w:t>|</w:t>
            </w:r>
            <w:r w:rsidR="001F207D" w:rsidRPr="001F207D">
              <w:rPr>
                <w:rFonts w:ascii="Arial Narrow" w:eastAsiaTheme="majorEastAsia" w:hAnsi="Arial Narrow" w:cstheme="majorBidi"/>
                <w:bCs/>
                <w:sz w:val="20"/>
              </w:rPr>
              <w:t xml:space="preserve"> </w:t>
            </w:r>
            <w:r w:rsidRPr="00FA1E86">
              <w:rPr>
                <w:rFonts w:ascii="Arial Narrow" w:eastAsiaTheme="majorEastAsia" w:hAnsi="Arial Narrow" w:cstheme="majorBidi"/>
                <w:bCs/>
                <w:sz w:val="20"/>
              </w:rPr>
              <w:t>published price</w:t>
            </w:r>
          </w:p>
          <w:p w14:paraId="79BACCAF" w14:textId="52850EAE" w:rsidR="00504FEE" w:rsidRPr="00FA1E86" w:rsidRDefault="00504FEE" w:rsidP="00915BD6">
            <w:pPr>
              <w:jc w:val="center"/>
              <w:rPr>
                <w:rFonts w:ascii="Arial Narrow" w:eastAsiaTheme="majorEastAsia" w:hAnsi="Arial Narrow" w:cstheme="majorBidi"/>
                <w:bCs/>
                <w:sz w:val="20"/>
              </w:rPr>
            </w:pPr>
            <w:r w:rsidRPr="00FA1E86">
              <w:rPr>
                <w:rFonts w:ascii="Arial Narrow" w:eastAsiaTheme="majorEastAsia" w:hAnsi="Arial Narrow" w:cstheme="majorBidi"/>
                <w:bCs/>
                <w:sz w:val="20"/>
              </w:rPr>
              <w:t>$</w:t>
            </w:r>
            <w:r w:rsidR="001F207D" w:rsidRPr="001F207D">
              <w:rPr>
                <w:rFonts w:ascii="Arial Narrow" w:eastAsiaTheme="majorEastAsia" w:hAnsi="Arial Narrow" w:cstheme="majorBidi" w:hint="eastAsia"/>
                <w:bCs/>
                <w:color w:val="000000"/>
                <w:w w:val="33"/>
                <w:sz w:val="20"/>
                <w:shd w:val="solid" w:color="000000" w:fill="000000"/>
                <w:fitText w:val="150" w:id="-1168382453"/>
                <w14:textFill>
                  <w14:solidFill>
                    <w14:srgbClr w14:val="000000">
                      <w14:alpha w14:val="100000"/>
                    </w14:srgbClr>
                  </w14:solidFill>
                </w14:textFill>
              </w:rPr>
              <w:t xml:space="preserve">　</w:t>
            </w:r>
            <w:proofErr w:type="gramStart"/>
            <w:r w:rsidR="001F207D" w:rsidRPr="001F207D">
              <w:rPr>
                <w:rFonts w:ascii="Arial Narrow" w:eastAsiaTheme="majorEastAsia" w:hAnsi="Arial Narrow" w:cstheme="majorBidi"/>
                <w:bCs/>
                <w:color w:val="000000"/>
                <w:w w:val="33"/>
                <w:sz w:val="20"/>
                <w:shd w:val="solid" w:color="000000" w:fill="000000"/>
                <w:fitText w:val="150" w:id="-1168382453"/>
                <w14:textFill>
                  <w14:solidFill>
                    <w14:srgbClr w14:val="000000">
                      <w14:alpha w14:val="100000"/>
                    </w14:srgbClr>
                  </w14:solidFill>
                </w14:textFill>
              </w:rPr>
              <w:t>|</w:t>
            </w:r>
            <w:r w:rsidR="001F207D" w:rsidRPr="001F207D">
              <w:rPr>
                <w:rFonts w:ascii="Arial Narrow" w:eastAsiaTheme="majorEastAsia" w:hAnsi="Arial Narrow" w:cstheme="majorBidi" w:hint="eastAsia"/>
                <w:bCs/>
                <w:color w:val="000000"/>
                <w:spacing w:val="4"/>
                <w:w w:val="33"/>
                <w:sz w:val="20"/>
                <w:shd w:val="solid" w:color="000000" w:fill="000000"/>
                <w:fitText w:val="150" w:id="-1168382453"/>
                <w14:textFill>
                  <w14:solidFill>
                    <w14:srgbClr w14:val="000000">
                      <w14:alpha w14:val="100000"/>
                    </w14:srgbClr>
                  </w14:solidFill>
                </w14:textFill>
              </w:rPr>
              <w:t xml:space="preserve">　</w:t>
            </w:r>
            <w:r w:rsidRPr="00FA1E86">
              <w:rPr>
                <w:rFonts w:ascii="Arial Narrow" w:eastAsiaTheme="majorEastAsia" w:hAnsi="Arial Narrow" w:cstheme="majorBidi"/>
                <w:bCs/>
                <w:sz w:val="20"/>
              </w:rPr>
              <w:t xml:space="preserve"> effective</w:t>
            </w:r>
            <w:proofErr w:type="gramEnd"/>
            <w:r w:rsidRPr="00FA1E86">
              <w:rPr>
                <w:rFonts w:ascii="Arial Narrow" w:eastAsiaTheme="majorEastAsia" w:hAnsi="Arial Narrow" w:cstheme="majorBidi"/>
                <w:bCs/>
                <w:sz w:val="20"/>
              </w:rPr>
              <w:t xml:space="preserve"> price</w:t>
            </w:r>
          </w:p>
        </w:tc>
        <w:tc>
          <w:tcPr>
            <w:tcW w:w="832" w:type="dxa"/>
            <w:vAlign w:val="center"/>
          </w:tcPr>
          <w:p w14:paraId="0E4B4C7D" w14:textId="77777777" w:rsidR="00504FEE" w:rsidRPr="00FA1E86" w:rsidRDefault="00504FEE" w:rsidP="00915BD6">
            <w:pPr>
              <w:jc w:val="center"/>
              <w:rPr>
                <w:rFonts w:ascii="Arial Narrow" w:hAnsi="Arial Narrow"/>
                <w:sz w:val="20"/>
                <w:szCs w:val="20"/>
              </w:rPr>
            </w:pPr>
            <w:r w:rsidRPr="00FA1E86">
              <w:rPr>
                <w:rFonts w:ascii="Arial Narrow" w:hAnsi="Arial Narrow"/>
                <w:sz w:val="20"/>
                <w:szCs w:val="20"/>
              </w:rPr>
              <w:t>1</w:t>
            </w:r>
          </w:p>
        </w:tc>
        <w:tc>
          <w:tcPr>
            <w:tcW w:w="831" w:type="dxa"/>
            <w:vAlign w:val="center"/>
          </w:tcPr>
          <w:p w14:paraId="79C21513" w14:textId="77777777" w:rsidR="00504FEE" w:rsidRPr="00FA1E86" w:rsidRDefault="00504FEE" w:rsidP="00915BD6">
            <w:pPr>
              <w:jc w:val="center"/>
              <w:rPr>
                <w:rFonts w:ascii="Arial Narrow" w:hAnsi="Arial Narrow"/>
                <w:sz w:val="20"/>
                <w:szCs w:val="20"/>
              </w:rPr>
            </w:pPr>
            <w:r w:rsidRPr="00FA1E86">
              <w:rPr>
                <w:rFonts w:ascii="Arial Narrow" w:hAnsi="Arial Narrow"/>
                <w:sz w:val="20"/>
                <w:szCs w:val="20"/>
              </w:rPr>
              <w:t>4</w:t>
            </w:r>
          </w:p>
        </w:tc>
        <w:tc>
          <w:tcPr>
            <w:tcW w:w="832" w:type="dxa"/>
            <w:vAlign w:val="center"/>
          </w:tcPr>
          <w:p w14:paraId="25AF668D" w14:textId="77777777" w:rsidR="00504FEE" w:rsidRPr="00FA1E86" w:rsidRDefault="00504FEE" w:rsidP="00915BD6">
            <w:pPr>
              <w:jc w:val="center"/>
              <w:rPr>
                <w:rFonts w:ascii="Arial Narrow" w:hAnsi="Arial Narrow"/>
                <w:sz w:val="20"/>
                <w:szCs w:val="20"/>
              </w:rPr>
            </w:pPr>
            <w:r w:rsidRPr="00FA1E86">
              <w:rPr>
                <w:rFonts w:ascii="Arial Narrow" w:hAnsi="Arial Narrow"/>
                <w:sz w:val="20"/>
                <w:szCs w:val="20"/>
              </w:rPr>
              <w:t>5</w:t>
            </w:r>
          </w:p>
        </w:tc>
        <w:tc>
          <w:tcPr>
            <w:tcW w:w="1879" w:type="dxa"/>
            <w:vAlign w:val="center"/>
          </w:tcPr>
          <w:p w14:paraId="54FDF162" w14:textId="77777777" w:rsidR="00504FEE" w:rsidRPr="00FA1E86" w:rsidRDefault="00504FEE" w:rsidP="00915BD6">
            <w:pPr>
              <w:rPr>
                <w:rFonts w:ascii="Arial Narrow" w:hAnsi="Arial Narrow"/>
                <w:color w:val="0066FF"/>
                <w:sz w:val="20"/>
                <w:szCs w:val="20"/>
              </w:rPr>
            </w:pPr>
            <w:r w:rsidRPr="00FA1E86">
              <w:rPr>
                <w:rFonts w:ascii="Arial Narrow" w:eastAsiaTheme="majorEastAsia" w:hAnsi="Arial Narrow" w:cstheme="majorBidi"/>
                <w:bCs/>
                <w:sz w:val="20"/>
              </w:rPr>
              <w:t>Mounjaro</w:t>
            </w:r>
          </w:p>
        </w:tc>
      </w:tr>
      <w:tr w:rsidR="00504FEE" w:rsidRPr="00FA1E86" w14:paraId="6E304526" w14:textId="77777777" w:rsidTr="00DA3819">
        <w:trPr>
          <w:cantSplit/>
          <w:trHeight w:val="20"/>
        </w:trPr>
        <w:tc>
          <w:tcPr>
            <w:tcW w:w="2694" w:type="dxa"/>
            <w:vAlign w:val="center"/>
          </w:tcPr>
          <w:p w14:paraId="11FFC4FD" w14:textId="77777777" w:rsidR="00504FEE" w:rsidRPr="00FA1E86" w:rsidRDefault="00504FEE" w:rsidP="00915BD6">
            <w:pPr>
              <w:jc w:val="left"/>
              <w:rPr>
                <w:rFonts w:ascii="Arial Narrow" w:eastAsiaTheme="majorEastAsia" w:hAnsi="Arial Narrow" w:cstheme="majorBidi"/>
                <w:bCs/>
                <w:color w:val="0066FF"/>
                <w:sz w:val="20"/>
              </w:rPr>
            </w:pPr>
            <w:r w:rsidRPr="00FA1E86">
              <w:rPr>
                <w:rFonts w:ascii="Arial Narrow" w:eastAsiaTheme="majorEastAsia" w:hAnsi="Arial Narrow" w:cstheme="majorBidi"/>
                <w:bCs/>
                <w:sz w:val="20"/>
                <w:szCs w:val="20"/>
              </w:rPr>
              <w:t>Tirzepatide 15 mg/0.5 mL injection, prefilled pen</w:t>
            </w:r>
          </w:p>
        </w:tc>
        <w:tc>
          <w:tcPr>
            <w:tcW w:w="2171" w:type="dxa"/>
          </w:tcPr>
          <w:p w14:paraId="1C34E8D7" w14:textId="2ABD3166" w:rsidR="00504FEE" w:rsidRPr="00FA1E86" w:rsidRDefault="00504FEE" w:rsidP="00915BD6">
            <w:pPr>
              <w:jc w:val="center"/>
              <w:rPr>
                <w:rFonts w:ascii="Arial Narrow" w:eastAsiaTheme="majorEastAsia" w:hAnsi="Arial Narrow" w:cstheme="majorBidi"/>
                <w:bCs/>
                <w:sz w:val="20"/>
              </w:rPr>
            </w:pPr>
            <w:r w:rsidRPr="00FA1E86">
              <w:rPr>
                <w:rFonts w:ascii="Arial Narrow" w:eastAsiaTheme="majorEastAsia" w:hAnsi="Arial Narrow" w:cstheme="majorBidi"/>
                <w:bCs/>
                <w:sz w:val="20"/>
              </w:rPr>
              <w:t>$</w:t>
            </w:r>
            <w:r w:rsidR="001F207D" w:rsidRPr="001F207D">
              <w:rPr>
                <w:rFonts w:ascii="Arial Narrow" w:eastAsiaTheme="majorEastAsia" w:hAnsi="Arial Narrow" w:cstheme="majorBidi"/>
                <w:bCs/>
                <w:color w:val="000000"/>
                <w:spacing w:val="94"/>
                <w:sz w:val="20"/>
                <w:shd w:val="solid" w:color="000000" w:fill="000000"/>
                <w:fitText w:val="180" w:id="-1168382452"/>
                <w14:textFill>
                  <w14:solidFill>
                    <w14:srgbClr w14:val="000000">
                      <w14:alpha w14:val="100000"/>
                    </w14:srgbClr>
                  </w14:solidFill>
                </w14:textFill>
              </w:rPr>
              <w:t>|</w:t>
            </w:r>
            <w:r w:rsidR="001F207D" w:rsidRPr="001F207D">
              <w:rPr>
                <w:rFonts w:ascii="Arial Narrow" w:eastAsiaTheme="majorEastAsia" w:hAnsi="Arial Narrow" w:cstheme="majorBidi"/>
                <w:bCs/>
                <w:color w:val="000000"/>
                <w:sz w:val="20"/>
                <w:shd w:val="solid" w:color="000000" w:fill="000000"/>
                <w:fitText w:val="180" w:id="-1168382452"/>
                <w14:textFill>
                  <w14:solidFill>
                    <w14:srgbClr w14:val="000000">
                      <w14:alpha w14:val="100000"/>
                    </w14:srgbClr>
                  </w14:solidFill>
                </w14:textFill>
              </w:rPr>
              <w:t>|</w:t>
            </w:r>
            <w:r w:rsidR="001F207D" w:rsidRPr="001F207D">
              <w:rPr>
                <w:rFonts w:ascii="Arial Narrow" w:eastAsiaTheme="majorEastAsia" w:hAnsi="Arial Narrow" w:cstheme="majorBidi"/>
                <w:bCs/>
                <w:sz w:val="20"/>
              </w:rPr>
              <w:t xml:space="preserve"> </w:t>
            </w:r>
            <w:r w:rsidRPr="00FA1E86">
              <w:rPr>
                <w:rFonts w:ascii="Arial Narrow" w:eastAsiaTheme="majorEastAsia" w:hAnsi="Arial Narrow" w:cstheme="majorBidi"/>
                <w:bCs/>
                <w:sz w:val="20"/>
              </w:rPr>
              <w:t>published price</w:t>
            </w:r>
          </w:p>
          <w:p w14:paraId="34D54C29" w14:textId="74EBB3B8" w:rsidR="00504FEE" w:rsidRPr="00FA1E86" w:rsidRDefault="00504FEE" w:rsidP="00915BD6">
            <w:pPr>
              <w:jc w:val="center"/>
              <w:rPr>
                <w:rFonts w:ascii="Arial Narrow" w:eastAsiaTheme="majorEastAsia" w:hAnsi="Arial Narrow" w:cstheme="majorBidi"/>
                <w:bCs/>
                <w:sz w:val="20"/>
              </w:rPr>
            </w:pPr>
            <w:r w:rsidRPr="00FA1E86">
              <w:rPr>
                <w:rFonts w:ascii="Arial Narrow" w:eastAsiaTheme="majorEastAsia" w:hAnsi="Arial Narrow" w:cstheme="majorBidi"/>
                <w:bCs/>
                <w:sz w:val="20"/>
              </w:rPr>
              <w:t>$</w:t>
            </w:r>
            <w:r w:rsidR="001F207D" w:rsidRPr="001F207D">
              <w:rPr>
                <w:rFonts w:ascii="Arial Narrow" w:eastAsiaTheme="majorEastAsia" w:hAnsi="Arial Narrow" w:cstheme="majorBidi" w:hint="eastAsia"/>
                <w:bCs/>
                <w:color w:val="000000"/>
                <w:w w:val="33"/>
                <w:sz w:val="20"/>
                <w:shd w:val="solid" w:color="000000" w:fill="000000"/>
                <w:fitText w:val="150" w:id="-1168382451"/>
                <w14:textFill>
                  <w14:solidFill>
                    <w14:srgbClr w14:val="000000">
                      <w14:alpha w14:val="100000"/>
                    </w14:srgbClr>
                  </w14:solidFill>
                </w14:textFill>
              </w:rPr>
              <w:t xml:space="preserve">　</w:t>
            </w:r>
            <w:proofErr w:type="gramStart"/>
            <w:r w:rsidR="001F207D" w:rsidRPr="001F207D">
              <w:rPr>
                <w:rFonts w:ascii="Arial Narrow" w:eastAsiaTheme="majorEastAsia" w:hAnsi="Arial Narrow" w:cstheme="majorBidi"/>
                <w:bCs/>
                <w:color w:val="000000"/>
                <w:w w:val="33"/>
                <w:sz w:val="20"/>
                <w:shd w:val="solid" w:color="000000" w:fill="000000"/>
                <w:fitText w:val="150" w:id="-1168382451"/>
                <w14:textFill>
                  <w14:solidFill>
                    <w14:srgbClr w14:val="000000">
                      <w14:alpha w14:val="100000"/>
                    </w14:srgbClr>
                  </w14:solidFill>
                </w14:textFill>
              </w:rPr>
              <w:t>|</w:t>
            </w:r>
            <w:r w:rsidR="001F207D" w:rsidRPr="001F207D">
              <w:rPr>
                <w:rFonts w:ascii="Arial Narrow" w:eastAsiaTheme="majorEastAsia" w:hAnsi="Arial Narrow" w:cstheme="majorBidi" w:hint="eastAsia"/>
                <w:bCs/>
                <w:color w:val="000000"/>
                <w:spacing w:val="4"/>
                <w:w w:val="33"/>
                <w:sz w:val="20"/>
                <w:shd w:val="solid" w:color="000000" w:fill="000000"/>
                <w:fitText w:val="150" w:id="-1168382451"/>
                <w14:textFill>
                  <w14:solidFill>
                    <w14:srgbClr w14:val="000000">
                      <w14:alpha w14:val="100000"/>
                    </w14:srgbClr>
                  </w14:solidFill>
                </w14:textFill>
              </w:rPr>
              <w:t xml:space="preserve">　</w:t>
            </w:r>
            <w:r w:rsidRPr="00FA1E86">
              <w:rPr>
                <w:rFonts w:ascii="Arial Narrow" w:eastAsiaTheme="majorEastAsia" w:hAnsi="Arial Narrow" w:cstheme="majorBidi"/>
                <w:bCs/>
                <w:sz w:val="20"/>
              </w:rPr>
              <w:t xml:space="preserve"> effective</w:t>
            </w:r>
            <w:proofErr w:type="gramEnd"/>
            <w:r w:rsidRPr="00FA1E86">
              <w:rPr>
                <w:rFonts w:ascii="Arial Narrow" w:eastAsiaTheme="majorEastAsia" w:hAnsi="Arial Narrow" w:cstheme="majorBidi"/>
                <w:bCs/>
                <w:sz w:val="20"/>
              </w:rPr>
              <w:t xml:space="preserve"> price</w:t>
            </w:r>
          </w:p>
        </w:tc>
        <w:tc>
          <w:tcPr>
            <w:tcW w:w="832" w:type="dxa"/>
            <w:vAlign w:val="center"/>
          </w:tcPr>
          <w:p w14:paraId="75D78261" w14:textId="77777777" w:rsidR="00504FEE" w:rsidRPr="00FA1E86" w:rsidRDefault="00504FEE" w:rsidP="00915BD6">
            <w:pPr>
              <w:jc w:val="center"/>
              <w:rPr>
                <w:rFonts w:ascii="Arial Narrow" w:hAnsi="Arial Narrow"/>
                <w:sz w:val="20"/>
                <w:szCs w:val="20"/>
              </w:rPr>
            </w:pPr>
            <w:r w:rsidRPr="00FA1E86">
              <w:rPr>
                <w:rFonts w:ascii="Arial Narrow" w:hAnsi="Arial Narrow"/>
                <w:sz w:val="20"/>
                <w:szCs w:val="20"/>
              </w:rPr>
              <w:t>1</w:t>
            </w:r>
          </w:p>
        </w:tc>
        <w:tc>
          <w:tcPr>
            <w:tcW w:w="831" w:type="dxa"/>
            <w:vAlign w:val="center"/>
          </w:tcPr>
          <w:p w14:paraId="67B1B9FF" w14:textId="77777777" w:rsidR="00504FEE" w:rsidRPr="00FA1E86" w:rsidRDefault="00504FEE" w:rsidP="00915BD6">
            <w:pPr>
              <w:jc w:val="center"/>
              <w:rPr>
                <w:rFonts w:ascii="Arial Narrow" w:hAnsi="Arial Narrow"/>
                <w:sz w:val="20"/>
                <w:szCs w:val="20"/>
              </w:rPr>
            </w:pPr>
            <w:r w:rsidRPr="00FA1E86">
              <w:rPr>
                <w:rFonts w:ascii="Arial Narrow" w:hAnsi="Arial Narrow"/>
                <w:sz w:val="20"/>
                <w:szCs w:val="20"/>
              </w:rPr>
              <w:t>4</w:t>
            </w:r>
          </w:p>
        </w:tc>
        <w:tc>
          <w:tcPr>
            <w:tcW w:w="832" w:type="dxa"/>
            <w:vAlign w:val="center"/>
          </w:tcPr>
          <w:p w14:paraId="28396818" w14:textId="77777777" w:rsidR="00504FEE" w:rsidRPr="00FA1E86" w:rsidRDefault="00504FEE" w:rsidP="00915BD6">
            <w:pPr>
              <w:jc w:val="center"/>
              <w:rPr>
                <w:rFonts w:ascii="Arial Narrow" w:hAnsi="Arial Narrow"/>
                <w:sz w:val="20"/>
                <w:szCs w:val="20"/>
              </w:rPr>
            </w:pPr>
            <w:r w:rsidRPr="00FA1E86">
              <w:rPr>
                <w:rFonts w:ascii="Arial Narrow" w:hAnsi="Arial Narrow"/>
                <w:sz w:val="20"/>
                <w:szCs w:val="20"/>
              </w:rPr>
              <w:t>5</w:t>
            </w:r>
          </w:p>
        </w:tc>
        <w:tc>
          <w:tcPr>
            <w:tcW w:w="1879" w:type="dxa"/>
            <w:vAlign w:val="center"/>
          </w:tcPr>
          <w:p w14:paraId="3D5B2F3E" w14:textId="77777777" w:rsidR="00504FEE" w:rsidRPr="00FA1E86" w:rsidRDefault="00504FEE" w:rsidP="00915BD6">
            <w:pPr>
              <w:rPr>
                <w:rFonts w:ascii="Arial Narrow" w:hAnsi="Arial Narrow"/>
                <w:color w:val="0066FF"/>
                <w:sz w:val="20"/>
                <w:szCs w:val="20"/>
              </w:rPr>
            </w:pPr>
            <w:r w:rsidRPr="00FA1E86">
              <w:rPr>
                <w:rFonts w:ascii="Arial Narrow" w:eastAsiaTheme="majorEastAsia" w:hAnsi="Arial Narrow" w:cstheme="majorBidi"/>
                <w:bCs/>
                <w:sz w:val="20"/>
              </w:rPr>
              <w:t>Mounjaro</w:t>
            </w:r>
          </w:p>
        </w:tc>
      </w:tr>
      <w:tr w:rsidR="00504FEE" w:rsidRPr="00FA1E86" w14:paraId="6457B92C" w14:textId="77777777" w:rsidTr="00DA3819">
        <w:trPr>
          <w:cantSplit/>
          <w:trHeight w:val="20"/>
        </w:trPr>
        <w:tc>
          <w:tcPr>
            <w:tcW w:w="2694" w:type="dxa"/>
            <w:vAlign w:val="center"/>
          </w:tcPr>
          <w:p w14:paraId="4CD9A4A9" w14:textId="77777777" w:rsidR="00504FEE" w:rsidRPr="00272A28" w:rsidRDefault="00504FEE" w:rsidP="00915BD6">
            <w:pPr>
              <w:jc w:val="left"/>
              <w:rPr>
                <w:rFonts w:ascii="Arial Narrow" w:eastAsiaTheme="majorEastAsia" w:hAnsi="Arial Narrow" w:cstheme="majorBidi"/>
                <w:bCs/>
                <w:strike/>
                <w:color w:val="0066FF"/>
                <w:sz w:val="20"/>
              </w:rPr>
            </w:pPr>
            <w:r w:rsidRPr="00272A28">
              <w:rPr>
                <w:rFonts w:ascii="Arial Narrow" w:eastAsiaTheme="majorEastAsia" w:hAnsi="Arial Narrow" w:cstheme="majorBidi"/>
                <w:bCs/>
                <w:strike/>
                <w:sz w:val="20"/>
                <w:szCs w:val="20"/>
              </w:rPr>
              <w:t>Tirzepatide 2.5 mg/0.5 mL injection, vial</w:t>
            </w:r>
          </w:p>
        </w:tc>
        <w:tc>
          <w:tcPr>
            <w:tcW w:w="2171" w:type="dxa"/>
          </w:tcPr>
          <w:p w14:paraId="548EC9ED" w14:textId="4256C03B" w:rsidR="00504FEE" w:rsidRPr="00272A28" w:rsidRDefault="00504FEE" w:rsidP="00915BD6">
            <w:pPr>
              <w:jc w:val="center"/>
              <w:rPr>
                <w:rFonts w:ascii="Arial Narrow" w:eastAsiaTheme="majorEastAsia" w:hAnsi="Arial Narrow" w:cstheme="majorBidi"/>
                <w:bCs/>
                <w:strike/>
                <w:sz w:val="20"/>
              </w:rPr>
            </w:pPr>
            <w:r w:rsidRPr="00272A28">
              <w:rPr>
                <w:rFonts w:ascii="Arial Narrow" w:eastAsiaTheme="majorEastAsia" w:hAnsi="Arial Narrow" w:cstheme="majorBidi"/>
                <w:bCs/>
                <w:strike/>
                <w:sz w:val="20"/>
              </w:rPr>
              <w:t>$</w:t>
            </w:r>
            <w:r w:rsidR="001F207D" w:rsidRPr="001F207D">
              <w:rPr>
                <w:rFonts w:ascii="Arial Narrow" w:eastAsiaTheme="majorEastAsia" w:hAnsi="Arial Narrow" w:cstheme="majorBidi"/>
                <w:bCs/>
                <w:strike/>
                <w:color w:val="000000"/>
                <w:spacing w:val="94"/>
                <w:sz w:val="20"/>
                <w:shd w:val="solid" w:color="000000" w:fill="000000"/>
                <w:fitText w:val="180" w:id="-1168382450"/>
                <w14:textFill>
                  <w14:solidFill>
                    <w14:srgbClr w14:val="000000">
                      <w14:alpha w14:val="100000"/>
                    </w14:srgbClr>
                  </w14:solidFill>
                </w14:textFill>
              </w:rPr>
              <w:t>|</w:t>
            </w:r>
            <w:r w:rsidR="001F207D" w:rsidRPr="001F207D">
              <w:rPr>
                <w:rFonts w:ascii="Arial Narrow" w:eastAsiaTheme="majorEastAsia" w:hAnsi="Arial Narrow" w:cstheme="majorBidi"/>
                <w:bCs/>
                <w:strike/>
                <w:color w:val="000000"/>
                <w:sz w:val="20"/>
                <w:shd w:val="solid" w:color="000000" w:fill="000000"/>
                <w:fitText w:val="180" w:id="-1168382450"/>
                <w14:textFill>
                  <w14:solidFill>
                    <w14:srgbClr w14:val="000000">
                      <w14:alpha w14:val="100000"/>
                    </w14:srgbClr>
                  </w14:solidFill>
                </w14:textFill>
              </w:rPr>
              <w:t>|</w:t>
            </w:r>
            <w:r w:rsidR="001F207D" w:rsidRPr="001F207D">
              <w:rPr>
                <w:rFonts w:ascii="Arial Narrow" w:eastAsiaTheme="majorEastAsia" w:hAnsi="Arial Narrow" w:cstheme="majorBidi"/>
                <w:bCs/>
                <w:strike/>
                <w:sz w:val="20"/>
              </w:rPr>
              <w:t xml:space="preserve"> </w:t>
            </w:r>
            <w:r w:rsidRPr="00272A28">
              <w:rPr>
                <w:rFonts w:ascii="Arial Narrow" w:eastAsiaTheme="majorEastAsia" w:hAnsi="Arial Narrow" w:cstheme="majorBidi"/>
                <w:bCs/>
                <w:strike/>
                <w:sz w:val="20"/>
              </w:rPr>
              <w:t>published price</w:t>
            </w:r>
          </w:p>
          <w:p w14:paraId="04E55D79" w14:textId="3914BC9B" w:rsidR="00504FEE" w:rsidRPr="00272A28" w:rsidRDefault="00504FEE" w:rsidP="00915BD6">
            <w:pPr>
              <w:jc w:val="center"/>
              <w:rPr>
                <w:rFonts w:ascii="Arial Narrow" w:eastAsiaTheme="majorEastAsia" w:hAnsi="Arial Narrow" w:cstheme="majorBidi"/>
                <w:bCs/>
                <w:strike/>
                <w:sz w:val="20"/>
              </w:rPr>
            </w:pPr>
            <w:r w:rsidRPr="00272A28">
              <w:rPr>
                <w:rFonts w:ascii="Arial Narrow" w:eastAsiaTheme="majorEastAsia" w:hAnsi="Arial Narrow" w:cstheme="majorBidi"/>
                <w:bCs/>
                <w:strike/>
                <w:sz w:val="20"/>
              </w:rPr>
              <w:t>$</w:t>
            </w:r>
            <w:r w:rsidR="001F207D" w:rsidRPr="001F207D">
              <w:rPr>
                <w:rFonts w:ascii="Arial Narrow" w:eastAsiaTheme="majorEastAsia" w:hAnsi="Arial Narrow" w:cstheme="majorBidi" w:hint="eastAsia"/>
                <w:bCs/>
                <w:strike/>
                <w:color w:val="000000"/>
                <w:w w:val="33"/>
                <w:sz w:val="20"/>
                <w:shd w:val="solid" w:color="000000" w:fill="000000"/>
                <w:fitText w:val="150" w:id="-1168382449"/>
                <w14:textFill>
                  <w14:solidFill>
                    <w14:srgbClr w14:val="000000">
                      <w14:alpha w14:val="100000"/>
                    </w14:srgbClr>
                  </w14:solidFill>
                </w14:textFill>
              </w:rPr>
              <w:t xml:space="preserve">　</w:t>
            </w:r>
            <w:proofErr w:type="gramStart"/>
            <w:r w:rsidR="001F207D" w:rsidRPr="001F207D">
              <w:rPr>
                <w:rFonts w:ascii="Arial Narrow" w:eastAsiaTheme="majorEastAsia" w:hAnsi="Arial Narrow" w:cstheme="majorBidi"/>
                <w:bCs/>
                <w:strike/>
                <w:color w:val="000000"/>
                <w:w w:val="33"/>
                <w:sz w:val="20"/>
                <w:shd w:val="solid" w:color="000000" w:fill="000000"/>
                <w:fitText w:val="150" w:id="-1168382449"/>
                <w14:textFill>
                  <w14:solidFill>
                    <w14:srgbClr w14:val="000000">
                      <w14:alpha w14:val="100000"/>
                    </w14:srgbClr>
                  </w14:solidFill>
                </w14:textFill>
              </w:rPr>
              <w:t>|</w:t>
            </w:r>
            <w:r w:rsidR="001F207D" w:rsidRPr="001F207D">
              <w:rPr>
                <w:rFonts w:ascii="Arial Narrow" w:eastAsiaTheme="majorEastAsia" w:hAnsi="Arial Narrow" w:cstheme="majorBidi" w:hint="eastAsia"/>
                <w:bCs/>
                <w:strike/>
                <w:color w:val="000000"/>
                <w:spacing w:val="4"/>
                <w:w w:val="33"/>
                <w:sz w:val="20"/>
                <w:shd w:val="solid" w:color="000000" w:fill="000000"/>
                <w:fitText w:val="150" w:id="-1168382449"/>
                <w14:textFill>
                  <w14:solidFill>
                    <w14:srgbClr w14:val="000000">
                      <w14:alpha w14:val="100000"/>
                    </w14:srgbClr>
                  </w14:solidFill>
                </w14:textFill>
              </w:rPr>
              <w:t xml:space="preserve">　</w:t>
            </w:r>
            <w:r w:rsidRPr="00272A28">
              <w:rPr>
                <w:rFonts w:ascii="Arial Narrow" w:eastAsiaTheme="majorEastAsia" w:hAnsi="Arial Narrow" w:cstheme="majorBidi"/>
                <w:bCs/>
                <w:strike/>
                <w:sz w:val="20"/>
              </w:rPr>
              <w:t xml:space="preserve"> effective</w:t>
            </w:r>
            <w:proofErr w:type="gramEnd"/>
            <w:r w:rsidRPr="00272A28">
              <w:rPr>
                <w:rFonts w:ascii="Arial Narrow" w:eastAsiaTheme="majorEastAsia" w:hAnsi="Arial Narrow" w:cstheme="majorBidi"/>
                <w:bCs/>
                <w:strike/>
                <w:sz w:val="20"/>
              </w:rPr>
              <w:t xml:space="preserve"> price</w:t>
            </w:r>
          </w:p>
        </w:tc>
        <w:tc>
          <w:tcPr>
            <w:tcW w:w="832" w:type="dxa"/>
            <w:vAlign w:val="center"/>
          </w:tcPr>
          <w:p w14:paraId="6E3F8C4C" w14:textId="77777777" w:rsidR="00504FEE" w:rsidRPr="00272A28" w:rsidRDefault="00504FEE" w:rsidP="00915BD6">
            <w:pPr>
              <w:jc w:val="center"/>
              <w:rPr>
                <w:rFonts w:ascii="Arial Narrow" w:hAnsi="Arial Narrow"/>
                <w:strike/>
                <w:sz w:val="20"/>
                <w:szCs w:val="20"/>
              </w:rPr>
            </w:pPr>
            <w:r w:rsidRPr="00272A28">
              <w:rPr>
                <w:rFonts w:ascii="Arial Narrow" w:hAnsi="Arial Narrow"/>
                <w:strike/>
                <w:sz w:val="20"/>
                <w:szCs w:val="20"/>
              </w:rPr>
              <w:t>4</w:t>
            </w:r>
          </w:p>
        </w:tc>
        <w:tc>
          <w:tcPr>
            <w:tcW w:w="831" w:type="dxa"/>
            <w:vAlign w:val="center"/>
          </w:tcPr>
          <w:p w14:paraId="16F6394C" w14:textId="77777777" w:rsidR="00504FEE" w:rsidRPr="00272A28" w:rsidRDefault="00504FEE" w:rsidP="00915BD6">
            <w:pPr>
              <w:jc w:val="center"/>
              <w:rPr>
                <w:rFonts w:ascii="Arial Narrow" w:hAnsi="Arial Narrow"/>
                <w:strike/>
                <w:sz w:val="20"/>
                <w:szCs w:val="20"/>
              </w:rPr>
            </w:pPr>
            <w:r w:rsidRPr="00272A28">
              <w:rPr>
                <w:rFonts w:ascii="Arial Narrow" w:hAnsi="Arial Narrow"/>
                <w:strike/>
                <w:sz w:val="20"/>
                <w:szCs w:val="20"/>
              </w:rPr>
              <w:t>1</w:t>
            </w:r>
          </w:p>
        </w:tc>
        <w:tc>
          <w:tcPr>
            <w:tcW w:w="832" w:type="dxa"/>
            <w:vAlign w:val="center"/>
          </w:tcPr>
          <w:p w14:paraId="7F00CB7B" w14:textId="77777777" w:rsidR="00504FEE" w:rsidRPr="00272A28" w:rsidRDefault="00504FEE" w:rsidP="00915BD6">
            <w:pPr>
              <w:jc w:val="center"/>
              <w:rPr>
                <w:rFonts w:ascii="Arial Narrow" w:hAnsi="Arial Narrow"/>
                <w:strike/>
                <w:sz w:val="20"/>
                <w:szCs w:val="20"/>
              </w:rPr>
            </w:pPr>
            <w:r w:rsidRPr="00272A28">
              <w:rPr>
                <w:rFonts w:ascii="Arial Narrow" w:hAnsi="Arial Narrow"/>
                <w:strike/>
                <w:sz w:val="20"/>
                <w:szCs w:val="20"/>
              </w:rPr>
              <w:t>5</w:t>
            </w:r>
          </w:p>
        </w:tc>
        <w:tc>
          <w:tcPr>
            <w:tcW w:w="1879" w:type="dxa"/>
            <w:vAlign w:val="center"/>
          </w:tcPr>
          <w:p w14:paraId="5C8B3AB2" w14:textId="77777777" w:rsidR="00504FEE" w:rsidRPr="00272A28" w:rsidRDefault="00504FEE" w:rsidP="00915BD6">
            <w:pPr>
              <w:rPr>
                <w:rFonts w:ascii="Arial Narrow" w:hAnsi="Arial Narrow"/>
                <w:strike/>
                <w:color w:val="0066FF"/>
                <w:sz w:val="20"/>
                <w:szCs w:val="20"/>
              </w:rPr>
            </w:pPr>
            <w:r w:rsidRPr="00272A28">
              <w:rPr>
                <w:rFonts w:ascii="Arial Narrow" w:eastAsiaTheme="majorEastAsia" w:hAnsi="Arial Narrow" w:cstheme="majorBidi"/>
                <w:bCs/>
                <w:strike/>
                <w:sz w:val="20"/>
              </w:rPr>
              <w:t>Mounjaro</w:t>
            </w:r>
          </w:p>
        </w:tc>
      </w:tr>
      <w:tr w:rsidR="00504FEE" w:rsidRPr="00FA1E86" w14:paraId="6FAC4359" w14:textId="77777777" w:rsidTr="00DA3819">
        <w:trPr>
          <w:cantSplit/>
          <w:trHeight w:val="20"/>
        </w:trPr>
        <w:tc>
          <w:tcPr>
            <w:tcW w:w="2694" w:type="dxa"/>
            <w:vAlign w:val="center"/>
          </w:tcPr>
          <w:p w14:paraId="121C98BD" w14:textId="77777777" w:rsidR="00EC2D33" w:rsidRDefault="00504FEE" w:rsidP="00915BD6">
            <w:pPr>
              <w:jc w:val="left"/>
              <w:rPr>
                <w:rFonts w:ascii="Arial Narrow" w:eastAsiaTheme="majorEastAsia" w:hAnsi="Arial Narrow" w:cstheme="majorBidi"/>
                <w:bCs/>
                <w:strike/>
                <w:sz w:val="20"/>
                <w:szCs w:val="20"/>
              </w:rPr>
            </w:pPr>
            <w:r w:rsidRPr="00272A28">
              <w:rPr>
                <w:rFonts w:ascii="Arial Narrow" w:eastAsiaTheme="majorEastAsia" w:hAnsi="Arial Narrow" w:cstheme="majorBidi"/>
                <w:bCs/>
                <w:strike/>
                <w:sz w:val="20"/>
                <w:szCs w:val="20"/>
              </w:rPr>
              <w:t>Tirzepatide 5 mg/0.5 mL</w:t>
            </w:r>
          </w:p>
          <w:p w14:paraId="675DDF7C" w14:textId="77E7C925" w:rsidR="00504FEE" w:rsidRPr="00272A28" w:rsidRDefault="00504FEE" w:rsidP="00915BD6">
            <w:pPr>
              <w:jc w:val="left"/>
              <w:rPr>
                <w:rFonts w:ascii="Arial Narrow" w:eastAsiaTheme="majorEastAsia" w:hAnsi="Arial Narrow" w:cstheme="majorBidi"/>
                <w:bCs/>
                <w:strike/>
                <w:color w:val="0066FF"/>
                <w:sz w:val="20"/>
              </w:rPr>
            </w:pPr>
            <w:r w:rsidRPr="00272A28">
              <w:rPr>
                <w:rFonts w:ascii="Arial Narrow" w:eastAsiaTheme="majorEastAsia" w:hAnsi="Arial Narrow" w:cstheme="majorBidi"/>
                <w:bCs/>
                <w:strike/>
                <w:sz w:val="20"/>
                <w:szCs w:val="20"/>
              </w:rPr>
              <w:t>injection, vial</w:t>
            </w:r>
          </w:p>
        </w:tc>
        <w:tc>
          <w:tcPr>
            <w:tcW w:w="2171" w:type="dxa"/>
          </w:tcPr>
          <w:p w14:paraId="17539687" w14:textId="733196DE" w:rsidR="00504FEE" w:rsidRPr="00272A28" w:rsidRDefault="00504FEE" w:rsidP="00915BD6">
            <w:pPr>
              <w:jc w:val="center"/>
              <w:rPr>
                <w:rFonts w:ascii="Arial Narrow" w:eastAsiaTheme="majorEastAsia" w:hAnsi="Arial Narrow" w:cstheme="majorBidi"/>
                <w:bCs/>
                <w:strike/>
                <w:sz w:val="20"/>
              </w:rPr>
            </w:pPr>
            <w:r w:rsidRPr="00272A28">
              <w:rPr>
                <w:rFonts w:ascii="Arial Narrow" w:eastAsiaTheme="majorEastAsia" w:hAnsi="Arial Narrow" w:cstheme="majorBidi"/>
                <w:bCs/>
                <w:strike/>
                <w:sz w:val="20"/>
              </w:rPr>
              <w:t>$</w:t>
            </w:r>
            <w:r w:rsidR="001F207D" w:rsidRPr="001F207D">
              <w:rPr>
                <w:rFonts w:ascii="Arial Narrow" w:eastAsiaTheme="majorEastAsia" w:hAnsi="Arial Narrow" w:cstheme="majorBidi"/>
                <w:bCs/>
                <w:strike/>
                <w:color w:val="000000"/>
                <w:spacing w:val="94"/>
                <w:sz w:val="20"/>
                <w:shd w:val="solid" w:color="000000" w:fill="000000"/>
                <w:fitText w:val="180" w:id="-1168382448"/>
                <w14:textFill>
                  <w14:solidFill>
                    <w14:srgbClr w14:val="000000">
                      <w14:alpha w14:val="100000"/>
                    </w14:srgbClr>
                  </w14:solidFill>
                </w14:textFill>
              </w:rPr>
              <w:t>|</w:t>
            </w:r>
            <w:r w:rsidR="001F207D" w:rsidRPr="001F207D">
              <w:rPr>
                <w:rFonts w:ascii="Arial Narrow" w:eastAsiaTheme="majorEastAsia" w:hAnsi="Arial Narrow" w:cstheme="majorBidi"/>
                <w:bCs/>
                <w:strike/>
                <w:color w:val="000000"/>
                <w:sz w:val="20"/>
                <w:shd w:val="solid" w:color="000000" w:fill="000000"/>
                <w:fitText w:val="180" w:id="-1168382448"/>
                <w14:textFill>
                  <w14:solidFill>
                    <w14:srgbClr w14:val="000000">
                      <w14:alpha w14:val="100000"/>
                    </w14:srgbClr>
                  </w14:solidFill>
                </w14:textFill>
              </w:rPr>
              <w:t>|</w:t>
            </w:r>
            <w:r w:rsidR="001F207D" w:rsidRPr="001F207D">
              <w:rPr>
                <w:rFonts w:ascii="Arial Narrow" w:eastAsiaTheme="majorEastAsia" w:hAnsi="Arial Narrow" w:cstheme="majorBidi"/>
                <w:bCs/>
                <w:strike/>
                <w:sz w:val="20"/>
              </w:rPr>
              <w:t xml:space="preserve"> </w:t>
            </w:r>
            <w:r w:rsidRPr="00272A28">
              <w:rPr>
                <w:rFonts w:ascii="Arial Narrow" w:eastAsiaTheme="majorEastAsia" w:hAnsi="Arial Narrow" w:cstheme="majorBidi"/>
                <w:bCs/>
                <w:strike/>
                <w:sz w:val="20"/>
              </w:rPr>
              <w:t>published price</w:t>
            </w:r>
          </w:p>
          <w:p w14:paraId="7CC283E5" w14:textId="7BAA71E6" w:rsidR="00504FEE" w:rsidRPr="00272A28" w:rsidRDefault="00504FEE" w:rsidP="00915BD6">
            <w:pPr>
              <w:jc w:val="center"/>
              <w:rPr>
                <w:rFonts w:ascii="Arial Narrow" w:eastAsiaTheme="majorEastAsia" w:hAnsi="Arial Narrow" w:cstheme="majorBidi"/>
                <w:bCs/>
                <w:strike/>
                <w:sz w:val="20"/>
              </w:rPr>
            </w:pPr>
            <w:r w:rsidRPr="00272A28">
              <w:rPr>
                <w:rFonts w:ascii="Arial Narrow" w:eastAsiaTheme="majorEastAsia" w:hAnsi="Arial Narrow" w:cstheme="majorBidi"/>
                <w:bCs/>
                <w:strike/>
                <w:sz w:val="20"/>
              </w:rPr>
              <w:t>$</w:t>
            </w:r>
            <w:r w:rsidR="001F207D" w:rsidRPr="001F207D">
              <w:rPr>
                <w:rFonts w:ascii="Arial Narrow" w:eastAsiaTheme="majorEastAsia" w:hAnsi="Arial Narrow" w:cstheme="majorBidi" w:hint="eastAsia"/>
                <w:bCs/>
                <w:strike/>
                <w:color w:val="000000"/>
                <w:w w:val="33"/>
                <w:sz w:val="20"/>
                <w:shd w:val="solid" w:color="000000" w:fill="000000"/>
                <w:fitText w:val="150" w:id="-1168382464"/>
                <w14:textFill>
                  <w14:solidFill>
                    <w14:srgbClr w14:val="000000">
                      <w14:alpha w14:val="100000"/>
                    </w14:srgbClr>
                  </w14:solidFill>
                </w14:textFill>
              </w:rPr>
              <w:t xml:space="preserve">　</w:t>
            </w:r>
            <w:proofErr w:type="gramStart"/>
            <w:r w:rsidR="001F207D" w:rsidRPr="001F207D">
              <w:rPr>
                <w:rFonts w:ascii="Arial Narrow" w:eastAsiaTheme="majorEastAsia" w:hAnsi="Arial Narrow" w:cstheme="majorBidi"/>
                <w:bCs/>
                <w:strike/>
                <w:color w:val="000000"/>
                <w:w w:val="33"/>
                <w:sz w:val="20"/>
                <w:shd w:val="solid" w:color="000000" w:fill="000000"/>
                <w:fitText w:val="150" w:id="-1168382464"/>
                <w14:textFill>
                  <w14:solidFill>
                    <w14:srgbClr w14:val="000000">
                      <w14:alpha w14:val="100000"/>
                    </w14:srgbClr>
                  </w14:solidFill>
                </w14:textFill>
              </w:rPr>
              <w:t>|</w:t>
            </w:r>
            <w:r w:rsidR="001F207D" w:rsidRPr="001F207D">
              <w:rPr>
                <w:rFonts w:ascii="Arial Narrow" w:eastAsiaTheme="majorEastAsia" w:hAnsi="Arial Narrow" w:cstheme="majorBidi" w:hint="eastAsia"/>
                <w:bCs/>
                <w:strike/>
                <w:color w:val="000000"/>
                <w:spacing w:val="4"/>
                <w:w w:val="33"/>
                <w:sz w:val="20"/>
                <w:shd w:val="solid" w:color="000000" w:fill="000000"/>
                <w:fitText w:val="150" w:id="-1168382464"/>
                <w14:textFill>
                  <w14:solidFill>
                    <w14:srgbClr w14:val="000000">
                      <w14:alpha w14:val="100000"/>
                    </w14:srgbClr>
                  </w14:solidFill>
                </w14:textFill>
              </w:rPr>
              <w:t xml:space="preserve">　</w:t>
            </w:r>
            <w:r w:rsidRPr="00272A28">
              <w:rPr>
                <w:rFonts w:ascii="Arial Narrow" w:eastAsiaTheme="majorEastAsia" w:hAnsi="Arial Narrow" w:cstheme="majorBidi"/>
                <w:bCs/>
                <w:strike/>
                <w:sz w:val="20"/>
              </w:rPr>
              <w:t xml:space="preserve"> effective</w:t>
            </w:r>
            <w:proofErr w:type="gramEnd"/>
            <w:r w:rsidRPr="00272A28">
              <w:rPr>
                <w:rFonts w:ascii="Arial Narrow" w:eastAsiaTheme="majorEastAsia" w:hAnsi="Arial Narrow" w:cstheme="majorBidi"/>
                <w:bCs/>
                <w:strike/>
                <w:sz w:val="20"/>
              </w:rPr>
              <w:t xml:space="preserve"> price</w:t>
            </w:r>
          </w:p>
        </w:tc>
        <w:tc>
          <w:tcPr>
            <w:tcW w:w="832" w:type="dxa"/>
            <w:vAlign w:val="center"/>
          </w:tcPr>
          <w:p w14:paraId="4D4AD3A3" w14:textId="77777777" w:rsidR="00504FEE" w:rsidRPr="00272A28" w:rsidRDefault="00504FEE" w:rsidP="00915BD6">
            <w:pPr>
              <w:jc w:val="center"/>
              <w:rPr>
                <w:rFonts w:ascii="Arial Narrow" w:hAnsi="Arial Narrow"/>
                <w:strike/>
                <w:sz w:val="20"/>
                <w:szCs w:val="20"/>
              </w:rPr>
            </w:pPr>
            <w:r w:rsidRPr="00272A28">
              <w:rPr>
                <w:rFonts w:ascii="Arial Narrow" w:hAnsi="Arial Narrow"/>
                <w:strike/>
                <w:sz w:val="20"/>
                <w:szCs w:val="20"/>
              </w:rPr>
              <w:t>4</w:t>
            </w:r>
          </w:p>
        </w:tc>
        <w:tc>
          <w:tcPr>
            <w:tcW w:w="831" w:type="dxa"/>
            <w:vAlign w:val="center"/>
          </w:tcPr>
          <w:p w14:paraId="4AA60056" w14:textId="77777777" w:rsidR="00504FEE" w:rsidRPr="00272A28" w:rsidRDefault="00504FEE" w:rsidP="00915BD6">
            <w:pPr>
              <w:jc w:val="center"/>
              <w:rPr>
                <w:rFonts w:ascii="Arial Narrow" w:hAnsi="Arial Narrow"/>
                <w:strike/>
                <w:sz w:val="20"/>
                <w:szCs w:val="20"/>
              </w:rPr>
            </w:pPr>
            <w:r w:rsidRPr="00272A28">
              <w:rPr>
                <w:rFonts w:ascii="Arial Narrow" w:hAnsi="Arial Narrow"/>
                <w:strike/>
                <w:sz w:val="20"/>
                <w:szCs w:val="20"/>
              </w:rPr>
              <w:t>1</w:t>
            </w:r>
          </w:p>
        </w:tc>
        <w:tc>
          <w:tcPr>
            <w:tcW w:w="832" w:type="dxa"/>
            <w:vAlign w:val="center"/>
          </w:tcPr>
          <w:p w14:paraId="5D67C133" w14:textId="77777777" w:rsidR="00504FEE" w:rsidRPr="00272A28" w:rsidRDefault="00504FEE" w:rsidP="00915BD6">
            <w:pPr>
              <w:jc w:val="center"/>
              <w:rPr>
                <w:rFonts w:ascii="Arial Narrow" w:hAnsi="Arial Narrow"/>
                <w:strike/>
                <w:sz w:val="20"/>
                <w:szCs w:val="20"/>
              </w:rPr>
            </w:pPr>
            <w:r w:rsidRPr="00272A28">
              <w:rPr>
                <w:rFonts w:ascii="Arial Narrow" w:hAnsi="Arial Narrow"/>
                <w:strike/>
                <w:sz w:val="20"/>
                <w:szCs w:val="20"/>
              </w:rPr>
              <w:t>5</w:t>
            </w:r>
          </w:p>
        </w:tc>
        <w:tc>
          <w:tcPr>
            <w:tcW w:w="1879" w:type="dxa"/>
            <w:vAlign w:val="center"/>
          </w:tcPr>
          <w:p w14:paraId="706BB92F" w14:textId="77777777" w:rsidR="00504FEE" w:rsidRPr="00272A28" w:rsidRDefault="00504FEE" w:rsidP="00915BD6">
            <w:pPr>
              <w:rPr>
                <w:rFonts w:ascii="Arial Narrow" w:hAnsi="Arial Narrow"/>
                <w:strike/>
                <w:color w:val="0066FF"/>
                <w:sz w:val="20"/>
                <w:szCs w:val="20"/>
              </w:rPr>
            </w:pPr>
            <w:r w:rsidRPr="00272A28">
              <w:rPr>
                <w:rFonts w:ascii="Arial Narrow" w:eastAsiaTheme="majorEastAsia" w:hAnsi="Arial Narrow" w:cstheme="majorBidi"/>
                <w:bCs/>
                <w:strike/>
                <w:sz w:val="20"/>
              </w:rPr>
              <w:t>Mounjaro</w:t>
            </w:r>
          </w:p>
        </w:tc>
      </w:tr>
      <w:tr w:rsidR="00504FEE" w:rsidRPr="00FA1E86" w14:paraId="44D26109" w14:textId="77777777" w:rsidTr="00DA3819">
        <w:trPr>
          <w:cantSplit/>
          <w:trHeight w:val="20"/>
        </w:trPr>
        <w:tc>
          <w:tcPr>
            <w:tcW w:w="2694" w:type="dxa"/>
            <w:vAlign w:val="center"/>
          </w:tcPr>
          <w:p w14:paraId="3EA0902A" w14:textId="77777777" w:rsidR="00504FEE" w:rsidRPr="00272A28" w:rsidRDefault="00504FEE" w:rsidP="00915BD6">
            <w:pPr>
              <w:jc w:val="left"/>
              <w:rPr>
                <w:rFonts w:ascii="Arial Narrow" w:eastAsiaTheme="majorEastAsia" w:hAnsi="Arial Narrow" w:cstheme="majorBidi"/>
                <w:bCs/>
                <w:strike/>
                <w:color w:val="0066FF"/>
                <w:sz w:val="20"/>
              </w:rPr>
            </w:pPr>
            <w:r w:rsidRPr="00272A28">
              <w:rPr>
                <w:rFonts w:ascii="Arial Narrow" w:eastAsiaTheme="majorEastAsia" w:hAnsi="Arial Narrow" w:cstheme="majorBidi"/>
                <w:bCs/>
                <w:strike/>
                <w:sz w:val="20"/>
                <w:szCs w:val="20"/>
              </w:rPr>
              <w:lastRenderedPageBreak/>
              <w:t>Tirzepatide 7.5 mg/0.5 mL injection, vial</w:t>
            </w:r>
          </w:p>
        </w:tc>
        <w:tc>
          <w:tcPr>
            <w:tcW w:w="2171" w:type="dxa"/>
          </w:tcPr>
          <w:p w14:paraId="30C76537" w14:textId="5C2C8EA2" w:rsidR="00504FEE" w:rsidRPr="00272A28" w:rsidRDefault="00504FEE" w:rsidP="00915BD6">
            <w:pPr>
              <w:jc w:val="center"/>
              <w:rPr>
                <w:rFonts w:ascii="Arial Narrow" w:eastAsiaTheme="majorEastAsia" w:hAnsi="Arial Narrow" w:cstheme="majorBidi"/>
                <w:bCs/>
                <w:strike/>
                <w:sz w:val="20"/>
              </w:rPr>
            </w:pPr>
            <w:r w:rsidRPr="00272A28">
              <w:rPr>
                <w:rFonts w:ascii="Arial Narrow" w:eastAsiaTheme="majorEastAsia" w:hAnsi="Arial Narrow" w:cstheme="majorBidi"/>
                <w:bCs/>
                <w:strike/>
                <w:sz w:val="20"/>
              </w:rPr>
              <w:t>$</w:t>
            </w:r>
            <w:r w:rsidR="001F207D" w:rsidRPr="001F207D">
              <w:rPr>
                <w:rFonts w:ascii="Arial Narrow" w:eastAsiaTheme="majorEastAsia" w:hAnsi="Arial Narrow" w:cstheme="majorBidi"/>
                <w:bCs/>
                <w:strike/>
                <w:color w:val="000000"/>
                <w:spacing w:val="94"/>
                <w:sz w:val="20"/>
                <w:shd w:val="solid" w:color="000000" w:fill="000000"/>
                <w:fitText w:val="180" w:id="-1168382463"/>
                <w14:textFill>
                  <w14:solidFill>
                    <w14:srgbClr w14:val="000000">
                      <w14:alpha w14:val="100000"/>
                    </w14:srgbClr>
                  </w14:solidFill>
                </w14:textFill>
              </w:rPr>
              <w:t>|</w:t>
            </w:r>
            <w:r w:rsidR="001F207D" w:rsidRPr="001F207D">
              <w:rPr>
                <w:rFonts w:ascii="Arial Narrow" w:eastAsiaTheme="majorEastAsia" w:hAnsi="Arial Narrow" w:cstheme="majorBidi"/>
                <w:bCs/>
                <w:strike/>
                <w:color w:val="000000"/>
                <w:sz w:val="20"/>
                <w:shd w:val="solid" w:color="000000" w:fill="000000"/>
                <w:fitText w:val="180" w:id="-1168382463"/>
                <w14:textFill>
                  <w14:solidFill>
                    <w14:srgbClr w14:val="000000">
                      <w14:alpha w14:val="100000"/>
                    </w14:srgbClr>
                  </w14:solidFill>
                </w14:textFill>
              </w:rPr>
              <w:t>|</w:t>
            </w:r>
            <w:r w:rsidR="001F207D" w:rsidRPr="001F207D">
              <w:rPr>
                <w:rFonts w:ascii="Arial Narrow" w:eastAsiaTheme="majorEastAsia" w:hAnsi="Arial Narrow" w:cstheme="majorBidi"/>
                <w:bCs/>
                <w:strike/>
                <w:sz w:val="20"/>
              </w:rPr>
              <w:t xml:space="preserve"> </w:t>
            </w:r>
            <w:r w:rsidRPr="00272A28">
              <w:rPr>
                <w:rFonts w:ascii="Arial Narrow" w:eastAsiaTheme="majorEastAsia" w:hAnsi="Arial Narrow" w:cstheme="majorBidi"/>
                <w:bCs/>
                <w:strike/>
                <w:sz w:val="20"/>
              </w:rPr>
              <w:t>published price</w:t>
            </w:r>
          </w:p>
          <w:p w14:paraId="6C82AD2B" w14:textId="7ED88683" w:rsidR="00504FEE" w:rsidRPr="00272A28" w:rsidRDefault="00504FEE" w:rsidP="00915BD6">
            <w:pPr>
              <w:jc w:val="center"/>
              <w:rPr>
                <w:rFonts w:ascii="Arial Narrow" w:eastAsiaTheme="majorEastAsia" w:hAnsi="Arial Narrow" w:cstheme="majorBidi"/>
                <w:bCs/>
                <w:strike/>
                <w:sz w:val="20"/>
              </w:rPr>
            </w:pPr>
            <w:r w:rsidRPr="00272A28">
              <w:rPr>
                <w:rFonts w:ascii="Arial Narrow" w:eastAsiaTheme="majorEastAsia" w:hAnsi="Arial Narrow" w:cstheme="majorBidi"/>
                <w:bCs/>
                <w:strike/>
                <w:sz w:val="20"/>
              </w:rPr>
              <w:t>$</w:t>
            </w:r>
            <w:r w:rsidR="001F207D" w:rsidRPr="001F207D">
              <w:rPr>
                <w:rFonts w:ascii="Arial Narrow" w:eastAsiaTheme="majorEastAsia" w:hAnsi="Arial Narrow" w:cstheme="majorBidi" w:hint="eastAsia"/>
                <w:bCs/>
                <w:strike/>
                <w:color w:val="000000"/>
                <w:w w:val="33"/>
                <w:sz w:val="20"/>
                <w:shd w:val="solid" w:color="000000" w:fill="000000"/>
                <w:fitText w:val="150" w:id="-1168382462"/>
                <w14:textFill>
                  <w14:solidFill>
                    <w14:srgbClr w14:val="000000">
                      <w14:alpha w14:val="100000"/>
                    </w14:srgbClr>
                  </w14:solidFill>
                </w14:textFill>
              </w:rPr>
              <w:t xml:space="preserve">　</w:t>
            </w:r>
            <w:proofErr w:type="gramStart"/>
            <w:r w:rsidR="001F207D" w:rsidRPr="001F207D">
              <w:rPr>
                <w:rFonts w:ascii="Arial Narrow" w:eastAsiaTheme="majorEastAsia" w:hAnsi="Arial Narrow" w:cstheme="majorBidi"/>
                <w:bCs/>
                <w:strike/>
                <w:color w:val="000000"/>
                <w:w w:val="33"/>
                <w:sz w:val="20"/>
                <w:shd w:val="solid" w:color="000000" w:fill="000000"/>
                <w:fitText w:val="150" w:id="-1168382462"/>
                <w14:textFill>
                  <w14:solidFill>
                    <w14:srgbClr w14:val="000000">
                      <w14:alpha w14:val="100000"/>
                    </w14:srgbClr>
                  </w14:solidFill>
                </w14:textFill>
              </w:rPr>
              <w:t>|</w:t>
            </w:r>
            <w:r w:rsidR="001F207D" w:rsidRPr="001F207D">
              <w:rPr>
                <w:rFonts w:ascii="Arial Narrow" w:eastAsiaTheme="majorEastAsia" w:hAnsi="Arial Narrow" w:cstheme="majorBidi" w:hint="eastAsia"/>
                <w:bCs/>
                <w:strike/>
                <w:color w:val="000000"/>
                <w:spacing w:val="4"/>
                <w:w w:val="33"/>
                <w:sz w:val="20"/>
                <w:shd w:val="solid" w:color="000000" w:fill="000000"/>
                <w:fitText w:val="150" w:id="-1168382462"/>
                <w14:textFill>
                  <w14:solidFill>
                    <w14:srgbClr w14:val="000000">
                      <w14:alpha w14:val="100000"/>
                    </w14:srgbClr>
                  </w14:solidFill>
                </w14:textFill>
              </w:rPr>
              <w:t xml:space="preserve">　</w:t>
            </w:r>
            <w:r w:rsidRPr="00272A28">
              <w:rPr>
                <w:rFonts w:ascii="Arial Narrow" w:eastAsiaTheme="majorEastAsia" w:hAnsi="Arial Narrow" w:cstheme="majorBidi"/>
                <w:bCs/>
                <w:strike/>
                <w:sz w:val="20"/>
              </w:rPr>
              <w:t xml:space="preserve"> effective</w:t>
            </w:r>
            <w:proofErr w:type="gramEnd"/>
            <w:r w:rsidRPr="00272A28">
              <w:rPr>
                <w:rFonts w:ascii="Arial Narrow" w:eastAsiaTheme="majorEastAsia" w:hAnsi="Arial Narrow" w:cstheme="majorBidi"/>
                <w:bCs/>
                <w:strike/>
                <w:sz w:val="20"/>
              </w:rPr>
              <w:t xml:space="preserve"> price</w:t>
            </w:r>
          </w:p>
        </w:tc>
        <w:tc>
          <w:tcPr>
            <w:tcW w:w="832" w:type="dxa"/>
            <w:vAlign w:val="center"/>
          </w:tcPr>
          <w:p w14:paraId="6C3A41AE" w14:textId="77777777" w:rsidR="00504FEE" w:rsidRPr="00272A28" w:rsidRDefault="00504FEE" w:rsidP="00915BD6">
            <w:pPr>
              <w:jc w:val="center"/>
              <w:rPr>
                <w:rFonts w:ascii="Arial Narrow" w:hAnsi="Arial Narrow"/>
                <w:strike/>
                <w:sz w:val="20"/>
                <w:szCs w:val="20"/>
              </w:rPr>
            </w:pPr>
            <w:r w:rsidRPr="00272A28">
              <w:rPr>
                <w:rFonts w:ascii="Arial Narrow" w:hAnsi="Arial Narrow"/>
                <w:strike/>
                <w:sz w:val="20"/>
                <w:szCs w:val="20"/>
              </w:rPr>
              <w:t>4</w:t>
            </w:r>
          </w:p>
        </w:tc>
        <w:tc>
          <w:tcPr>
            <w:tcW w:w="831" w:type="dxa"/>
            <w:vAlign w:val="center"/>
          </w:tcPr>
          <w:p w14:paraId="11F6A22E" w14:textId="77777777" w:rsidR="00504FEE" w:rsidRPr="00272A28" w:rsidRDefault="00504FEE" w:rsidP="00915BD6">
            <w:pPr>
              <w:jc w:val="center"/>
              <w:rPr>
                <w:rFonts w:ascii="Arial Narrow" w:hAnsi="Arial Narrow"/>
                <w:strike/>
                <w:sz w:val="20"/>
                <w:szCs w:val="20"/>
              </w:rPr>
            </w:pPr>
            <w:r w:rsidRPr="00272A28">
              <w:rPr>
                <w:rFonts w:ascii="Arial Narrow" w:hAnsi="Arial Narrow"/>
                <w:strike/>
                <w:sz w:val="20"/>
                <w:szCs w:val="20"/>
              </w:rPr>
              <w:t>1</w:t>
            </w:r>
          </w:p>
        </w:tc>
        <w:tc>
          <w:tcPr>
            <w:tcW w:w="832" w:type="dxa"/>
            <w:vAlign w:val="center"/>
          </w:tcPr>
          <w:p w14:paraId="3DB87CD4" w14:textId="77777777" w:rsidR="00504FEE" w:rsidRPr="00272A28" w:rsidRDefault="00504FEE" w:rsidP="00915BD6">
            <w:pPr>
              <w:jc w:val="center"/>
              <w:rPr>
                <w:rFonts w:ascii="Arial Narrow" w:hAnsi="Arial Narrow"/>
                <w:strike/>
                <w:sz w:val="20"/>
                <w:szCs w:val="20"/>
              </w:rPr>
            </w:pPr>
            <w:r w:rsidRPr="00272A28">
              <w:rPr>
                <w:rFonts w:ascii="Arial Narrow" w:hAnsi="Arial Narrow"/>
                <w:strike/>
                <w:sz w:val="20"/>
                <w:szCs w:val="20"/>
              </w:rPr>
              <w:t>5</w:t>
            </w:r>
          </w:p>
        </w:tc>
        <w:tc>
          <w:tcPr>
            <w:tcW w:w="1879" w:type="dxa"/>
            <w:vAlign w:val="center"/>
          </w:tcPr>
          <w:p w14:paraId="69999ABE" w14:textId="77777777" w:rsidR="00504FEE" w:rsidRPr="00272A28" w:rsidRDefault="00504FEE" w:rsidP="00915BD6">
            <w:pPr>
              <w:rPr>
                <w:rFonts w:ascii="Arial Narrow" w:hAnsi="Arial Narrow"/>
                <w:strike/>
                <w:color w:val="0066FF"/>
                <w:sz w:val="20"/>
                <w:szCs w:val="20"/>
              </w:rPr>
            </w:pPr>
            <w:r w:rsidRPr="00272A28">
              <w:rPr>
                <w:rFonts w:ascii="Arial Narrow" w:eastAsiaTheme="majorEastAsia" w:hAnsi="Arial Narrow" w:cstheme="majorBidi"/>
                <w:bCs/>
                <w:strike/>
                <w:sz w:val="20"/>
              </w:rPr>
              <w:t>Mounjaro</w:t>
            </w:r>
          </w:p>
        </w:tc>
      </w:tr>
      <w:tr w:rsidR="00504FEE" w:rsidRPr="00FA1E86" w14:paraId="1CA90F66" w14:textId="77777777" w:rsidTr="00DA3819">
        <w:trPr>
          <w:cantSplit/>
          <w:trHeight w:val="20"/>
        </w:trPr>
        <w:tc>
          <w:tcPr>
            <w:tcW w:w="2694" w:type="dxa"/>
            <w:vAlign w:val="center"/>
          </w:tcPr>
          <w:p w14:paraId="55E17354" w14:textId="77777777" w:rsidR="00504FEE" w:rsidRPr="00272A28" w:rsidRDefault="00504FEE" w:rsidP="00915BD6">
            <w:pPr>
              <w:jc w:val="left"/>
              <w:rPr>
                <w:rFonts w:ascii="Arial Narrow" w:eastAsiaTheme="majorEastAsia" w:hAnsi="Arial Narrow" w:cstheme="majorBidi"/>
                <w:bCs/>
                <w:strike/>
                <w:color w:val="0066FF"/>
                <w:sz w:val="20"/>
              </w:rPr>
            </w:pPr>
            <w:r w:rsidRPr="00272A28">
              <w:rPr>
                <w:rFonts w:ascii="Arial Narrow" w:eastAsiaTheme="majorEastAsia" w:hAnsi="Arial Narrow" w:cstheme="majorBidi"/>
                <w:bCs/>
                <w:strike/>
                <w:sz w:val="20"/>
                <w:szCs w:val="20"/>
              </w:rPr>
              <w:t>Tirzepatide 10 mg/0.5 mL injection, vial</w:t>
            </w:r>
          </w:p>
        </w:tc>
        <w:tc>
          <w:tcPr>
            <w:tcW w:w="2171" w:type="dxa"/>
          </w:tcPr>
          <w:p w14:paraId="45124E48" w14:textId="39378AD5" w:rsidR="00504FEE" w:rsidRPr="00272A28" w:rsidRDefault="00504FEE" w:rsidP="00915BD6">
            <w:pPr>
              <w:jc w:val="center"/>
              <w:rPr>
                <w:rFonts w:ascii="Arial Narrow" w:eastAsiaTheme="majorEastAsia" w:hAnsi="Arial Narrow" w:cstheme="majorBidi"/>
                <w:bCs/>
                <w:strike/>
                <w:sz w:val="20"/>
              </w:rPr>
            </w:pPr>
            <w:r w:rsidRPr="00272A28">
              <w:rPr>
                <w:rFonts w:ascii="Arial Narrow" w:eastAsiaTheme="majorEastAsia" w:hAnsi="Arial Narrow" w:cstheme="majorBidi"/>
                <w:bCs/>
                <w:strike/>
                <w:sz w:val="20"/>
              </w:rPr>
              <w:t>$</w:t>
            </w:r>
            <w:r w:rsidR="001F207D" w:rsidRPr="001F207D">
              <w:rPr>
                <w:rFonts w:ascii="Arial Narrow" w:eastAsiaTheme="majorEastAsia" w:hAnsi="Arial Narrow" w:cstheme="majorBidi"/>
                <w:bCs/>
                <w:strike/>
                <w:color w:val="000000"/>
                <w:spacing w:val="94"/>
                <w:sz w:val="20"/>
                <w:shd w:val="solid" w:color="000000" w:fill="000000"/>
                <w:fitText w:val="180" w:id="-1168382461"/>
                <w14:textFill>
                  <w14:solidFill>
                    <w14:srgbClr w14:val="000000">
                      <w14:alpha w14:val="100000"/>
                    </w14:srgbClr>
                  </w14:solidFill>
                </w14:textFill>
              </w:rPr>
              <w:t>|</w:t>
            </w:r>
            <w:r w:rsidR="001F207D" w:rsidRPr="001F207D">
              <w:rPr>
                <w:rFonts w:ascii="Arial Narrow" w:eastAsiaTheme="majorEastAsia" w:hAnsi="Arial Narrow" w:cstheme="majorBidi"/>
                <w:bCs/>
                <w:strike/>
                <w:color w:val="000000"/>
                <w:sz w:val="20"/>
                <w:shd w:val="solid" w:color="000000" w:fill="000000"/>
                <w:fitText w:val="180" w:id="-1168382461"/>
                <w14:textFill>
                  <w14:solidFill>
                    <w14:srgbClr w14:val="000000">
                      <w14:alpha w14:val="100000"/>
                    </w14:srgbClr>
                  </w14:solidFill>
                </w14:textFill>
              </w:rPr>
              <w:t>|</w:t>
            </w:r>
            <w:r w:rsidR="001F207D" w:rsidRPr="001F207D">
              <w:rPr>
                <w:rFonts w:ascii="Arial Narrow" w:eastAsiaTheme="majorEastAsia" w:hAnsi="Arial Narrow" w:cstheme="majorBidi"/>
                <w:bCs/>
                <w:strike/>
                <w:sz w:val="20"/>
              </w:rPr>
              <w:t xml:space="preserve"> </w:t>
            </w:r>
            <w:r w:rsidRPr="00272A28">
              <w:rPr>
                <w:rFonts w:ascii="Arial Narrow" w:eastAsiaTheme="majorEastAsia" w:hAnsi="Arial Narrow" w:cstheme="majorBidi"/>
                <w:bCs/>
                <w:strike/>
                <w:sz w:val="20"/>
              </w:rPr>
              <w:t>published price</w:t>
            </w:r>
          </w:p>
          <w:p w14:paraId="6A520828" w14:textId="78FDC361" w:rsidR="00504FEE" w:rsidRPr="00272A28" w:rsidRDefault="00504FEE" w:rsidP="00915BD6">
            <w:pPr>
              <w:jc w:val="center"/>
              <w:rPr>
                <w:rFonts w:ascii="Arial Narrow" w:eastAsiaTheme="majorEastAsia" w:hAnsi="Arial Narrow" w:cstheme="majorBidi"/>
                <w:bCs/>
                <w:strike/>
                <w:sz w:val="20"/>
              </w:rPr>
            </w:pPr>
            <w:r w:rsidRPr="00272A28">
              <w:rPr>
                <w:rFonts w:ascii="Arial Narrow" w:eastAsiaTheme="majorEastAsia" w:hAnsi="Arial Narrow" w:cstheme="majorBidi"/>
                <w:bCs/>
                <w:strike/>
                <w:sz w:val="20"/>
              </w:rPr>
              <w:t>$</w:t>
            </w:r>
            <w:r w:rsidR="001F207D" w:rsidRPr="001F207D">
              <w:rPr>
                <w:rFonts w:ascii="Arial Narrow" w:eastAsiaTheme="majorEastAsia" w:hAnsi="Arial Narrow" w:cstheme="majorBidi" w:hint="eastAsia"/>
                <w:bCs/>
                <w:strike/>
                <w:color w:val="000000"/>
                <w:w w:val="33"/>
                <w:sz w:val="20"/>
                <w:shd w:val="solid" w:color="000000" w:fill="000000"/>
                <w:fitText w:val="150" w:id="-1168382460"/>
                <w14:textFill>
                  <w14:solidFill>
                    <w14:srgbClr w14:val="000000">
                      <w14:alpha w14:val="100000"/>
                    </w14:srgbClr>
                  </w14:solidFill>
                </w14:textFill>
              </w:rPr>
              <w:t xml:space="preserve">　</w:t>
            </w:r>
            <w:proofErr w:type="gramStart"/>
            <w:r w:rsidR="001F207D" w:rsidRPr="001F207D">
              <w:rPr>
                <w:rFonts w:ascii="Arial Narrow" w:eastAsiaTheme="majorEastAsia" w:hAnsi="Arial Narrow" w:cstheme="majorBidi"/>
                <w:bCs/>
                <w:strike/>
                <w:color w:val="000000"/>
                <w:w w:val="33"/>
                <w:sz w:val="20"/>
                <w:shd w:val="solid" w:color="000000" w:fill="000000"/>
                <w:fitText w:val="150" w:id="-1168382460"/>
                <w14:textFill>
                  <w14:solidFill>
                    <w14:srgbClr w14:val="000000">
                      <w14:alpha w14:val="100000"/>
                    </w14:srgbClr>
                  </w14:solidFill>
                </w14:textFill>
              </w:rPr>
              <w:t>|</w:t>
            </w:r>
            <w:r w:rsidR="001F207D" w:rsidRPr="001F207D">
              <w:rPr>
                <w:rFonts w:ascii="Arial Narrow" w:eastAsiaTheme="majorEastAsia" w:hAnsi="Arial Narrow" w:cstheme="majorBidi" w:hint="eastAsia"/>
                <w:bCs/>
                <w:strike/>
                <w:color w:val="000000"/>
                <w:spacing w:val="4"/>
                <w:w w:val="33"/>
                <w:sz w:val="20"/>
                <w:shd w:val="solid" w:color="000000" w:fill="000000"/>
                <w:fitText w:val="150" w:id="-1168382460"/>
                <w14:textFill>
                  <w14:solidFill>
                    <w14:srgbClr w14:val="000000">
                      <w14:alpha w14:val="100000"/>
                    </w14:srgbClr>
                  </w14:solidFill>
                </w14:textFill>
              </w:rPr>
              <w:t xml:space="preserve">　</w:t>
            </w:r>
            <w:r w:rsidRPr="00272A28">
              <w:rPr>
                <w:rFonts w:ascii="Arial Narrow" w:eastAsiaTheme="majorEastAsia" w:hAnsi="Arial Narrow" w:cstheme="majorBidi"/>
                <w:bCs/>
                <w:strike/>
                <w:sz w:val="20"/>
              </w:rPr>
              <w:t xml:space="preserve"> effective</w:t>
            </w:r>
            <w:proofErr w:type="gramEnd"/>
            <w:r w:rsidRPr="00272A28">
              <w:rPr>
                <w:rFonts w:ascii="Arial Narrow" w:eastAsiaTheme="majorEastAsia" w:hAnsi="Arial Narrow" w:cstheme="majorBidi"/>
                <w:bCs/>
                <w:strike/>
                <w:sz w:val="20"/>
              </w:rPr>
              <w:t xml:space="preserve"> price</w:t>
            </w:r>
          </w:p>
        </w:tc>
        <w:tc>
          <w:tcPr>
            <w:tcW w:w="832" w:type="dxa"/>
            <w:vAlign w:val="center"/>
          </w:tcPr>
          <w:p w14:paraId="680FC4DD" w14:textId="77777777" w:rsidR="00504FEE" w:rsidRPr="00272A28" w:rsidRDefault="00504FEE" w:rsidP="00915BD6">
            <w:pPr>
              <w:jc w:val="center"/>
              <w:rPr>
                <w:rFonts w:ascii="Arial Narrow" w:hAnsi="Arial Narrow"/>
                <w:strike/>
                <w:sz w:val="20"/>
                <w:szCs w:val="20"/>
              </w:rPr>
            </w:pPr>
            <w:r w:rsidRPr="00272A28">
              <w:rPr>
                <w:rFonts w:ascii="Arial Narrow" w:hAnsi="Arial Narrow"/>
                <w:strike/>
                <w:sz w:val="20"/>
                <w:szCs w:val="20"/>
              </w:rPr>
              <w:t>4</w:t>
            </w:r>
          </w:p>
        </w:tc>
        <w:tc>
          <w:tcPr>
            <w:tcW w:w="831" w:type="dxa"/>
            <w:vAlign w:val="center"/>
          </w:tcPr>
          <w:p w14:paraId="4000466D" w14:textId="77777777" w:rsidR="00504FEE" w:rsidRPr="00272A28" w:rsidRDefault="00504FEE" w:rsidP="00915BD6">
            <w:pPr>
              <w:jc w:val="center"/>
              <w:rPr>
                <w:rFonts w:ascii="Arial Narrow" w:hAnsi="Arial Narrow"/>
                <w:strike/>
                <w:sz w:val="20"/>
                <w:szCs w:val="20"/>
              </w:rPr>
            </w:pPr>
            <w:r w:rsidRPr="00272A28">
              <w:rPr>
                <w:rFonts w:ascii="Arial Narrow" w:hAnsi="Arial Narrow"/>
                <w:strike/>
                <w:sz w:val="20"/>
                <w:szCs w:val="20"/>
              </w:rPr>
              <w:t>1</w:t>
            </w:r>
          </w:p>
        </w:tc>
        <w:tc>
          <w:tcPr>
            <w:tcW w:w="832" w:type="dxa"/>
            <w:vAlign w:val="center"/>
          </w:tcPr>
          <w:p w14:paraId="659A8BE7" w14:textId="77777777" w:rsidR="00504FEE" w:rsidRPr="00272A28" w:rsidRDefault="00504FEE" w:rsidP="00915BD6">
            <w:pPr>
              <w:jc w:val="center"/>
              <w:rPr>
                <w:rFonts w:ascii="Arial Narrow" w:hAnsi="Arial Narrow"/>
                <w:strike/>
                <w:sz w:val="20"/>
                <w:szCs w:val="20"/>
              </w:rPr>
            </w:pPr>
            <w:r w:rsidRPr="00272A28">
              <w:rPr>
                <w:rFonts w:ascii="Arial Narrow" w:hAnsi="Arial Narrow"/>
                <w:strike/>
                <w:sz w:val="20"/>
                <w:szCs w:val="20"/>
              </w:rPr>
              <w:t>5</w:t>
            </w:r>
          </w:p>
        </w:tc>
        <w:tc>
          <w:tcPr>
            <w:tcW w:w="1879" w:type="dxa"/>
            <w:vAlign w:val="center"/>
          </w:tcPr>
          <w:p w14:paraId="74F6019E" w14:textId="77777777" w:rsidR="00504FEE" w:rsidRPr="00272A28" w:rsidRDefault="00504FEE" w:rsidP="00915BD6">
            <w:pPr>
              <w:rPr>
                <w:rFonts w:ascii="Arial Narrow" w:hAnsi="Arial Narrow"/>
                <w:strike/>
                <w:color w:val="0066FF"/>
                <w:sz w:val="20"/>
                <w:szCs w:val="20"/>
              </w:rPr>
            </w:pPr>
            <w:r w:rsidRPr="00272A28">
              <w:rPr>
                <w:rFonts w:ascii="Arial Narrow" w:eastAsiaTheme="majorEastAsia" w:hAnsi="Arial Narrow" w:cstheme="majorBidi"/>
                <w:bCs/>
                <w:strike/>
                <w:sz w:val="20"/>
              </w:rPr>
              <w:t>Mounjaro</w:t>
            </w:r>
          </w:p>
        </w:tc>
      </w:tr>
      <w:tr w:rsidR="00504FEE" w:rsidRPr="00FA1E86" w14:paraId="4D253F00" w14:textId="77777777" w:rsidTr="00DA3819">
        <w:trPr>
          <w:cantSplit/>
          <w:trHeight w:val="20"/>
        </w:trPr>
        <w:tc>
          <w:tcPr>
            <w:tcW w:w="2694" w:type="dxa"/>
            <w:vAlign w:val="center"/>
          </w:tcPr>
          <w:p w14:paraId="1CC07F6B" w14:textId="77777777" w:rsidR="00504FEE" w:rsidRPr="00272A28" w:rsidRDefault="00504FEE" w:rsidP="00915BD6">
            <w:pPr>
              <w:jc w:val="left"/>
              <w:rPr>
                <w:rFonts w:ascii="Arial Narrow" w:eastAsiaTheme="majorEastAsia" w:hAnsi="Arial Narrow" w:cstheme="majorBidi"/>
                <w:bCs/>
                <w:strike/>
                <w:color w:val="0066FF"/>
                <w:sz w:val="20"/>
              </w:rPr>
            </w:pPr>
            <w:r w:rsidRPr="00272A28">
              <w:rPr>
                <w:rFonts w:ascii="Arial Narrow" w:eastAsiaTheme="majorEastAsia" w:hAnsi="Arial Narrow" w:cstheme="majorBidi"/>
                <w:bCs/>
                <w:strike/>
                <w:sz w:val="20"/>
                <w:szCs w:val="20"/>
              </w:rPr>
              <w:t>Tirzepatide 12.5 mg/0.5 mL injection, vial</w:t>
            </w:r>
          </w:p>
        </w:tc>
        <w:tc>
          <w:tcPr>
            <w:tcW w:w="2171" w:type="dxa"/>
          </w:tcPr>
          <w:p w14:paraId="1FE4EAAA" w14:textId="242A8FA7" w:rsidR="00504FEE" w:rsidRPr="00272A28" w:rsidRDefault="00504FEE" w:rsidP="00915BD6">
            <w:pPr>
              <w:jc w:val="center"/>
              <w:rPr>
                <w:rFonts w:ascii="Arial Narrow" w:eastAsiaTheme="majorEastAsia" w:hAnsi="Arial Narrow" w:cstheme="majorBidi"/>
                <w:bCs/>
                <w:strike/>
                <w:sz w:val="20"/>
              </w:rPr>
            </w:pPr>
            <w:r w:rsidRPr="00272A28">
              <w:rPr>
                <w:rFonts w:ascii="Arial Narrow" w:eastAsiaTheme="majorEastAsia" w:hAnsi="Arial Narrow" w:cstheme="majorBidi"/>
                <w:bCs/>
                <w:strike/>
                <w:sz w:val="20"/>
              </w:rPr>
              <w:t>$</w:t>
            </w:r>
            <w:r w:rsidR="001F207D" w:rsidRPr="001F207D">
              <w:rPr>
                <w:rFonts w:ascii="Arial Narrow" w:eastAsiaTheme="majorEastAsia" w:hAnsi="Arial Narrow" w:cstheme="majorBidi"/>
                <w:bCs/>
                <w:strike/>
                <w:color w:val="000000"/>
                <w:spacing w:val="94"/>
                <w:sz w:val="20"/>
                <w:shd w:val="solid" w:color="000000" w:fill="000000"/>
                <w:fitText w:val="180" w:id="-1168382459"/>
                <w14:textFill>
                  <w14:solidFill>
                    <w14:srgbClr w14:val="000000">
                      <w14:alpha w14:val="100000"/>
                    </w14:srgbClr>
                  </w14:solidFill>
                </w14:textFill>
              </w:rPr>
              <w:t>|</w:t>
            </w:r>
            <w:r w:rsidR="001F207D" w:rsidRPr="001F207D">
              <w:rPr>
                <w:rFonts w:ascii="Arial Narrow" w:eastAsiaTheme="majorEastAsia" w:hAnsi="Arial Narrow" w:cstheme="majorBidi"/>
                <w:bCs/>
                <w:strike/>
                <w:color w:val="000000"/>
                <w:sz w:val="20"/>
                <w:shd w:val="solid" w:color="000000" w:fill="000000"/>
                <w:fitText w:val="180" w:id="-1168382459"/>
                <w14:textFill>
                  <w14:solidFill>
                    <w14:srgbClr w14:val="000000">
                      <w14:alpha w14:val="100000"/>
                    </w14:srgbClr>
                  </w14:solidFill>
                </w14:textFill>
              </w:rPr>
              <w:t>|</w:t>
            </w:r>
            <w:r w:rsidR="001F207D" w:rsidRPr="001F207D">
              <w:rPr>
                <w:rFonts w:ascii="Arial Narrow" w:eastAsiaTheme="majorEastAsia" w:hAnsi="Arial Narrow" w:cstheme="majorBidi"/>
                <w:bCs/>
                <w:strike/>
                <w:sz w:val="20"/>
              </w:rPr>
              <w:t xml:space="preserve"> </w:t>
            </w:r>
            <w:r w:rsidRPr="00272A28">
              <w:rPr>
                <w:rFonts w:ascii="Arial Narrow" w:eastAsiaTheme="majorEastAsia" w:hAnsi="Arial Narrow" w:cstheme="majorBidi"/>
                <w:bCs/>
                <w:strike/>
                <w:sz w:val="20"/>
              </w:rPr>
              <w:t>published price</w:t>
            </w:r>
          </w:p>
          <w:p w14:paraId="2C0B377A" w14:textId="41B7A452" w:rsidR="00504FEE" w:rsidRPr="00272A28" w:rsidRDefault="00504FEE" w:rsidP="00915BD6">
            <w:pPr>
              <w:jc w:val="center"/>
              <w:rPr>
                <w:rFonts w:ascii="Arial Narrow" w:eastAsiaTheme="majorEastAsia" w:hAnsi="Arial Narrow" w:cstheme="majorBidi"/>
                <w:bCs/>
                <w:strike/>
                <w:sz w:val="20"/>
              </w:rPr>
            </w:pPr>
            <w:r w:rsidRPr="00272A28">
              <w:rPr>
                <w:rFonts w:ascii="Arial Narrow" w:eastAsiaTheme="majorEastAsia" w:hAnsi="Arial Narrow" w:cstheme="majorBidi"/>
                <w:bCs/>
                <w:strike/>
                <w:sz w:val="20"/>
              </w:rPr>
              <w:t>$</w:t>
            </w:r>
            <w:r w:rsidR="001F207D" w:rsidRPr="001F207D">
              <w:rPr>
                <w:rFonts w:ascii="Arial Narrow" w:eastAsiaTheme="majorEastAsia" w:hAnsi="Arial Narrow" w:cstheme="majorBidi" w:hint="eastAsia"/>
                <w:bCs/>
                <w:strike/>
                <w:color w:val="000000"/>
                <w:w w:val="33"/>
                <w:sz w:val="20"/>
                <w:shd w:val="solid" w:color="000000" w:fill="000000"/>
                <w:fitText w:val="150" w:id="-1168382458"/>
                <w14:textFill>
                  <w14:solidFill>
                    <w14:srgbClr w14:val="000000">
                      <w14:alpha w14:val="100000"/>
                    </w14:srgbClr>
                  </w14:solidFill>
                </w14:textFill>
              </w:rPr>
              <w:t xml:space="preserve">　</w:t>
            </w:r>
            <w:proofErr w:type="gramStart"/>
            <w:r w:rsidR="001F207D" w:rsidRPr="001F207D">
              <w:rPr>
                <w:rFonts w:ascii="Arial Narrow" w:eastAsiaTheme="majorEastAsia" w:hAnsi="Arial Narrow" w:cstheme="majorBidi"/>
                <w:bCs/>
                <w:strike/>
                <w:color w:val="000000"/>
                <w:w w:val="33"/>
                <w:sz w:val="20"/>
                <w:shd w:val="solid" w:color="000000" w:fill="000000"/>
                <w:fitText w:val="150" w:id="-1168382458"/>
                <w14:textFill>
                  <w14:solidFill>
                    <w14:srgbClr w14:val="000000">
                      <w14:alpha w14:val="100000"/>
                    </w14:srgbClr>
                  </w14:solidFill>
                </w14:textFill>
              </w:rPr>
              <w:t>|</w:t>
            </w:r>
            <w:r w:rsidR="001F207D" w:rsidRPr="001F207D">
              <w:rPr>
                <w:rFonts w:ascii="Arial Narrow" w:eastAsiaTheme="majorEastAsia" w:hAnsi="Arial Narrow" w:cstheme="majorBidi" w:hint="eastAsia"/>
                <w:bCs/>
                <w:strike/>
                <w:color w:val="000000"/>
                <w:spacing w:val="4"/>
                <w:w w:val="33"/>
                <w:sz w:val="20"/>
                <w:shd w:val="solid" w:color="000000" w:fill="000000"/>
                <w:fitText w:val="150" w:id="-1168382458"/>
                <w14:textFill>
                  <w14:solidFill>
                    <w14:srgbClr w14:val="000000">
                      <w14:alpha w14:val="100000"/>
                    </w14:srgbClr>
                  </w14:solidFill>
                </w14:textFill>
              </w:rPr>
              <w:t xml:space="preserve">　</w:t>
            </w:r>
            <w:r w:rsidRPr="00272A28">
              <w:rPr>
                <w:rFonts w:ascii="Arial Narrow" w:eastAsiaTheme="majorEastAsia" w:hAnsi="Arial Narrow" w:cstheme="majorBidi"/>
                <w:bCs/>
                <w:strike/>
                <w:sz w:val="20"/>
              </w:rPr>
              <w:t xml:space="preserve"> effective</w:t>
            </w:r>
            <w:proofErr w:type="gramEnd"/>
            <w:r w:rsidRPr="00272A28">
              <w:rPr>
                <w:rFonts w:ascii="Arial Narrow" w:eastAsiaTheme="majorEastAsia" w:hAnsi="Arial Narrow" w:cstheme="majorBidi"/>
                <w:bCs/>
                <w:strike/>
                <w:sz w:val="20"/>
              </w:rPr>
              <w:t xml:space="preserve"> price</w:t>
            </w:r>
          </w:p>
        </w:tc>
        <w:tc>
          <w:tcPr>
            <w:tcW w:w="832" w:type="dxa"/>
            <w:vAlign w:val="center"/>
          </w:tcPr>
          <w:p w14:paraId="455C143E" w14:textId="77777777" w:rsidR="00504FEE" w:rsidRPr="00272A28" w:rsidRDefault="00504FEE" w:rsidP="00915BD6">
            <w:pPr>
              <w:jc w:val="center"/>
              <w:rPr>
                <w:rFonts w:ascii="Arial Narrow" w:hAnsi="Arial Narrow"/>
                <w:strike/>
                <w:sz w:val="20"/>
                <w:szCs w:val="20"/>
              </w:rPr>
            </w:pPr>
            <w:r w:rsidRPr="00272A28">
              <w:rPr>
                <w:rFonts w:ascii="Arial Narrow" w:hAnsi="Arial Narrow"/>
                <w:strike/>
                <w:sz w:val="20"/>
                <w:szCs w:val="20"/>
              </w:rPr>
              <w:t>4</w:t>
            </w:r>
          </w:p>
        </w:tc>
        <w:tc>
          <w:tcPr>
            <w:tcW w:w="831" w:type="dxa"/>
            <w:vAlign w:val="center"/>
          </w:tcPr>
          <w:p w14:paraId="78816EF4" w14:textId="77777777" w:rsidR="00504FEE" w:rsidRPr="00272A28" w:rsidRDefault="00504FEE" w:rsidP="00915BD6">
            <w:pPr>
              <w:jc w:val="center"/>
              <w:rPr>
                <w:rFonts w:ascii="Arial Narrow" w:hAnsi="Arial Narrow"/>
                <w:strike/>
                <w:sz w:val="20"/>
                <w:szCs w:val="20"/>
              </w:rPr>
            </w:pPr>
            <w:r w:rsidRPr="00272A28">
              <w:rPr>
                <w:rFonts w:ascii="Arial Narrow" w:hAnsi="Arial Narrow"/>
                <w:strike/>
                <w:sz w:val="20"/>
                <w:szCs w:val="20"/>
              </w:rPr>
              <w:t>1</w:t>
            </w:r>
          </w:p>
        </w:tc>
        <w:tc>
          <w:tcPr>
            <w:tcW w:w="832" w:type="dxa"/>
            <w:vAlign w:val="center"/>
          </w:tcPr>
          <w:p w14:paraId="188A7E14" w14:textId="77777777" w:rsidR="00504FEE" w:rsidRPr="00272A28" w:rsidRDefault="00504FEE" w:rsidP="00915BD6">
            <w:pPr>
              <w:jc w:val="center"/>
              <w:rPr>
                <w:rFonts w:ascii="Arial Narrow" w:hAnsi="Arial Narrow"/>
                <w:strike/>
                <w:sz w:val="20"/>
                <w:szCs w:val="20"/>
              </w:rPr>
            </w:pPr>
            <w:r w:rsidRPr="00272A28">
              <w:rPr>
                <w:rFonts w:ascii="Arial Narrow" w:hAnsi="Arial Narrow"/>
                <w:strike/>
                <w:sz w:val="20"/>
                <w:szCs w:val="20"/>
              </w:rPr>
              <w:t>5</w:t>
            </w:r>
          </w:p>
        </w:tc>
        <w:tc>
          <w:tcPr>
            <w:tcW w:w="1879" w:type="dxa"/>
            <w:vAlign w:val="center"/>
          </w:tcPr>
          <w:p w14:paraId="14138D6D" w14:textId="77777777" w:rsidR="00504FEE" w:rsidRPr="00272A28" w:rsidRDefault="00504FEE" w:rsidP="00915BD6">
            <w:pPr>
              <w:rPr>
                <w:rFonts w:ascii="Arial Narrow" w:hAnsi="Arial Narrow"/>
                <w:strike/>
                <w:color w:val="0066FF"/>
                <w:sz w:val="20"/>
                <w:szCs w:val="20"/>
              </w:rPr>
            </w:pPr>
            <w:r w:rsidRPr="00272A28">
              <w:rPr>
                <w:rFonts w:ascii="Arial Narrow" w:eastAsiaTheme="majorEastAsia" w:hAnsi="Arial Narrow" w:cstheme="majorBidi"/>
                <w:bCs/>
                <w:strike/>
                <w:sz w:val="20"/>
              </w:rPr>
              <w:t>Mounjaro</w:t>
            </w:r>
          </w:p>
        </w:tc>
      </w:tr>
      <w:tr w:rsidR="00504FEE" w:rsidRPr="00FA1E86" w14:paraId="47946408" w14:textId="77777777" w:rsidTr="00DA3819">
        <w:trPr>
          <w:cantSplit/>
          <w:trHeight w:val="20"/>
        </w:trPr>
        <w:tc>
          <w:tcPr>
            <w:tcW w:w="2694" w:type="dxa"/>
            <w:vAlign w:val="center"/>
          </w:tcPr>
          <w:p w14:paraId="28EEC9E1" w14:textId="77777777" w:rsidR="00504FEE" w:rsidRPr="00272A28" w:rsidRDefault="00504FEE" w:rsidP="00915BD6">
            <w:pPr>
              <w:jc w:val="left"/>
              <w:rPr>
                <w:rFonts w:ascii="Arial Narrow" w:eastAsiaTheme="majorEastAsia" w:hAnsi="Arial Narrow" w:cstheme="majorBidi"/>
                <w:bCs/>
                <w:strike/>
                <w:color w:val="0066FF"/>
                <w:sz w:val="20"/>
              </w:rPr>
            </w:pPr>
            <w:r w:rsidRPr="00272A28">
              <w:rPr>
                <w:rFonts w:ascii="Arial Narrow" w:eastAsiaTheme="majorEastAsia" w:hAnsi="Arial Narrow" w:cstheme="majorBidi"/>
                <w:bCs/>
                <w:strike/>
                <w:sz w:val="20"/>
                <w:szCs w:val="20"/>
              </w:rPr>
              <w:t>Tirzepatide 15 mg/0.5 mL injection, vial</w:t>
            </w:r>
          </w:p>
        </w:tc>
        <w:tc>
          <w:tcPr>
            <w:tcW w:w="2171" w:type="dxa"/>
          </w:tcPr>
          <w:p w14:paraId="6BC37F46" w14:textId="0E770E6A" w:rsidR="00504FEE" w:rsidRPr="00272A28" w:rsidRDefault="00504FEE" w:rsidP="00915BD6">
            <w:pPr>
              <w:jc w:val="center"/>
              <w:rPr>
                <w:rFonts w:ascii="Arial Narrow" w:eastAsiaTheme="majorEastAsia" w:hAnsi="Arial Narrow" w:cstheme="majorBidi"/>
                <w:bCs/>
                <w:strike/>
                <w:sz w:val="20"/>
              </w:rPr>
            </w:pPr>
            <w:r w:rsidRPr="00272A28">
              <w:rPr>
                <w:rFonts w:ascii="Arial Narrow" w:eastAsiaTheme="majorEastAsia" w:hAnsi="Arial Narrow" w:cstheme="majorBidi"/>
                <w:bCs/>
                <w:strike/>
                <w:sz w:val="20"/>
              </w:rPr>
              <w:t>$</w:t>
            </w:r>
            <w:r w:rsidR="001F207D" w:rsidRPr="001F207D">
              <w:rPr>
                <w:rFonts w:ascii="Arial Narrow" w:eastAsiaTheme="majorEastAsia" w:hAnsi="Arial Narrow" w:cstheme="majorBidi"/>
                <w:bCs/>
                <w:strike/>
                <w:color w:val="000000"/>
                <w:spacing w:val="94"/>
                <w:sz w:val="20"/>
                <w:shd w:val="solid" w:color="000000" w:fill="000000"/>
                <w:fitText w:val="180" w:id="-1168382457"/>
                <w14:textFill>
                  <w14:solidFill>
                    <w14:srgbClr w14:val="000000">
                      <w14:alpha w14:val="100000"/>
                    </w14:srgbClr>
                  </w14:solidFill>
                </w14:textFill>
              </w:rPr>
              <w:t>|</w:t>
            </w:r>
            <w:r w:rsidR="001F207D" w:rsidRPr="001F207D">
              <w:rPr>
                <w:rFonts w:ascii="Arial Narrow" w:eastAsiaTheme="majorEastAsia" w:hAnsi="Arial Narrow" w:cstheme="majorBidi"/>
                <w:bCs/>
                <w:strike/>
                <w:color w:val="000000"/>
                <w:sz w:val="20"/>
                <w:shd w:val="solid" w:color="000000" w:fill="000000"/>
                <w:fitText w:val="180" w:id="-1168382457"/>
                <w14:textFill>
                  <w14:solidFill>
                    <w14:srgbClr w14:val="000000">
                      <w14:alpha w14:val="100000"/>
                    </w14:srgbClr>
                  </w14:solidFill>
                </w14:textFill>
              </w:rPr>
              <w:t>|</w:t>
            </w:r>
            <w:r w:rsidR="001F207D" w:rsidRPr="001F207D">
              <w:rPr>
                <w:rFonts w:ascii="Arial Narrow" w:eastAsiaTheme="majorEastAsia" w:hAnsi="Arial Narrow" w:cstheme="majorBidi"/>
                <w:bCs/>
                <w:strike/>
                <w:sz w:val="20"/>
              </w:rPr>
              <w:t xml:space="preserve"> </w:t>
            </w:r>
            <w:r w:rsidRPr="00272A28">
              <w:rPr>
                <w:rFonts w:ascii="Arial Narrow" w:eastAsiaTheme="majorEastAsia" w:hAnsi="Arial Narrow" w:cstheme="majorBidi"/>
                <w:bCs/>
                <w:strike/>
                <w:sz w:val="20"/>
              </w:rPr>
              <w:t>published price</w:t>
            </w:r>
          </w:p>
          <w:p w14:paraId="45F685A8" w14:textId="51AF133C" w:rsidR="00504FEE" w:rsidRPr="00272A28" w:rsidRDefault="00504FEE" w:rsidP="00915BD6">
            <w:pPr>
              <w:jc w:val="center"/>
              <w:rPr>
                <w:rFonts w:ascii="Arial Narrow" w:eastAsiaTheme="majorEastAsia" w:hAnsi="Arial Narrow" w:cstheme="majorBidi"/>
                <w:bCs/>
                <w:strike/>
                <w:sz w:val="20"/>
              </w:rPr>
            </w:pPr>
            <w:r w:rsidRPr="00272A28">
              <w:rPr>
                <w:rFonts w:ascii="Arial Narrow" w:eastAsiaTheme="majorEastAsia" w:hAnsi="Arial Narrow" w:cstheme="majorBidi"/>
                <w:bCs/>
                <w:strike/>
                <w:sz w:val="20"/>
              </w:rPr>
              <w:t>$</w:t>
            </w:r>
            <w:r w:rsidR="001F207D" w:rsidRPr="001F207D">
              <w:rPr>
                <w:rFonts w:ascii="Arial Narrow" w:eastAsiaTheme="majorEastAsia" w:hAnsi="Arial Narrow" w:cstheme="majorBidi" w:hint="eastAsia"/>
                <w:bCs/>
                <w:strike/>
                <w:color w:val="000000"/>
                <w:w w:val="33"/>
                <w:sz w:val="20"/>
                <w:shd w:val="solid" w:color="000000" w:fill="000000"/>
                <w:fitText w:val="150" w:id="-1168382456"/>
                <w14:textFill>
                  <w14:solidFill>
                    <w14:srgbClr w14:val="000000">
                      <w14:alpha w14:val="100000"/>
                    </w14:srgbClr>
                  </w14:solidFill>
                </w14:textFill>
              </w:rPr>
              <w:t xml:space="preserve">　</w:t>
            </w:r>
            <w:proofErr w:type="gramStart"/>
            <w:r w:rsidR="001F207D" w:rsidRPr="001F207D">
              <w:rPr>
                <w:rFonts w:ascii="Arial Narrow" w:eastAsiaTheme="majorEastAsia" w:hAnsi="Arial Narrow" w:cstheme="majorBidi"/>
                <w:bCs/>
                <w:strike/>
                <w:color w:val="000000"/>
                <w:w w:val="33"/>
                <w:sz w:val="20"/>
                <w:shd w:val="solid" w:color="000000" w:fill="000000"/>
                <w:fitText w:val="150" w:id="-1168382456"/>
                <w14:textFill>
                  <w14:solidFill>
                    <w14:srgbClr w14:val="000000">
                      <w14:alpha w14:val="100000"/>
                    </w14:srgbClr>
                  </w14:solidFill>
                </w14:textFill>
              </w:rPr>
              <w:t>|</w:t>
            </w:r>
            <w:r w:rsidR="001F207D" w:rsidRPr="001F207D">
              <w:rPr>
                <w:rFonts w:ascii="Arial Narrow" w:eastAsiaTheme="majorEastAsia" w:hAnsi="Arial Narrow" w:cstheme="majorBidi" w:hint="eastAsia"/>
                <w:bCs/>
                <w:strike/>
                <w:color w:val="000000"/>
                <w:spacing w:val="4"/>
                <w:w w:val="33"/>
                <w:sz w:val="20"/>
                <w:shd w:val="solid" w:color="000000" w:fill="000000"/>
                <w:fitText w:val="150" w:id="-1168382456"/>
                <w14:textFill>
                  <w14:solidFill>
                    <w14:srgbClr w14:val="000000">
                      <w14:alpha w14:val="100000"/>
                    </w14:srgbClr>
                  </w14:solidFill>
                </w14:textFill>
              </w:rPr>
              <w:t xml:space="preserve">　</w:t>
            </w:r>
            <w:r w:rsidRPr="00272A28">
              <w:rPr>
                <w:rFonts w:ascii="Arial Narrow" w:eastAsiaTheme="majorEastAsia" w:hAnsi="Arial Narrow" w:cstheme="majorBidi"/>
                <w:bCs/>
                <w:strike/>
                <w:sz w:val="20"/>
              </w:rPr>
              <w:t xml:space="preserve"> effective</w:t>
            </w:r>
            <w:proofErr w:type="gramEnd"/>
            <w:r w:rsidRPr="00272A28">
              <w:rPr>
                <w:rFonts w:ascii="Arial Narrow" w:eastAsiaTheme="majorEastAsia" w:hAnsi="Arial Narrow" w:cstheme="majorBidi"/>
                <w:bCs/>
                <w:strike/>
                <w:sz w:val="20"/>
              </w:rPr>
              <w:t xml:space="preserve"> price</w:t>
            </w:r>
          </w:p>
        </w:tc>
        <w:tc>
          <w:tcPr>
            <w:tcW w:w="832" w:type="dxa"/>
            <w:vAlign w:val="center"/>
          </w:tcPr>
          <w:p w14:paraId="1D726728" w14:textId="77777777" w:rsidR="00504FEE" w:rsidRPr="00272A28" w:rsidRDefault="00504FEE" w:rsidP="00915BD6">
            <w:pPr>
              <w:jc w:val="center"/>
              <w:rPr>
                <w:rFonts w:ascii="Arial Narrow" w:hAnsi="Arial Narrow"/>
                <w:strike/>
                <w:sz w:val="20"/>
                <w:szCs w:val="20"/>
              </w:rPr>
            </w:pPr>
            <w:r w:rsidRPr="00272A28">
              <w:rPr>
                <w:rFonts w:ascii="Arial Narrow" w:hAnsi="Arial Narrow"/>
                <w:strike/>
                <w:sz w:val="20"/>
                <w:szCs w:val="20"/>
              </w:rPr>
              <w:t>4</w:t>
            </w:r>
          </w:p>
        </w:tc>
        <w:tc>
          <w:tcPr>
            <w:tcW w:w="831" w:type="dxa"/>
            <w:vAlign w:val="center"/>
          </w:tcPr>
          <w:p w14:paraId="48EC3D4D" w14:textId="77777777" w:rsidR="00504FEE" w:rsidRPr="00272A28" w:rsidRDefault="00504FEE" w:rsidP="00915BD6">
            <w:pPr>
              <w:jc w:val="center"/>
              <w:rPr>
                <w:rFonts w:ascii="Arial Narrow" w:hAnsi="Arial Narrow"/>
                <w:strike/>
                <w:sz w:val="20"/>
                <w:szCs w:val="20"/>
              </w:rPr>
            </w:pPr>
            <w:r w:rsidRPr="00272A28">
              <w:rPr>
                <w:rFonts w:ascii="Arial Narrow" w:hAnsi="Arial Narrow"/>
                <w:strike/>
                <w:sz w:val="20"/>
                <w:szCs w:val="20"/>
              </w:rPr>
              <w:t>1</w:t>
            </w:r>
          </w:p>
        </w:tc>
        <w:tc>
          <w:tcPr>
            <w:tcW w:w="832" w:type="dxa"/>
            <w:vAlign w:val="center"/>
          </w:tcPr>
          <w:p w14:paraId="29F88FA9" w14:textId="77777777" w:rsidR="00504FEE" w:rsidRPr="00272A28" w:rsidRDefault="00504FEE" w:rsidP="00915BD6">
            <w:pPr>
              <w:jc w:val="center"/>
              <w:rPr>
                <w:rFonts w:ascii="Arial Narrow" w:hAnsi="Arial Narrow"/>
                <w:strike/>
                <w:sz w:val="20"/>
                <w:szCs w:val="20"/>
              </w:rPr>
            </w:pPr>
            <w:r w:rsidRPr="00272A28">
              <w:rPr>
                <w:rFonts w:ascii="Arial Narrow" w:hAnsi="Arial Narrow"/>
                <w:strike/>
                <w:sz w:val="20"/>
                <w:szCs w:val="20"/>
              </w:rPr>
              <w:t>5</w:t>
            </w:r>
          </w:p>
        </w:tc>
        <w:tc>
          <w:tcPr>
            <w:tcW w:w="1879" w:type="dxa"/>
            <w:vAlign w:val="center"/>
          </w:tcPr>
          <w:p w14:paraId="3FAC1452" w14:textId="77777777" w:rsidR="00504FEE" w:rsidRPr="00272A28" w:rsidRDefault="00504FEE" w:rsidP="00915BD6">
            <w:pPr>
              <w:rPr>
                <w:rFonts w:ascii="Arial Narrow" w:hAnsi="Arial Narrow"/>
                <w:strike/>
                <w:color w:val="0066FF"/>
                <w:sz w:val="20"/>
                <w:szCs w:val="20"/>
              </w:rPr>
            </w:pPr>
            <w:r w:rsidRPr="00272A28">
              <w:rPr>
                <w:rFonts w:ascii="Arial Narrow" w:eastAsiaTheme="majorEastAsia" w:hAnsi="Arial Narrow" w:cstheme="majorBidi"/>
                <w:bCs/>
                <w:strike/>
                <w:sz w:val="20"/>
              </w:rPr>
              <w:t>Mounjaro</w:t>
            </w:r>
          </w:p>
        </w:tc>
      </w:tr>
      <w:tr w:rsidR="00915BD6" w:rsidRPr="00FA1E86" w14:paraId="57DC00ED" w14:textId="77777777" w:rsidTr="00915BD6">
        <w:tblPrEx>
          <w:tblCellMar>
            <w:top w:w="15" w:type="dxa"/>
            <w:bottom w:w="15" w:type="dxa"/>
          </w:tblCellMar>
          <w:tblLook w:val="04A0" w:firstRow="1" w:lastRow="0" w:firstColumn="1" w:lastColumn="0" w:noHBand="0" w:noVBand="1"/>
        </w:tblPrEx>
        <w:trPr>
          <w:cantSplit/>
          <w:trHeight w:val="20"/>
        </w:trPr>
        <w:tc>
          <w:tcPr>
            <w:tcW w:w="9239" w:type="dxa"/>
            <w:gridSpan w:val="6"/>
          </w:tcPr>
          <w:p w14:paraId="5793B037" w14:textId="77777777" w:rsidR="00915BD6" w:rsidRPr="00FA1E86" w:rsidRDefault="00915BD6" w:rsidP="00915BD6">
            <w:pPr>
              <w:pStyle w:val="COMTabletext"/>
              <w:keepNext w:val="0"/>
            </w:pPr>
            <w:r w:rsidRPr="00FA1E86">
              <w:rPr>
                <w:b/>
              </w:rPr>
              <w:t xml:space="preserve">Category / Program: </w:t>
            </w:r>
            <w:r w:rsidRPr="00FA1E86">
              <w:t>General Schedule</w:t>
            </w:r>
          </w:p>
        </w:tc>
      </w:tr>
      <w:tr w:rsidR="00915BD6" w:rsidRPr="00FA1E86" w14:paraId="11BCACD2" w14:textId="77777777" w:rsidTr="00915BD6">
        <w:tblPrEx>
          <w:tblCellMar>
            <w:top w:w="15" w:type="dxa"/>
            <w:bottom w:w="15" w:type="dxa"/>
          </w:tblCellMar>
          <w:tblLook w:val="04A0" w:firstRow="1" w:lastRow="0" w:firstColumn="1" w:lastColumn="0" w:noHBand="0" w:noVBand="1"/>
        </w:tblPrEx>
        <w:trPr>
          <w:cantSplit/>
          <w:trHeight w:val="20"/>
        </w:trPr>
        <w:tc>
          <w:tcPr>
            <w:tcW w:w="9239" w:type="dxa"/>
            <w:gridSpan w:val="6"/>
          </w:tcPr>
          <w:p w14:paraId="2E1C60DC" w14:textId="77777777" w:rsidR="00915BD6" w:rsidRPr="00FA1E86" w:rsidRDefault="00915BD6" w:rsidP="00915BD6">
            <w:pPr>
              <w:pStyle w:val="COMTabletext"/>
              <w:keepNext w:val="0"/>
              <w:rPr>
                <w:b/>
              </w:rPr>
            </w:pPr>
            <w:r w:rsidRPr="00FA1E86">
              <w:rPr>
                <w:b/>
              </w:rPr>
              <w:t xml:space="preserve">Prescriber type: </w:t>
            </w:r>
            <w:r w:rsidRPr="00FA1E86">
              <w:fldChar w:fldCharType="begin" w:fldLock="1">
                <w:ffData>
                  <w:name w:val=""/>
                  <w:enabled/>
                  <w:calcOnExit w:val="0"/>
                  <w:checkBox>
                    <w:sizeAuto/>
                    <w:default w:val="1"/>
                  </w:checkBox>
                </w:ffData>
              </w:fldChar>
            </w:r>
            <w:r w:rsidRPr="00FA1E86">
              <w:instrText xml:space="preserve"> FORMCHECKBOX </w:instrText>
            </w:r>
            <w:r w:rsidR="00C06886">
              <w:fldChar w:fldCharType="separate"/>
            </w:r>
            <w:r w:rsidRPr="00FA1E86">
              <w:fldChar w:fldCharType="end"/>
            </w:r>
            <w:r w:rsidRPr="00FA1E86">
              <w:t xml:space="preserve">Medical Practitioners </w:t>
            </w:r>
          </w:p>
        </w:tc>
      </w:tr>
      <w:tr w:rsidR="00915BD6" w:rsidRPr="00FA1E86" w14:paraId="138EC933" w14:textId="77777777" w:rsidTr="00915BD6">
        <w:tblPrEx>
          <w:tblCellMar>
            <w:top w:w="15" w:type="dxa"/>
            <w:bottom w:w="15" w:type="dxa"/>
          </w:tblCellMar>
          <w:tblLook w:val="04A0" w:firstRow="1" w:lastRow="0" w:firstColumn="1" w:lastColumn="0" w:noHBand="0" w:noVBand="1"/>
        </w:tblPrEx>
        <w:trPr>
          <w:cantSplit/>
          <w:trHeight w:val="20"/>
        </w:trPr>
        <w:tc>
          <w:tcPr>
            <w:tcW w:w="9239" w:type="dxa"/>
            <w:gridSpan w:val="6"/>
          </w:tcPr>
          <w:p w14:paraId="0E3EA00D" w14:textId="77777777" w:rsidR="00915BD6" w:rsidRPr="00FA1E86" w:rsidRDefault="00915BD6" w:rsidP="00915BD6">
            <w:pPr>
              <w:pStyle w:val="COMTabletext"/>
              <w:keepNext w:val="0"/>
              <w:rPr>
                <w:rFonts w:eastAsia="Times New Roman"/>
              </w:rPr>
            </w:pPr>
            <w:r w:rsidRPr="00FA1E86">
              <w:rPr>
                <w:b/>
              </w:rPr>
              <w:t xml:space="preserve">Restriction type: </w:t>
            </w:r>
            <w:r w:rsidRPr="00FA1E86">
              <w:rPr>
                <w:rFonts w:eastAsia="Times New Roman"/>
              </w:rPr>
              <w:fldChar w:fldCharType="begin" w:fldLock="1">
                <w:ffData>
                  <w:name w:val="Check3"/>
                  <w:enabled/>
                  <w:calcOnExit w:val="0"/>
                  <w:checkBox>
                    <w:sizeAuto/>
                    <w:default w:val="1"/>
                  </w:checkBox>
                </w:ffData>
              </w:fldChar>
            </w:r>
            <w:r w:rsidRPr="00FA1E86">
              <w:rPr>
                <w:rFonts w:eastAsia="Times New Roman"/>
              </w:rPr>
              <w:instrText xml:space="preserve"> FORMCHECKBOX </w:instrText>
            </w:r>
            <w:r w:rsidR="00C06886">
              <w:rPr>
                <w:rFonts w:eastAsia="Times New Roman"/>
              </w:rPr>
            </w:r>
            <w:r w:rsidR="00C06886">
              <w:rPr>
                <w:rFonts w:eastAsia="Times New Roman"/>
              </w:rPr>
              <w:fldChar w:fldCharType="separate"/>
            </w:r>
            <w:r w:rsidRPr="00FA1E86">
              <w:rPr>
                <w:rFonts w:eastAsia="Times New Roman"/>
              </w:rPr>
              <w:fldChar w:fldCharType="end"/>
            </w:r>
            <w:r w:rsidRPr="00FA1E86">
              <w:rPr>
                <w:rFonts w:eastAsia="Times New Roman"/>
              </w:rPr>
              <w:t xml:space="preserve">Authority Required (telephone/online PBS Authorities system) </w:t>
            </w:r>
          </w:p>
        </w:tc>
      </w:tr>
      <w:tr w:rsidR="00915BD6" w:rsidRPr="00FA1E86" w14:paraId="4BBB5A7A" w14:textId="77777777" w:rsidTr="00915BD6">
        <w:tblPrEx>
          <w:tblCellMar>
            <w:top w:w="15" w:type="dxa"/>
            <w:bottom w:w="15" w:type="dxa"/>
          </w:tblCellMar>
          <w:tblLook w:val="04A0" w:firstRow="1" w:lastRow="0" w:firstColumn="1" w:lastColumn="0" w:noHBand="0" w:noVBand="1"/>
        </w:tblPrEx>
        <w:trPr>
          <w:cantSplit/>
          <w:trHeight w:val="20"/>
        </w:trPr>
        <w:tc>
          <w:tcPr>
            <w:tcW w:w="9239" w:type="dxa"/>
            <w:gridSpan w:val="6"/>
            <w:vAlign w:val="center"/>
          </w:tcPr>
          <w:p w14:paraId="4EDE7B7D" w14:textId="77777777" w:rsidR="00EC2D33" w:rsidRDefault="00915BD6" w:rsidP="00915BD6">
            <w:pPr>
              <w:pStyle w:val="COMTabletext"/>
              <w:keepNext w:val="0"/>
              <w:rPr>
                <w:b/>
              </w:rPr>
            </w:pPr>
            <w:r w:rsidRPr="00FA1E86">
              <w:rPr>
                <w:b/>
              </w:rPr>
              <w:t>Administrative Advice:</w:t>
            </w:r>
          </w:p>
          <w:p w14:paraId="334F5D8B" w14:textId="6E1C4DB8" w:rsidR="00915BD6" w:rsidRPr="00FA1E86" w:rsidRDefault="00915BD6" w:rsidP="00915BD6">
            <w:pPr>
              <w:pStyle w:val="COMTabletext"/>
              <w:keepNext w:val="0"/>
              <w:rPr>
                <w:rFonts w:eastAsia="Times New Roman"/>
              </w:rPr>
            </w:pPr>
            <w:r w:rsidRPr="00FA1E86">
              <w:rPr>
                <w:rFonts w:eastAsia="Times New Roman"/>
              </w:rPr>
              <w:t>Special Pricing Arrangements Apply [TBC]</w:t>
            </w:r>
          </w:p>
          <w:p w14:paraId="06C47AB6" w14:textId="77777777" w:rsidR="00915BD6" w:rsidRPr="00FA1E86" w:rsidRDefault="00915BD6" w:rsidP="00915BD6">
            <w:pPr>
              <w:pStyle w:val="COMTabletext"/>
              <w:keepNext w:val="0"/>
              <w:rPr>
                <w:rFonts w:eastAsia="Times New Roman"/>
              </w:rPr>
            </w:pPr>
          </w:p>
          <w:p w14:paraId="3AA44A18" w14:textId="77777777" w:rsidR="00915BD6" w:rsidRPr="00FA1E86" w:rsidRDefault="00915BD6" w:rsidP="00915BD6">
            <w:pPr>
              <w:pStyle w:val="COMTabletext"/>
              <w:keepNext w:val="0"/>
              <w:rPr>
                <w:b/>
              </w:rPr>
            </w:pPr>
            <w:r w:rsidRPr="00FA1E86">
              <w:rPr>
                <w:rFonts w:eastAsia="Times New Roman"/>
              </w:rPr>
              <w:t>Applications for authorisation under this restriction may be made in real time using the Online PBS Authorities system (see www.servicesaustralia.gov.au/HPOS) or by telephone by contacting Services Australia on 1800 888 333</w:t>
            </w:r>
          </w:p>
        </w:tc>
      </w:tr>
      <w:tr w:rsidR="00915BD6" w:rsidRPr="00FA1E86" w14:paraId="02C33185" w14:textId="77777777" w:rsidTr="00915BD6">
        <w:tblPrEx>
          <w:tblCellMar>
            <w:top w:w="15" w:type="dxa"/>
            <w:bottom w:w="15" w:type="dxa"/>
          </w:tblCellMar>
          <w:tblLook w:val="04A0" w:firstRow="1" w:lastRow="0" w:firstColumn="1" w:lastColumn="0" w:noHBand="0" w:noVBand="1"/>
        </w:tblPrEx>
        <w:trPr>
          <w:cantSplit/>
          <w:trHeight w:val="20"/>
        </w:trPr>
        <w:tc>
          <w:tcPr>
            <w:tcW w:w="9239" w:type="dxa"/>
            <w:gridSpan w:val="6"/>
            <w:vAlign w:val="center"/>
          </w:tcPr>
          <w:p w14:paraId="6D8AD967" w14:textId="77777777" w:rsidR="00915BD6" w:rsidRPr="00FA1E86" w:rsidRDefault="00915BD6" w:rsidP="00915BD6">
            <w:pPr>
              <w:pStyle w:val="COMTabletext"/>
              <w:keepNext w:val="0"/>
              <w:rPr>
                <w:b/>
              </w:rPr>
            </w:pPr>
            <w:r w:rsidRPr="00FA1E86">
              <w:rPr>
                <w:b/>
              </w:rPr>
              <w:t xml:space="preserve">Condition: </w:t>
            </w:r>
            <w:r w:rsidRPr="00FA1E86">
              <w:rPr>
                <w:bCs w:val="0"/>
              </w:rPr>
              <w:t>Diabetes mellitus Type 2</w:t>
            </w:r>
          </w:p>
        </w:tc>
      </w:tr>
      <w:tr w:rsidR="00915BD6" w:rsidRPr="00FA1E86" w14:paraId="204C5699" w14:textId="77777777" w:rsidTr="00915BD6">
        <w:tblPrEx>
          <w:tblCellMar>
            <w:top w:w="15" w:type="dxa"/>
            <w:bottom w:w="15" w:type="dxa"/>
          </w:tblCellMar>
          <w:tblLook w:val="04A0" w:firstRow="1" w:lastRow="0" w:firstColumn="1" w:lastColumn="0" w:noHBand="0" w:noVBand="1"/>
        </w:tblPrEx>
        <w:trPr>
          <w:cantSplit/>
          <w:trHeight w:val="20"/>
        </w:trPr>
        <w:tc>
          <w:tcPr>
            <w:tcW w:w="9239" w:type="dxa"/>
            <w:gridSpan w:val="6"/>
            <w:vAlign w:val="center"/>
            <w:hideMark/>
          </w:tcPr>
          <w:p w14:paraId="154F5A6A" w14:textId="77777777" w:rsidR="00915BD6" w:rsidRPr="00FA1E86" w:rsidRDefault="00915BD6" w:rsidP="00915BD6">
            <w:pPr>
              <w:pStyle w:val="COMTabletext"/>
              <w:keepNext w:val="0"/>
            </w:pPr>
            <w:r w:rsidRPr="00FA1E86">
              <w:rPr>
                <w:b/>
              </w:rPr>
              <w:t>Indication:</w:t>
            </w:r>
            <w:r w:rsidRPr="00FA1E86">
              <w:t xml:space="preserve"> </w:t>
            </w:r>
            <w:r w:rsidRPr="00FA1E86">
              <w:rPr>
                <w:bCs w:val="0"/>
              </w:rPr>
              <w:t>Diabetes mellitus Type 2</w:t>
            </w:r>
          </w:p>
        </w:tc>
      </w:tr>
      <w:tr w:rsidR="00915BD6" w:rsidRPr="00FA1E86" w14:paraId="26F73EB6" w14:textId="77777777" w:rsidTr="00915BD6">
        <w:tblPrEx>
          <w:tblCellMar>
            <w:top w:w="15" w:type="dxa"/>
            <w:bottom w:w="15" w:type="dxa"/>
          </w:tblCellMar>
          <w:tblLook w:val="04A0" w:firstRow="1" w:lastRow="0" w:firstColumn="1" w:lastColumn="0" w:noHBand="0" w:noVBand="1"/>
        </w:tblPrEx>
        <w:trPr>
          <w:cantSplit/>
          <w:trHeight w:val="20"/>
        </w:trPr>
        <w:tc>
          <w:tcPr>
            <w:tcW w:w="9239" w:type="dxa"/>
            <w:gridSpan w:val="6"/>
            <w:vAlign w:val="center"/>
            <w:hideMark/>
          </w:tcPr>
          <w:p w14:paraId="2BA2FE01" w14:textId="77777777" w:rsidR="00915BD6" w:rsidRPr="00FA1E86" w:rsidRDefault="00915BD6" w:rsidP="00915BD6">
            <w:pPr>
              <w:pStyle w:val="COMTabletext"/>
              <w:keepNext w:val="0"/>
            </w:pPr>
            <w:r w:rsidRPr="00FA1E86">
              <w:rPr>
                <w:b/>
              </w:rPr>
              <w:t>Clinical criteria:</w:t>
            </w:r>
          </w:p>
        </w:tc>
      </w:tr>
      <w:tr w:rsidR="00915BD6" w:rsidRPr="00FA1E86" w14:paraId="4E19B2A3" w14:textId="77777777" w:rsidTr="00915BD6">
        <w:tblPrEx>
          <w:tblCellMar>
            <w:top w:w="15" w:type="dxa"/>
            <w:bottom w:w="15" w:type="dxa"/>
          </w:tblCellMar>
          <w:tblLook w:val="04A0" w:firstRow="1" w:lastRow="0" w:firstColumn="1" w:lastColumn="0" w:noHBand="0" w:noVBand="1"/>
        </w:tblPrEx>
        <w:trPr>
          <w:cantSplit/>
          <w:trHeight w:val="20"/>
        </w:trPr>
        <w:tc>
          <w:tcPr>
            <w:tcW w:w="9239" w:type="dxa"/>
            <w:gridSpan w:val="6"/>
            <w:vAlign w:val="center"/>
            <w:hideMark/>
          </w:tcPr>
          <w:p w14:paraId="762D977E" w14:textId="77777777" w:rsidR="00915BD6" w:rsidRPr="00FA1E86" w:rsidRDefault="00915BD6" w:rsidP="00915BD6">
            <w:pPr>
              <w:pStyle w:val="COMTabletext"/>
              <w:keepNext w:val="0"/>
            </w:pPr>
            <w:r w:rsidRPr="00FA1E86">
              <w:rPr>
                <w:rFonts w:eastAsia="Times New Roman"/>
              </w:rPr>
              <w:t>The treatment must be combination therapy limited to: (i) metformin, and (ii) a glucose-dependent insulinotropic polypeptide and glucagon-like peptide 1 receptor agonist (GIP/GLP-1 RA);</w:t>
            </w:r>
          </w:p>
        </w:tc>
      </w:tr>
      <w:tr w:rsidR="00915BD6" w:rsidRPr="00FA1E86" w14:paraId="17224A20" w14:textId="77777777" w:rsidTr="00915BD6">
        <w:tblPrEx>
          <w:tblCellMar>
            <w:top w:w="15" w:type="dxa"/>
            <w:bottom w:w="15" w:type="dxa"/>
          </w:tblCellMar>
          <w:tblLook w:val="04A0" w:firstRow="1" w:lastRow="0" w:firstColumn="1" w:lastColumn="0" w:noHBand="0" w:noVBand="1"/>
        </w:tblPrEx>
        <w:trPr>
          <w:cantSplit/>
          <w:trHeight w:val="20"/>
        </w:trPr>
        <w:tc>
          <w:tcPr>
            <w:tcW w:w="9239" w:type="dxa"/>
            <w:gridSpan w:val="6"/>
            <w:vAlign w:val="center"/>
            <w:hideMark/>
          </w:tcPr>
          <w:p w14:paraId="4AE6E66A" w14:textId="77777777" w:rsidR="00915BD6" w:rsidRPr="00FA1E86" w:rsidRDefault="00915BD6" w:rsidP="00915BD6">
            <w:pPr>
              <w:pStyle w:val="COMTabletext"/>
              <w:keepNext w:val="0"/>
            </w:pPr>
            <w:r w:rsidRPr="00FA1E86">
              <w:rPr>
                <w:b/>
              </w:rPr>
              <w:t>AND</w:t>
            </w:r>
          </w:p>
        </w:tc>
      </w:tr>
      <w:tr w:rsidR="00915BD6" w:rsidRPr="00FA1E86" w14:paraId="3B386415" w14:textId="77777777" w:rsidTr="00915BD6">
        <w:tblPrEx>
          <w:tblCellMar>
            <w:top w:w="15" w:type="dxa"/>
            <w:bottom w:w="15" w:type="dxa"/>
          </w:tblCellMar>
          <w:tblLook w:val="04A0" w:firstRow="1" w:lastRow="0" w:firstColumn="1" w:lastColumn="0" w:noHBand="0" w:noVBand="1"/>
        </w:tblPrEx>
        <w:trPr>
          <w:cantSplit/>
          <w:trHeight w:val="20"/>
        </w:trPr>
        <w:tc>
          <w:tcPr>
            <w:tcW w:w="9239" w:type="dxa"/>
            <w:gridSpan w:val="6"/>
            <w:vAlign w:val="center"/>
            <w:hideMark/>
          </w:tcPr>
          <w:p w14:paraId="19826A65" w14:textId="77777777" w:rsidR="00915BD6" w:rsidRPr="00FA1E86" w:rsidRDefault="00915BD6" w:rsidP="00915BD6">
            <w:pPr>
              <w:pStyle w:val="COMTabletext"/>
              <w:keepNext w:val="0"/>
            </w:pPr>
            <w:r w:rsidRPr="00FA1E86">
              <w:rPr>
                <w:b/>
              </w:rPr>
              <w:t>Clinical criteria:</w:t>
            </w:r>
          </w:p>
        </w:tc>
      </w:tr>
      <w:tr w:rsidR="00915BD6" w:rsidRPr="00FA1E86" w14:paraId="0AFA4A41" w14:textId="77777777" w:rsidTr="00915BD6">
        <w:tblPrEx>
          <w:tblCellMar>
            <w:top w:w="15" w:type="dxa"/>
            <w:bottom w:w="15" w:type="dxa"/>
          </w:tblCellMar>
          <w:tblLook w:val="04A0" w:firstRow="1" w:lastRow="0" w:firstColumn="1" w:lastColumn="0" w:noHBand="0" w:noVBand="1"/>
        </w:tblPrEx>
        <w:trPr>
          <w:cantSplit/>
          <w:trHeight w:val="20"/>
        </w:trPr>
        <w:tc>
          <w:tcPr>
            <w:tcW w:w="9239" w:type="dxa"/>
            <w:gridSpan w:val="6"/>
            <w:vAlign w:val="center"/>
            <w:hideMark/>
          </w:tcPr>
          <w:p w14:paraId="7D6446BA" w14:textId="77777777" w:rsidR="00915BD6" w:rsidRPr="00FA1E86" w:rsidRDefault="00915BD6" w:rsidP="00915BD6">
            <w:pPr>
              <w:pStyle w:val="COMTabletext"/>
              <w:keepNext w:val="0"/>
              <w:rPr>
                <w:color w:val="0066FF"/>
              </w:rPr>
            </w:pPr>
            <w:r w:rsidRPr="00FA1E86">
              <w:rPr>
                <w:rFonts w:eastAsia="Times New Roman"/>
              </w:rPr>
              <w:t>The condition must be inadequately responsive to either (i) metformin, (ii) a sulfonylurea, or (iii) insulin, but only where treatment with metformin is not possible</w:t>
            </w:r>
          </w:p>
        </w:tc>
      </w:tr>
      <w:tr w:rsidR="00915BD6" w:rsidRPr="00FA1E86" w14:paraId="65935A79" w14:textId="77777777" w:rsidTr="00915BD6">
        <w:tblPrEx>
          <w:tblCellMar>
            <w:top w:w="15" w:type="dxa"/>
            <w:bottom w:w="15" w:type="dxa"/>
          </w:tblCellMar>
          <w:tblLook w:val="04A0" w:firstRow="1" w:lastRow="0" w:firstColumn="1" w:lastColumn="0" w:noHBand="0" w:noVBand="1"/>
        </w:tblPrEx>
        <w:trPr>
          <w:cantSplit/>
          <w:trHeight w:val="20"/>
        </w:trPr>
        <w:tc>
          <w:tcPr>
            <w:tcW w:w="9239" w:type="dxa"/>
            <w:gridSpan w:val="6"/>
            <w:vAlign w:val="center"/>
          </w:tcPr>
          <w:p w14:paraId="3EFF5CAE" w14:textId="77777777" w:rsidR="00915BD6" w:rsidRPr="00FA1E86" w:rsidRDefault="00915BD6" w:rsidP="00DA3819">
            <w:pPr>
              <w:pStyle w:val="COMTabletext"/>
              <w:keepLines/>
              <w:rPr>
                <w:color w:val="0066FF"/>
              </w:rPr>
            </w:pPr>
            <w:r w:rsidRPr="00FA1E86">
              <w:rPr>
                <w:b/>
              </w:rPr>
              <w:t>AND</w:t>
            </w:r>
          </w:p>
        </w:tc>
      </w:tr>
      <w:tr w:rsidR="00915BD6" w:rsidRPr="00FA1E86" w14:paraId="4030ED01" w14:textId="77777777" w:rsidTr="00915BD6">
        <w:tblPrEx>
          <w:tblCellMar>
            <w:top w:w="15" w:type="dxa"/>
            <w:bottom w:w="15" w:type="dxa"/>
          </w:tblCellMar>
          <w:tblLook w:val="04A0" w:firstRow="1" w:lastRow="0" w:firstColumn="1" w:lastColumn="0" w:noHBand="0" w:noVBand="1"/>
        </w:tblPrEx>
        <w:trPr>
          <w:cantSplit/>
          <w:trHeight w:val="20"/>
        </w:trPr>
        <w:tc>
          <w:tcPr>
            <w:tcW w:w="9239" w:type="dxa"/>
            <w:gridSpan w:val="6"/>
            <w:vAlign w:val="center"/>
          </w:tcPr>
          <w:p w14:paraId="6102B6F0" w14:textId="77777777" w:rsidR="00915BD6" w:rsidRPr="00FA1E86" w:rsidRDefault="00915BD6" w:rsidP="00DA3819">
            <w:pPr>
              <w:pStyle w:val="COMTabletext"/>
              <w:keepLines/>
              <w:rPr>
                <w:color w:val="0066FF"/>
              </w:rPr>
            </w:pPr>
            <w:r w:rsidRPr="00FA1E86">
              <w:rPr>
                <w:b/>
              </w:rPr>
              <w:t>Clinical criteria:</w:t>
            </w:r>
          </w:p>
        </w:tc>
      </w:tr>
      <w:tr w:rsidR="00915BD6" w:rsidRPr="00FA1E86" w14:paraId="7A42CBC1" w14:textId="77777777" w:rsidTr="00915BD6">
        <w:tblPrEx>
          <w:tblCellMar>
            <w:top w:w="15" w:type="dxa"/>
            <w:bottom w:w="15" w:type="dxa"/>
          </w:tblCellMar>
          <w:tblLook w:val="04A0" w:firstRow="1" w:lastRow="0" w:firstColumn="1" w:lastColumn="0" w:noHBand="0" w:noVBand="1"/>
        </w:tblPrEx>
        <w:trPr>
          <w:cantSplit/>
          <w:trHeight w:val="20"/>
        </w:trPr>
        <w:tc>
          <w:tcPr>
            <w:tcW w:w="9239" w:type="dxa"/>
            <w:gridSpan w:val="6"/>
            <w:vAlign w:val="center"/>
          </w:tcPr>
          <w:p w14:paraId="300114B5" w14:textId="77777777" w:rsidR="00915BD6" w:rsidRPr="00FA1E86" w:rsidRDefault="00915BD6" w:rsidP="00915BD6">
            <w:pPr>
              <w:spacing w:line="216" w:lineRule="auto"/>
              <w:rPr>
                <w:rFonts w:ascii="Arial Narrow" w:hAnsi="Arial Narrow" w:cstheme="minorHAnsi"/>
                <w:color w:val="333333"/>
                <w:sz w:val="20"/>
                <w:szCs w:val="20"/>
              </w:rPr>
            </w:pPr>
            <w:r w:rsidRPr="00FA1E86">
              <w:rPr>
                <w:rFonts w:ascii="Arial Narrow" w:hAnsi="Arial Narrow" w:cstheme="minorHAnsi"/>
                <w:color w:val="333333"/>
                <w:sz w:val="20"/>
                <w:szCs w:val="20"/>
              </w:rPr>
              <w:t xml:space="preserve">- The patient must have a contraindication/intolerance requiring permanent treatment discontinuation to an SGLT2 </w:t>
            </w:r>
            <w:proofErr w:type="gramStart"/>
            <w:r w:rsidRPr="00FA1E86">
              <w:rPr>
                <w:rFonts w:ascii="Arial Narrow" w:hAnsi="Arial Narrow" w:cstheme="minorHAnsi"/>
                <w:color w:val="333333"/>
                <w:sz w:val="20"/>
                <w:szCs w:val="20"/>
              </w:rPr>
              <w:t>inhibitor;</w:t>
            </w:r>
            <w:proofErr w:type="gramEnd"/>
            <w:r w:rsidRPr="00FA1E86">
              <w:rPr>
                <w:rFonts w:ascii="Arial Narrow" w:hAnsi="Arial Narrow" w:cstheme="minorHAnsi"/>
                <w:color w:val="333333"/>
                <w:sz w:val="20"/>
                <w:szCs w:val="20"/>
              </w:rPr>
              <w:t xml:space="preserve"> OR</w:t>
            </w:r>
          </w:p>
          <w:p w14:paraId="34843953" w14:textId="77777777" w:rsidR="00915BD6" w:rsidRPr="00FA1E86" w:rsidRDefault="00915BD6" w:rsidP="00915BD6">
            <w:pPr>
              <w:spacing w:line="216" w:lineRule="auto"/>
              <w:rPr>
                <w:rFonts w:ascii="Arial Narrow" w:hAnsi="Arial Narrow" w:cstheme="minorHAnsi"/>
                <w:color w:val="333333"/>
                <w:sz w:val="20"/>
                <w:szCs w:val="20"/>
              </w:rPr>
            </w:pPr>
            <w:r w:rsidRPr="00FA1E86">
              <w:rPr>
                <w:rFonts w:ascii="Arial Narrow" w:hAnsi="Arial Narrow" w:cstheme="minorHAnsi"/>
                <w:color w:val="333333"/>
                <w:sz w:val="20"/>
                <w:szCs w:val="20"/>
              </w:rPr>
              <w:t xml:space="preserve">- The condition must be/have been inadequately responsive to combination treatment with a SGLT2 inhibitor plus </w:t>
            </w:r>
            <w:proofErr w:type="gramStart"/>
            <w:r w:rsidRPr="00FA1E86">
              <w:rPr>
                <w:rFonts w:ascii="Arial Narrow" w:hAnsi="Arial Narrow" w:cstheme="minorHAnsi"/>
                <w:color w:val="333333"/>
                <w:sz w:val="20"/>
                <w:szCs w:val="20"/>
              </w:rPr>
              <w:t>metformin;</w:t>
            </w:r>
            <w:proofErr w:type="gramEnd"/>
            <w:r w:rsidRPr="00FA1E86">
              <w:rPr>
                <w:rFonts w:ascii="Arial Narrow" w:hAnsi="Arial Narrow" w:cstheme="minorHAnsi"/>
                <w:color w:val="333333"/>
                <w:sz w:val="20"/>
                <w:szCs w:val="20"/>
              </w:rPr>
              <w:t xml:space="preserve"> OR</w:t>
            </w:r>
          </w:p>
          <w:p w14:paraId="4F97E943" w14:textId="77777777" w:rsidR="00915BD6" w:rsidRPr="00FA1E86" w:rsidRDefault="00915BD6" w:rsidP="00915BD6">
            <w:pPr>
              <w:spacing w:line="216" w:lineRule="auto"/>
              <w:rPr>
                <w:rFonts w:ascii="Arial Narrow" w:hAnsi="Arial Narrow" w:cstheme="minorHAnsi"/>
                <w:color w:val="333333"/>
                <w:sz w:val="20"/>
                <w:szCs w:val="20"/>
              </w:rPr>
            </w:pPr>
            <w:r w:rsidRPr="00FA1E86">
              <w:rPr>
                <w:rFonts w:ascii="Arial Narrow" w:hAnsi="Arial Narrow" w:cstheme="minorHAnsi"/>
                <w:color w:val="333333"/>
                <w:sz w:val="20"/>
                <w:szCs w:val="20"/>
              </w:rPr>
              <w:t xml:space="preserve">- The condition must be/have been inadequately responsive to combination treatment with a sulfonylurea plus </w:t>
            </w:r>
            <w:proofErr w:type="gramStart"/>
            <w:r w:rsidRPr="00FA1E86">
              <w:rPr>
                <w:rFonts w:ascii="Arial Narrow" w:hAnsi="Arial Narrow" w:cstheme="minorHAnsi"/>
                <w:color w:val="333333"/>
                <w:sz w:val="20"/>
                <w:szCs w:val="20"/>
              </w:rPr>
              <w:t>metformin;</w:t>
            </w:r>
            <w:proofErr w:type="gramEnd"/>
            <w:r w:rsidRPr="00FA1E86">
              <w:rPr>
                <w:rFonts w:ascii="Arial Narrow" w:hAnsi="Arial Narrow" w:cstheme="minorHAnsi"/>
                <w:color w:val="333333"/>
                <w:sz w:val="20"/>
                <w:szCs w:val="20"/>
              </w:rPr>
              <w:t xml:space="preserve"> OR</w:t>
            </w:r>
          </w:p>
          <w:p w14:paraId="11DC8D74" w14:textId="77777777" w:rsidR="00915BD6" w:rsidRPr="00FA1E86" w:rsidRDefault="00915BD6" w:rsidP="00915BD6">
            <w:pPr>
              <w:spacing w:line="216" w:lineRule="auto"/>
              <w:rPr>
                <w:rFonts w:ascii="Arial Narrow" w:hAnsi="Arial Narrow" w:cstheme="minorHAnsi"/>
                <w:color w:val="333333"/>
                <w:sz w:val="20"/>
                <w:szCs w:val="20"/>
              </w:rPr>
            </w:pPr>
            <w:r w:rsidRPr="00FA1E86">
              <w:rPr>
                <w:rFonts w:ascii="Arial Narrow" w:hAnsi="Arial Narrow" w:cstheme="minorHAnsi"/>
                <w:color w:val="333333"/>
                <w:sz w:val="20"/>
                <w:szCs w:val="20"/>
              </w:rPr>
              <w:t>- The condition must be/have been inadequately responsive to combination treatment with insulin plus metformin (or insulin alone where the patient is contraindicated/intolerant to metformin</w:t>
            </w:r>
            <w:proofErr w:type="gramStart"/>
            <w:r w:rsidRPr="00FA1E86">
              <w:rPr>
                <w:rFonts w:ascii="Arial Narrow" w:hAnsi="Arial Narrow" w:cstheme="minorHAnsi"/>
                <w:color w:val="333333"/>
                <w:sz w:val="20"/>
                <w:szCs w:val="20"/>
              </w:rPr>
              <w:t>);</w:t>
            </w:r>
            <w:proofErr w:type="gramEnd"/>
            <w:r w:rsidRPr="00FA1E86">
              <w:rPr>
                <w:rFonts w:ascii="Arial Narrow" w:hAnsi="Arial Narrow" w:cstheme="minorHAnsi"/>
                <w:color w:val="333333"/>
                <w:sz w:val="20"/>
                <w:szCs w:val="20"/>
              </w:rPr>
              <w:t xml:space="preserve"> OR</w:t>
            </w:r>
          </w:p>
          <w:p w14:paraId="552B5403" w14:textId="77777777" w:rsidR="00915BD6" w:rsidRPr="00FA1E86" w:rsidRDefault="00915BD6" w:rsidP="00915BD6">
            <w:pPr>
              <w:pStyle w:val="COMTabletext"/>
              <w:keepNext w:val="0"/>
              <w:rPr>
                <w:color w:val="0066FF"/>
              </w:rPr>
            </w:pPr>
            <w:r w:rsidRPr="00FA1E86">
              <w:rPr>
                <w:rFonts w:eastAsia="Times New Roman" w:cstheme="minorHAnsi"/>
                <w:bCs w:val="0"/>
                <w:color w:val="333333"/>
                <w:szCs w:val="20"/>
              </w:rPr>
              <w:t>- Patient must have a contraindication/intolerance requiring permanent treatment discontinuation to combination therapy with metformin plus a sulfonylurea with GLP-1 receptor agonist treatment commenced prior to [insert date of change here]</w:t>
            </w:r>
          </w:p>
        </w:tc>
      </w:tr>
      <w:tr w:rsidR="00915BD6" w:rsidRPr="00FA1E86" w14:paraId="7721C35B" w14:textId="77777777" w:rsidTr="00915BD6">
        <w:tblPrEx>
          <w:tblCellMar>
            <w:top w:w="15" w:type="dxa"/>
            <w:bottom w:w="15" w:type="dxa"/>
          </w:tblCellMar>
          <w:tblLook w:val="04A0" w:firstRow="1" w:lastRow="0" w:firstColumn="1" w:lastColumn="0" w:noHBand="0" w:noVBand="1"/>
        </w:tblPrEx>
        <w:trPr>
          <w:cantSplit/>
          <w:trHeight w:val="20"/>
        </w:trPr>
        <w:tc>
          <w:tcPr>
            <w:tcW w:w="9239" w:type="dxa"/>
            <w:gridSpan w:val="6"/>
            <w:vAlign w:val="center"/>
          </w:tcPr>
          <w:p w14:paraId="6F8FB50E" w14:textId="77777777" w:rsidR="00915BD6" w:rsidRPr="00FA1E86" w:rsidRDefault="00915BD6" w:rsidP="00915BD6">
            <w:pPr>
              <w:pStyle w:val="COMTabletext"/>
              <w:keepNext w:val="0"/>
              <w:rPr>
                <w:color w:val="0066FF"/>
              </w:rPr>
            </w:pPr>
            <w:r w:rsidRPr="00FA1E86">
              <w:rPr>
                <w:b/>
              </w:rPr>
              <w:t>Clinical criteria:</w:t>
            </w:r>
          </w:p>
        </w:tc>
      </w:tr>
      <w:tr w:rsidR="00915BD6" w:rsidRPr="00FA1E86" w14:paraId="5C9FE060" w14:textId="77777777" w:rsidTr="00915BD6">
        <w:tblPrEx>
          <w:tblCellMar>
            <w:top w:w="15" w:type="dxa"/>
            <w:bottom w:w="15" w:type="dxa"/>
          </w:tblCellMar>
          <w:tblLook w:val="04A0" w:firstRow="1" w:lastRow="0" w:firstColumn="1" w:lastColumn="0" w:noHBand="0" w:noVBand="1"/>
        </w:tblPrEx>
        <w:trPr>
          <w:cantSplit/>
          <w:trHeight w:val="20"/>
        </w:trPr>
        <w:tc>
          <w:tcPr>
            <w:tcW w:w="9239" w:type="dxa"/>
            <w:gridSpan w:val="6"/>
            <w:vAlign w:val="center"/>
          </w:tcPr>
          <w:p w14:paraId="65508234" w14:textId="77777777" w:rsidR="00915BD6" w:rsidRPr="00FA1E86" w:rsidRDefault="00915BD6" w:rsidP="00915BD6">
            <w:pPr>
              <w:pStyle w:val="COMTabletext"/>
              <w:keepNext w:val="0"/>
              <w:rPr>
                <w:color w:val="0066FF"/>
              </w:rPr>
            </w:pPr>
            <w:r w:rsidRPr="00FA1E86">
              <w:rPr>
                <w:rFonts w:eastAsia="Times New Roman"/>
              </w:rPr>
              <w:t>The treatment must not be prescribed in combination with either: (i) a SGLT2 inhibitor, (ii) a DPP4 inhibitor, (iii) pioglitazone, (iv) another GLP-1 receptor agonist</w:t>
            </w:r>
          </w:p>
        </w:tc>
      </w:tr>
      <w:tr w:rsidR="00915BD6" w:rsidRPr="00FA1E86" w14:paraId="4D3DE2DE" w14:textId="77777777" w:rsidTr="00915BD6">
        <w:tblPrEx>
          <w:tblCellMar>
            <w:top w:w="15" w:type="dxa"/>
            <w:bottom w:w="15" w:type="dxa"/>
          </w:tblCellMar>
          <w:tblLook w:val="04A0" w:firstRow="1" w:lastRow="0" w:firstColumn="1" w:lastColumn="0" w:noHBand="0" w:noVBand="1"/>
        </w:tblPrEx>
        <w:trPr>
          <w:cantSplit/>
          <w:trHeight w:val="20"/>
        </w:trPr>
        <w:tc>
          <w:tcPr>
            <w:tcW w:w="9239" w:type="dxa"/>
            <w:gridSpan w:val="6"/>
            <w:vAlign w:val="center"/>
            <w:hideMark/>
          </w:tcPr>
          <w:p w14:paraId="7C6FBAC2" w14:textId="77777777" w:rsidR="00915BD6" w:rsidRPr="00FA1E86" w:rsidRDefault="00915BD6" w:rsidP="00915BD6">
            <w:pPr>
              <w:pStyle w:val="COMTabletext"/>
              <w:keepNext w:val="0"/>
              <w:rPr>
                <w:b/>
              </w:rPr>
            </w:pPr>
            <w:r w:rsidRPr="00FA1E86">
              <w:rPr>
                <w:b/>
              </w:rPr>
              <w:lastRenderedPageBreak/>
              <w:t>Prescribing Instructions:</w:t>
            </w:r>
          </w:p>
          <w:p w14:paraId="655C964A" w14:textId="77777777" w:rsidR="00915BD6" w:rsidRPr="00FA1E86" w:rsidRDefault="00915BD6" w:rsidP="00915BD6">
            <w:pPr>
              <w:pStyle w:val="COMTabletext"/>
              <w:keepNext w:val="0"/>
            </w:pPr>
            <w:r w:rsidRPr="00FA1E86">
              <w:t>Definition:</w:t>
            </w:r>
          </w:p>
          <w:p w14:paraId="2BFE91CA" w14:textId="77777777" w:rsidR="00915BD6" w:rsidRPr="00FA1E86" w:rsidRDefault="00915BD6" w:rsidP="00915BD6">
            <w:pPr>
              <w:pStyle w:val="COMTabletext"/>
              <w:keepNext w:val="0"/>
            </w:pPr>
            <w:r w:rsidRPr="00FA1E86">
              <w:t>A HbA1c measurement greater than 7% despite treatment with the specified prior therapy/therapies indicates inadequate responsiveness.</w:t>
            </w:r>
          </w:p>
          <w:p w14:paraId="602BC45A" w14:textId="77777777" w:rsidR="00915BD6" w:rsidRPr="00FA1E86" w:rsidRDefault="00915BD6" w:rsidP="00915BD6">
            <w:pPr>
              <w:pStyle w:val="COMTabletext"/>
              <w:keepNext w:val="0"/>
            </w:pPr>
          </w:p>
          <w:p w14:paraId="0A18A5F6" w14:textId="77777777" w:rsidR="00915BD6" w:rsidRPr="00FA1E86" w:rsidRDefault="00915BD6" w:rsidP="00915BD6">
            <w:pPr>
              <w:pStyle w:val="COMTabletext"/>
              <w:keepNext w:val="0"/>
            </w:pPr>
            <w:r w:rsidRPr="00FA1E86">
              <w:t xml:space="preserve">Where HbA1c measurement is clinically inappropriate, blood glucose levels greater than 10 mmol per L in more than 20% of tests over a </w:t>
            </w:r>
            <w:proofErr w:type="gramStart"/>
            <w:r w:rsidRPr="00FA1E86">
              <w:t>2 week</w:t>
            </w:r>
            <w:proofErr w:type="gramEnd"/>
            <w:r w:rsidRPr="00FA1E86">
              <w:t xml:space="preserve"> period indicates inadequate responsiveness.</w:t>
            </w:r>
          </w:p>
          <w:p w14:paraId="6EA38C1B" w14:textId="77777777" w:rsidR="00915BD6" w:rsidRPr="00FA1E86" w:rsidRDefault="00915BD6" w:rsidP="00915BD6">
            <w:pPr>
              <w:pStyle w:val="COMTabletext"/>
              <w:keepNext w:val="0"/>
            </w:pPr>
          </w:p>
          <w:p w14:paraId="1342DB6D" w14:textId="77777777" w:rsidR="00915BD6" w:rsidRPr="00FA1E86" w:rsidRDefault="00915BD6" w:rsidP="00915BD6">
            <w:pPr>
              <w:pStyle w:val="COMTabletext"/>
              <w:keepNext w:val="0"/>
            </w:pPr>
            <w:r w:rsidRPr="00FA1E86">
              <w:t>Blood glucose monitoring is an alternative to HbA1c measurement where at least one of the following circumstances applies:</w:t>
            </w:r>
          </w:p>
          <w:p w14:paraId="06E8A291" w14:textId="77777777" w:rsidR="00915BD6" w:rsidRPr="00FA1E86" w:rsidRDefault="00915BD6" w:rsidP="00915BD6">
            <w:pPr>
              <w:pStyle w:val="COMTabletext"/>
              <w:keepNext w:val="0"/>
            </w:pPr>
            <w:r w:rsidRPr="00FA1E86">
              <w:t>(a) A clinical condition with reduced red blood cell survival (inclusive of haemolytic anaemias, haemoglobinopathies),</w:t>
            </w:r>
          </w:p>
          <w:p w14:paraId="25B15078" w14:textId="77777777" w:rsidR="00915BD6" w:rsidRPr="00FA1E86" w:rsidRDefault="00915BD6" w:rsidP="00915BD6">
            <w:pPr>
              <w:pStyle w:val="COMTabletext"/>
              <w:keepNext w:val="0"/>
            </w:pPr>
            <w:r w:rsidRPr="00FA1E86">
              <w:t>(b) Red cell transfusion within the previous 3 months.</w:t>
            </w:r>
          </w:p>
          <w:p w14:paraId="1E68E37D" w14:textId="77777777" w:rsidR="00915BD6" w:rsidRPr="00FA1E86" w:rsidRDefault="00915BD6" w:rsidP="00915BD6">
            <w:pPr>
              <w:pStyle w:val="COMTabletext"/>
              <w:keepNext w:val="0"/>
            </w:pPr>
          </w:p>
          <w:p w14:paraId="38EBE85C" w14:textId="77777777" w:rsidR="00915BD6" w:rsidRPr="00FA1E86" w:rsidRDefault="00915BD6" w:rsidP="00915BD6">
            <w:pPr>
              <w:pStyle w:val="COMTabletext"/>
              <w:keepNext w:val="0"/>
            </w:pPr>
            <w:r w:rsidRPr="00FA1E86">
              <w:t>Document HbA1c measurements (blood glucose measurements where relevant), as well as any intolerances/contraindications in the patient’s medical records.</w:t>
            </w:r>
          </w:p>
        </w:tc>
      </w:tr>
    </w:tbl>
    <w:p w14:paraId="07324B52" w14:textId="1BD93578" w:rsidR="00915BD6" w:rsidRPr="001F3ADC" w:rsidRDefault="00915BD6" w:rsidP="007E08BF">
      <w:pPr>
        <w:pStyle w:val="COMexecsumnumberedpara"/>
        <w:spacing w:before="120"/>
      </w:pPr>
      <w:r w:rsidRPr="00065852">
        <w:t>The submission request</w:t>
      </w:r>
      <w:r w:rsidR="006C31AD" w:rsidRPr="00065852">
        <w:t>ed</w:t>
      </w:r>
      <w:r w:rsidRPr="00065852">
        <w:t xml:space="preserve"> PBS-listings for both the prefilled pen and vial presentations of tirzepatide</w:t>
      </w:r>
      <w:r w:rsidR="002D24E3" w:rsidRPr="001F3ADC">
        <w:t xml:space="preserve">, however </w:t>
      </w:r>
      <w:r w:rsidR="002D24E3" w:rsidRPr="001F3ADC">
        <w:rPr>
          <w:rFonts w:eastAsia="Calibri" w:cs="Calibri"/>
          <w:lang w:eastAsia="en-US"/>
        </w:rPr>
        <w:t xml:space="preserve">only the pre-filled pen can be considered in this submission (see paragraph </w:t>
      </w:r>
      <w:r w:rsidR="002D24E3" w:rsidRPr="001F3ADC">
        <w:rPr>
          <w:rFonts w:eastAsia="Calibri" w:cs="Calibri"/>
          <w:lang w:eastAsia="en-US"/>
        </w:rPr>
        <w:fldChar w:fldCharType="begin" w:fldLock="1"/>
      </w:r>
      <w:r w:rsidR="002D24E3" w:rsidRPr="001F3ADC">
        <w:rPr>
          <w:rFonts w:eastAsia="Calibri" w:cs="Calibri"/>
          <w:lang w:eastAsia="en-US"/>
        </w:rPr>
        <w:instrText xml:space="preserve"> REF _Ref137563492 \r \h </w:instrText>
      </w:r>
      <w:r w:rsidR="001F3ADC" w:rsidRPr="001F3ADC">
        <w:rPr>
          <w:rFonts w:eastAsia="Calibri" w:cs="Calibri"/>
          <w:lang w:eastAsia="en-US"/>
        </w:rPr>
        <w:instrText xml:space="preserve"> \* MERGEFORMAT </w:instrText>
      </w:r>
      <w:r w:rsidR="002D24E3" w:rsidRPr="001F3ADC">
        <w:rPr>
          <w:rFonts w:eastAsia="Calibri" w:cs="Calibri"/>
          <w:lang w:eastAsia="en-US"/>
        </w:rPr>
      </w:r>
      <w:r w:rsidR="002D24E3" w:rsidRPr="001F3ADC">
        <w:rPr>
          <w:rFonts w:eastAsia="Calibri" w:cs="Calibri"/>
          <w:lang w:eastAsia="en-US"/>
        </w:rPr>
        <w:fldChar w:fldCharType="separate"/>
      </w:r>
      <w:r w:rsidR="00391E15">
        <w:rPr>
          <w:rFonts w:eastAsia="Calibri" w:cs="Calibri"/>
          <w:lang w:eastAsia="en-US"/>
        </w:rPr>
        <w:t>2.2</w:t>
      </w:r>
      <w:r w:rsidR="002D24E3" w:rsidRPr="001F3ADC">
        <w:rPr>
          <w:rFonts w:eastAsia="Calibri" w:cs="Calibri"/>
          <w:lang w:eastAsia="en-US"/>
        </w:rPr>
        <w:fldChar w:fldCharType="end"/>
      </w:r>
      <w:r w:rsidR="002D24E3" w:rsidRPr="001F3ADC">
        <w:rPr>
          <w:rFonts w:eastAsia="Calibri" w:cs="Calibri"/>
          <w:lang w:eastAsia="en-US"/>
        </w:rPr>
        <w:t xml:space="preserve"> above)</w:t>
      </w:r>
      <w:r w:rsidRPr="001F3ADC">
        <w:t>.</w:t>
      </w:r>
    </w:p>
    <w:p w14:paraId="1625B434" w14:textId="21DE16AC" w:rsidR="00EC2D33" w:rsidRDefault="00915BD6" w:rsidP="00915BD6">
      <w:pPr>
        <w:pStyle w:val="COMexecsumnumberedpara"/>
      </w:pPr>
      <w:bookmarkStart w:id="8" w:name="_Ref140751513"/>
      <w:r w:rsidRPr="00065852">
        <w:t>The submission did not adequately justify the need for 5 repeats for the 2.5</w:t>
      </w:r>
      <w:r w:rsidR="00F551E3">
        <w:t> </w:t>
      </w:r>
      <w:r w:rsidRPr="00065852">
        <w:t>mg, 7.5</w:t>
      </w:r>
      <w:r w:rsidR="00F551E3">
        <w:t> </w:t>
      </w:r>
      <w:proofErr w:type="gramStart"/>
      <w:r w:rsidRPr="00065852">
        <w:t>mg</w:t>
      </w:r>
      <w:proofErr w:type="gramEnd"/>
      <w:r w:rsidRPr="00065852">
        <w:t xml:space="preserve"> and 12.5 mg dose strengths. The product information recommends a minimum treatment duration of 4 weeks at these strengths, for titration purposes only.</w:t>
      </w:r>
      <w:r w:rsidR="0068269E">
        <w:t xml:space="preserve"> </w:t>
      </w:r>
      <w:r w:rsidR="0068269E" w:rsidRPr="001F3ADC">
        <w:t>The ESC considered that one repeat would be reasonable for these dose strengths.</w:t>
      </w:r>
      <w:bookmarkEnd w:id="8"/>
    </w:p>
    <w:p w14:paraId="5F8102D6" w14:textId="5A0BC450" w:rsidR="00915BD6" w:rsidRPr="00065852" w:rsidRDefault="00915BD6" w:rsidP="00915BD6">
      <w:pPr>
        <w:pStyle w:val="COMexecsumnumberedpara"/>
        <w:rPr>
          <w:color w:val="0066FF"/>
        </w:rPr>
      </w:pPr>
      <w:r w:rsidRPr="00065852">
        <w:t xml:space="preserve">The submission requested a special pricing arrangement consisting of the following rebates on the published DPMQ: </w:t>
      </w:r>
      <w:proofErr w:type="gramStart"/>
      <w:r w:rsidR="005216F9" w:rsidRPr="00185CBC">
        <w:rPr>
          <w:color w:val="000000"/>
          <w:w w:val="15"/>
          <w:shd w:val="solid" w:color="000000" w:fill="000000"/>
          <w:fitText w:val="-20" w:id="-1164808704"/>
          <w14:textFill>
            <w14:solidFill>
              <w14:srgbClr w14:val="000000">
                <w14:alpha w14:val="100000"/>
              </w14:srgbClr>
            </w14:solidFill>
          </w14:textFill>
        </w:rPr>
        <w:t xml:space="preserve">|  </w:t>
      </w:r>
      <w:r w:rsidR="005216F9" w:rsidRPr="00185CBC">
        <w:rPr>
          <w:color w:val="000000"/>
          <w:spacing w:val="-69"/>
          <w:w w:val="15"/>
          <w:shd w:val="solid" w:color="000000" w:fill="000000"/>
          <w:fitText w:val="-20" w:id="-1164808704"/>
          <w14:textFill>
            <w14:solidFill>
              <w14:srgbClr w14:val="000000">
                <w14:alpha w14:val="100000"/>
              </w14:srgbClr>
            </w14:solidFill>
          </w14:textFill>
        </w:rPr>
        <w:t>|</w:t>
      </w:r>
      <w:proofErr w:type="gramEnd"/>
      <w:r w:rsidRPr="00065852">
        <w:t xml:space="preserve">% for 2.5 mg and 5 mg strengths, </w:t>
      </w:r>
      <w:r w:rsidR="005216F9" w:rsidRPr="00185CBC">
        <w:rPr>
          <w:color w:val="000000"/>
          <w:w w:val="15"/>
          <w:shd w:val="solid" w:color="000000" w:fill="000000"/>
          <w:fitText w:val="-20" w:id="-1164808703"/>
          <w14:textFill>
            <w14:solidFill>
              <w14:srgbClr w14:val="000000">
                <w14:alpha w14:val="100000"/>
              </w14:srgbClr>
            </w14:solidFill>
          </w14:textFill>
        </w:rPr>
        <w:t xml:space="preserve">|  </w:t>
      </w:r>
      <w:r w:rsidR="005216F9" w:rsidRPr="00185CBC">
        <w:rPr>
          <w:color w:val="000000"/>
          <w:spacing w:val="-69"/>
          <w:w w:val="15"/>
          <w:shd w:val="solid" w:color="000000" w:fill="000000"/>
          <w:fitText w:val="-20" w:id="-1164808703"/>
          <w14:textFill>
            <w14:solidFill>
              <w14:srgbClr w14:val="000000">
                <w14:alpha w14:val="100000"/>
              </w14:srgbClr>
            </w14:solidFill>
          </w14:textFill>
        </w:rPr>
        <w:t>|</w:t>
      </w:r>
      <w:r w:rsidRPr="00065852">
        <w:t>% for 7.5</w:t>
      </w:r>
      <w:r w:rsidR="00F551E3">
        <w:t> </w:t>
      </w:r>
      <w:r w:rsidRPr="00065852">
        <w:t xml:space="preserve">mg and 10 mg strengths and </w:t>
      </w:r>
      <w:r w:rsidR="005216F9" w:rsidRPr="00185CBC">
        <w:rPr>
          <w:color w:val="000000"/>
          <w:w w:val="15"/>
          <w:shd w:val="solid" w:color="000000" w:fill="000000"/>
          <w:fitText w:val="-20" w:id="-1164808448"/>
          <w14:textFill>
            <w14:solidFill>
              <w14:srgbClr w14:val="000000">
                <w14:alpha w14:val="100000"/>
              </w14:srgbClr>
            </w14:solidFill>
          </w14:textFill>
        </w:rPr>
        <w:t xml:space="preserve">|  </w:t>
      </w:r>
      <w:r w:rsidR="005216F9" w:rsidRPr="00185CBC">
        <w:rPr>
          <w:color w:val="000000"/>
          <w:spacing w:val="-69"/>
          <w:w w:val="15"/>
          <w:shd w:val="solid" w:color="000000" w:fill="000000"/>
          <w:fitText w:val="-20" w:id="-1164808448"/>
          <w14:textFill>
            <w14:solidFill>
              <w14:srgbClr w14:val="000000">
                <w14:alpha w14:val="100000"/>
              </w14:srgbClr>
            </w14:solidFill>
          </w14:textFill>
        </w:rPr>
        <w:t>|</w:t>
      </w:r>
      <w:r w:rsidRPr="00065852">
        <w:t xml:space="preserve">% for the 12.5 mg and 15 mg strengths. </w:t>
      </w:r>
      <w:r w:rsidR="00B2478C">
        <w:t xml:space="preserve">This </w:t>
      </w:r>
      <w:r w:rsidR="00B2478C" w:rsidRPr="0009575C">
        <w:t xml:space="preserve">results in flat pricing across the different strengths. </w:t>
      </w:r>
      <w:r w:rsidRPr="0009575C">
        <w:t>The</w:t>
      </w:r>
      <w:r w:rsidRPr="00065852">
        <w:t xml:space="preserve"> submission noted that special pricing arrangements are currently in place for semaglutide and dulaglutide.</w:t>
      </w:r>
    </w:p>
    <w:p w14:paraId="486668D5" w14:textId="0D712596" w:rsidR="00915BD6" w:rsidRPr="0009575C" w:rsidRDefault="00915BD6" w:rsidP="00915BD6">
      <w:pPr>
        <w:pStyle w:val="COMexecsumnumberedpara"/>
      </w:pPr>
      <w:bookmarkStart w:id="9" w:name="_Ref138064656"/>
      <w:r w:rsidRPr="00065852">
        <w:t xml:space="preserve">The </w:t>
      </w:r>
      <w:r w:rsidRPr="0009575C">
        <w:t>proposed restrictions for dual therapy with tirzepatide were modelled on the draft restriction for GLP-1</w:t>
      </w:r>
      <w:r w:rsidR="002C2274" w:rsidRPr="0009575C">
        <w:t xml:space="preserve"> </w:t>
      </w:r>
      <w:r w:rsidRPr="0009575C">
        <w:t>R</w:t>
      </w:r>
      <w:r w:rsidR="002C2274" w:rsidRPr="0009575C">
        <w:t>A</w:t>
      </w:r>
      <w:r w:rsidRPr="0009575C">
        <w:t>s in the DUSC 2023 report</w:t>
      </w:r>
      <w:r w:rsidR="004701C5" w:rsidRPr="0009575C">
        <w:t>.</w:t>
      </w:r>
      <w:r w:rsidRPr="0009575C">
        <w:t xml:space="preserve"> In March 2023, the PBAC recommended that the use of GLP-1</w:t>
      </w:r>
      <w:r w:rsidR="002C2274" w:rsidRPr="0009575C">
        <w:t xml:space="preserve"> </w:t>
      </w:r>
      <w:r w:rsidRPr="0009575C">
        <w:t>R</w:t>
      </w:r>
      <w:r w:rsidR="002C2274" w:rsidRPr="0009575C">
        <w:t>A</w:t>
      </w:r>
      <w:r w:rsidRPr="0009575C">
        <w:t xml:space="preserve">s in all type 2 diabetes indications should be restricted to patients who are contraindicated, intolerant or inadequately responsive to SGLT2 inhibitors (PBAC outcomes, March 2023 PBAC meeting). However, </w:t>
      </w:r>
      <w:r w:rsidR="0059235D" w:rsidRPr="0009575C">
        <w:t xml:space="preserve">at that time </w:t>
      </w:r>
      <w:r w:rsidRPr="0009575C">
        <w:t>the PBAC noted that further consultation will be conducted on the wording of the restriction</w:t>
      </w:r>
      <w:r w:rsidR="00DB76AD" w:rsidRPr="0009575C">
        <w:t>. The ESC</w:t>
      </w:r>
      <w:r w:rsidR="00343AFC" w:rsidRPr="0009575C">
        <w:t xml:space="preserve"> noted that the outcome of th</w:t>
      </w:r>
      <w:r w:rsidR="006A7261" w:rsidRPr="0009575C">
        <w:t xml:space="preserve">e post March 2023 meeting </w:t>
      </w:r>
      <w:r w:rsidR="00343AFC" w:rsidRPr="0009575C">
        <w:t xml:space="preserve">consultation is not yet known and </w:t>
      </w:r>
      <w:r w:rsidR="006A7261" w:rsidRPr="0009575C">
        <w:t xml:space="preserve">advised that the wording of </w:t>
      </w:r>
      <w:r w:rsidRPr="0009575C">
        <w:t xml:space="preserve">the proposed </w:t>
      </w:r>
      <w:r w:rsidR="00DB76AD" w:rsidRPr="0009575C">
        <w:t>tirzepatide</w:t>
      </w:r>
      <w:r w:rsidR="006A7261" w:rsidRPr="0009575C">
        <w:t xml:space="preserve"> </w:t>
      </w:r>
      <w:r w:rsidRPr="0009575C">
        <w:t>restriction</w:t>
      </w:r>
      <w:r w:rsidR="00343AFC" w:rsidRPr="0009575C">
        <w:t xml:space="preserve"> may require revision</w:t>
      </w:r>
      <w:r w:rsidR="006A7261" w:rsidRPr="0009575C">
        <w:t xml:space="preserve"> once</w:t>
      </w:r>
      <w:r w:rsidR="00343AFC" w:rsidRPr="0009575C">
        <w:t xml:space="preserve"> the consultation is finalised</w:t>
      </w:r>
      <w:r w:rsidR="009F29EC" w:rsidRPr="0009575C">
        <w:t>.</w:t>
      </w:r>
      <w:bookmarkEnd w:id="9"/>
    </w:p>
    <w:p w14:paraId="039C2C5B" w14:textId="7AB068B4" w:rsidR="00EC2D33" w:rsidRDefault="00915BD6" w:rsidP="00A44068">
      <w:pPr>
        <w:pStyle w:val="COMexecsumnumberedpara"/>
      </w:pPr>
      <w:r w:rsidRPr="0009575C">
        <w:t>The proposed tirzepatide restriction was narrower than intended for GLP-1</w:t>
      </w:r>
      <w:r w:rsidR="007D08D5" w:rsidRPr="0009575C">
        <w:t xml:space="preserve"> </w:t>
      </w:r>
      <w:r w:rsidRPr="0009575C">
        <w:t>R</w:t>
      </w:r>
      <w:r w:rsidR="00CB3BE4" w:rsidRPr="0009575C">
        <w:t>A</w:t>
      </w:r>
      <w:r w:rsidRPr="0009575C">
        <w:t>s as</w:t>
      </w:r>
      <w:r w:rsidRPr="00065852">
        <w:t xml:space="preserve"> it does not allow for use of tirzepatide in combination with sulfonylurea or insu</w:t>
      </w:r>
      <w:r w:rsidR="007D08D5" w:rsidRPr="00065852">
        <w:t>lin</w:t>
      </w:r>
      <w:r w:rsidRPr="00065852">
        <w:t>.</w:t>
      </w:r>
    </w:p>
    <w:p w14:paraId="53771918" w14:textId="77777777" w:rsidR="00EC2D33" w:rsidRDefault="00915BD6" w:rsidP="007D08D5">
      <w:pPr>
        <w:pStyle w:val="COMexecsumnumberedpara"/>
      </w:pPr>
      <w:r w:rsidRPr="00065852">
        <w:t>No justification was provided for not allowing combination use of tirzepatide with sulfonylurea. There are published data for the use of tirzepatide versus insulin glargine with mixed background therapies of metformin ± sulfonylurea (SURPASS-AP-Combo) and metformin ± sulfonylurea ± SGLT2 inhibitors (SURPASS-4) that were not included in the submission.</w:t>
      </w:r>
    </w:p>
    <w:p w14:paraId="50DF3000" w14:textId="195E5888" w:rsidR="00CC35EA" w:rsidRPr="00A44068" w:rsidRDefault="00915BD6" w:rsidP="007D08D5">
      <w:pPr>
        <w:pStyle w:val="COMexecsumnumberedpara"/>
        <w:rPr>
          <w:color w:val="0066FF"/>
        </w:rPr>
      </w:pPr>
      <w:r w:rsidRPr="00065852">
        <w:lastRenderedPageBreak/>
        <w:t>The submission claimed that historically, listings of combinations with insulin have been assessed separately, therefore combination use of tirzepatide with insulin was not proposed in the current submission. There are published data for tirzepatide as add-on therapy to metformin and insulin glargine versus placebo (SURPASS-5 trial)</w:t>
      </w:r>
      <w:r w:rsidR="007D08D5" w:rsidRPr="00065852">
        <w:t xml:space="preserve"> that were not included in the submission</w:t>
      </w:r>
      <w:r w:rsidRPr="00065852">
        <w:t>.</w:t>
      </w:r>
    </w:p>
    <w:p w14:paraId="4383BD27" w14:textId="158795D5" w:rsidR="00A44068" w:rsidRPr="00BC7837" w:rsidRDefault="00A729E8" w:rsidP="00A729E8">
      <w:pPr>
        <w:pStyle w:val="COMexecsumnumberedpara"/>
        <w:rPr>
          <w:color w:val="0066FF"/>
        </w:rPr>
      </w:pPr>
      <w:r w:rsidRPr="001F3ADC">
        <w:t>The ESC questioned whether it was clinically appropriate to exclude combination use of tirzepatide with sulfonylurea or insulin given the available clinical data (SURPASS-4, SURPASS-5, SURPASS-AP-Combo)</w:t>
      </w:r>
      <w:r w:rsidR="0040136D" w:rsidRPr="001F3ADC">
        <w:t xml:space="preserve"> and the likely combination use in clinical practice</w:t>
      </w:r>
      <w:r w:rsidRPr="001F3ADC">
        <w:t>.</w:t>
      </w:r>
    </w:p>
    <w:p w14:paraId="0D8BC10F" w14:textId="7373B030" w:rsidR="00BC7837" w:rsidRPr="00BC7837" w:rsidRDefault="00BC7837" w:rsidP="00BC7837">
      <w:pPr>
        <w:pStyle w:val="COMexecsumnumberedpara"/>
        <w:numPr>
          <w:ilvl w:val="0"/>
          <w:numId w:val="0"/>
        </w:numPr>
        <w:ind w:left="720"/>
        <w:rPr>
          <w:i/>
          <w:iCs/>
        </w:rPr>
      </w:pPr>
      <w:bookmarkStart w:id="10" w:name="_Hlk76375324"/>
      <w:r w:rsidRPr="00BC7837">
        <w:rPr>
          <w:i/>
          <w:iCs/>
        </w:rPr>
        <w:t>For more detail on PBAC’s view, see section 7 PBAC outcome.</w:t>
      </w:r>
      <w:bookmarkEnd w:id="10"/>
    </w:p>
    <w:p w14:paraId="7075B85C" w14:textId="321C9B30" w:rsidR="00B50DB8" w:rsidRPr="00FA1E86" w:rsidDel="00195452" w:rsidRDefault="00203181" w:rsidP="004E18E9">
      <w:pPr>
        <w:pStyle w:val="COMH1numbered"/>
      </w:pPr>
      <w:bookmarkStart w:id="11" w:name="_Toc135227806"/>
      <w:r w:rsidRPr="00FA1E86" w:rsidDel="00195452">
        <w:t xml:space="preserve">Population and </w:t>
      </w:r>
      <w:r w:rsidR="008E0D3C" w:rsidRPr="00FA1E86" w:rsidDel="00195452">
        <w:t>d</w:t>
      </w:r>
      <w:r w:rsidRPr="00FA1E86" w:rsidDel="00195452">
        <w:t>isease</w:t>
      </w:r>
      <w:bookmarkEnd w:id="11"/>
    </w:p>
    <w:p w14:paraId="0043F080" w14:textId="77777777" w:rsidR="00EC2D33" w:rsidRDefault="00402EF6" w:rsidP="00402EF6">
      <w:pPr>
        <w:pStyle w:val="COMexecsumnumberedpara"/>
      </w:pPr>
      <w:r w:rsidRPr="00FA1E86">
        <w:t xml:space="preserve">Type 2 diabetes mellitus is the most common type of diabetes in adults and is characterised by hyperglycaemia associated with variable degrees of impaired insulin secretion and peripheral resistance to insulin. It is a chronic condition associated with a range of hereditary and lifestyle risk factors including poor diet, insufficient physical activity and being overweight or obese. Overall disease prevalence in Australia is increasing over time but it is more common in men, </w:t>
      </w:r>
      <w:r w:rsidR="00572B7B" w:rsidRPr="001F3ADC">
        <w:t>in both men and women with increasing age</w:t>
      </w:r>
      <w:r w:rsidRPr="001F3ADC">
        <w:t>,</w:t>
      </w:r>
      <w:r w:rsidRPr="00FA1E86">
        <w:t xml:space="preserve"> Aboriginal and Torres Strait Islanders and socially disadvantaged populations.</w:t>
      </w:r>
    </w:p>
    <w:p w14:paraId="4A7C1D88" w14:textId="1B0A96B2" w:rsidR="00402EF6" w:rsidRPr="00FA1E86" w:rsidRDefault="00402EF6" w:rsidP="00402EF6">
      <w:pPr>
        <w:pStyle w:val="COMexecsumnumberedpara"/>
        <w:rPr>
          <w:color w:val="0066FF"/>
        </w:rPr>
      </w:pPr>
      <w:r w:rsidRPr="00FA1E86">
        <w:t>Diabetes complications are divided into microvascular (damage to small blood vessels) and macrovascular (damage to large blood vessels).</w:t>
      </w:r>
      <w:r w:rsidR="00DE772D">
        <w:t xml:space="preserve"> </w:t>
      </w:r>
      <w:r w:rsidRPr="00FA1E86">
        <w:t xml:space="preserve">Microvascular complications include damage to eyes (retinopathy) leading to blindness, to kidneys (nephropathy) leading to renal failure, to nerves (neuropathy) and diabetic foot disorders (which include severe infections leading to amputation). Macrovascular complications include cardiovascular diseases such as myocardial infarction, </w:t>
      </w:r>
      <w:proofErr w:type="gramStart"/>
      <w:r w:rsidRPr="00FA1E86">
        <w:t>stroke</w:t>
      </w:r>
      <w:proofErr w:type="gramEnd"/>
      <w:r w:rsidRPr="00FA1E86">
        <w:t xml:space="preserve"> and peripheral vascular disease.</w:t>
      </w:r>
    </w:p>
    <w:p w14:paraId="2B165A19" w14:textId="5E6CC336" w:rsidR="001244CD" w:rsidRPr="00FA1E86" w:rsidRDefault="00402EF6" w:rsidP="00D13143">
      <w:pPr>
        <w:pStyle w:val="COMexecsumnumberedpara"/>
      </w:pPr>
      <w:r w:rsidRPr="00FA1E86">
        <w:t xml:space="preserve">Treatment guidelines recommend a </w:t>
      </w:r>
      <w:proofErr w:type="gramStart"/>
      <w:r w:rsidRPr="00FA1E86">
        <w:t>step-wise</w:t>
      </w:r>
      <w:proofErr w:type="gramEnd"/>
      <w:r w:rsidRPr="00FA1E86">
        <w:t xml:space="preserve"> approach to the management of type 2 diabetes </w:t>
      </w:r>
      <w:r w:rsidR="00DB64F0" w:rsidRPr="00FA1E86">
        <w:t xml:space="preserve">with two main goals; cardiorenal risk reduction in high-risk patients, and achievement and maintenance of glycaemic control and weight management. Metformin is currently recommended as the first-line pharmacological therapy while the choice of additional therapies should be guided by the presence of comorbidities (cardiovascular disease, heart failure, chronic kidney disease and obesity), side effect profiles and cost. Guidelines note a preference for GLP-1 RA therapies in patients with cardiovascular disease or obesity and a preference for SGLT2 inhibitors in patients with heart failure or chronic kidney disease. </w:t>
      </w:r>
      <w:r w:rsidR="001244CD" w:rsidRPr="00FA1E86">
        <w:t xml:space="preserve">Guidelines also recommend the combined use of GLP-1 RA therapies and SGLT2 inhibitors if patients are unable to achieve treatment targets. </w:t>
      </w:r>
      <w:r w:rsidR="00896B60" w:rsidRPr="00FA1E86">
        <w:t xml:space="preserve">Patients unable to maintain glycaemic control may also initiate insulin therapy. </w:t>
      </w:r>
      <w:r w:rsidR="001244CD" w:rsidRPr="00FA1E86">
        <w:t xml:space="preserve">The guidelines consider that sulfonylureas and DPP4 inhibitors have a </w:t>
      </w:r>
      <w:r w:rsidR="00896B60" w:rsidRPr="00FA1E86">
        <w:t xml:space="preserve">more </w:t>
      </w:r>
      <w:r w:rsidR="001244CD" w:rsidRPr="00FA1E86">
        <w:t>limited role in the management of type 2 diabetes (ADA/EASD 2022; ADS 2022)</w:t>
      </w:r>
      <w:r w:rsidR="00A729E8">
        <w:t>.</w:t>
      </w:r>
    </w:p>
    <w:p w14:paraId="67216F3C" w14:textId="4AE2D14B" w:rsidR="00572B7B" w:rsidRPr="001F3ADC" w:rsidRDefault="00DE33FB" w:rsidP="00DE33FB">
      <w:pPr>
        <w:pStyle w:val="COMexecsumnumberedpara"/>
      </w:pPr>
      <w:r w:rsidRPr="00FA1E86">
        <w:t xml:space="preserve">The Australian guidelines also note the PBS status of therapies and therefore specifically prioritise SGLT2 inhibitors over GLP-1 RA therapies and note that </w:t>
      </w:r>
      <w:r w:rsidRPr="00FA1E86">
        <w:lastRenderedPageBreak/>
        <w:t xml:space="preserve">combination use of SGLT2 inhibitors and GLP-1 RA therapies </w:t>
      </w:r>
      <w:r w:rsidR="009F29EC" w:rsidRPr="00FA1E86">
        <w:t>i</w:t>
      </w:r>
      <w:r w:rsidR="009F29EC">
        <w:t>s</w:t>
      </w:r>
      <w:r w:rsidR="009F29EC" w:rsidRPr="00FA1E86">
        <w:t xml:space="preserve"> </w:t>
      </w:r>
      <w:r w:rsidRPr="00FA1E86">
        <w:t xml:space="preserve">not </w:t>
      </w:r>
      <w:r w:rsidR="00DA06C9">
        <w:t>subsidis</w:t>
      </w:r>
      <w:r w:rsidR="00DA06C9" w:rsidRPr="00FA1E86">
        <w:t xml:space="preserve">ed </w:t>
      </w:r>
      <w:r w:rsidRPr="00FA1E86">
        <w:t>on the PBS</w:t>
      </w:r>
      <w:r w:rsidR="001244CD" w:rsidRPr="00FA1E86">
        <w:t xml:space="preserve"> (ADS 2022</w:t>
      </w:r>
      <w:r w:rsidR="001244CD" w:rsidRPr="001F3ADC">
        <w:t>)</w:t>
      </w:r>
      <w:r w:rsidR="00A06A53" w:rsidRPr="001F3ADC">
        <w:t>.</w:t>
      </w:r>
      <w:r w:rsidR="00D654B7" w:rsidRPr="001F3ADC">
        <w:t xml:space="preserve"> As noted above in paragraph </w:t>
      </w:r>
      <w:r w:rsidR="00D654B7" w:rsidRPr="001F3ADC">
        <w:fldChar w:fldCharType="begin" w:fldLock="1"/>
      </w:r>
      <w:r w:rsidR="00D654B7" w:rsidRPr="001F3ADC">
        <w:instrText xml:space="preserve"> REF _Ref138064656 \r \h </w:instrText>
      </w:r>
      <w:r w:rsidR="001F3ADC" w:rsidRPr="001F3ADC">
        <w:instrText xml:space="preserve"> \* MERGEFORMAT </w:instrText>
      </w:r>
      <w:r w:rsidR="00D654B7" w:rsidRPr="001F3ADC">
        <w:fldChar w:fldCharType="separate"/>
      </w:r>
      <w:r w:rsidR="00391E15">
        <w:t>3.5</w:t>
      </w:r>
      <w:r w:rsidR="00D654B7" w:rsidRPr="001F3ADC">
        <w:fldChar w:fldCharType="end"/>
      </w:r>
      <w:r w:rsidR="00D654B7" w:rsidRPr="001F3ADC">
        <w:t>, there will be further consultation on the PBS restriction wording following the March 2023 PBAC outcome of the review of PBS restrictions for type 2 diabetes. It was acknowledged by PBAC that it would be important in this consultation process to note that PBS restrictions may differ from clinical guidelines due to the consideration of the cost-effectiveness of comparator treatments (PBAC outcomes, March 2023 PBAC meeting).</w:t>
      </w:r>
    </w:p>
    <w:p w14:paraId="4255CD8F" w14:textId="778ABCB7" w:rsidR="00402EF6" w:rsidRPr="00FA1E86" w:rsidRDefault="00A06A53" w:rsidP="00402EF6">
      <w:pPr>
        <w:pStyle w:val="COMexecsumnumberedpara"/>
      </w:pPr>
      <w:r w:rsidRPr="00FA1E86">
        <w:t xml:space="preserve">Tirzepatide is a long-acting dual glucose-dependent insulinotropic polypeptide (GIP) and glucagon-like peptide-1 (GLP-1) receptor agonist. Tirzepatide regulates blood glucose by stimulating insulin secretion, increasing insulin sensitivity, reducing glucagon </w:t>
      </w:r>
      <w:proofErr w:type="gramStart"/>
      <w:r w:rsidRPr="00FA1E86">
        <w:t>secretion</w:t>
      </w:r>
      <w:proofErr w:type="gramEnd"/>
      <w:r w:rsidRPr="00FA1E86">
        <w:t xml:space="preserve"> and delaying gastric emptying. The exact mechanism by which tirzepatide reduces body weight is unclear but is thought to be related to lower energy intake due to an overall reduction in appetite. The GIP component is thought to act primarily through enhancing the GLP-1 receptor mediated effects.</w:t>
      </w:r>
    </w:p>
    <w:p w14:paraId="11FCAAEE" w14:textId="383B2490" w:rsidR="007627BE" w:rsidRDefault="00A06A53" w:rsidP="00A06A53">
      <w:pPr>
        <w:pStyle w:val="COMexecsumnumberedpara"/>
      </w:pPr>
      <w:r w:rsidRPr="00FA1E86">
        <w:t xml:space="preserve">Tirzepatide is self-administered as a subcutaneous injection. Available doses are </w:t>
      </w:r>
      <w:r w:rsidR="006C31AD" w:rsidRPr="00FA1E86">
        <w:br/>
      </w:r>
      <w:r w:rsidRPr="00FA1E86">
        <w:t xml:space="preserve">2.5 mg, 5 mg, 7.5 mg, 10 mg, 12.5 </w:t>
      </w:r>
      <w:proofErr w:type="gramStart"/>
      <w:r w:rsidRPr="00FA1E86">
        <w:t>mg</w:t>
      </w:r>
      <w:proofErr w:type="gramEnd"/>
      <w:r w:rsidRPr="00FA1E86">
        <w:t xml:space="preserve"> and 15 mg. The starting dose is 2.5 mg once weekly for 4 weeks, increasing to 5 mg once weekly. If needed, dose increases can be made in 2.5 mg increments after at least 4 weeks on the current dose. The recommended doses are 5 mg, 10 </w:t>
      </w:r>
      <w:proofErr w:type="gramStart"/>
      <w:r w:rsidRPr="00FA1E86">
        <w:t>mg</w:t>
      </w:r>
      <w:proofErr w:type="gramEnd"/>
      <w:r w:rsidRPr="00FA1E86">
        <w:t xml:space="preserve"> and 15 mg once weekly. The product information states that 2.5 mg, 7.5 </w:t>
      </w:r>
      <w:proofErr w:type="gramStart"/>
      <w:r w:rsidRPr="00FA1E86">
        <w:t>mg</w:t>
      </w:r>
      <w:proofErr w:type="gramEnd"/>
      <w:r w:rsidRPr="00FA1E86">
        <w:t xml:space="preserve"> and 12.5 mg once weekly are not maintenance doses.</w:t>
      </w:r>
    </w:p>
    <w:p w14:paraId="4FF67D5B" w14:textId="28AF9A43" w:rsidR="00BC7837" w:rsidRPr="00BC7837" w:rsidDel="00195452" w:rsidRDefault="00BC7837" w:rsidP="00422C04">
      <w:pPr>
        <w:pStyle w:val="COMexecsumnumberedpara"/>
        <w:numPr>
          <w:ilvl w:val="0"/>
          <w:numId w:val="0"/>
        </w:numPr>
        <w:ind w:left="720"/>
        <w:rPr>
          <w:i/>
          <w:iCs/>
        </w:rPr>
      </w:pPr>
      <w:r w:rsidRPr="00BC7837">
        <w:rPr>
          <w:i/>
          <w:iCs/>
        </w:rPr>
        <w:t>For more detail on PBAC’s view, see section 7 PBAC outcome.</w:t>
      </w:r>
    </w:p>
    <w:p w14:paraId="51E5AE96" w14:textId="5945884B" w:rsidR="00B50DB8" w:rsidRPr="00FA1E86" w:rsidRDefault="00B50DB8" w:rsidP="004E18E9">
      <w:pPr>
        <w:pStyle w:val="COMH1numbered"/>
      </w:pPr>
      <w:bookmarkStart w:id="12" w:name="_Toc135227807"/>
      <w:r w:rsidRPr="00FA1E86">
        <w:t>Comparator</w:t>
      </w:r>
      <w:bookmarkEnd w:id="12"/>
    </w:p>
    <w:p w14:paraId="205DE25B" w14:textId="77289E4E" w:rsidR="00EC2D33" w:rsidRDefault="00297FC3" w:rsidP="00297FC3">
      <w:pPr>
        <w:pStyle w:val="COMexecsumnumberedpara"/>
        <w:rPr>
          <w:snapToGrid/>
        </w:rPr>
      </w:pPr>
      <w:r w:rsidRPr="00FA1E86">
        <w:rPr>
          <w:snapToGrid/>
        </w:rPr>
        <w:t>The submission nominated semaglutide as the main comparator and dulaglutide as a secondary comparator. The main arguments provided in support of this nomination were similarities in mechanism of action (targeting GLP-1 receptor),</w:t>
      </w:r>
      <w:r w:rsidR="006C31AD" w:rsidRPr="00FA1E86">
        <w:rPr>
          <w:snapToGrid/>
        </w:rPr>
        <w:t xml:space="preserve"> as well as</w:t>
      </w:r>
      <w:r w:rsidRPr="00FA1E86">
        <w:rPr>
          <w:snapToGrid/>
        </w:rPr>
        <w:t xml:space="preserve"> </w:t>
      </w:r>
      <w:r w:rsidR="006C31AD" w:rsidRPr="00FA1E86">
        <w:rPr>
          <w:snapToGrid/>
        </w:rPr>
        <w:t xml:space="preserve">the </w:t>
      </w:r>
      <w:r w:rsidRPr="00FA1E86">
        <w:rPr>
          <w:snapToGrid/>
        </w:rPr>
        <w:t xml:space="preserve">method and frequency of administration (once weekly injection). The submission also claimed that semaglutide has the largest market share within </w:t>
      </w:r>
      <w:r w:rsidRPr="0009575C">
        <w:rPr>
          <w:snapToGrid/>
        </w:rPr>
        <w:t>the GLP-1</w:t>
      </w:r>
      <w:r w:rsidR="00086720" w:rsidRPr="0009575C">
        <w:rPr>
          <w:snapToGrid/>
        </w:rPr>
        <w:t xml:space="preserve"> </w:t>
      </w:r>
      <w:r w:rsidRPr="0009575C">
        <w:rPr>
          <w:snapToGrid/>
        </w:rPr>
        <w:t xml:space="preserve">RA </w:t>
      </w:r>
      <w:r w:rsidRPr="00FA1E86">
        <w:rPr>
          <w:snapToGrid/>
        </w:rPr>
        <w:t xml:space="preserve">market and therefore would be the therapy most likely to be replaced. </w:t>
      </w:r>
      <w:r w:rsidRPr="00AD74A6">
        <w:rPr>
          <w:snapToGrid/>
        </w:rPr>
        <w:t>The</w:t>
      </w:r>
      <w:r w:rsidR="005B1D7A" w:rsidRPr="00AD74A6">
        <w:rPr>
          <w:snapToGrid/>
        </w:rPr>
        <w:t xml:space="preserve"> ESC considered the</w:t>
      </w:r>
      <w:r w:rsidRPr="00065852">
        <w:rPr>
          <w:snapToGrid/>
        </w:rPr>
        <w:t xml:space="preserve"> nominated comparators were appropriate.</w:t>
      </w:r>
    </w:p>
    <w:p w14:paraId="75574B57" w14:textId="496E1D11" w:rsidR="006C31AD" w:rsidRDefault="006C31AD" w:rsidP="006C31AD">
      <w:pPr>
        <w:pStyle w:val="COMexecsumnumberedpara"/>
        <w:rPr>
          <w:snapToGrid/>
        </w:rPr>
      </w:pPr>
      <w:r w:rsidRPr="00065852">
        <w:rPr>
          <w:snapToGrid/>
        </w:rPr>
        <w:t>The submission claimed that both semaglutide and tirzepatide exhibit a dose-response relationship in terms of efficacy and gastrointestinal adverse events, therefore only tirzepatide 10 mg and 15 mg would be considered suitable alternatives to semaglutide 1 mg. No data were presented in support of this assumption. The direct comparison of tirzepatide 5 mg versus semaglutide 1 mg in the SURPASS-2 trial was also considered relevant during the evaluation.</w:t>
      </w:r>
    </w:p>
    <w:p w14:paraId="72F685ED" w14:textId="79265C14" w:rsidR="00422C04" w:rsidRPr="00422C04" w:rsidRDefault="00422C04" w:rsidP="00422C04">
      <w:pPr>
        <w:pStyle w:val="COMexecsumnumberedpara"/>
        <w:numPr>
          <w:ilvl w:val="0"/>
          <w:numId w:val="0"/>
        </w:numPr>
        <w:ind w:left="720"/>
        <w:rPr>
          <w:i/>
          <w:iCs/>
          <w:snapToGrid/>
        </w:rPr>
      </w:pPr>
      <w:r w:rsidRPr="00422C04">
        <w:rPr>
          <w:i/>
          <w:iCs/>
          <w:snapToGrid/>
        </w:rPr>
        <w:t>For more detail on PBAC’s view, see section 7 PBAC outcome.</w:t>
      </w:r>
    </w:p>
    <w:p w14:paraId="7F9C27C8" w14:textId="73EBD390" w:rsidR="00223D5A" w:rsidRPr="00FA1E86" w:rsidRDefault="00223D5A" w:rsidP="0089087A">
      <w:pPr>
        <w:pStyle w:val="COMH1numbered"/>
      </w:pPr>
      <w:bookmarkStart w:id="13" w:name="_Toc135227808"/>
      <w:r w:rsidRPr="00FA1E86">
        <w:lastRenderedPageBreak/>
        <w:t>Consideration of the evidence</w:t>
      </w:r>
      <w:bookmarkStart w:id="14" w:name="_Toc22897640"/>
      <w:bookmarkEnd w:id="13"/>
    </w:p>
    <w:p w14:paraId="0E8466A0" w14:textId="77777777" w:rsidR="00422C04" w:rsidRPr="006E1229" w:rsidRDefault="00422C04" w:rsidP="00422C04">
      <w:pPr>
        <w:pStyle w:val="COMH2-non-numbered"/>
      </w:pPr>
      <w:bookmarkStart w:id="15" w:name="_Hlk76375935"/>
      <w:bookmarkStart w:id="16" w:name="_Toc135227809"/>
      <w:r w:rsidRPr="006E1229">
        <w:t>Sponsor hearing</w:t>
      </w:r>
    </w:p>
    <w:p w14:paraId="27921E30" w14:textId="7880EBA5" w:rsidR="00422C04" w:rsidRPr="00F91542" w:rsidRDefault="00422C04" w:rsidP="00422C04">
      <w:pPr>
        <w:widowControl w:val="0"/>
        <w:numPr>
          <w:ilvl w:val="1"/>
          <w:numId w:val="4"/>
        </w:numPr>
        <w:spacing w:after="120"/>
        <w:rPr>
          <w:rFonts w:cs="Calibri"/>
          <w:bCs/>
          <w:snapToGrid w:val="0"/>
        </w:rPr>
      </w:pPr>
      <w:r w:rsidRPr="00F91542">
        <w:rPr>
          <w:rFonts w:cs="Calibri"/>
          <w:bCs/>
          <w:snapToGrid w:val="0"/>
        </w:rPr>
        <w:t>There was no hearing for this item.</w:t>
      </w:r>
    </w:p>
    <w:p w14:paraId="3E85069B" w14:textId="77777777" w:rsidR="00422C04" w:rsidRPr="006E1229" w:rsidRDefault="00422C04" w:rsidP="00422C04">
      <w:pPr>
        <w:pStyle w:val="COMH2-non-numbered"/>
      </w:pPr>
      <w:r w:rsidRPr="006E1229">
        <w:t>Consumer comments</w:t>
      </w:r>
    </w:p>
    <w:p w14:paraId="36B32AAA" w14:textId="77777777" w:rsidR="00EC2D33" w:rsidRDefault="00422C04" w:rsidP="00422C04">
      <w:pPr>
        <w:widowControl w:val="0"/>
        <w:numPr>
          <w:ilvl w:val="1"/>
          <w:numId w:val="4"/>
        </w:numPr>
        <w:spacing w:after="120"/>
        <w:rPr>
          <w:rFonts w:asciiTheme="minorHAnsi" w:hAnsiTheme="minorHAnsi"/>
          <w:bCs/>
          <w:snapToGrid w:val="0"/>
        </w:rPr>
      </w:pPr>
      <w:bookmarkStart w:id="17" w:name="_Hlk76382618"/>
      <w:r w:rsidRPr="00836F75">
        <w:rPr>
          <w:rFonts w:asciiTheme="minorHAnsi" w:hAnsiTheme="minorHAnsi"/>
          <w:bCs/>
          <w:snapToGrid w:val="0"/>
        </w:rPr>
        <w:t>The PBAC noted and welcomed the input from individuals (</w:t>
      </w:r>
      <w:r w:rsidR="00546A8D">
        <w:rPr>
          <w:rFonts w:asciiTheme="minorHAnsi" w:hAnsiTheme="minorHAnsi"/>
          <w:bCs/>
          <w:snapToGrid w:val="0"/>
        </w:rPr>
        <w:t>2</w:t>
      </w:r>
      <w:r w:rsidRPr="00836F75">
        <w:rPr>
          <w:rFonts w:asciiTheme="minorHAnsi" w:hAnsiTheme="minorHAnsi"/>
          <w:bCs/>
          <w:snapToGrid w:val="0"/>
        </w:rPr>
        <w:t>), health care professionals (7) and organisations (</w:t>
      </w:r>
      <w:r w:rsidR="00546A8D">
        <w:rPr>
          <w:rFonts w:asciiTheme="minorHAnsi" w:hAnsiTheme="minorHAnsi"/>
          <w:bCs/>
          <w:snapToGrid w:val="0"/>
        </w:rPr>
        <w:t>3</w:t>
      </w:r>
      <w:r w:rsidRPr="00836F75">
        <w:rPr>
          <w:rFonts w:asciiTheme="minorHAnsi" w:hAnsiTheme="minorHAnsi"/>
          <w:bCs/>
          <w:snapToGrid w:val="0"/>
        </w:rPr>
        <w:t>) via the Consumer Comments facility on the PBS website.</w:t>
      </w:r>
      <w:r w:rsidR="00DE772D">
        <w:rPr>
          <w:rFonts w:asciiTheme="minorHAnsi" w:hAnsiTheme="minorHAnsi"/>
          <w:bCs/>
          <w:snapToGrid w:val="0"/>
        </w:rPr>
        <w:t xml:space="preserve"> </w:t>
      </w:r>
      <w:r w:rsidRPr="00836F75">
        <w:rPr>
          <w:rFonts w:asciiTheme="minorHAnsi" w:hAnsiTheme="minorHAnsi"/>
          <w:bCs/>
          <w:snapToGrid w:val="0"/>
        </w:rPr>
        <w:t xml:space="preserve">The comments </w:t>
      </w:r>
      <w:r w:rsidR="00546A8D">
        <w:rPr>
          <w:rFonts w:asciiTheme="minorHAnsi" w:hAnsiTheme="minorHAnsi"/>
          <w:bCs/>
          <w:snapToGrid w:val="0"/>
        </w:rPr>
        <w:t xml:space="preserve">from individuals </w:t>
      </w:r>
      <w:r w:rsidRPr="00836F75">
        <w:rPr>
          <w:rFonts w:asciiTheme="minorHAnsi" w:hAnsiTheme="minorHAnsi"/>
          <w:bCs/>
          <w:snapToGrid w:val="0"/>
        </w:rPr>
        <w:t xml:space="preserve">described </w:t>
      </w:r>
      <w:r w:rsidR="00546A8D">
        <w:rPr>
          <w:rFonts w:asciiTheme="minorHAnsi" w:hAnsiTheme="minorHAnsi"/>
          <w:bCs/>
          <w:snapToGrid w:val="0"/>
        </w:rPr>
        <w:t>the effects of type 2 diabetes on quality of life and describe</w:t>
      </w:r>
      <w:r w:rsidR="00106822">
        <w:rPr>
          <w:rFonts w:asciiTheme="minorHAnsi" w:hAnsiTheme="minorHAnsi"/>
          <w:bCs/>
          <w:snapToGrid w:val="0"/>
        </w:rPr>
        <w:t>d</w:t>
      </w:r>
      <w:r w:rsidR="00546A8D">
        <w:rPr>
          <w:rFonts w:asciiTheme="minorHAnsi" w:hAnsiTheme="minorHAnsi"/>
          <w:bCs/>
          <w:snapToGrid w:val="0"/>
        </w:rPr>
        <w:t xml:space="preserve"> hope that tirzepatide treatment will improve symptoms and weight loss.</w:t>
      </w:r>
    </w:p>
    <w:p w14:paraId="33BD0689" w14:textId="6A4E1E7C" w:rsidR="00EC2D33" w:rsidRDefault="00546A8D" w:rsidP="00422C04">
      <w:pPr>
        <w:widowControl w:val="0"/>
        <w:numPr>
          <w:ilvl w:val="1"/>
          <w:numId w:val="4"/>
        </w:numPr>
        <w:spacing w:after="120"/>
        <w:rPr>
          <w:rFonts w:asciiTheme="minorHAnsi" w:hAnsiTheme="minorHAnsi"/>
          <w:bCs/>
          <w:snapToGrid w:val="0"/>
        </w:rPr>
      </w:pPr>
      <w:r>
        <w:rPr>
          <w:rFonts w:asciiTheme="minorHAnsi" w:hAnsiTheme="minorHAnsi"/>
          <w:bCs/>
          <w:snapToGrid w:val="0"/>
        </w:rPr>
        <w:t xml:space="preserve">Input from health care professionals </w:t>
      </w:r>
      <w:r w:rsidR="003140AB">
        <w:rPr>
          <w:rFonts w:asciiTheme="minorHAnsi" w:hAnsiTheme="minorHAnsi"/>
          <w:bCs/>
          <w:snapToGrid w:val="0"/>
        </w:rPr>
        <w:t xml:space="preserve">described </w:t>
      </w:r>
      <w:r w:rsidR="00422C04" w:rsidRPr="00836F75">
        <w:rPr>
          <w:rFonts w:asciiTheme="minorHAnsi" w:hAnsiTheme="minorHAnsi"/>
          <w:bCs/>
          <w:snapToGrid w:val="0"/>
        </w:rPr>
        <w:t xml:space="preserve">a range of benefits of treatment with </w:t>
      </w:r>
      <w:r>
        <w:rPr>
          <w:rFonts w:asciiTheme="minorHAnsi" w:hAnsiTheme="minorHAnsi"/>
          <w:bCs/>
          <w:snapToGrid w:val="0"/>
        </w:rPr>
        <w:t>tirzepatide</w:t>
      </w:r>
      <w:r w:rsidR="00422C04" w:rsidRPr="00836F75">
        <w:rPr>
          <w:rFonts w:asciiTheme="minorHAnsi" w:hAnsiTheme="minorHAnsi"/>
          <w:bCs/>
          <w:snapToGrid w:val="0"/>
        </w:rPr>
        <w:t xml:space="preserve"> including </w:t>
      </w:r>
      <w:r w:rsidR="003140AB">
        <w:rPr>
          <w:rFonts w:asciiTheme="minorHAnsi" w:hAnsiTheme="minorHAnsi"/>
          <w:bCs/>
          <w:snapToGrid w:val="0"/>
        </w:rPr>
        <w:t xml:space="preserve">weight loss, a potential reduction in cardiovascular / cardiovascular associated events, and reduced glycated haemoglobin (HbA1c) indicating better glucose control. The health care professional input described gastrointestinal adverse effects, such as nausea and vomiting. The disadvantages of injections </w:t>
      </w:r>
      <w:r w:rsidR="004C4DA6">
        <w:rPr>
          <w:rFonts w:asciiTheme="minorHAnsi" w:hAnsiTheme="minorHAnsi"/>
          <w:bCs/>
          <w:snapToGrid w:val="0"/>
        </w:rPr>
        <w:t>were</w:t>
      </w:r>
      <w:r w:rsidR="003140AB">
        <w:rPr>
          <w:rFonts w:asciiTheme="minorHAnsi" w:hAnsiTheme="minorHAnsi"/>
          <w:bCs/>
          <w:snapToGrid w:val="0"/>
        </w:rPr>
        <w:t xml:space="preserve"> noted but health care professional input indicated the frequency and self-administration of tirzepatide injections </w:t>
      </w:r>
      <w:r w:rsidR="00106822">
        <w:rPr>
          <w:rFonts w:asciiTheme="minorHAnsi" w:hAnsiTheme="minorHAnsi"/>
          <w:bCs/>
          <w:snapToGrid w:val="0"/>
        </w:rPr>
        <w:t xml:space="preserve">generally </w:t>
      </w:r>
      <w:r w:rsidR="003140AB">
        <w:rPr>
          <w:rFonts w:asciiTheme="minorHAnsi" w:hAnsiTheme="minorHAnsi"/>
          <w:bCs/>
          <w:snapToGrid w:val="0"/>
        </w:rPr>
        <w:t xml:space="preserve">made treatment manageable for individuals. The input </w:t>
      </w:r>
      <w:r w:rsidR="00106822">
        <w:rPr>
          <w:rFonts w:asciiTheme="minorHAnsi" w:hAnsiTheme="minorHAnsi"/>
          <w:bCs/>
          <w:snapToGrid w:val="0"/>
        </w:rPr>
        <w:t xml:space="preserve">from health care professionals </w:t>
      </w:r>
      <w:r w:rsidR="003140AB">
        <w:rPr>
          <w:rFonts w:asciiTheme="minorHAnsi" w:hAnsiTheme="minorHAnsi"/>
          <w:bCs/>
          <w:snapToGrid w:val="0"/>
        </w:rPr>
        <w:t xml:space="preserve">also described the </w:t>
      </w:r>
      <w:r w:rsidR="00106822">
        <w:rPr>
          <w:rFonts w:asciiTheme="minorHAnsi" w:hAnsiTheme="minorHAnsi"/>
          <w:bCs/>
          <w:snapToGrid w:val="0"/>
        </w:rPr>
        <w:t>lack of access to tirzepatide due to cost, prescription complexities and supply shortages.</w:t>
      </w:r>
    </w:p>
    <w:p w14:paraId="1045F393" w14:textId="77777777" w:rsidR="00EC2D33" w:rsidRDefault="00137D27" w:rsidP="00422C04">
      <w:pPr>
        <w:widowControl w:val="0"/>
        <w:numPr>
          <w:ilvl w:val="1"/>
          <w:numId w:val="4"/>
        </w:numPr>
        <w:spacing w:after="120"/>
        <w:rPr>
          <w:rFonts w:asciiTheme="minorHAnsi" w:hAnsiTheme="minorHAnsi"/>
          <w:bCs/>
          <w:snapToGrid w:val="0"/>
        </w:rPr>
      </w:pPr>
      <w:r>
        <w:rPr>
          <w:rFonts w:asciiTheme="minorHAnsi" w:hAnsiTheme="minorHAnsi"/>
          <w:bCs/>
          <w:snapToGrid w:val="0"/>
        </w:rPr>
        <w:t xml:space="preserve">The three organisations that provided input were Western Sydney Diabetes, Western Sydney Local Health District (WSLHD), Diabetes Australia and National Aboriginal Community Controlled Health Organisation (NACCHO). Input from Western Sydney Diabetes, WSLDH, described how a major part of type 2 diabetes management is blood sugar control, weight loss and protecting against complications, especially in the heart and kidney. The input described the benefits of tirzepatide in terms of the management of diabetes, obesity and the co-morbidities associated with these conditions. The input from Western Sydney diabetes </w:t>
      </w:r>
      <w:r w:rsidR="00CE617F">
        <w:rPr>
          <w:rFonts w:asciiTheme="minorHAnsi" w:hAnsiTheme="minorHAnsi"/>
          <w:bCs/>
          <w:snapToGrid w:val="0"/>
        </w:rPr>
        <w:t>highlighted</w:t>
      </w:r>
      <w:r>
        <w:rPr>
          <w:rFonts w:asciiTheme="minorHAnsi" w:hAnsiTheme="minorHAnsi"/>
          <w:bCs/>
          <w:snapToGrid w:val="0"/>
        </w:rPr>
        <w:t xml:space="preserve"> the GIP function is new </w:t>
      </w:r>
      <w:r w:rsidR="00CE617F">
        <w:rPr>
          <w:rFonts w:asciiTheme="minorHAnsi" w:hAnsiTheme="minorHAnsi"/>
          <w:bCs/>
          <w:snapToGrid w:val="0"/>
        </w:rPr>
        <w:t xml:space="preserve">and working with GLP-1 is a substantial improvement in diabetes management but noted that upper gastric symptoms will limit </w:t>
      </w:r>
      <w:r w:rsidR="00C97EC9">
        <w:rPr>
          <w:rFonts w:asciiTheme="minorHAnsi" w:hAnsiTheme="minorHAnsi"/>
          <w:bCs/>
          <w:snapToGrid w:val="0"/>
        </w:rPr>
        <w:t xml:space="preserve">use by </w:t>
      </w:r>
      <w:r w:rsidR="00CE617F">
        <w:rPr>
          <w:rFonts w:asciiTheme="minorHAnsi" w:hAnsiTheme="minorHAnsi"/>
          <w:bCs/>
          <w:snapToGrid w:val="0"/>
        </w:rPr>
        <w:t>some people.</w:t>
      </w:r>
    </w:p>
    <w:p w14:paraId="559B7357" w14:textId="77777777" w:rsidR="00EC2D33" w:rsidRDefault="00CE617F" w:rsidP="00422C04">
      <w:pPr>
        <w:widowControl w:val="0"/>
        <w:numPr>
          <w:ilvl w:val="1"/>
          <w:numId w:val="4"/>
        </w:numPr>
        <w:spacing w:after="120"/>
        <w:rPr>
          <w:rFonts w:asciiTheme="minorHAnsi" w:hAnsiTheme="minorHAnsi"/>
          <w:bCs/>
          <w:snapToGrid w:val="0"/>
        </w:rPr>
      </w:pPr>
      <w:r>
        <w:rPr>
          <w:rFonts w:asciiTheme="minorHAnsi" w:hAnsiTheme="minorHAnsi"/>
          <w:bCs/>
          <w:snapToGrid w:val="0"/>
        </w:rPr>
        <w:t>Diabetes Australia describe</w:t>
      </w:r>
      <w:r w:rsidR="008C726B">
        <w:rPr>
          <w:rFonts w:asciiTheme="minorHAnsi" w:hAnsiTheme="minorHAnsi"/>
          <w:bCs/>
          <w:snapToGrid w:val="0"/>
        </w:rPr>
        <w:t>d</w:t>
      </w:r>
      <w:r>
        <w:rPr>
          <w:rFonts w:asciiTheme="minorHAnsi" w:hAnsiTheme="minorHAnsi"/>
          <w:bCs/>
          <w:snapToGrid w:val="0"/>
        </w:rPr>
        <w:t xml:space="preserve"> access </w:t>
      </w:r>
      <w:r w:rsidR="007B181A">
        <w:rPr>
          <w:rFonts w:asciiTheme="minorHAnsi" w:hAnsiTheme="minorHAnsi"/>
          <w:bCs/>
          <w:snapToGrid w:val="0"/>
        </w:rPr>
        <w:t xml:space="preserve">to medications and treatments to manage type 2 diabetes as essential to ensuring people live well with the condition and reduce their risk of developing debilitating and costly diabetes complications. The input also </w:t>
      </w:r>
      <w:r w:rsidR="008C726B">
        <w:rPr>
          <w:rFonts w:asciiTheme="minorHAnsi" w:hAnsiTheme="minorHAnsi"/>
          <w:bCs/>
          <w:snapToGrid w:val="0"/>
        </w:rPr>
        <w:t>highlighted that the ongoing shortage of semaglutide indicates the importance of having multiple therapeutic options for Australians living with difficult to manage type 2 diabetes.</w:t>
      </w:r>
    </w:p>
    <w:p w14:paraId="5147E4B5" w14:textId="669DFA62" w:rsidR="00D96973" w:rsidRPr="005303A0" w:rsidRDefault="00D96973" w:rsidP="005303A0">
      <w:pPr>
        <w:widowControl w:val="0"/>
        <w:numPr>
          <w:ilvl w:val="1"/>
          <w:numId w:val="4"/>
        </w:numPr>
        <w:spacing w:after="120"/>
        <w:rPr>
          <w:rFonts w:asciiTheme="minorHAnsi" w:hAnsiTheme="minorHAnsi"/>
          <w:bCs/>
          <w:snapToGrid w:val="0"/>
        </w:rPr>
      </w:pPr>
      <w:bookmarkStart w:id="18" w:name="_Ref140742542"/>
      <w:r>
        <w:rPr>
          <w:rFonts w:asciiTheme="minorHAnsi" w:hAnsiTheme="minorHAnsi"/>
          <w:bCs/>
          <w:snapToGrid w:val="0"/>
        </w:rPr>
        <w:t>Input from NACCHO highlighted that d</w:t>
      </w:r>
      <w:r w:rsidRPr="00D96973">
        <w:rPr>
          <w:rFonts w:asciiTheme="minorHAnsi" w:hAnsiTheme="minorHAnsi"/>
          <w:bCs/>
          <w:snapToGrid w:val="0"/>
        </w:rPr>
        <w:t>iabetes prevalence is 2.9 times as high among Indigenous Australians as non–Indigenous</w:t>
      </w:r>
      <w:r>
        <w:rPr>
          <w:rFonts w:asciiTheme="minorHAnsi" w:hAnsiTheme="minorHAnsi"/>
          <w:bCs/>
          <w:snapToGrid w:val="0"/>
        </w:rPr>
        <w:t xml:space="preserve"> </w:t>
      </w:r>
      <w:r w:rsidRPr="00D96973">
        <w:rPr>
          <w:rFonts w:asciiTheme="minorHAnsi" w:hAnsiTheme="minorHAnsi"/>
          <w:bCs/>
          <w:snapToGrid w:val="0"/>
        </w:rPr>
        <w:t>Australians</w:t>
      </w:r>
      <w:r>
        <w:rPr>
          <w:rFonts w:asciiTheme="minorHAnsi" w:hAnsiTheme="minorHAnsi"/>
          <w:bCs/>
          <w:snapToGrid w:val="0"/>
        </w:rPr>
        <w:t xml:space="preserve"> and noted that </w:t>
      </w:r>
      <w:r w:rsidRPr="00D96973">
        <w:rPr>
          <w:rFonts w:asciiTheme="minorHAnsi" w:hAnsiTheme="minorHAnsi"/>
          <w:bCs/>
          <w:snapToGrid w:val="0"/>
        </w:rPr>
        <w:t>Aboriginal and Torres Strait Islander peoples are 4.2 times more likely to be hospitalised, and 4.9 times more likely to die from diabetes</w:t>
      </w:r>
      <w:r>
        <w:rPr>
          <w:rFonts w:asciiTheme="minorHAnsi" w:hAnsiTheme="minorHAnsi"/>
          <w:bCs/>
          <w:snapToGrid w:val="0"/>
        </w:rPr>
        <w:t xml:space="preserve">. </w:t>
      </w:r>
      <w:r w:rsidR="005303A0">
        <w:rPr>
          <w:rFonts w:asciiTheme="minorHAnsi" w:hAnsiTheme="minorHAnsi"/>
          <w:bCs/>
          <w:snapToGrid w:val="0"/>
        </w:rPr>
        <w:t xml:space="preserve">The NACCHO input requested that </w:t>
      </w:r>
      <w:r w:rsidR="005303A0" w:rsidRPr="00D96973">
        <w:rPr>
          <w:rFonts w:asciiTheme="minorHAnsi" w:hAnsiTheme="minorHAnsi"/>
          <w:bCs/>
          <w:snapToGrid w:val="0"/>
        </w:rPr>
        <w:t xml:space="preserve">GLP1 injections and tirzepatide be included on the PBS list for Aboriginal and Torres Strait </w:t>
      </w:r>
      <w:r w:rsidR="005303A0" w:rsidRPr="00D96973">
        <w:rPr>
          <w:rFonts w:asciiTheme="minorHAnsi" w:hAnsiTheme="minorHAnsi"/>
          <w:bCs/>
          <w:snapToGrid w:val="0"/>
        </w:rPr>
        <w:lastRenderedPageBreak/>
        <w:t xml:space="preserve">Islander peoples under a </w:t>
      </w:r>
      <w:r w:rsidR="005303A0">
        <w:rPr>
          <w:rFonts w:asciiTheme="minorHAnsi" w:hAnsiTheme="minorHAnsi"/>
          <w:bCs/>
          <w:snapToGrid w:val="0"/>
        </w:rPr>
        <w:t>S</w:t>
      </w:r>
      <w:r w:rsidR="005303A0" w:rsidRPr="00D96973">
        <w:rPr>
          <w:rFonts w:asciiTheme="minorHAnsi" w:hAnsiTheme="minorHAnsi"/>
          <w:bCs/>
          <w:snapToGrid w:val="0"/>
        </w:rPr>
        <w:t xml:space="preserve">treamline </w:t>
      </w:r>
      <w:r w:rsidR="005303A0">
        <w:rPr>
          <w:rFonts w:asciiTheme="minorHAnsi" w:hAnsiTheme="minorHAnsi"/>
          <w:bCs/>
          <w:snapToGrid w:val="0"/>
        </w:rPr>
        <w:t>A</w:t>
      </w:r>
      <w:r w:rsidR="005303A0" w:rsidRPr="00D96973">
        <w:rPr>
          <w:rFonts w:asciiTheme="minorHAnsi" w:hAnsiTheme="minorHAnsi"/>
          <w:bCs/>
          <w:snapToGrid w:val="0"/>
        </w:rPr>
        <w:t>uthority for those with type 2 diabetes or pre-diabetes with obesity with no further restrictions</w:t>
      </w:r>
      <w:r w:rsidR="005303A0">
        <w:rPr>
          <w:rFonts w:asciiTheme="minorHAnsi" w:hAnsiTheme="minorHAnsi"/>
          <w:bCs/>
          <w:snapToGrid w:val="0"/>
        </w:rPr>
        <w:t xml:space="preserve">. </w:t>
      </w:r>
      <w:r w:rsidRPr="00D96973">
        <w:rPr>
          <w:rFonts w:asciiTheme="minorHAnsi" w:hAnsiTheme="minorHAnsi"/>
          <w:bCs/>
          <w:snapToGrid w:val="0"/>
        </w:rPr>
        <w:t xml:space="preserve">Given poverty, poor food supply in remote areas, and the very high rates of kidney disease (also some of the fastest progression of kidney disease in the world) and heart disease, </w:t>
      </w:r>
      <w:r w:rsidR="005303A0">
        <w:rPr>
          <w:rFonts w:asciiTheme="minorHAnsi" w:hAnsiTheme="minorHAnsi"/>
          <w:bCs/>
          <w:snapToGrid w:val="0"/>
        </w:rPr>
        <w:t xml:space="preserve">the NACCHO input stated that </w:t>
      </w:r>
      <w:r w:rsidRPr="00D96973">
        <w:rPr>
          <w:rFonts w:asciiTheme="minorHAnsi" w:hAnsiTheme="minorHAnsi"/>
          <w:bCs/>
          <w:snapToGrid w:val="0"/>
        </w:rPr>
        <w:t>there is a justification for enhanced access to these drugs for Aboriginal people, without some of the current PBS restrictions and/or for use in obesity without diabetes on the PBS</w:t>
      </w:r>
      <w:r w:rsidR="005303A0">
        <w:rPr>
          <w:rFonts w:asciiTheme="minorHAnsi" w:hAnsiTheme="minorHAnsi"/>
          <w:bCs/>
          <w:snapToGrid w:val="0"/>
        </w:rPr>
        <w:t>.</w:t>
      </w:r>
      <w:bookmarkEnd w:id="18"/>
    </w:p>
    <w:bookmarkEnd w:id="15"/>
    <w:bookmarkEnd w:id="17"/>
    <w:p w14:paraId="609C0765" w14:textId="6BE0A06C" w:rsidR="00B60939" w:rsidRPr="00FA1E86" w:rsidRDefault="00B60939" w:rsidP="002E4F02">
      <w:pPr>
        <w:pStyle w:val="COMH2-non-numbered"/>
      </w:pPr>
      <w:r w:rsidRPr="00F20036">
        <w:t>Clinical trials</w:t>
      </w:r>
      <w:bookmarkEnd w:id="14"/>
      <w:bookmarkEnd w:id="16"/>
    </w:p>
    <w:p w14:paraId="008277AE" w14:textId="77777777" w:rsidR="005273EE" w:rsidRPr="00FA1E86" w:rsidRDefault="005273EE" w:rsidP="002A7AE3">
      <w:pPr>
        <w:pStyle w:val="COMexecsumnumberedpara"/>
        <w:spacing w:after="60"/>
      </w:pPr>
      <w:r w:rsidRPr="00FA1E86">
        <w:t>The submission was based on the following comparisons:</w:t>
      </w:r>
    </w:p>
    <w:p w14:paraId="2835F121" w14:textId="77777777" w:rsidR="005273EE" w:rsidRPr="00FA1E86" w:rsidRDefault="005273EE" w:rsidP="00422C04">
      <w:pPr>
        <w:pStyle w:val="COMexecsumnumberedpara"/>
        <w:numPr>
          <w:ilvl w:val="0"/>
          <w:numId w:val="8"/>
        </w:numPr>
        <w:spacing w:after="60"/>
      </w:pPr>
      <w:r w:rsidRPr="00FA1E86">
        <w:t>Direct comparison of tirzepatide 10 mg and 15 mg versus semaglutide 1.0 mg in patients on background metformin therapy (SURPASS-2).</w:t>
      </w:r>
    </w:p>
    <w:p w14:paraId="38704B31" w14:textId="77777777" w:rsidR="005273EE" w:rsidRPr="00FA1E86" w:rsidRDefault="005273EE" w:rsidP="00422C04">
      <w:pPr>
        <w:pStyle w:val="COMexecsumnumberedpara"/>
        <w:numPr>
          <w:ilvl w:val="0"/>
          <w:numId w:val="8"/>
        </w:numPr>
        <w:spacing w:after="60"/>
      </w:pPr>
      <w:r w:rsidRPr="00FA1E86">
        <w:t>Supportive indirect comparison of tirzepatide 5 mg (SURPASS-2) versus semaglutide 0.5 mg (SUSTAIN 7) with semaglutide 1.0 mg as the common reference in patients on background metformin therapy.</w:t>
      </w:r>
    </w:p>
    <w:p w14:paraId="0A42C264" w14:textId="4201A4ED" w:rsidR="00090CED" w:rsidRPr="00FA1E86" w:rsidRDefault="005273EE" w:rsidP="00422C04">
      <w:pPr>
        <w:pStyle w:val="COMexecsumnumberedpara"/>
        <w:numPr>
          <w:ilvl w:val="0"/>
          <w:numId w:val="8"/>
        </w:numPr>
      </w:pPr>
      <w:r w:rsidRPr="00FA1E86">
        <w:t xml:space="preserve">Supportive indirect comparison of tirzepatide 5 mg, 10 </w:t>
      </w:r>
      <w:proofErr w:type="gramStart"/>
      <w:r w:rsidRPr="00FA1E86">
        <w:t>mg</w:t>
      </w:r>
      <w:proofErr w:type="gramEnd"/>
      <w:r w:rsidRPr="00FA1E86">
        <w:t xml:space="preserve"> and 15 mg (SURPASS-2) versus dulaglutide 1.5 mg (SUSTAIN 7) with semaglutide 1.0 mg as the common reference in patients on background metformin therapy.</w:t>
      </w:r>
    </w:p>
    <w:p w14:paraId="175EB8B9" w14:textId="77777777" w:rsidR="00EC2D33" w:rsidRDefault="00090CED" w:rsidP="005273EE">
      <w:pPr>
        <w:pStyle w:val="COMexecsumnumberedpara"/>
      </w:pPr>
      <w:r w:rsidRPr="00065852">
        <w:t xml:space="preserve">The direct comparison of tirzepatide 5 mg versus semaglutide 1.0 mg in the SURPASS-2 trial was </w:t>
      </w:r>
      <w:r w:rsidR="00F30430" w:rsidRPr="00065852">
        <w:t xml:space="preserve">also </w:t>
      </w:r>
      <w:r w:rsidRPr="00065852">
        <w:t>considered relevant during the evaluation.</w:t>
      </w:r>
    </w:p>
    <w:p w14:paraId="38D87263" w14:textId="47A4C678" w:rsidR="005273EE" w:rsidRPr="00FA1E86" w:rsidRDefault="005273EE" w:rsidP="005273EE">
      <w:pPr>
        <w:pStyle w:val="COMexecsumnumberedpara"/>
      </w:pPr>
      <w:r w:rsidRPr="00FA1E86">
        <w:t>There were</w:t>
      </w:r>
      <w:r w:rsidR="006C31AD" w:rsidRPr="00FA1E86">
        <w:t xml:space="preserve"> a</w:t>
      </w:r>
      <w:r w:rsidRPr="00FA1E86">
        <w:t xml:space="preserve"> number of other trials of tirzepatide for type 2 diabetes that were not included in the submission; multiple studies assessing glycaemic control and weight management compared to different comparators (SURPASS-1, SURPASS-3, SURPASS-4, SURPASS-5, SURPASS-J MONO, SURPASS-J COMBO), a cardiovascular outcomes trial (SURPASS-CVOT, expected completion October 2024), a paediatric study (SURPASS-PEDS, expected completion December 2027) and two GLP-1 RA switching studies (SURPASS-SWITCH and SURPASS-SWITCH2, expected completion July 2024 and October 2023 respectively).</w:t>
      </w:r>
    </w:p>
    <w:p w14:paraId="0700CBAA" w14:textId="77777777" w:rsidR="00EC2D33" w:rsidRDefault="005273EE" w:rsidP="007A1AC3">
      <w:pPr>
        <w:pStyle w:val="COMexecsumnumberedpara"/>
      </w:pPr>
      <w:r w:rsidRPr="00FA1E86">
        <w:t>Details of the trials presented in the submission are provided in</w:t>
      </w:r>
      <w:r w:rsidR="00BA0A67" w:rsidRPr="00FA1E86">
        <w:t xml:space="preserve"> </w:t>
      </w:r>
      <w:r w:rsidR="00BA0A67" w:rsidRPr="00FA1E86">
        <w:fldChar w:fldCharType="begin" w:fldLock="1"/>
      </w:r>
      <w:r w:rsidR="00BA0A67" w:rsidRPr="00FA1E86">
        <w:instrText xml:space="preserve"> REF _Ref134096106 \h </w:instrText>
      </w:r>
      <w:r w:rsidR="00BA0A67" w:rsidRPr="00FA1E86">
        <w:fldChar w:fldCharType="separate"/>
      </w:r>
      <w:r w:rsidR="00B71E27" w:rsidRPr="00FA1E86">
        <w:t xml:space="preserve">Table </w:t>
      </w:r>
      <w:r w:rsidR="00B71E27">
        <w:rPr>
          <w:noProof/>
        </w:rPr>
        <w:t>2</w:t>
      </w:r>
      <w:r w:rsidR="00BA0A67" w:rsidRPr="00FA1E86">
        <w:fldChar w:fldCharType="end"/>
      </w:r>
      <w:r w:rsidRPr="00FA1E86">
        <w:t>.</w:t>
      </w:r>
    </w:p>
    <w:p w14:paraId="3C1F2B3B" w14:textId="27E13D7E" w:rsidR="007A1AC3" w:rsidRPr="00FA1E86" w:rsidRDefault="00733C06" w:rsidP="00E94884">
      <w:pPr>
        <w:pStyle w:val="COMtablefigcaption"/>
      </w:pPr>
      <w:bookmarkStart w:id="19" w:name="_Ref134096106"/>
      <w:r w:rsidRPr="00FA1E86">
        <w:t xml:space="preserve">Table </w:t>
      </w:r>
      <w:fldSimple w:instr=" SEQ Table \* ARABIC " w:fldLock="1">
        <w:r w:rsidR="00B71E27">
          <w:rPr>
            <w:noProof/>
          </w:rPr>
          <w:t>2</w:t>
        </w:r>
      </w:fldSimple>
      <w:bookmarkEnd w:id="19"/>
      <w:r w:rsidRPr="00FA1E86">
        <w:t xml:space="preserve">: </w:t>
      </w:r>
      <w:r w:rsidR="007A1AC3" w:rsidRPr="00FA1E86">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14"/>
        <w:gridCol w:w="5922"/>
        <w:gridCol w:w="1881"/>
      </w:tblGrid>
      <w:tr w:rsidR="007A1AC3" w:rsidRPr="00FA1E86" w14:paraId="3071BC45" w14:textId="77777777" w:rsidTr="00253C04">
        <w:trPr>
          <w:cantSplit/>
          <w:tblHeader/>
        </w:trPr>
        <w:tc>
          <w:tcPr>
            <w:tcW w:w="673" w:type="pct"/>
            <w:tcBorders>
              <w:bottom w:val="single" w:sz="4" w:space="0" w:color="auto"/>
            </w:tcBorders>
            <w:vAlign w:val="center"/>
          </w:tcPr>
          <w:p w14:paraId="12CA5BD1" w14:textId="77777777" w:rsidR="007A1AC3" w:rsidRPr="00FA1E86" w:rsidRDefault="007A1AC3" w:rsidP="00253C04">
            <w:pPr>
              <w:pStyle w:val="COMTableheadingrow"/>
              <w:keepNext w:val="0"/>
              <w:widowControl w:val="0"/>
              <w:rPr>
                <w:lang w:val="en-AU"/>
              </w:rPr>
            </w:pPr>
            <w:r w:rsidRPr="00FA1E86">
              <w:rPr>
                <w:lang w:val="en-AU"/>
              </w:rPr>
              <w:t>Trial ID</w:t>
            </w:r>
          </w:p>
        </w:tc>
        <w:tc>
          <w:tcPr>
            <w:tcW w:w="3284" w:type="pct"/>
            <w:tcBorders>
              <w:bottom w:val="single" w:sz="4" w:space="0" w:color="auto"/>
            </w:tcBorders>
            <w:vAlign w:val="center"/>
          </w:tcPr>
          <w:p w14:paraId="78310B2F" w14:textId="77777777" w:rsidR="007A1AC3" w:rsidRPr="00FA1E86" w:rsidRDefault="007A1AC3" w:rsidP="00253C04">
            <w:pPr>
              <w:pStyle w:val="COMTableheadingrow"/>
              <w:keepNext w:val="0"/>
              <w:widowControl w:val="0"/>
              <w:rPr>
                <w:lang w:val="en-AU"/>
              </w:rPr>
            </w:pPr>
            <w:r w:rsidRPr="00FA1E86">
              <w:rPr>
                <w:lang w:val="en-AU"/>
              </w:rPr>
              <w:t>Protocol title/ Publication title</w:t>
            </w:r>
          </w:p>
        </w:tc>
        <w:tc>
          <w:tcPr>
            <w:tcW w:w="1043" w:type="pct"/>
            <w:tcBorders>
              <w:bottom w:val="single" w:sz="4" w:space="0" w:color="auto"/>
            </w:tcBorders>
            <w:vAlign w:val="center"/>
          </w:tcPr>
          <w:p w14:paraId="0C86F500" w14:textId="77777777" w:rsidR="007A1AC3" w:rsidRPr="00FA1E86" w:rsidRDefault="007A1AC3" w:rsidP="00253C04">
            <w:pPr>
              <w:pStyle w:val="COMTableheadingrow"/>
              <w:keepNext w:val="0"/>
              <w:widowControl w:val="0"/>
              <w:rPr>
                <w:lang w:val="en-AU"/>
              </w:rPr>
            </w:pPr>
            <w:r w:rsidRPr="00FA1E86">
              <w:rPr>
                <w:lang w:val="en-AU"/>
              </w:rPr>
              <w:t>Publication citation</w:t>
            </w:r>
          </w:p>
        </w:tc>
      </w:tr>
      <w:tr w:rsidR="007A1AC3" w:rsidRPr="00FA1E86" w14:paraId="6B544A7C" w14:textId="77777777" w:rsidTr="00253C04">
        <w:trPr>
          <w:cantSplit/>
        </w:trPr>
        <w:tc>
          <w:tcPr>
            <w:tcW w:w="673" w:type="pct"/>
            <w:vMerge w:val="restart"/>
            <w:tcBorders>
              <w:top w:val="single" w:sz="4" w:space="0" w:color="auto"/>
            </w:tcBorders>
            <w:vAlign w:val="center"/>
          </w:tcPr>
          <w:p w14:paraId="64249C74" w14:textId="77777777" w:rsidR="007A1AC3" w:rsidRPr="00FA1E86" w:rsidRDefault="007A1AC3" w:rsidP="00253C04">
            <w:pPr>
              <w:pStyle w:val="COMTabletext"/>
              <w:keepNext w:val="0"/>
              <w:widowControl w:val="0"/>
            </w:pPr>
            <w:r w:rsidRPr="00FA1E86">
              <w:t>SURPASS-2</w:t>
            </w:r>
          </w:p>
        </w:tc>
        <w:tc>
          <w:tcPr>
            <w:tcW w:w="3284" w:type="pct"/>
            <w:tcBorders>
              <w:top w:val="single" w:sz="4" w:space="0" w:color="auto"/>
              <w:bottom w:val="single" w:sz="4" w:space="0" w:color="auto"/>
            </w:tcBorders>
            <w:vAlign w:val="center"/>
          </w:tcPr>
          <w:p w14:paraId="6B9301C1" w14:textId="77777777" w:rsidR="007A1AC3" w:rsidRPr="00FA1E86" w:rsidRDefault="007A1AC3" w:rsidP="00253C04">
            <w:pPr>
              <w:pStyle w:val="COMTabletext"/>
              <w:keepNext w:val="0"/>
              <w:widowControl w:val="0"/>
              <w:rPr>
                <w:szCs w:val="18"/>
              </w:rPr>
            </w:pPr>
            <w:r w:rsidRPr="00FA1E86">
              <w:rPr>
                <w:szCs w:val="18"/>
              </w:rPr>
              <w:t>Clinical study report (2021). A Phase 3, Randomized, Open-Label Trial Comparing Efficacy and Safety of Tirzepatide versus Semaglutide Once Weekly as Add-on Therapy to Metformin in Patients with Type 2 Diabetes</w:t>
            </w:r>
          </w:p>
        </w:tc>
        <w:tc>
          <w:tcPr>
            <w:tcW w:w="1043" w:type="pct"/>
            <w:tcBorders>
              <w:top w:val="single" w:sz="4" w:space="0" w:color="auto"/>
              <w:bottom w:val="single" w:sz="4" w:space="0" w:color="auto"/>
            </w:tcBorders>
            <w:vAlign w:val="center"/>
          </w:tcPr>
          <w:p w14:paraId="01B72D5F" w14:textId="77777777" w:rsidR="007A1AC3" w:rsidRPr="00FA1E86" w:rsidRDefault="007A1AC3" w:rsidP="00253C04">
            <w:pPr>
              <w:pStyle w:val="COMTabletext"/>
              <w:keepNext w:val="0"/>
              <w:widowControl w:val="0"/>
              <w:rPr>
                <w:szCs w:val="18"/>
              </w:rPr>
            </w:pPr>
            <w:r w:rsidRPr="00FA1E86">
              <w:rPr>
                <w:szCs w:val="18"/>
              </w:rPr>
              <w:t>Internal study report</w:t>
            </w:r>
          </w:p>
        </w:tc>
      </w:tr>
      <w:tr w:rsidR="007A1AC3" w:rsidRPr="00FA1E86" w14:paraId="30E9E9F4" w14:textId="77777777" w:rsidTr="00253C04">
        <w:trPr>
          <w:cantSplit/>
        </w:trPr>
        <w:tc>
          <w:tcPr>
            <w:tcW w:w="673" w:type="pct"/>
            <w:vMerge/>
            <w:tcBorders>
              <w:bottom w:val="single" w:sz="4" w:space="0" w:color="auto"/>
            </w:tcBorders>
            <w:vAlign w:val="center"/>
          </w:tcPr>
          <w:p w14:paraId="1BBA6100" w14:textId="77777777" w:rsidR="007A1AC3" w:rsidRPr="00FA1E86" w:rsidRDefault="007A1AC3" w:rsidP="00253C04">
            <w:pPr>
              <w:pStyle w:val="COMTabletext"/>
              <w:keepNext w:val="0"/>
              <w:widowControl w:val="0"/>
            </w:pPr>
          </w:p>
        </w:tc>
        <w:tc>
          <w:tcPr>
            <w:tcW w:w="3284" w:type="pct"/>
            <w:tcBorders>
              <w:top w:val="single" w:sz="4" w:space="0" w:color="auto"/>
              <w:bottom w:val="single" w:sz="4" w:space="0" w:color="auto"/>
            </w:tcBorders>
            <w:vAlign w:val="center"/>
          </w:tcPr>
          <w:p w14:paraId="58280169" w14:textId="77777777" w:rsidR="007A1AC3" w:rsidRPr="00FA1E86" w:rsidRDefault="007A1AC3" w:rsidP="00253C04">
            <w:pPr>
              <w:pStyle w:val="COMTabletext"/>
              <w:keepNext w:val="0"/>
              <w:widowControl w:val="0"/>
              <w:rPr>
                <w:szCs w:val="18"/>
              </w:rPr>
            </w:pPr>
            <w:r w:rsidRPr="00FA1E86">
              <w:rPr>
                <w:szCs w:val="18"/>
              </w:rPr>
              <w:t>Frias JP, Davies M, Rosenstock J et al (2021). Tirzepatide versus Semaglutide Once Weekly in Patients with Type 2 Diabetes</w:t>
            </w:r>
          </w:p>
        </w:tc>
        <w:tc>
          <w:tcPr>
            <w:tcW w:w="1043" w:type="pct"/>
            <w:tcBorders>
              <w:top w:val="single" w:sz="4" w:space="0" w:color="auto"/>
              <w:bottom w:val="single" w:sz="4" w:space="0" w:color="auto"/>
            </w:tcBorders>
            <w:vAlign w:val="center"/>
          </w:tcPr>
          <w:p w14:paraId="11CAECC5" w14:textId="77777777" w:rsidR="007A1AC3" w:rsidRPr="00FA1E86" w:rsidRDefault="007A1AC3" w:rsidP="00253C04">
            <w:pPr>
              <w:pStyle w:val="COMTabletext"/>
              <w:keepNext w:val="0"/>
              <w:widowControl w:val="0"/>
              <w:rPr>
                <w:szCs w:val="18"/>
              </w:rPr>
            </w:pPr>
            <w:r w:rsidRPr="00FA1E86">
              <w:rPr>
                <w:szCs w:val="18"/>
              </w:rPr>
              <w:t>New England Journal of Medicine; 385:503-15</w:t>
            </w:r>
          </w:p>
        </w:tc>
      </w:tr>
      <w:tr w:rsidR="007A1AC3" w:rsidRPr="00FA1E86" w14:paraId="2718A983" w14:textId="77777777" w:rsidTr="00253C04">
        <w:trPr>
          <w:cantSplit/>
        </w:trPr>
        <w:tc>
          <w:tcPr>
            <w:tcW w:w="673" w:type="pct"/>
            <w:tcBorders>
              <w:top w:val="single" w:sz="4" w:space="0" w:color="auto"/>
              <w:bottom w:val="single" w:sz="4" w:space="0" w:color="auto"/>
            </w:tcBorders>
            <w:vAlign w:val="center"/>
          </w:tcPr>
          <w:p w14:paraId="5E83A989" w14:textId="77777777" w:rsidR="007A1AC3" w:rsidRPr="00FA1E86" w:rsidRDefault="007A1AC3" w:rsidP="00253C04">
            <w:pPr>
              <w:pStyle w:val="COMTabletext"/>
              <w:keepNext w:val="0"/>
              <w:widowControl w:val="0"/>
            </w:pPr>
            <w:r w:rsidRPr="00FA1E86">
              <w:t>SUSTAIN 7</w:t>
            </w:r>
          </w:p>
        </w:tc>
        <w:tc>
          <w:tcPr>
            <w:tcW w:w="3284" w:type="pct"/>
            <w:tcBorders>
              <w:top w:val="single" w:sz="4" w:space="0" w:color="auto"/>
              <w:bottom w:val="single" w:sz="4" w:space="0" w:color="auto"/>
            </w:tcBorders>
            <w:vAlign w:val="center"/>
          </w:tcPr>
          <w:p w14:paraId="7C0BC69B" w14:textId="77777777" w:rsidR="007A1AC3" w:rsidRPr="00FA1E86" w:rsidRDefault="007A1AC3" w:rsidP="00253C04">
            <w:pPr>
              <w:pStyle w:val="COMTabletext"/>
              <w:keepNext w:val="0"/>
              <w:widowControl w:val="0"/>
              <w:rPr>
                <w:szCs w:val="18"/>
              </w:rPr>
            </w:pPr>
            <w:r w:rsidRPr="00FA1E86">
              <w:rPr>
                <w:szCs w:val="18"/>
              </w:rPr>
              <w:t>Pratley RE, Aroda VR, Lingvay I et al (2018). Semaglutide versus dulaglutide once weekly in patients with type 2 diabetes (SUSTAIN 7): a randomised, open-label, phase 3b trial</w:t>
            </w:r>
          </w:p>
        </w:tc>
        <w:tc>
          <w:tcPr>
            <w:tcW w:w="1043" w:type="pct"/>
            <w:tcBorders>
              <w:top w:val="single" w:sz="4" w:space="0" w:color="auto"/>
              <w:bottom w:val="single" w:sz="4" w:space="0" w:color="auto"/>
            </w:tcBorders>
            <w:vAlign w:val="center"/>
          </w:tcPr>
          <w:p w14:paraId="6ACF2057" w14:textId="77777777" w:rsidR="007A1AC3" w:rsidRPr="00FA1E86" w:rsidRDefault="007A1AC3" w:rsidP="00253C04">
            <w:pPr>
              <w:pStyle w:val="COMTabletext"/>
              <w:keepNext w:val="0"/>
              <w:widowControl w:val="0"/>
            </w:pPr>
            <w:r w:rsidRPr="00FA1E86">
              <w:t>Lancet Diabetes &amp; Endocrinology; 6:275-86</w:t>
            </w:r>
          </w:p>
        </w:tc>
      </w:tr>
    </w:tbl>
    <w:p w14:paraId="51D8173A" w14:textId="1EAF290C" w:rsidR="008E0D3C" w:rsidRPr="00FA1E86" w:rsidRDefault="007A1AC3" w:rsidP="00EC5836">
      <w:pPr>
        <w:pStyle w:val="COMTablefooter"/>
      </w:pPr>
      <w:r w:rsidRPr="00FA1E86">
        <w:t>Source: Table 2(a).2.1, p71; Attachments A1.1-1.4 of the submission</w:t>
      </w:r>
    </w:p>
    <w:p w14:paraId="2EDB378E" w14:textId="77777777" w:rsidR="00EC2D33" w:rsidRDefault="008F120A" w:rsidP="00253C04">
      <w:pPr>
        <w:pStyle w:val="COMexecsumnumberedpara"/>
      </w:pPr>
      <w:r w:rsidRPr="00FA1E86">
        <w:t xml:space="preserve">The key features of the </w:t>
      </w:r>
      <w:r w:rsidR="00F10030" w:rsidRPr="00FA1E86">
        <w:t>included trials</w:t>
      </w:r>
      <w:r w:rsidRPr="00FA1E86">
        <w:t xml:space="preserve"> are summarised in</w:t>
      </w:r>
      <w:r w:rsidR="00BA0A67" w:rsidRPr="00FA1E86">
        <w:t xml:space="preserve"> </w:t>
      </w:r>
      <w:r w:rsidR="00BA0A67" w:rsidRPr="00FA1E86">
        <w:fldChar w:fldCharType="begin" w:fldLock="1"/>
      </w:r>
      <w:r w:rsidR="00BA0A67" w:rsidRPr="00FA1E86">
        <w:instrText xml:space="preserve"> REF _Ref134096121 \h </w:instrText>
      </w:r>
      <w:r w:rsidR="00BA0A67" w:rsidRPr="00FA1E86">
        <w:fldChar w:fldCharType="separate"/>
      </w:r>
      <w:r w:rsidR="00B71E27" w:rsidRPr="00FA1E86">
        <w:t xml:space="preserve">Table </w:t>
      </w:r>
      <w:r w:rsidR="00B71E27">
        <w:rPr>
          <w:noProof/>
        </w:rPr>
        <w:t>3</w:t>
      </w:r>
      <w:r w:rsidR="00BA0A67" w:rsidRPr="00FA1E86">
        <w:fldChar w:fldCharType="end"/>
      </w:r>
      <w:r w:rsidRPr="00FA1E86">
        <w:t>.</w:t>
      </w:r>
    </w:p>
    <w:p w14:paraId="5F3290C0" w14:textId="4491F7C6" w:rsidR="00F10030" w:rsidRPr="00FA1E86" w:rsidRDefault="00733C06" w:rsidP="00E94884">
      <w:pPr>
        <w:pStyle w:val="COMtablefigcaption"/>
      </w:pPr>
      <w:bookmarkStart w:id="20" w:name="_Ref134096121"/>
      <w:r w:rsidRPr="00FA1E86">
        <w:lastRenderedPageBreak/>
        <w:t xml:space="preserve">Table </w:t>
      </w:r>
      <w:fldSimple w:instr=" SEQ Table \* ARABIC " w:fldLock="1">
        <w:r w:rsidR="00B71E27">
          <w:rPr>
            <w:noProof/>
          </w:rPr>
          <w:t>3</w:t>
        </w:r>
      </w:fldSimple>
      <w:bookmarkEnd w:id="20"/>
      <w:r w:rsidR="00F10030" w:rsidRPr="00FA1E86">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1"/>
        <w:gridCol w:w="806"/>
        <w:gridCol w:w="1380"/>
        <w:gridCol w:w="664"/>
        <w:gridCol w:w="1735"/>
        <w:gridCol w:w="1529"/>
        <w:gridCol w:w="1652"/>
      </w:tblGrid>
      <w:tr w:rsidR="00F10030" w:rsidRPr="00FA1E86" w14:paraId="7CD7D20E" w14:textId="77777777" w:rsidTr="00FC3573">
        <w:trPr>
          <w:cantSplit/>
          <w:tblHeader/>
        </w:trPr>
        <w:tc>
          <w:tcPr>
            <w:tcW w:w="694" w:type="pct"/>
            <w:shd w:val="clear" w:color="auto" w:fill="auto"/>
            <w:vAlign w:val="center"/>
          </w:tcPr>
          <w:p w14:paraId="31E80D7D" w14:textId="77777777" w:rsidR="00F10030" w:rsidRPr="00FA1E86" w:rsidRDefault="00F10030" w:rsidP="00253C04">
            <w:pPr>
              <w:pStyle w:val="COMTableheadingrow"/>
              <w:rPr>
                <w:lang w:val="en-AU"/>
              </w:rPr>
            </w:pPr>
            <w:r w:rsidRPr="00FA1E86">
              <w:rPr>
                <w:lang w:val="en-AU"/>
              </w:rPr>
              <w:t>Trial</w:t>
            </w:r>
          </w:p>
        </w:tc>
        <w:tc>
          <w:tcPr>
            <w:tcW w:w="447" w:type="pct"/>
            <w:shd w:val="clear" w:color="auto" w:fill="auto"/>
            <w:vAlign w:val="center"/>
          </w:tcPr>
          <w:p w14:paraId="2E5A31ED" w14:textId="77777777" w:rsidR="00F10030" w:rsidRPr="00FA1E86" w:rsidRDefault="00F10030" w:rsidP="00253C04">
            <w:pPr>
              <w:pStyle w:val="COMTableheadingrow"/>
              <w:jc w:val="center"/>
              <w:rPr>
                <w:lang w:val="en-AU"/>
              </w:rPr>
            </w:pPr>
            <w:r w:rsidRPr="00FA1E86">
              <w:rPr>
                <w:lang w:val="en-AU"/>
              </w:rPr>
              <w:t>N</w:t>
            </w:r>
          </w:p>
        </w:tc>
        <w:tc>
          <w:tcPr>
            <w:tcW w:w="765" w:type="pct"/>
            <w:shd w:val="clear" w:color="auto" w:fill="auto"/>
            <w:vAlign w:val="center"/>
          </w:tcPr>
          <w:p w14:paraId="553A2FCE" w14:textId="77777777" w:rsidR="00F10030" w:rsidRPr="00FA1E86" w:rsidRDefault="00F10030" w:rsidP="00253C04">
            <w:pPr>
              <w:pStyle w:val="COMTableheadingrow"/>
              <w:jc w:val="center"/>
              <w:rPr>
                <w:lang w:val="en-AU"/>
              </w:rPr>
            </w:pPr>
            <w:r w:rsidRPr="00FA1E86">
              <w:rPr>
                <w:lang w:val="en-AU"/>
              </w:rPr>
              <w:t>Design/ duration</w:t>
            </w:r>
          </w:p>
        </w:tc>
        <w:tc>
          <w:tcPr>
            <w:tcW w:w="368" w:type="pct"/>
            <w:shd w:val="clear" w:color="auto" w:fill="auto"/>
            <w:vAlign w:val="center"/>
          </w:tcPr>
          <w:p w14:paraId="3448E274" w14:textId="77777777" w:rsidR="00F10030" w:rsidRPr="00FA1E86" w:rsidRDefault="00F10030" w:rsidP="00253C04">
            <w:pPr>
              <w:pStyle w:val="COMTableheadingrow"/>
              <w:jc w:val="center"/>
              <w:rPr>
                <w:lang w:val="en-AU"/>
              </w:rPr>
            </w:pPr>
            <w:r w:rsidRPr="00FA1E86">
              <w:rPr>
                <w:lang w:val="en-AU"/>
              </w:rPr>
              <w:t>Risk of bias</w:t>
            </w:r>
          </w:p>
        </w:tc>
        <w:tc>
          <w:tcPr>
            <w:tcW w:w="962" w:type="pct"/>
            <w:shd w:val="clear" w:color="auto" w:fill="auto"/>
            <w:vAlign w:val="center"/>
          </w:tcPr>
          <w:p w14:paraId="6B245634" w14:textId="77777777" w:rsidR="00F10030" w:rsidRPr="00FA1E86" w:rsidRDefault="00F10030" w:rsidP="00253C04">
            <w:pPr>
              <w:pStyle w:val="COMTableheadingrow"/>
              <w:jc w:val="center"/>
              <w:rPr>
                <w:lang w:val="en-AU"/>
              </w:rPr>
            </w:pPr>
            <w:r w:rsidRPr="00FA1E86">
              <w:rPr>
                <w:lang w:val="en-AU"/>
              </w:rPr>
              <w:t>Patient population</w:t>
            </w:r>
          </w:p>
        </w:tc>
        <w:tc>
          <w:tcPr>
            <w:tcW w:w="848" w:type="pct"/>
            <w:shd w:val="clear" w:color="auto" w:fill="auto"/>
            <w:vAlign w:val="center"/>
          </w:tcPr>
          <w:p w14:paraId="6C0BEF77" w14:textId="77777777" w:rsidR="00F10030" w:rsidRPr="00FA1E86" w:rsidRDefault="00F10030" w:rsidP="00253C04">
            <w:pPr>
              <w:pStyle w:val="COMTableheadingrow"/>
              <w:jc w:val="center"/>
              <w:rPr>
                <w:lang w:val="en-AU"/>
              </w:rPr>
            </w:pPr>
            <w:r w:rsidRPr="00FA1E86">
              <w:rPr>
                <w:lang w:val="en-AU"/>
              </w:rPr>
              <w:t>Outcomes</w:t>
            </w:r>
          </w:p>
        </w:tc>
        <w:tc>
          <w:tcPr>
            <w:tcW w:w="916" w:type="pct"/>
            <w:shd w:val="clear" w:color="auto" w:fill="auto"/>
            <w:vAlign w:val="center"/>
          </w:tcPr>
          <w:p w14:paraId="20EE9BB2" w14:textId="77777777" w:rsidR="00F10030" w:rsidRPr="00FA1E86" w:rsidRDefault="00F10030" w:rsidP="00253C04">
            <w:pPr>
              <w:pStyle w:val="COMTableheadingrow"/>
              <w:jc w:val="center"/>
              <w:rPr>
                <w:lang w:val="en-AU"/>
              </w:rPr>
            </w:pPr>
            <w:r w:rsidRPr="00FA1E86">
              <w:rPr>
                <w:lang w:val="en-AU"/>
              </w:rPr>
              <w:t>Use in modelled evaluation</w:t>
            </w:r>
          </w:p>
        </w:tc>
      </w:tr>
      <w:tr w:rsidR="00F10030" w:rsidRPr="00FA1E86" w14:paraId="33836531" w14:textId="77777777" w:rsidTr="00253C04">
        <w:trPr>
          <w:cantSplit/>
        </w:trPr>
        <w:tc>
          <w:tcPr>
            <w:tcW w:w="5000" w:type="pct"/>
            <w:gridSpan w:val="7"/>
            <w:shd w:val="clear" w:color="auto" w:fill="auto"/>
            <w:vAlign w:val="center"/>
          </w:tcPr>
          <w:p w14:paraId="7EA24D7B" w14:textId="0D3EB6DB" w:rsidR="00F10030" w:rsidRPr="00FA1E86" w:rsidRDefault="00F10030" w:rsidP="00253C04">
            <w:pPr>
              <w:pStyle w:val="COMTableheadingrow"/>
              <w:rPr>
                <w:lang w:val="en-AU"/>
              </w:rPr>
            </w:pPr>
            <w:r w:rsidRPr="00FA1E86">
              <w:rPr>
                <w:lang w:val="en-AU"/>
              </w:rPr>
              <w:t>Tirzepatide versus semaglutide</w:t>
            </w:r>
          </w:p>
        </w:tc>
      </w:tr>
      <w:tr w:rsidR="00F10030" w:rsidRPr="00FA1E86" w14:paraId="546BFB33" w14:textId="77777777" w:rsidTr="00FC3573">
        <w:trPr>
          <w:cantSplit/>
        </w:trPr>
        <w:tc>
          <w:tcPr>
            <w:tcW w:w="694" w:type="pct"/>
            <w:shd w:val="clear" w:color="auto" w:fill="auto"/>
            <w:vAlign w:val="center"/>
          </w:tcPr>
          <w:p w14:paraId="52CDC5DE" w14:textId="1284690F" w:rsidR="00F10030" w:rsidRPr="00FA1E86" w:rsidRDefault="00F10030" w:rsidP="00253C04">
            <w:pPr>
              <w:pStyle w:val="COMTabletext"/>
            </w:pPr>
            <w:r w:rsidRPr="00FA1E86">
              <w:t>SURPASS-2</w:t>
            </w:r>
          </w:p>
        </w:tc>
        <w:tc>
          <w:tcPr>
            <w:tcW w:w="447" w:type="pct"/>
            <w:shd w:val="clear" w:color="auto" w:fill="auto"/>
            <w:vAlign w:val="center"/>
          </w:tcPr>
          <w:p w14:paraId="3B2CB0E9" w14:textId="3E1A95EB" w:rsidR="00F10030" w:rsidRPr="00FA1E86" w:rsidRDefault="00F10030" w:rsidP="00253C04">
            <w:pPr>
              <w:pStyle w:val="COMTabletext"/>
              <w:jc w:val="center"/>
            </w:pPr>
            <w:r w:rsidRPr="00FA1E86">
              <w:t>1,878</w:t>
            </w:r>
          </w:p>
        </w:tc>
        <w:tc>
          <w:tcPr>
            <w:tcW w:w="765" w:type="pct"/>
            <w:shd w:val="clear" w:color="auto" w:fill="auto"/>
            <w:vAlign w:val="center"/>
          </w:tcPr>
          <w:p w14:paraId="3C8BBDA0" w14:textId="0511EFD2" w:rsidR="00F10030" w:rsidRPr="00FA1E86" w:rsidRDefault="00F10030" w:rsidP="00253C04">
            <w:pPr>
              <w:pStyle w:val="COMTabletext"/>
              <w:jc w:val="center"/>
            </w:pPr>
            <w:r w:rsidRPr="00FA1E86">
              <w:t xml:space="preserve">MC, R, OL, </w:t>
            </w:r>
            <w:r w:rsidR="00E850B6" w:rsidRPr="00FA1E86">
              <w:t>A</w:t>
            </w:r>
            <w:r w:rsidRPr="00FA1E86">
              <w:t>C</w:t>
            </w:r>
          </w:p>
          <w:p w14:paraId="57F67AF1" w14:textId="287A4C34" w:rsidR="00F10030" w:rsidRPr="00FA1E86" w:rsidRDefault="00F10030" w:rsidP="00253C04">
            <w:pPr>
              <w:pStyle w:val="COMTabletext"/>
              <w:jc w:val="center"/>
            </w:pPr>
            <w:r w:rsidRPr="00FA1E86">
              <w:t>40 weeks</w:t>
            </w:r>
          </w:p>
        </w:tc>
        <w:tc>
          <w:tcPr>
            <w:tcW w:w="368" w:type="pct"/>
            <w:shd w:val="clear" w:color="auto" w:fill="auto"/>
            <w:vAlign w:val="center"/>
          </w:tcPr>
          <w:p w14:paraId="25D744E5" w14:textId="2772F7D3" w:rsidR="00F10030" w:rsidRPr="00156851" w:rsidRDefault="00F10030" w:rsidP="00253C04">
            <w:pPr>
              <w:pStyle w:val="COMTabletext"/>
              <w:jc w:val="center"/>
              <w:rPr>
                <w:iCs/>
              </w:rPr>
            </w:pPr>
            <w:r w:rsidRPr="00156851">
              <w:rPr>
                <w:iCs/>
              </w:rPr>
              <w:t>High</w:t>
            </w:r>
          </w:p>
        </w:tc>
        <w:tc>
          <w:tcPr>
            <w:tcW w:w="962" w:type="pct"/>
            <w:shd w:val="clear" w:color="auto" w:fill="auto"/>
            <w:vAlign w:val="center"/>
          </w:tcPr>
          <w:p w14:paraId="4E7ADAC2" w14:textId="57EDE8C4" w:rsidR="00F10030" w:rsidRPr="00FA1E86" w:rsidRDefault="00FA4DA7" w:rsidP="00253C04">
            <w:pPr>
              <w:pStyle w:val="COMTabletext"/>
              <w:jc w:val="center"/>
            </w:pPr>
            <w:r w:rsidRPr="00FA1E86">
              <w:t>Type 2 diabetes on metformin alone</w:t>
            </w:r>
          </w:p>
        </w:tc>
        <w:tc>
          <w:tcPr>
            <w:tcW w:w="848" w:type="pct"/>
            <w:shd w:val="clear" w:color="auto" w:fill="auto"/>
            <w:vAlign w:val="center"/>
          </w:tcPr>
          <w:p w14:paraId="5A272EF3" w14:textId="076103CE" w:rsidR="00F10030" w:rsidRPr="00FA1E86" w:rsidRDefault="00CB58D3" w:rsidP="00253C04">
            <w:pPr>
              <w:pStyle w:val="COMTabletext"/>
              <w:jc w:val="center"/>
            </w:pPr>
            <w:r w:rsidRPr="00FA1E86">
              <w:t>HbA1c, weight, other biomarkers, quality of life and adverse events</w:t>
            </w:r>
          </w:p>
        </w:tc>
        <w:tc>
          <w:tcPr>
            <w:tcW w:w="916" w:type="pct"/>
            <w:shd w:val="clear" w:color="auto" w:fill="auto"/>
            <w:vAlign w:val="center"/>
          </w:tcPr>
          <w:p w14:paraId="2C40FE64" w14:textId="6E00418A" w:rsidR="00F10030" w:rsidRPr="00FA1E86" w:rsidRDefault="00CB58D3" w:rsidP="00253C04">
            <w:pPr>
              <w:pStyle w:val="COMTabletext"/>
              <w:jc w:val="center"/>
            </w:pPr>
            <w:r w:rsidRPr="00FA1E86">
              <w:t>Used to inform patient characteristics and treatment effects</w:t>
            </w:r>
          </w:p>
        </w:tc>
      </w:tr>
      <w:tr w:rsidR="00CB58D3" w:rsidRPr="00FA1E86" w14:paraId="53775ABD" w14:textId="77777777" w:rsidTr="00CB58D3">
        <w:trPr>
          <w:cantSplit/>
        </w:trPr>
        <w:tc>
          <w:tcPr>
            <w:tcW w:w="5000" w:type="pct"/>
            <w:gridSpan w:val="7"/>
            <w:shd w:val="clear" w:color="auto" w:fill="auto"/>
            <w:vAlign w:val="center"/>
          </w:tcPr>
          <w:p w14:paraId="1C85C8DC" w14:textId="532F6633" w:rsidR="00CB58D3" w:rsidRPr="00156851" w:rsidRDefault="00CB58D3" w:rsidP="00CB58D3">
            <w:pPr>
              <w:pStyle w:val="COMTabletext"/>
              <w:rPr>
                <w:b/>
                <w:bCs w:val="0"/>
                <w:iCs/>
              </w:rPr>
            </w:pPr>
            <w:r w:rsidRPr="00156851">
              <w:rPr>
                <w:b/>
                <w:bCs w:val="0"/>
                <w:iCs/>
              </w:rPr>
              <w:t>Semaglutide versus dulaglutide</w:t>
            </w:r>
          </w:p>
        </w:tc>
      </w:tr>
      <w:tr w:rsidR="00F10030" w:rsidRPr="00FA1E86" w14:paraId="00C64802" w14:textId="77777777" w:rsidTr="00FC3573">
        <w:trPr>
          <w:cantSplit/>
        </w:trPr>
        <w:tc>
          <w:tcPr>
            <w:tcW w:w="694" w:type="pct"/>
            <w:shd w:val="clear" w:color="auto" w:fill="auto"/>
            <w:vAlign w:val="center"/>
          </w:tcPr>
          <w:p w14:paraId="24E0F50E" w14:textId="2A53AD53" w:rsidR="00F10030" w:rsidRPr="00FA1E86" w:rsidRDefault="00CB58D3" w:rsidP="00253C04">
            <w:pPr>
              <w:pStyle w:val="COMTabletext"/>
            </w:pPr>
            <w:r w:rsidRPr="00FA1E86">
              <w:t>SUSTAIN 7</w:t>
            </w:r>
          </w:p>
        </w:tc>
        <w:tc>
          <w:tcPr>
            <w:tcW w:w="447" w:type="pct"/>
            <w:shd w:val="clear" w:color="auto" w:fill="auto"/>
            <w:vAlign w:val="center"/>
          </w:tcPr>
          <w:p w14:paraId="6525DF3E" w14:textId="2A0140C4" w:rsidR="00F10030" w:rsidRPr="00FA1E86" w:rsidRDefault="00F10030" w:rsidP="00253C04">
            <w:pPr>
              <w:pStyle w:val="COMTabletext"/>
              <w:jc w:val="center"/>
            </w:pPr>
            <w:r w:rsidRPr="00FA1E86">
              <w:t>1,</w:t>
            </w:r>
            <w:r w:rsidR="00FC3573" w:rsidRPr="00FA1E86">
              <w:t>199</w:t>
            </w:r>
          </w:p>
        </w:tc>
        <w:tc>
          <w:tcPr>
            <w:tcW w:w="765" w:type="pct"/>
            <w:shd w:val="clear" w:color="auto" w:fill="auto"/>
            <w:vAlign w:val="center"/>
          </w:tcPr>
          <w:p w14:paraId="593A0D7F" w14:textId="4FDB615D" w:rsidR="00FA4DA7" w:rsidRPr="00FA1E86" w:rsidRDefault="00FC3573" w:rsidP="00FA4DA7">
            <w:pPr>
              <w:pStyle w:val="Tabletext0"/>
              <w:jc w:val="center"/>
            </w:pPr>
            <w:r w:rsidRPr="00FA1E86">
              <w:t>MC</w:t>
            </w:r>
            <w:r w:rsidR="00FA4DA7" w:rsidRPr="00FA1E86">
              <w:t xml:space="preserve">, </w:t>
            </w:r>
            <w:r w:rsidRPr="00FA1E86">
              <w:t>R</w:t>
            </w:r>
            <w:r w:rsidR="00FA4DA7" w:rsidRPr="00FA1E86">
              <w:t xml:space="preserve">, OL, </w:t>
            </w:r>
            <w:r w:rsidR="00E850B6" w:rsidRPr="00FA1E86">
              <w:t>AC</w:t>
            </w:r>
          </w:p>
          <w:p w14:paraId="009FE123" w14:textId="2324A0D2" w:rsidR="00F10030" w:rsidRPr="00FA1E86" w:rsidRDefault="00FA4DA7" w:rsidP="00FA4DA7">
            <w:pPr>
              <w:pStyle w:val="COMTabletext"/>
              <w:jc w:val="center"/>
            </w:pPr>
            <w:r w:rsidRPr="00FA1E86">
              <w:t>40 weeks</w:t>
            </w:r>
          </w:p>
        </w:tc>
        <w:tc>
          <w:tcPr>
            <w:tcW w:w="368" w:type="pct"/>
            <w:shd w:val="clear" w:color="auto" w:fill="auto"/>
            <w:vAlign w:val="center"/>
          </w:tcPr>
          <w:p w14:paraId="108CAF58" w14:textId="4717103F" w:rsidR="00F10030" w:rsidRPr="00156851" w:rsidRDefault="00FA4DA7" w:rsidP="00253C04">
            <w:pPr>
              <w:pStyle w:val="COMTabletext"/>
              <w:jc w:val="center"/>
              <w:rPr>
                <w:iCs/>
              </w:rPr>
            </w:pPr>
            <w:r w:rsidRPr="00156851">
              <w:rPr>
                <w:iCs/>
              </w:rPr>
              <w:t>High</w:t>
            </w:r>
          </w:p>
        </w:tc>
        <w:tc>
          <w:tcPr>
            <w:tcW w:w="962" w:type="pct"/>
            <w:shd w:val="clear" w:color="auto" w:fill="auto"/>
            <w:vAlign w:val="center"/>
          </w:tcPr>
          <w:p w14:paraId="002F7C38" w14:textId="77A7C8B4" w:rsidR="00F10030" w:rsidRPr="00FA1E86" w:rsidRDefault="00FA4DA7" w:rsidP="00253C04">
            <w:pPr>
              <w:pStyle w:val="COMTabletext"/>
              <w:jc w:val="center"/>
            </w:pPr>
            <w:r w:rsidRPr="00FA1E86">
              <w:t>Type 2 diabetes on metformin alone</w:t>
            </w:r>
          </w:p>
        </w:tc>
        <w:tc>
          <w:tcPr>
            <w:tcW w:w="848" w:type="pct"/>
            <w:shd w:val="clear" w:color="auto" w:fill="auto"/>
            <w:vAlign w:val="center"/>
          </w:tcPr>
          <w:p w14:paraId="38BD26A1" w14:textId="056976D8" w:rsidR="00F10030" w:rsidRPr="00FA1E86" w:rsidRDefault="00FA4DA7" w:rsidP="00253C04">
            <w:pPr>
              <w:pStyle w:val="COMTabletext"/>
              <w:jc w:val="center"/>
            </w:pPr>
            <w:r w:rsidRPr="00FA1E86">
              <w:t>HbA1c, weight, other biomarkers, quality of life and adverse events</w:t>
            </w:r>
          </w:p>
        </w:tc>
        <w:tc>
          <w:tcPr>
            <w:tcW w:w="916" w:type="pct"/>
            <w:shd w:val="clear" w:color="auto" w:fill="auto"/>
            <w:vAlign w:val="center"/>
          </w:tcPr>
          <w:p w14:paraId="4B7FCC1D" w14:textId="42289749" w:rsidR="00F10030" w:rsidRPr="00FA1E86" w:rsidRDefault="00FA4DA7" w:rsidP="00253C04">
            <w:pPr>
              <w:pStyle w:val="COMTabletext"/>
              <w:jc w:val="center"/>
            </w:pPr>
            <w:r w:rsidRPr="00FA1E86">
              <w:t>Used to inform treatment effects for semaglutide 0.5 mg and dulaglutide</w:t>
            </w:r>
          </w:p>
        </w:tc>
      </w:tr>
    </w:tbl>
    <w:p w14:paraId="2EF1F800" w14:textId="77777777" w:rsidR="00EC2D33" w:rsidRDefault="00FC3573" w:rsidP="00F10030">
      <w:pPr>
        <w:pStyle w:val="COMTablefooter"/>
      </w:pPr>
      <w:r w:rsidRPr="00FA1E86">
        <w:t>Source: Section 2(a).4, pp80-90; Section 2(b).4, pp161-173 of the submission</w:t>
      </w:r>
    </w:p>
    <w:p w14:paraId="1095487C" w14:textId="2AEF0726" w:rsidR="00620C25" w:rsidRPr="00FA1E86" w:rsidRDefault="00F10030" w:rsidP="00EC5836">
      <w:pPr>
        <w:pStyle w:val="COMTablefooter"/>
      </w:pPr>
      <w:r w:rsidRPr="00FA1E86">
        <w:t xml:space="preserve">Abbreviations: </w:t>
      </w:r>
      <w:r w:rsidR="00E850B6" w:rsidRPr="00FA1E86">
        <w:t xml:space="preserve">AC, active-control; </w:t>
      </w:r>
      <w:r w:rsidR="00FC3573" w:rsidRPr="00FA1E86">
        <w:t>Hb</w:t>
      </w:r>
      <w:r w:rsidR="006C31AD" w:rsidRPr="00FA1E86">
        <w:t>A</w:t>
      </w:r>
      <w:r w:rsidR="00FC3573" w:rsidRPr="00FA1E86">
        <w:t xml:space="preserve">1c, glycated haemoglobin; </w:t>
      </w:r>
      <w:r w:rsidRPr="00FA1E86">
        <w:t>MC, multicentre; OL, open-label; R, randomised.</w:t>
      </w:r>
    </w:p>
    <w:p w14:paraId="5C3BF824" w14:textId="77777777" w:rsidR="00EC2D33" w:rsidRDefault="007C03B8" w:rsidP="007C03B8">
      <w:pPr>
        <w:pStyle w:val="COMexecsumnumberedpara"/>
        <w:rPr>
          <w:i/>
          <w:iCs/>
        </w:rPr>
      </w:pPr>
      <w:r w:rsidRPr="00065852">
        <w:t>The open-label design</w:t>
      </w:r>
      <w:r w:rsidR="006C31AD" w:rsidRPr="00065852">
        <w:t xml:space="preserve"> of the SURPASS-2 and SUSTAIN 7 trials</w:t>
      </w:r>
      <w:r w:rsidRPr="00065852">
        <w:t xml:space="preserve"> has the potential to introduce bias as knowledge of treatment assignment may affect disease management decisions (particularly the use of concomitant medications), patient expectations and treatment adherence.</w:t>
      </w:r>
      <w:r w:rsidR="00432AD8">
        <w:t xml:space="preserve"> </w:t>
      </w:r>
      <w:r w:rsidR="00432AD8" w:rsidRPr="001F3ADC">
        <w:t xml:space="preserve">As well as the open-label design of the SURPASS-2 trial, the ESC </w:t>
      </w:r>
      <w:r w:rsidR="00DE09FC" w:rsidRPr="001F3ADC">
        <w:t>noted</w:t>
      </w:r>
      <w:r w:rsidR="00432AD8" w:rsidRPr="001F3ADC">
        <w:t xml:space="preserve"> that </w:t>
      </w:r>
      <w:r w:rsidR="00DE09FC" w:rsidRPr="001F3ADC">
        <w:t>publication of the key trial</w:t>
      </w:r>
      <w:r w:rsidR="00DE09FC" w:rsidRPr="001F3ADC">
        <w:rPr>
          <w:rStyle w:val="FootnoteReference"/>
        </w:rPr>
        <w:footnoteReference w:id="1"/>
      </w:r>
      <w:r w:rsidR="00DE09FC" w:rsidRPr="001F3ADC">
        <w:t xml:space="preserve"> indicated </w:t>
      </w:r>
      <w:r w:rsidR="00432AD8" w:rsidRPr="001F3ADC">
        <w:t>the authors of the trial publication were employed by the sponsor</w:t>
      </w:r>
      <w:r w:rsidR="00156851" w:rsidRPr="001F3ADC">
        <w:t xml:space="preserve">. </w:t>
      </w:r>
      <w:r w:rsidR="00432AD8" w:rsidRPr="001F3ADC">
        <w:t>Th</w:t>
      </w:r>
      <w:r w:rsidR="00156851" w:rsidRPr="001F3ADC">
        <w:t xml:space="preserve">e ESC agreed with the evaluator that the risk </w:t>
      </w:r>
      <w:r w:rsidR="00432AD8" w:rsidRPr="001F3ADC">
        <w:t xml:space="preserve">of bias with </w:t>
      </w:r>
      <w:r w:rsidR="00156851" w:rsidRPr="001F3ADC">
        <w:t xml:space="preserve">the </w:t>
      </w:r>
      <w:r w:rsidR="00432AD8" w:rsidRPr="001F3ADC">
        <w:t>SURPASS-2</w:t>
      </w:r>
      <w:r w:rsidR="00156851" w:rsidRPr="001F3ADC">
        <w:t xml:space="preserve"> trial was high</w:t>
      </w:r>
      <w:r w:rsidR="00432AD8" w:rsidRPr="001F3ADC">
        <w:t>.</w:t>
      </w:r>
    </w:p>
    <w:p w14:paraId="634D3B51" w14:textId="13C3DE83" w:rsidR="00401596" w:rsidRPr="00065852" w:rsidRDefault="00401596" w:rsidP="00401596">
      <w:pPr>
        <w:pStyle w:val="COMexecsumnumberedpara"/>
      </w:pPr>
      <w:r w:rsidRPr="00065852">
        <w:t>There was differential discontinuation between arms in the SURPASS-2 trial (tirzepatide 5 mg 8.3%, tirzepatide 10 mg 12.4%, tirzepatide 15 mg 13.2%, semaglutide 1.0 mg 8.7%), primarily due to higher rates of gastrointestinal adverse events in the higher dose tirzepatide arms.</w:t>
      </w:r>
    </w:p>
    <w:p w14:paraId="605CF41F" w14:textId="6EEB1A2C" w:rsidR="007C03B8" w:rsidRPr="00065852" w:rsidRDefault="007C03B8" w:rsidP="00090CED">
      <w:pPr>
        <w:pStyle w:val="COMexecsumnumberedpara"/>
      </w:pPr>
      <w:r w:rsidRPr="00065852">
        <w:t xml:space="preserve">Patients </w:t>
      </w:r>
      <w:r w:rsidR="00090CED" w:rsidRPr="00065852">
        <w:t xml:space="preserve">included </w:t>
      </w:r>
      <w:r w:rsidRPr="00065852">
        <w:t>in the clinical trials were</w:t>
      </w:r>
      <w:r w:rsidR="00090CED" w:rsidRPr="00065852">
        <w:t xml:space="preserve"> required to have</w:t>
      </w:r>
      <w:r w:rsidRPr="00065852">
        <w:t xml:space="preserve"> inadequate glycaemic control despite treatment with metformin alone</w:t>
      </w:r>
      <w:r w:rsidR="00090CED" w:rsidRPr="00065852">
        <w:t>.</w:t>
      </w:r>
      <w:r w:rsidR="00B916BB">
        <w:t xml:space="preserve"> </w:t>
      </w:r>
      <w:r w:rsidR="00B916BB" w:rsidRPr="001F3ADC">
        <w:t>The ESC noted that the SURPASS-2 trial excluded patients treated with any antihyperglycaemic medication other than metformin in the 3 months prior to study commencement, which may not be representative of the proposed PBS population.</w:t>
      </w:r>
      <w:r w:rsidR="00090CED" w:rsidRPr="00897FDF">
        <w:rPr>
          <w:i/>
          <w:iCs/>
        </w:rPr>
        <w:t xml:space="preserve"> </w:t>
      </w:r>
      <w:r w:rsidR="00B916BB">
        <w:t>In addition, the</w:t>
      </w:r>
      <w:r w:rsidR="00090CED" w:rsidRPr="00065852">
        <w:t xml:space="preserve"> population may not be representative of the revised place in therapy for GLP-1 RA therapies that was proposed in the draft PBS restrictions which limits use to patients failing prior therapy with SGLT2 inhibitors (para 5.15, PBS restrictions for type 2 diabetes mellitus medicines, March 2023 PBAC meeting).</w:t>
      </w:r>
    </w:p>
    <w:p w14:paraId="5BB21BF2" w14:textId="763126C7" w:rsidR="007C03B8" w:rsidRPr="00065852" w:rsidRDefault="007C03B8" w:rsidP="007C03B8">
      <w:pPr>
        <w:pStyle w:val="COMexecsumnumberedpara"/>
      </w:pPr>
      <w:r w:rsidRPr="00065852">
        <w:t xml:space="preserve">The trials used fixed </w:t>
      </w:r>
      <w:r w:rsidR="00892A01" w:rsidRPr="00065852">
        <w:t xml:space="preserve">dosing </w:t>
      </w:r>
      <w:r w:rsidR="001358A6" w:rsidRPr="00065852">
        <w:t>of</w:t>
      </w:r>
      <w:r w:rsidRPr="00065852">
        <w:t xml:space="preserve"> tirzepatide and semaglutide which was inconsistent with the respective product information documents which recommend flexible titration of both therapies.</w:t>
      </w:r>
    </w:p>
    <w:p w14:paraId="4A4FE085" w14:textId="43823699" w:rsidR="00B60939" w:rsidRPr="00FA1E86" w:rsidRDefault="00B60939" w:rsidP="00EC5836">
      <w:pPr>
        <w:pStyle w:val="COMH2-non-numbered"/>
      </w:pPr>
      <w:bookmarkStart w:id="21" w:name="_Toc22897641"/>
      <w:bookmarkStart w:id="22" w:name="_Toc135227810"/>
      <w:r w:rsidRPr="00FA1E86">
        <w:lastRenderedPageBreak/>
        <w:t>Comparative effectiveness</w:t>
      </w:r>
      <w:bookmarkEnd w:id="21"/>
      <w:bookmarkEnd w:id="22"/>
    </w:p>
    <w:p w14:paraId="633D187C" w14:textId="77777777" w:rsidR="00EC2D33" w:rsidRDefault="00193758" w:rsidP="00EC5836">
      <w:pPr>
        <w:pStyle w:val="COMexecsumnumberedpara"/>
      </w:pPr>
      <w:r w:rsidRPr="00FA1E86">
        <w:t>The change in HbA1c from baseline to Week 40 in the SURPASS-2 trial is summarised in</w:t>
      </w:r>
      <w:r w:rsidR="00BA0A67" w:rsidRPr="00FA1E86">
        <w:t xml:space="preserve"> </w:t>
      </w:r>
      <w:r w:rsidR="00BA0A67" w:rsidRPr="00FA1E86">
        <w:fldChar w:fldCharType="begin" w:fldLock="1"/>
      </w:r>
      <w:r w:rsidR="00BA0A67" w:rsidRPr="00FA1E86">
        <w:instrText xml:space="preserve"> REF _Ref134096135 \h </w:instrText>
      </w:r>
      <w:r w:rsidR="00BA0A67" w:rsidRPr="00FA1E86">
        <w:fldChar w:fldCharType="separate"/>
      </w:r>
      <w:r w:rsidR="00B71E27" w:rsidRPr="00FA1E86">
        <w:t xml:space="preserve">Table </w:t>
      </w:r>
      <w:r w:rsidR="00B71E27">
        <w:rPr>
          <w:noProof/>
        </w:rPr>
        <w:t>4</w:t>
      </w:r>
      <w:r w:rsidR="00BA0A67" w:rsidRPr="00FA1E86">
        <w:fldChar w:fldCharType="end"/>
      </w:r>
      <w:r w:rsidRPr="00FA1E86">
        <w:t>.</w:t>
      </w:r>
      <w:r w:rsidR="00722778" w:rsidRPr="00FA1E86">
        <w:t xml:space="preserve"> The reported </w:t>
      </w:r>
      <w:r w:rsidR="00722778" w:rsidRPr="001F3ADC">
        <w:t xml:space="preserve">estimates </w:t>
      </w:r>
      <w:r w:rsidR="00D36AA9" w:rsidRPr="001F3ADC">
        <w:t xml:space="preserve">in the main trial publication (Frias 2021) and those considered by regulatory agencies </w:t>
      </w:r>
      <w:r w:rsidR="00722778" w:rsidRPr="00FA1E86">
        <w:t>were based on the treatment regimen estimand which used data from the full in-trial period with multiple imputation for missing data based on retrieved dropouts who had an endpoint value (</w:t>
      </w:r>
      <w:proofErr w:type="gramStart"/>
      <w:r w:rsidR="00722778" w:rsidRPr="00FA1E86">
        <w:t>i.e.</w:t>
      </w:r>
      <w:proofErr w:type="gramEnd"/>
      <w:r w:rsidR="00722778" w:rsidRPr="00FA1E86">
        <w:t xml:space="preserve"> equivalent to an ITT analysis).</w:t>
      </w:r>
    </w:p>
    <w:p w14:paraId="65A77D58" w14:textId="03AB71E5" w:rsidR="00722778" w:rsidRPr="00FA1E86" w:rsidRDefault="00733C06" w:rsidP="00E94884">
      <w:pPr>
        <w:pStyle w:val="COMtablefigcaption"/>
      </w:pPr>
      <w:bookmarkStart w:id="23" w:name="_Ref134096135"/>
      <w:bookmarkStart w:id="24" w:name="_Hlk137564474"/>
      <w:r w:rsidRPr="00FA1E86">
        <w:t xml:space="preserve">Table </w:t>
      </w:r>
      <w:fldSimple w:instr=" SEQ Table \* ARABIC " w:fldLock="1">
        <w:r w:rsidR="00B71E27">
          <w:rPr>
            <w:noProof/>
          </w:rPr>
          <w:t>4</w:t>
        </w:r>
      </w:fldSimple>
      <w:bookmarkEnd w:id="23"/>
      <w:r w:rsidR="00722778" w:rsidRPr="00FA1E86">
        <w:t xml:space="preserve">: </w:t>
      </w:r>
      <w:bookmarkEnd w:id="24"/>
      <w:r w:rsidR="00722778" w:rsidRPr="00FA1E86">
        <w:t>Change in HbA1c from baseline to Week 40 (treatment regimen estimand)</w:t>
      </w:r>
    </w:p>
    <w:tbl>
      <w:tblPr>
        <w:tblStyle w:val="TableGrid"/>
        <w:tblW w:w="0" w:type="auto"/>
        <w:tblCellMar>
          <w:left w:w="28" w:type="dxa"/>
          <w:right w:w="28" w:type="dxa"/>
        </w:tblCellMar>
        <w:tblLook w:val="04A0" w:firstRow="1" w:lastRow="0" w:firstColumn="1" w:lastColumn="0" w:noHBand="0" w:noVBand="1"/>
      </w:tblPr>
      <w:tblGrid>
        <w:gridCol w:w="1803"/>
        <w:gridCol w:w="1803"/>
        <w:gridCol w:w="1803"/>
        <w:gridCol w:w="1804"/>
        <w:gridCol w:w="1804"/>
      </w:tblGrid>
      <w:tr w:rsidR="00722778" w:rsidRPr="00FA1E86" w14:paraId="64BFD03E" w14:textId="77777777" w:rsidTr="00253C04">
        <w:tc>
          <w:tcPr>
            <w:tcW w:w="1803" w:type="dxa"/>
            <w:vAlign w:val="center"/>
          </w:tcPr>
          <w:p w14:paraId="6580981F" w14:textId="77777777" w:rsidR="00722778" w:rsidRPr="00FA1E86" w:rsidRDefault="00722778" w:rsidP="00253C04">
            <w:pPr>
              <w:pStyle w:val="COMTableheadingrow"/>
              <w:rPr>
                <w:lang w:val="en-AU"/>
              </w:rPr>
            </w:pPr>
            <w:r w:rsidRPr="00FA1E86">
              <w:rPr>
                <w:lang w:val="en-AU"/>
              </w:rPr>
              <w:t>HbA1c, %</w:t>
            </w:r>
          </w:p>
        </w:tc>
        <w:tc>
          <w:tcPr>
            <w:tcW w:w="1803" w:type="dxa"/>
            <w:vAlign w:val="center"/>
          </w:tcPr>
          <w:p w14:paraId="1158C078" w14:textId="77777777" w:rsidR="00722778" w:rsidRPr="00FA1E86" w:rsidRDefault="00722778" w:rsidP="00253C04">
            <w:pPr>
              <w:pStyle w:val="COMTableheadingrow"/>
              <w:jc w:val="center"/>
              <w:rPr>
                <w:lang w:val="en-AU"/>
              </w:rPr>
            </w:pPr>
            <w:r w:rsidRPr="00FA1E86">
              <w:rPr>
                <w:lang w:val="en-AU"/>
              </w:rPr>
              <w:t>Tirzepatide 5 mg</w:t>
            </w:r>
          </w:p>
          <w:p w14:paraId="14DC81F4" w14:textId="658A4373" w:rsidR="00722778" w:rsidRPr="00FA1E86" w:rsidRDefault="00722778" w:rsidP="00253C04">
            <w:pPr>
              <w:pStyle w:val="COMTableheadingrow"/>
              <w:jc w:val="center"/>
              <w:rPr>
                <w:lang w:val="en-AU"/>
              </w:rPr>
            </w:pPr>
            <w:r w:rsidRPr="00FA1E86">
              <w:rPr>
                <w:lang w:val="en-AU"/>
              </w:rPr>
              <w:t>N = 470</w:t>
            </w:r>
          </w:p>
        </w:tc>
        <w:tc>
          <w:tcPr>
            <w:tcW w:w="1803" w:type="dxa"/>
            <w:vAlign w:val="center"/>
          </w:tcPr>
          <w:p w14:paraId="6A72369E" w14:textId="77777777" w:rsidR="00722778" w:rsidRPr="00FA1E86" w:rsidRDefault="00722778" w:rsidP="00253C04">
            <w:pPr>
              <w:pStyle w:val="COMTableheadingrow"/>
              <w:jc w:val="center"/>
              <w:rPr>
                <w:lang w:val="en-AU"/>
              </w:rPr>
            </w:pPr>
            <w:r w:rsidRPr="00FA1E86">
              <w:rPr>
                <w:lang w:val="en-AU"/>
              </w:rPr>
              <w:t>Tirzepatide 10 mg</w:t>
            </w:r>
          </w:p>
          <w:p w14:paraId="3AA64874" w14:textId="3A2F4D4A" w:rsidR="00722778" w:rsidRPr="00FA1E86" w:rsidRDefault="00722778" w:rsidP="00253C04">
            <w:pPr>
              <w:pStyle w:val="COMTableheadingrow"/>
              <w:jc w:val="center"/>
              <w:rPr>
                <w:lang w:val="en-AU"/>
              </w:rPr>
            </w:pPr>
            <w:r w:rsidRPr="00FA1E86">
              <w:rPr>
                <w:lang w:val="en-AU"/>
              </w:rPr>
              <w:t>N = 469</w:t>
            </w:r>
          </w:p>
        </w:tc>
        <w:tc>
          <w:tcPr>
            <w:tcW w:w="1804" w:type="dxa"/>
            <w:vAlign w:val="center"/>
          </w:tcPr>
          <w:p w14:paraId="18366A0D" w14:textId="77777777" w:rsidR="00722778" w:rsidRPr="00FA1E86" w:rsidRDefault="00722778" w:rsidP="00253C04">
            <w:pPr>
              <w:pStyle w:val="COMTableheadingrow"/>
              <w:jc w:val="center"/>
              <w:rPr>
                <w:lang w:val="en-AU"/>
              </w:rPr>
            </w:pPr>
            <w:r w:rsidRPr="00FA1E86">
              <w:rPr>
                <w:lang w:val="en-AU"/>
              </w:rPr>
              <w:t>Tirzepatide 15 mg</w:t>
            </w:r>
          </w:p>
          <w:p w14:paraId="7A8F3B60" w14:textId="0E3DB278" w:rsidR="00722778" w:rsidRPr="00FA1E86" w:rsidRDefault="00722778" w:rsidP="00253C04">
            <w:pPr>
              <w:pStyle w:val="COMTableheadingrow"/>
              <w:jc w:val="center"/>
              <w:rPr>
                <w:lang w:val="en-AU"/>
              </w:rPr>
            </w:pPr>
            <w:r w:rsidRPr="00FA1E86">
              <w:rPr>
                <w:lang w:val="en-AU"/>
              </w:rPr>
              <w:t>N = 469</w:t>
            </w:r>
          </w:p>
        </w:tc>
        <w:tc>
          <w:tcPr>
            <w:tcW w:w="1804" w:type="dxa"/>
            <w:vAlign w:val="center"/>
          </w:tcPr>
          <w:p w14:paraId="63E5DD17" w14:textId="77777777" w:rsidR="00722778" w:rsidRPr="00FA1E86" w:rsidRDefault="00722778" w:rsidP="00253C04">
            <w:pPr>
              <w:pStyle w:val="COMTableheadingrow"/>
              <w:jc w:val="center"/>
              <w:rPr>
                <w:lang w:val="en-AU"/>
              </w:rPr>
            </w:pPr>
            <w:r w:rsidRPr="00FA1E86">
              <w:rPr>
                <w:lang w:val="en-AU"/>
              </w:rPr>
              <w:t>Semaglutide 1 mg</w:t>
            </w:r>
          </w:p>
          <w:p w14:paraId="045FA815" w14:textId="0CD31029" w:rsidR="00722778" w:rsidRPr="00FA1E86" w:rsidRDefault="00722778" w:rsidP="00253C04">
            <w:pPr>
              <w:pStyle w:val="COMTableheadingrow"/>
              <w:jc w:val="center"/>
              <w:rPr>
                <w:lang w:val="en-AU"/>
              </w:rPr>
            </w:pPr>
            <w:r w:rsidRPr="00FA1E86">
              <w:rPr>
                <w:lang w:val="en-AU"/>
              </w:rPr>
              <w:t>N = 468</w:t>
            </w:r>
          </w:p>
        </w:tc>
      </w:tr>
      <w:tr w:rsidR="00722778" w:rsidRPr="00FA1E86" w14:paraId="33401135" w14:textId="77777777" w:rsidTr="00253C04">
        <w:tc>
          <w:tcPr>
            <w:tcW w:w="1803" w:type="dxa"/>
            <w:vAlign w:val="center"/>
          </w:tcPr>
          <w:p w14:paraId="2DA4D795" w14:textId="77777777" w:rsidR="00722778" w:rsidRPr="00FA1E86" w:rsidRDefault="00722778" w:rsidP="00253C04">
            <w:pPr>
              <w:pStyle w:val="Tabletext0"/>
              <w:keepNext/>
            </w:pPr>
            <w:r w:rsidRPr="00FA1E86">
              <w:t>Baseline, mean (SD)</w:t>
            </w:r>
          </w:p>
        </w:tc>
        <w:tc>
          <w:tcPr>
            <w:tcW w:w="1803" w:type="dxa"/>
            <w:vAlign w:val="center"/>
          </w:tcPr>
          <w:p w14:paraId="27EF28AD" w14:textId="77777777" w:rsidR="00722778" w:rsidRPr="00FA1E86" w:rsidRDefault="00722778" w:rsidP="00253C04">
            <w:pPr>
              <w:pStyle w:val="Tabletext0"/>
              <w:keepNext/>
              <w:jc w:val="center"/>
            </w:pPr>
            <w:r w:rsidRPr="00FA1E86">
              <w:t>8.32 (1.08)</w:t>
            </w:r>
          </w:p>
        </w:tc>
        <w:tc>
          <w:tcPr>
            <w:tcW w:w="1803" w:type="dxa"/>
            <w:vAlign w:val="center"/>
          </w:tcPr>
          <w:p w14:paraId="1CF83B82" w14:textId="77777777" w:rsidR="00722778" w:rsidRPr="00FA1E86" w:rsidRDefault="00722778" w:rsidP="00253C04">
            <w:pPr>
              <w:pStyle w:val="Tabletext0"/>
              <w:keepNext/>
              <w:jc w:val="center"/>
            </w:pPr>
            <w:r w:rsidRPr="00FA1E86">
              <w:t>8.30 (1.02)</w:t>
            </w:r>
          </w:p>
        </w:tc>
        <w:tc>
          <w:tcPr>
            <w:tcW w:w="1804" w:type="dxa"/>
            <w:vAlign w:val="center"/>
          </w:tcPr>
          <w:p w14:paraId="7A0FA8B7" w14:textId="77777777" w:rsidR="00722778" w:rsidRPr="00FA1E86" w:rsidRDefault="00722778" w:rsidP="00253C04">
            <w:pPr>
              <w:pStyle w:val="Tabletext0"/>
              <w:keepNext/>
              <w:jc w:val="center"/>
            </w:pPr>
            <w:r w:rsidRPr="00FA1E86">
              <w:t>8.26 (1.00)</w:t>
            </w:r>
          </w:p>
        </w:tc>
        <w:tc>
          <w:tcPr>
            <w:tcW w:w="1804" w:type="dxa"/>
            <w:vAlign w:val="center"/>
          </w:tcPr>
          <w:p w14:paraId="45C8610D" w14:textId="77777777" w:rsidR="00722778" w:rsidRPr="00FA1E86" w:rsidRDefault="00722778" w:rsidP="00253C04">
            <w:pPr>
              <w:pStyle w:val="Tabletext0"/>
              <w:keepNext/>
              <w:jc w:val="center"/>
            </w:pPr>
            <w:r w:rsidRPr="00FA1E86">
              <w:t>8.25 (1.01)</w:t>
            </w:r>
          </w:p>
        </w:tc>
      </w:tr>
      <w:tr w:rsidR="00722778" w:rsidRPr="00FA1E86" w14:paraId="76ED870F" w14:textId="77777777" w:rsidTr="00253C04">
        <w:tc>
          <w:tcPr>
            <w:tcW w:w="1803" w:type="dxa"/>
            <w:vAlign w:val="center"/>
          </w:tcPr>
          <w:p w14:paraId="3BE0DDCB" w14:textId="77777777" w:rsidR="00722778" w:rsidRPr="00FA1E86" w:rsidRDefault="00722778" w:rsidP="00253C04">
            <w:pPr>
              <w:pStyle w:val="Tabletext0"/>
              <w:keepNext/>
            </w:pPr>
            <w:r w:rsidRPr="00FA1E86">
              <w:t>Week 40, mean (SD)</w:t>
            </w:r>
          </w:p>
        </w:tc>
        <w:tc>
          <w:tcPr>
            <w:tcW w:w="1803" w:type="dxa"/>
            <w:vAlign w:val="center"/>
          </w:tcPr>
          <w:p w14:paraId="3CA98FC9" w14:textId="77777777" w:rsidR="00722778" w:rsidRPr="00FA1E86" w:rsidRDefault="00722778" w:rsidP="00253C04">
            <w:pPr>
              <w:pStyle w:val="Tabletext0"/>
              <w:keepNext/>
              <w:jc w:val="center"/>
            </w:pPr>
            <w:r w:rsidRPr="00FA1E86">
              <w:t>6.23 (0.98)</w:t>
            </w:r>
          </w:p>
        </w:tc>
        <w:tc>
          <w:tcPr>
            <w:tcW w:w="1803" w:type="dxa"/>
            <w:vAlign w:val="center"/>
          </w:tcPr>
          <w:p w14:paraId="4FFDE018" w14:textId="77777777" w:rsidR="00722778" w:rsidRPr="00FA1E86" w:rsidRDefault="00722778" w:rsidP="00253C04">
            <w:pPr>
              <w:pStyle w:val="Tabletext0"/>
              <w:keepNext/>
              <w:jc w:val="center"/>
            </w:pPr>
            <w:r w:rsidRPr="00FA1E86">
              <w:t>5.99 (0.97)</w:t>
            </w:r>
          </w:p>
        </w:tc>
        <w:tc>
          <w:tcPr>
            <w:tcW w:w="1804" w:type="dxa"/>
            <w:vAlign w:val="center"/>
          </w:tcPr>
          <w:p w14:paraId="598ADCE6" w14:textId="77777777" w:rsidR="00722778" w:rsidRPr="00FA1E86" w:rsidRDefault="00722778" w:rsidP="00253C04">
            <w:pPr>
              <w:pStyle w:val="Tabletext0"/>
              <w:keepNext/>
              <w:jc w:val="center"/>
            </w:pPr>
            <w:r w:rsidRPr="00FA1E86">
              <w:t>5.92 (0.97)</w:t>
            </w:r>
          </w:p>
        </w:tc>
        <w:tc>
          <w:tcPr>
            <w:tcW w:w="1804" w:type="dxa"/>
            <w:vAlign w:val="center"/>
          </w:tcPr>
          <w:p w14:paraId="3F4937C6" w14:textId="77777777" w:rsidR="00722778" w:rsidRPr="00FA1E86" w:rsidRDefault="00722778" w:rsidP="00253C04">
            <w:pPr>
              <w:pStyle w:val="Tabletext0"/>
              <w:keepNext/>
              <w:jc w:val="center"/>
            </w:pPr>
            <w:r w:rsidRPr="00FA1E86">
              <w:t>6.37 (0.98)</w:t>
            </w:r>
          </w:p>
        </w:tc>
      </w:tr>
      <w:tr w:rsidR="00722778" w:rsidRPr="00FA1E86" w14:paraId="140E6733" w14:textId="77777777" w:rsidTr="00253C04">
        <w:tc>
          <w:tcPr>
            <w:tcW w:w="1803" w:type="dxa"/>
            <w:vAlign w:val="center"/>
          </w:tcPr>
          <w:p w14:paraId="11634C61" w14:textId="77777777" w:rsidR="00722778" w:rsidRPr="00FA1E86" w:rsidRDefault="00722778" w:rsidP="00253C04">
            <w:pPr>
              <w:pStyle w:val="Tabletext0"/>
              <w:keepNext/>
            </w:pPr>
            <w:r w:rsidRPr="00FA1E86">
              <w:t>Change from baseline, LSM (SE)</w:t>
            </w:r>
          </w:p>
        </w:tc>
        <w:tc>
          <w:tcPr>
            <w:tcW w:w="1803" w:type="dxa"/>
            <w:vAlign w:val="center"/>
          </w:tcPr>
          <w:p w14:paraId="2975D784" w14:textId="77777777" w:rsidR="00722778" w:rsidRPr="00FA1E86" w:rsidRDefault="00722778" w:rsidP="00253C04">
            <w:pPr>
              <w:pStyle w:val="Tabletext0"/>
              <w:keepNext/>
              <w:jc w:val="center"/>
            </w:pPr>
            <w:r w:rsidRPr="00FA1E86">
              <w:t>-2.01 (0.04)</w:t>
            </w:r>
          </w:p>
        </w:tc>
        <w:tc>
          <w:tcPr>
            <w:tcW w:w="1803" w:type="dxa"/>
            <w:vAlign w:val="center"/>
          </w:tcPr>
          <w:p w14:paraId="28D9B839" w14:textId="77777777" w:rsidR="00722778" w:rsidRPr="00FA1E86" w:rsidRDefault="00722778" w:rsidP="00253C04">
            <w:pPr>
              <w:pStyle w:val="Tabletext0"/>
              <w:keepNext/>
              <w:jc w:val="center"/>
            </w:pPr>
            <w:r w:rsidRPr="00FA1E86">
              <w:t>-2.24 (0.05)</w:t>
            </w:r>
          </w:p>
        </w:tc>
        <w:tc>
          <w:tcPr>
            <w:tcW w:w="1804" w:type="dxa"/>
            <w:vAlign w:val="center"/>
          </w:tcPr>
          <w:p w14:paraId="437D314F" w14:textId="77777777" w:rsidR="00722778" w:rsidRPr="00FA1E86" w:rsidRDefault="00722778" w:rsidP="00253C04">
            <w:pPr>
              <w:pStyle w:val="Tabletext0"/>
              <w:keepNext/>
              <w:jc w:val="center"/>
            </w:pPr>
            <w:r w:rsidRPr="00FA1E86">
              <w:t>-2.30 (0.05)</w:t>
            </w:r>
          </w:p>
        </w:tc>
        <w:tc>
          <w:tcPr>
            <w:tcW w:w="1804" w:type="dxa"/>
            <w:vAlign w:val="center"/>
          </w:tcPr>
          <w:p w14:paraId="34D96BEE" w14:textId="77777777" w:rsidR="00722778" w:rsidRPr="00FA1E86" w:rsidRDefault="00722778" w:rsidP="00253C04">
            <w:pPr>
              <w:pStyle w:val="Tabletext0"/>
              <w:keepNext/>
              <w:jc w:val="center"/>
            </w:pPr>
            <w:r w:rsidRPr="00FA1E86">
              <w:t>-1.86 (0.05)</w:t>
            </w:r>
          </w:p>
        </w:tc>
      </w:tr>
      <w:tr w:rsidR="00722778" w:rsidRPr="00FA1E86" w14:paraId="452152F2" w14:textId="77777777" w:rsidTr="00253C04">
        <w:tc>
          <w:tcPr>
            <w:tcW w:w="1803" w:type="dxa"/>
            <w:vAlign w:val="center"/>
          </w:tcPr>
          <w:p w14:paraId="0799CBEC" w14:textId="77777777" w:rsidR="00722778" w:rsidRPr="00FA1E86" w:rsidRDefault="00722778" w:rsidP="00253C04">
            <w:pPr>
              <w:pStyle w:val="Tabletext0"/>
              <w:keepNext/>
            </w:pPr>
            <w:r w:rsidRPr="00FA1E86">
              <w:t>Tirzepatide vs semaglutide, LSM difference (95% CI)</w:t>
            </w:r>
          </w:p>
        </w:tc>
        <w:tc>
          <w:tcPr>
            <w:tcW w:w="1803" w:type="dxa"/>
            <w:vAlign w:val="center"/>
          </w:tcPr>
          <w:p w14:paraId="3230DFA6" w14:textId="77777777" w:rsidR="00722778" w:rsidRPr="00FA1E86" w:rsidRDefault="00722778" w:rsidP="00253C04">
            <w:pPr>
              <w:pStyle w:val="Tabletext0"/>
              <w:keepNext/>
              <w:jc w:val="center"/>
              <w:rPr>
                <w:b/>
                <w:bCs/>
              </w:rPr>
            </w:pPr>
            <w:r w:rsidRPr="00FA1E86">
              <w:rPr>
                <w:b/>
                <w:bCs/>
              </w:rPr>
              <w:t>-0.15 (-0.28, -0.03)</w:t>
            </w:r>
          </w:p>
        </w:tc>
        <w:tc>
          <w:tcPr>
            <w:tcW w:w="1803" w:type="dxa"/>
            <w:vAlign w:val="center"/>
          </w:tcPr>
          <w:p w14:paraId="18009EA7" w14:textId="77777777" w:rsidR="00722778" w:rsidRPr="00FA1E86" w:rsidRDefault="00722778" w:rsidP="00253C04">
            <w:pPr>
              <w:pStyle w:val="Tabletext0"/>
              <w:keepNext/>
              <w:jc w:val="center"/>
              <w:rPr>
                <w:b/>
                <w:bCs/>
              </w:rPr>
            </w:pPr>
            <w:r w:rsidRPr="00FA1E86">
              <w:rPr>
                <w:b/>
                <w:bCs/>
              </w:rPr>
              <w:t>-0.39 (-0.51, -0.26)</w:t>
            </w:r>
          </w:p>
        </w:tc>
        <w:tc>
          <w:tcPr>
            <w:tcW w:w="1804" w:type="dxa"/>
            <w:vAlign w:val="center"/>
          </w:tcPr>
          <w:p w14:paraId="6AD31ABF" w14:textId="77777777" w:rsidR="00722778" w:rsidRPr="00FA1E86" w:rsidRDefault="00722778" w:rsidP="00253C04">
            <w:pPr>
              <w:pStyle w:val="Tabletext0"/>
              <w:keepNext/>
              <w:jc w:val="center"/>
              <w:rPr>
                <w:b/>
                <w:bCs/>
              </w:rPr>
            </w:pPr>
            <w:r w:rsidRPr="00FA1E86">
              <w:rPr>
                <w:b/>
                <w:bCs/>
              </w:rPr>
              <w:t>-0.45 (-0.57, -0.32)</w:t>
            </w:r>
          </w:p>
        </w:tc>
        <w:tc>
          <w:tcPr>
            <w:tcW w:w="1804" w:type="dxa"/>
            <w:vAlign w:val="center"/>
          </w:tcPr>
          <w:p w14:paraId="3FB6066D" w14:textId="77777777" w:rsidR="00722778" w:rsidRPr="00FA1E86" w:rsidRDefault="00722778" w:rsidP="00253C04">
            <w:pPr>
              <w:pStyle w:val="Tabletext0"/>
              <w:keepNext/>
              <w:jc w:val="center"/>
            </w:pPr>
            <w:r w:rsidRPr="00FA1E86">
              <w:t>-</w:t>
            </w:r>
          </w:p>
        </w:tc>
      </w:tr>
    </w:tbl>
    <w:p w14:paraId="2A77F577" w14:textId="77777777" w:rsidR="00722778" w:rsidRPr="00FA1E86" w:rsidRDefault="00722778" w:rsidP="00722778">
      <w:pPr>
        <w:pStyle w:val="COMTablefooter"/>
      </w:pPr>
      <w:r w:rsidRPr="00FA1E86">
        <w:t>Source: Table 2(a).5.1, p92 of the submission</w:t>
      </w:r>
    </w:p>
    <w:p w14:paraId="5710B11E" w14:textId="77777777" w:rsidR="00722778" w:rsidRPr="00FA1E86" w:rsidRDefault="00722778" w:rsidP="00722778">
      <w:pPr>
        <w:pStyle w:val="COMTablefooter"/>
      </w:pPr>
      <w:r w:rsidRPr="00FA1E86">
        <w:t>Abbreviations: CI, confidence interval; LSM, least squares mean; SD, standard deviation; SE, standard error</w:t>
      </w:r>
    </w:p>
    <w:p w14:paraId="7E823E93" w14:textId="3F111391" w:rsidR="00722778" w:rsidRPr="00FA1E86" w:rsidRDefault="00722778" w:rsidP="00722778">
      <w:pPr>
        <w:pStyle w:val="COMTablefooter"/>
        <w:rPr>
          <w:bCs/>
        </w:rPr>
      </w:pPr>
      <w:r w:rsidRPr="00FA1E86">
        <w:rPr>
          <w:bCs/>
        </w:rPr>
        <w:t>Note: Bolded estimates indicate statistically significant results based on graphical testing results controlled for Type I error</w:t>
      </w:r>
    </w:p>
    <w:p w14:paraId="0F6F4F30" w14:textId="7408C875" w:rsidR="00EC2D33" w:rsidRDefault="00722778" w:rsidP="00722778">
      <w:pPr>
        <w:pStyle w:val="COMexecsumnumberedpara"/>
      </w:pPr>
      <w:r w:rsidRPr="00FA1E86">
        <w:t>Treatment with tirzepatide 5 mg, 10 mg and 15 mg was associated with statistically significant reductions in HbA1c from baseline to Week 40 compared with semaglutide 1</w:t>
      </w:r>
      <w:r w:rsidR="00A44912">
        <w:t> </w:t>
      </w:r>
      <w:r w:rsidRPr="00FA1E86">
        <w:t>mg. The improvements were greater with increasing tirzepatide doses.</w:t>
      </w:r>
    </w:p>
    <w:p w14:paraId="753CF1A8" w14:textId="39E13306" w:rsidR="00722778" w:rsidRDefault="00722778" w:rsidP="00722778">
      <w:pPr>
        <w:pStyle w:val="COMexecsumnumberedpara"/>
      </w:pPr>
      <w:r w:rsidRPr="00FA1E86">
        <w:t>Analys</w:t>
      </w:r>
      <w:r w:rsidR="006C31AD" w:rsidRPr="00FA1E86">
        <w:t>e</w:t>
      </w:r>
      <w:r w:rsidRPr="00FA1E86">
        <w:t xml:space="preserve">s of results based on the efficacy estimand (data censored for patients who discontinued treatment or received rescue therapy) were consistently more favourable for tirzepatide compared to </w:t>
      </w:r>
      <w:r w:rsidRPr="001F3ADC">
        <w:t>semaglutide</w:t>
      </w:r>
      <w:r w:rsidR="00D713D5" w:rsidRPr="001F3ADC">
        <w:t xml:space="preserve"> (see below)</w:t>
      </w:r>
      <w:r w:rsidRPr="001F3ADC">
        <w:t>.</w:t>
      </w:r>
    </w:p>
    <w:p w14:paraId="597181EF" w14:textId="4DF51E01" w:rsidR="00D36AA9" w:rsidRPr="001F3ADC" w:rsidRDefault="00D36AA9" w:rsidP="00E94884">
      <w:pPr>
        <w:pStyle w:val="COMtablefigcaption"/>
      </w:pPr>
      <w:bookmarkStart w:id="25" w:name="_Ref137645352"/>
      <w:r w:rsidRPr="001F3ADC">
        <w:t xml:space="preserve">Table </w:t>
      </w:r>
      <w:fldSimple w:instr=" SEQ Table \* ARABIC " w:fldLock="1">
        <w:r w:rsidR="00B71E27">
          <w:rPr>
            <w:noProof/>
          </w:rPr>
          <w:t>5</w:t>
        </w:r>
      </w:fldSimple>
      <w:bookmarkEnd w:id="25"/>
      <w:r w:rsidRPr="001F3ADC">
        <w:t>:</w:t>
      </w:r>
      <w:r w:rsidR="00EC2D33">
        <w:t xml:space="preserve"> </w:t>
      </w:r>
      <w:r w:rsidRPr="001F3ADC">
        <w:t>Change in HbA1c from baseline: efficacy estimand</w:t>
      </w:r>
    </w:p>
    <w:tbl>
      <w:tblPr>
        <w:tblStyle w:val="TableGrid"/>
        <w:tblW w:w="5000" w:type="pct"/>
        <w:tblLook w:val="04A0" w:firstRow="1" w:lastRow="0" w:firstColumn="1" w:lastColumn="0" w:noHBand="0" w:noVBand="1"/>
      </w:tblPr>
      <w:tblGrid>
        <w:gridCol w:w="4508"/>
        <w:gridCol w:w="4509"/>
      </w:tblGrid>
      <w:tr w:rsidR="00D36AA9" w:rsidRPr="001F3ADC" w14:paraId="5F2E2D11" w14:textId="77777777" w:rsidTr="00D36AA9">
        <w:tc>
          <w:tcPr>
            <w:tcW w:w="2500" w:type="pct"/>
            <w:shd w:val="clear" w:color="auto" w:fill="F2F2F2"/>
          </w:tcPr>
          <w:p w14:paraId="7292918D" w14:textId="77777777" w:rsidR="00D36AA9" w:rsidRPr="001F3ADC" w:rsidRDefault="00D36AA9" w:rsidP="00253C04">
            <w:pPr>
              <w:keepNext/>
              <w:spacing w:afterLines="40" w:after="96"/>
              <w:jc w:val="center"/>
              <w:rPr>
                <w:rFonts w:eastAsia="Calibri" w:cs="Calibri"/>
                <w:b/>
                <w:sz w:val="20"/>
                <w:szCs w:val="20"/>
              </w:rPr>
            </w:pPr>
          </w:p>
        </w:tc>
        <w:tc>
          <w:tcPr>
            <w:tcW w:w="2500" w:type="pct"/>
            <w:shd w:val="clear" w:color="auto" w:fill="F2F2F2"/>
          </w:tcPr>
          <w:p w14:paraId="7BE6C55B" w14:textId="62554070" w:rsidR="00D36AA9" w:rsidRPr="001F3ADC" w:rsidRDefault="00D36AA9" w:rsidP="00253C04">
            <w:pPr>
              <w:keepNext/>
              <w:spacing w:afterLines="40" w:after="96"/>
              <w:jc w:val="center"/>
              <w:rPr>
                <w:rFonts w:eastAsia="Calibri" w:cs="Calibri"/>
                <w:b/>
                <w:sz w:val="20"/>
                <w:szCs w:val="20"/>
              </w:rPr>
            </w:pPr>
            <w:r w:rsidRPr="001F3ADC">
              <w:rPr>
                <w:rFonts w:eastAsia="Calibri" w:cs="Calibri"/>
                <w:b/>
                <w:sz w:val="20"/>
                <w:szCs w:val="20"/>
              </w:rPr>
              <w:t xml:space="preserve">Mean difference </w:t>
            </w:r>
          </w:p>
        </w:tc>
      </w:tr>
      <w:tr w:rsidR="00D36AA9" w:rsidRPr="001F3ADC" w14:paraId="33C9EF56" w14:textId="77777777" w:rsidTr="00D36AA9">
        <w:tc>
          <w:tcPr>
            <w:tcW w:w="2500" w:type="pct"/>
          </w:tcPr>
          <w:p w14:paraId="0983CC81" w14:textId="5B1E30E9" w:rsidR="00D36AA9" w:rsidRPr="001F3ADC" w:rsidRDefault="00D713D5" w:rsidP="00253C04">
            <w:pPr>
              <w:keepNext/>
              <w:spacing w:afterLines="40" w:after="96"/>
              <w:rPr>
                <w:rFonts w:ascii="Arial Narrow" w:eastAsia="Calibri" w:hAnsi="Arial Narrow" w:cs="Calibri"/>
                <w:sz w:val="20"/>
                <w:szCs w:val="20"/>
              </w:rPr>
            </w:pPr>
            <w:r w:rsidRPr="001F3ADC">
              <w:rPr>
                <w:rFonts w:ascii="Arial Narrow" w:eastAsia="Calibri" w:hAnsi="Arial Narrow" w:cs="Calibri"/>
                <w:sz w:val="20"/>
                <w:szCs w:val="20"/>
              </w:rPr>
              <w:t>ti</w:t>
            </w:r>
            <w:r w:rsidR="00F642B7" w:rsidRPr="001F3ADC">
              <w:rPr>
                <w:rFonts w:ascii="Arial Narrow" w:eastAsia="Calibri" w:hAnsi="Arial Narrow" w:cs="Calibri"/>
                <w:sz w:val="20"/>
                <w:szCs w:val="20"/>
              </w:rPr>
              <w:t>r</w:t>
            </w:r>
            <w:r w:rsidRPr="001F3ADC">
              <w:rPr>
                <w:rFonts w:ascii="Arial Narrow" w:eastAsia="Calibri" w:hAnsi="Arial Narrow" w:cs="Calibri"/>
                <w:sz w:val="20"/>
                <w:szCs w:val="20"/>
              </w:rPr>
              <w:t>zepatide</w:t>
            </w:r>
            <w:r w:rsidR="00D36AA9" w:rsidRPr="001F3ADC">
              <w:rPr>
                <w:rFonts w:ascii="Arial Narrow" w:eastAsia="Calibri" w:hAnsi="Arial Narrow" w:cs="Calibri"/>
                <w:sz w:val="20"/>
                <w:szCs w:val="20"/>
              </w:rPr>
              <w:t xml:space="preserve"> 5 mg vs semaglutide 0.5 mg *</w:t>
            </w:r>
          </w:p>
        </w:tc>
        <w:tc>
          <w:tcPr>
            <w:tcW w:w="2500" w:type="pct"/>
          </w:tcPr>
          <w:p w14:paraId="204936D9" w14:textId="1D435149" w:rsidR="00D36AA9" w:rsidRPr="001F3ADC" w:rsidRDefault="00D36AA9" w:rsidP="00253C04">
            <w:pPr>
              <w:keepNext/>
              <w:spacing w:afterLines="40" w:after="96"/>
              <w:jc w:val="center"/>
              <w:rPr>
                <w:rFonts w:ascii="Arial Narrow" w:eastAsia="Calibri" w:hAnsi="Arial Narrow" w:cs="Calibri"/>
                <w:b/>
                <w:bCs/>
                <w:sz w:val="20"/>
                <w:szCs w:val="20"/>
              </w:rPr>
            </w:pPr>
            <w:r w:rsidRPr="001F3ADC">
              <w:rPr>
                <w:rFonts w:ascii="Arial Narrow" w:eastAsia="Calibri" w:hAnsi="Arial Narrow" w:cs="Calibri"/>
                <w:b/>
                <w:bCs/>
                <w:sz w:val="20"/>
                <w:szCs w:val="20"/>
              </w:rPr>
              <w:noBreakHyphen/>
              <w:t>0.53 (</w:t>
            </w:r>
            <w:r w:rsidRPr="001F3ADC">
              <w:rPr>
                <w:rFonts w:ascii="Arial Narrow" w:eastAsia="Calibri" w:hAnsi="Arial Narrow" w:cs="Calibri"/>
                <w:b/>
                <w:bCs/>
                <w:sz w:val="20"/>
                <w:szCs w:val="20"/>
              </w:rPr>
              <w:noBreakHyphen/>
              <w:t xml:space="preserve">0.74, </w:t>
            </w:r>
            <w:r w:rsidRPr="001F3ADC">
              <w:rPr>
                <w:rFonts w:ascii="Arial Narrow" w:eastAsia="Calibri" w:hAnsi="Arial Narrow" w:cs="Calibri"/>
                <w:b/>
                <w:bCs/>
                <w:sz w:val="20"/>
                <w:szCs w:val="20"/>
              </w:rPr>
              <w:noBreakHyphen/>
              <w:t>0.32)</w:t>
            </w:r>
          </w:p>
        </w:tc>
      </w:tr>
      <w:tr w:rsidR="00D713D5" w:rsidRPr="001F3ADC" w14:paraId="11B27E2B" w14:textId="77777777" w:rsidTr="00253C04">
        <w:tc>
          <w:tcPr>
            <w:tcW w:w="2500" w:type="pct"/>
          </w:tcPr>
          <w:p w14:paraId="1BBD9D7E" w14:textId="43F248F2" w:rsidR="00D713D5" w:rsidRPr="001F3ADC" w:rsidRDefault="00D713D5" w:rsidP="00253C04">
            <w:pPr>
              <w:keepNext/>
              <w:spacing w:afterLines="40" w:after="96"/>
              <w:rPr>
                <w:rFonts w:ascii="Arial Narrow" w:eastAsia="Calibri" w:hAnsi="Arial Narrow" w:cs="Calibri"/>
                <w:sz w:val="20"/>
                <w:szCs w:val="20"/>
              </w:rPr>
            </w:pPr>
            <w:r w:rsidRPr="001F3ADC">
              <w:rPr>
                <w:rFonts w:ascii="Arial Narrow" w:eastAsia="Calibri" w:hAnsi="Arial Narrow" w:cs="Calibri"/>
                <w:sz w:val="20"/>
                <w:szCs w:val="20"/>
              </w:rPr>
              <w:t>ti</w:t>
            </w:r>
            <w:r w:rsidR="00F642B7" w:rsidRPr="001F3ADC">
              <w:rPr>
                <w:rFonts w:ascii="Arial Narrow" w:eastAsia="Calibri" w:hAnsi="Arial Narrow" w:cs="Calibri"/>
                <w:sz w:val="20"/>
                <w:szCs w:val="20"/>
              </w:rPr>
              <w:t>r</w:t>
            </w:r>
            <w:r w:rsidRPr="001F3ADC">
              <w:rPr>
                <w:rFonts w:ascii="Arial Narrow" w:eastAsia="Calibri" w:hAnsi="Arial Narrow" w:cs="Calibri"/>
                <w:sz w:val="20"/>
                <w:szCs w:val="20"/>
              </w:rPr>
              <w:t xml:space="preserve">zepatide 5 mg vs semaglutide 1 mg ^ </w:t>
            </w:r>
          </w:p>
        </w:tc>
        <w:tc>
          <w:tcPr>
            <w:tcW w:w="2500" w:type="pct"/>
          </w:tcPr>
          <w:p w14:paraId="544FBA7F" w14:textId="51591E28" w:rsidR="00D713D5" w:rsidRPr="001F3ADC" w:rsidRDefault="00D713D5" w:rsidP="00253C04">
            <w:pPr>
              <w:keepNext/>
              <w:spacing w:afterLines="40" w:after="96"/>
              <w:jc w:val="center"/>
              <w:rPr>
                <w:rFonts w:ascii="Arial Narrow" w:eastAsia="Calibri" w:hAnsi="Arial Narrow" w:cs="Calibri"/>
                <w:b/>
                <w:bCs/>
                <w:sz w:val="20"/>
                <w:szCs w:val="20"/>
              </w:rPr>
            </w:pPr>
            <w:r w:rsidRPr="001F3ADC">
              <w:rPr>
                <w:rFonts w:ascii="Arial Narrow" w:eastAsia="Calibri" w:hAnsi="Arial Narrow" w:cs="Calibri"/>
                <w:b/>
                <w:bCs/>
                <w:sz w:val="20"/>
                <w:szCs w:val="20"/>
              </w:rPr>
              <w:noBreakHyphen/>
              <w:t>0.23 (</w:t>
            </w:r>
            <w:r w:rsidRPr="001F3ADC">
              <w:rPr>
                <w:rFonts w:ascii="Arial Narrow" w:eastAsia="Calibri" w:hAnsi="Arial Narrow" w:cs="Calibri"/>
                <w:b/>
                <w:bCs/>
                <w:sz w:val="20"/>
                <w:szCs w:val="20"/>
              </w:rPr>
              <w:noBreakHyphen/>
              <w:t>0.</w:t>
            </w:r>
            <w:r w:rsidR="0046322E" w:rsidRPr="001F3ADC">
              <w:rPr>
                <w:rFonts w:ascii="Arial Narrow" w:eastAsia="Calibri" w:hAnsi="Arial Narrow" w:cs="Calibri"/>
                <w:b/>
                <w:bCs/>
                <w:sz w:val="20"/>
                <w:szCs w:val="20"/>
              </w:rPr>
              <w:t>36</w:t>
            </w:r>
            <w:r w:rsidRPr="001F3ADC">
              <w:rPr>
                <w:rFonts w:ascii="Arial Narrow" w:eastAsia="Calibri" w:hAnsi="Arial Narrow" w:cs="Calibri"/>
                <w:b/>
                <w:bCs/>
                <w:sz w:val="20"/>
                <w:szCs w:val="20"/>
              </w:rPr>
              <w:t xml:space="preserve">, </w:t>
            </w:r>
            <w:r w:rsidRPr="001F3ADC">
              <w:rPr>
                <w:rFonts w:ascii="Arial Narrow" w:eastAsia="Calibri" w:hAnsi="Arial Narrow" w:cs="Calibri"/>
                <w:b/>
                <w:bCs/>
                <w:sz w:val="20"/>
                <w:szCs w:val="20"/>
              </w:rPr>
              <w:noBreakHyphen/>
              <w:t>0.</w:t>
            </w:r>
            <w:r w:rsidR="0046322E" w:rsidRPr="001F3ADC">
              <w:rPr>
                <w:rFonts w:ascii="Arial Narrow" w:eastAsia="Calibri" w:hAnsi="Arial Narrow" w:cs="Calibri"/>
                <w:b/>
                <w:bCs/>
                <w:sz w:val="20"/>
                <w:szCs w:val="20"/>
              </w:rPr>
              <w:t>10</w:t>
            </w:r>
            <w:r w:rsidR="00AC1207">
              <w:rPr>
                <w:rFonts w:ascii="Arial Narrow" w:eastAsia="Calibri" w:hAnsi="Arial Narrow" w:cs="Calibri"/>
                <w:b/>
                <w:bCs/>
                <w:sz w:val="20"/>
                <w:szCs w:val="20"/>
              </w:rPr>
              <w:t>)</w:t>
            </w:r>
          </w:p>
        </w:tc>
      </w:tr>
      <w:tr w:rsidR="00D36AA9" w:rsidRPr="001F3ADC" w14:paraId="2D39C6DE" w14:textId="77777777" w:rsidTr="00D36AA9">
        <w:tc>
          <w:tcPr>
            <w:tcW w:w="2500" w:type="pct"/>
          </w:tcPr>
          <w:p w14:paraId="64EF7B2D" w14:textId="65979AE5" w:rsidR="00D36AA9" w:rsidRPr="001F3ADC" w:rsidRDefault="00D713D5" w:rsidP="00253C04">
            <w:pPr>
              <w:keepNext/>
              <w:spacing w:afterLines="40" w:after="96"/>
              <w:rPr>
                <w:rFonts w:ascii="Arial Narrow" w:eastAsia="Calibri" w:hAnsi="Arial Narrow" w:cs="Calibri"/>
                <w:sz w:val="20"/>
                <w:szCs w:val="20"/>
              </w:rPr>
            </w:pPr>
            <w:r w:rsidRPr="001F3ADC">
              <w:rPr>
                <w:rFonts w:ascii="Arial Narrow" w:eastAsia="Calibri" w:hAnsi="Arial Narrow" w:cs="Calibri"/>
                <w:sz w:val="20"/>
                <w:szCs w:val="20"/>
              </w:rPr>
              <w:t>tirzepatide</w:t>
            </w:r>
            <w:r w:rsidR="00D36AA9" w:rsidRPr="001F3ADC">
              <w:rPr>
                <w:rFonts w:ascii="Arial Narrow" w:eastAsia="Calibri" w:hAnsi="Arial Narrow" w:cs="Calibri"/>
                <w:sz w:val="20"/>
                <w:szCs w:val="20"/>
              </w:rPr>
              <w:t xml:space="preserve"> 10 mg vs semaglutide 1 mg ^</w:t>
            </w:r>
          </w:p>
        </w:tc>
        <w:tc>
          <w:tcPr>
            <w:tcW w:w="2500" w:type="pct"/>
          </w:tcPr>
          <w:p w14:paraId="52554B62" w14:textId="5C11D69F" w:rsidR="00D36AA9" w:rsidRPr="001F3ADC" w:rsidRDefault="00D36AA9" w:rsidP="00253C04">
            <w:pPr>
              <w:keepNext/>
              <w:spacing w:afterLines="40" w:after="96"/>
              <w:jc w:val="center"/>
              <w:rPr>
                <w:rFonts w:ascii="Arial Narrow" w:eastAsia="Calibri" w:hAnsi="Arial Narrow" w:cs="Calibri"/>
                <w:b/>
                <w:bCs/>
                <w:sz w:val="20"/>
                <w:szCs w:val="20"/>
              </w:rPr>
            </w:pPr>
            <w:r w:rsidRPr="001F3ADC">
              <w:rPr>
                <w:rFonts w:ascii="Arial Narrow" w:eastAsia="Calibri" w:hAnsi="Arial Narrow" w:cs="Calibri"/>
                <w:b/>
                <w:bCs/>
                <w:sz w:val="20"/>
                <w:szCs w:val="20"/>
              </w:rPr>
              <w:noBreakHyphen/>
              <w:t>0.5</w:t>
            </w:r>
            <w:r w:rsidR="00D713D5" w:rsidRPr="001F3ADC">
              <w:rPr>
                <w:rFonts w:ascii="Arial Narrow" w:eastAsia="Calibri" w:hAnsi="Arial Narrow" w:cs="Calibri"/>
                <w:b/>
                <w:bCs/>
                <w:sz w:val="20"/>
                <w:szCs w:val="20"/>
              </w:rPr>
              <w:t>1</w:t>
            </w:r>
            <w:r w:rsidRPr="001F3ADC">
              <w:rPr>
                <w:rFonts w:ascii="Arial Narrow" w:eastAsia="Calibri" w:hAnsi="Arial Narrow" w:cs="Calibri"/>
                <w:b/>
                <w:bCs/>
                <w:sz w:val="20"/>
                <w:szCs w:val="20"/>
              </w:rPr>
              <w:t xml:space="preserve"> (</w:t>
            </w:r>
            <w:r w:rsidRPr="001F3ADC">
              <w:rPr>
                <w:rFonts w:ascii="Arial Narrow" w:eastAsia="Calibri" w:hAnsi="Arial Narrow" w:cs="Calibri"/>
                <w:b/>
                <w:bCs/>
                <w:sz w:val="20"/>
                <w:szCs w:val="20"/>
              </w:rPr>
              <w:noBreakHyphen/>
              <w:t xml:space="preserve">0.64, </w:t>
            </w:r>
            <w:r w:rsidRPr="001F3ADC">
              <w:rPr>
                <w:rFonts w:ascii="Arial Narrow" w:eastAsia="Calibri" w:hAnsi="Arial Narrow" w:cs="Calibri"/>
                <w:b/>
                <w:bCs/>
                <w:sz w:val="20"/>
                <w:szCs w:val="20"/>
              </w:rPr>
              <w:noBreakHyphen/>
              <w:t>0.38</w:t>
            </w:r>
            <w:r w:rsidR="00364395" w:rsidRPr="001F3ADC">
              <w:rPr>
                <w:rFonts w:ascii="Arial Narrow" w:eastAsia="Calibri" w:hAnsi="Arial Narrow" w:cs="Calibri"/>
                <w:b/>
                <w:bCs/>
                <w:sz w:val="20"/>
                <w:szCs w:val="20"/>
              </w:rPr>
              <w:t>)</w:t>
            </w:r>
          </w:p>
        </w:tc>
      </w:tr>
      <w:tr w:rsidR="00D36AA9" w:rsidRPr="001F3ADC" w14:paraId="18C6D98D" w14:textId="77777777" w:rsidTr="00D36AA9">
        <w:tc>
          <w:tcPr>
            <w:tcW w:w="2500" w:type="pct"/>
          </w:tcPr>
          <w:p w14:paraId="1C8F0B71" w14:textId="41CD01E0" w:rsidR="00D36AA9" w:rsidRPr="001F3ADC" w:rsidRDefault="00D713D5" w:rsidP="00253C04">
            <w:pPr>
              <w:keepNext/>
              <w:spacing w:afterLines="40" w:after="96"/>
              <w:rPr>
                <w:rFonts w:ascii="Arial Narrow" w:eastAsia="Calibri" w:hAnsi="Arial Narrow" w:cs="Calibri"/>
                <w:sz w:val="20"/>
                <w:szCs w:val="20"/>
              </w:rPr>
            </w:pPr>
            <w:r w:rsidRPr="001F3ADC">
              <w:rPr>
                <w:rFonts w:ascii="Arial Narrow" w:eastAsia="Calibri" w:hAnsi="Arial Narrow" w:cs="Calibri"/>
                <w:sz w:val="20"/>
                <w:szCs w:val="20"/>
              </w:rPr>
              <w:t>t</w:t>
            </w:r>
            <w:r w:rsidR="00F642B7" w:rsidRPr="001F3ADC">
              <w:rPr>
                <w:rFonts w:ascii="Arial Narrow" w:eastAsia="Calibri" w:hAnsi="Arial Narrow" w:cs="Calibri"/>
                <w:sz w:val="20"/>
                <w:szCs w:val="20"/>
              </w:rPr>
              <w:t>i</w:t>
            </w:r>
            <w:r w:rsidRPr="001F3ADC">
              <w:rPr>
                <w:rFonts w:ascii="Arial Narrow" w:eastAsia="Calibri" w:hAnsi="Arial Narrow" w:cs="Calibri"/>
                <w:sz w:val="20"/>
                <w:szCs w:val="20"/>
              </w:rPr>
              <w:t>rzepatide</w:t>
            </w:r>
            <w:r w:rsidR="00D36AA9" w:rsidRPr="001F3ADC">
              <w:rPr>
                <w:rFonts w:ascii="Arial Narrow" w:eastAsia="Calibri" w:hAnsi="Arial Narrow" w:cs="Calibri"/>
                <w:sz w:val="20"/>
                <w:szCs w:val="20"/>
              </w:rPr>
              <w:t xml:space="preserve"> 15 mg vs semaglutide 1 mg ^</w:t>
            </w:r>
          </w:p>
        </w:tc>
        <w:tc>
          <w:tcPr>
            <w:tcW w:w="2500" w:type="pct"/>
          </w:tcPr>
          <w:p w14:paraId="36B6AAE5" w14:textId="0934D856" w:rsidR="00D36AA9" w:rsidRPr="001F3ADC" w:rsidRDefault="00D36AA9" w:rsidP="00253C04">
            <w:pPr>
              <w:keepNext/>
              <w:spacing w:afterLines="40" w:after="96"/>
              <w:jc w:val="center"/>
              <w:rPr>
                <w:rFonts w:ascii="Arial Narrow" w:eastAsia="Calibri" w:hAnsi="Arial Narrow" w:cs="Calibri"/>
                <w:b/>
                <w:bCs/>
                <w:sz w:val="20"/>
                <w:szCs w:val="20"/>
              </w:rPr>
            </w:pPr>
            <w:r w:rsidRPr="001F3ADC">
              <w:rPr>
                <w:rFonts w:ascii="Arial Narrow" w:eastAsia="Calibri" w:hAnsi="Arial Narrow" w:cs="Calibri"/>
                <w:b/>
                <w:bCs/>
                <w:sz w:val="20"/>
                <w:szCs w:val="20"/>
              </w:rPr>
              <w:noBreakHyphen/>
              <w:t>0.60 (</w:t>
            </w:r>
            <w:r w:rsidRPr="001F3ADC">
              <w:rPr>
                <w:rFonts w:ascii="Arial Narrow" w:eastAsia="Calibri" w:hAnsi="Arial Narrow" w:cs="Calibri"/>
                <w:b/>
                <w:bCs/>
                <w:sz w:val="20"/>
                <w:szCs w:val="20"/>
              </w:rPr>
              <w:noBreakHyphen/>
              <w:t xml:space="preserve">0.73, </w:t>
            </w:r>
            <w:r w:rsidRPr="001F3ADC">
              <w:rPr>
                <w:rFonts w:ascii="Arial Narrow" w:eastAsia="Calibri" w:hAnsi="Arial Narrow" w:cs="Calibri"/>
                <w:b/>
                <w:bCs/>
                <w:sz w:val="20"/>
                <w:szCs w:val="20"/>
              </w:rPr>
              <w:noBreakHyphen/>
              <w:t>0.47</w:t>
            </w:r>
            <w:r w:rsidR="00364395" w:rsidRPr="001F3ADC">
              <w:rPr>
                <w:rFonts w:ascii="Arial Narrow" w:eastAsia="Calibri" w:hAnsi="Arial Narrow" w:cs="Calibri"/>
                <w:b/>
                <w:bCs/>
                <w:sz w:val="20"/>
                <w:szCs w:val="20"/>
              </w:rPr>
              <w:t>)</w:t>
            </w:r>
          </w:p>
        </w:tc>
      </w:tr>
    </w:tbl>
    <w:p w14:paraId="255816E2" w14:textId="0FFF3535" w:rsidR="00EC2D33" w:rsidRDefault="00D36AA9" w:rsidP="0046322E">
      <w:pPr>
        <w:tabs>
          <w:tab w:val="left" w:pos="416"/>
          <w:tab w:val="left" w:pos="582"/>
        </w:tabs>
        <w:rPr>
          <w:rFonts w:ascii="Arial Narrow" w:eastAsia="Calibri" w:hAnsi="Arial Narrow" w:cs="Calibri"/>
          <w:sz w:val="18"/>
          <w:szCs w:val="18"/>
        </w:rPr>
      </w:pPr>
      <w:r w:rsidRPr="001F3ADC">
        <w:rPr>
          <w:rFonts w:ascii="Arial Narrow" w:eastAsia="Calibri" w:hAnsi="Arial Narrow" w:cs="Calibri"/>
          <w:sz w:val="18"/>
          <w:szCs w:val="18"/>
        </w:rPr>
        <w:t>Source: Submission, Table 2(a).</w:t>
      </w:r>
      <w:r w:rsidR="00D713D5" w:rsidRPr="001F3ADC">
        <w:rPr>
          <w:rFonts w:ascii="Arial Narrow" w:eastAsia="Calibri" w:hAnsi="Arial Narrow" w:cs="Calibri"/>
          <w:sz w:val="18"/>
          <w:szCs w:val="18"/>
        </w:rPr>
        <w:t>5</w:t>
      </w:r>
      <w:r w:rsidRPr="001F3ADC">
        <w:rPr>
          <w:rFonts w:ascii="Arial Narrow" w:eastAsia="Calibri" w:hAnsi="Arial Narrow" w:cs="Calibri"/>
          <w:sz w:val="18"/>
          <w:szCs w:val="18"/>
        </w:rPr>
        <w:t>.1, p</w:t>
      </w:r>
      <w:r w:rsidR="00D713D5" w:rsidRPr="001F3ADC">
        <w:rPr>
          <w:rFonts w:ascii="Arial Narrow" w:eastAsia="Calibri" w:hAnsi="Arial Narrow" w:cs="Calibri"/>
          <w:sz w:val="18"/>
          <w:szCs w:val="18"/>
        </w:rPr>
        <w:t>92</w:t>
      </w:r>
      <w:r w:rsidRPr="001F3ADC">
        <w:rPr>
          <w:rFonts w:ascii="Arial Narrow" w:eastAsia="Calibri" w:hAnsi="Arial Narrow" w:cs="Calibri"/>
          <w:sz w:val="18"/>
          <w:szCs w:val="18"/>
        </w:rPr>
        <w:t xml:space="preserve">; PSCR </w:t>
      </w:r>
    </w:p>
    <w:p w14:paraId="0C19F1E8" w14:textId="3C3DAE64" w:rsidR="00F53E01" w:rsidRPr="001F3ADC" w:rsidRDefault="00F53E01" w:rsidP="0046322E">
      <w:pPr>
        <w:tabs>
          <w:tab w:val="left" w:pos="416"/>
          <w:tab w:val="left" w:pos="582"/>
        </w:tabs>
        <w:rPr>
          <w:rFonts w:ascii="Arial Narrow" w:eastAsia="Calibri" w:hAnsi="Arial Narrow" w:cs="Calibri"/>
          <w:sz w:val="18"/>
          <w:szCs w:val="18"/>
        </w:rPr>
      </w:pPr>
      <w:r w:rsidRPr="001F3ADC">
        <w:rPr>
          <w:rFonts w:ascii="Arial Narrow" w:eastAsia="Calibri" w:hAnsi="Arial Narrow" w:cs="Calibri"/>
          <w:sz w:val="18"/>
          <w:szCs w:val="18"/>
        </w:rPr>
        <w:t>* indirect comparison; ^ head-to-head comparison</w:t>
      </w:r>
    </w:p>
    <w:p w14:paraId="2D5C0000" w14:textId="77777777" w:rsidR="00EC2D33" w:rsidRDefault="00722778" w:rsidP="00F53E01">
      <w:pPr>
        <w:pStyle w:val="COMexecsumnumberedpara"/>
        <w:spacing w:before="240"/>
      </w:pPr>
      <w:r w:rsidRPr="00FA1E86">
        <w:t xml:space="preserve">Subgroup analyses of HbA1c results indicated that </w:t>
      </w:r>
      <w:r w:rsidR="00E532A1" w:rsidRPr="00FA1E86">
        <w:t>race and baseline BMI may be potential treatment effect modifiers.</w:t>
      </w:r>
    </w:p>
    <w:p w14:paraId="3CBCA552" w14:textId="04B61D4D" w:rsidR="00722778" w:rsidRPr="001F3ADC" w:rsidRDefault="00722778" w:rsidP="00722778">
      <w:pPr>
        <w:pStyle w:val="COMexecsumnumberedpara"/>
        <w:rPr>
          <w:color w:val="0066FF"/>
        </w:rPr>
      </w:pPr>
      <w:bookmarkStart w:id="26" w:name="_Ref141699277"/>
      <w:r w:rsidRPr="00065852">
        <w:t xml:space="preserve">The submission claimed the results demonstrated superiority for all three doses of tirzepatide compared to semaglutide. The results </w:t>
      </w:r>
      <w:r w:rsidRPr="001F3ADC">
        <w:t>met the primary outcome of non-inferiority and secondary outcome of superiority in terms of statistical significance</w:t>
      </w:r>
      <w:r w:rsidR="00AE64B3" w:rsidRPr="001F3ADC">
        <w:t>.</w:t>
      </w:r>
      <w:r w:rsidRPr="001F3ADC">
        <w:t xml:space="preserve"> </w:t>
      </w:r>
      <w:r w:rsidR="00AE64B3" w:rsidRPr="001F3ADC">
        <w:t>H</w:t>
      </w:r>
      <w:r w:rsidRPr="001F3ADC">
        <w:t xml:space="preserve">owever, the point estimates </w:t>
      </w:r>
      <w:r w:rsidR="00F53E01" w:rsidRPr="001F3ADC">
        <w:t xml:space="preserve">for the treatment regimen estimand </w:t>
      </w:r>
      <w:r w:rsidRPr="001F3ADC">
        <w:t xml:space="preserve">did not exceed the </w:t>
      </w:r>
      <w:r w:rsidR="00AE64B3" w:rsidRPr="001F3ADC">
        <w:t xml:space="preserve">submission’s </w:t>
      </w:r>
      <w:r w:rsidRPr="001F3ADC">
        <w:t xml:space="preserve">nominated </w:t>
      </w:r>
      <w:r w:rsidR="00AE64B3" w:rsidRPr="001F3ADC">
        <w:t>minimal clinically important difference</w:t>
      </w:r>
      <w:r w:rsidR="00D713D5" w:rsidRPr="001F3ADC">
        <w:t xml:space="preserve"> (MCID)</w:t>
      </w:r>
      <w:r w:rsidRPr="001F3ADC">
        <w:t xml:space="preserve"> of 0.5</w:t>
      </w:r>
      <w:r w:rsidR="005130B1" w:rsidRPr="001F3ADC">
        <w:t xml:space="preserve"> percentage points</w:t>
      </w:r>
      <w:r w:rsidRPr="001F3ADC">
        <w:t>.</w:t>
      </w:r>
      <w:r w:rsidR="00AE64B3" w:rsidRPr="001F3ADC">
        <w:t xml:space="preserve"> The submission claimed the PBAC has previously considered a 0.5</w:t>
      </w:r>
      <w:r w:rsidR="005130B1" w:rsidRPr="001F3ADC">
        <w:t xml:space="preserve"> percentage point</w:t>
      </w:r>
      <w:r w:rsidR="00AE64B3" w:rsidRPr="001F3ADC">
        <w:t xml:space="preserve"> reduction in HbA1c as a potential </w:t>
      </w:r>
      <w:r w:rsidR="00D713D5" w:rsidRPr="001F3ADC">
        <w:t>MCID</w:t>
      </w:r>
      <w:r w:rsidR="00AE64B3" w:rsidRPr="001F3ADC">
        <w:t xml:space="preserve"> for testing superiority </w:t>
      </w:r>
      <w:r w:rsidR="00AE64B3" w:rsidRPr="001F3ADC">
        <w:lastRenderedPageBreak/>
        <w:t>(</w:t>
      </w:r>
      <w:bookmarkStart w:id="27" w:name="_Hlk137394458"/>
      <w:r w:rsidR="00AE64B3" w:rsidRPr="001F3ADC">
        <w:t xml:space="preserve">semaglutide </w:t>
      </w:r>
      <w:r w:rsidR="00F41D1D" w:rsidRPr="00F41D1D">
        <w:t>Public Summary Documen</w:t>
      </w:r>
      <w:r w:rsidR="00086720">
        <w:t>t</w:t>
      </w:r>
      <w:r w:rsidR="005D58E9">
        <w:t xml:space="preserve"> </w:t>
      </w:r>
      <w:r w:rsidR="00F41D1D">
        <w:t>(</w:t>
      </w:r>
      <w:r w:rsidR="00AE64B3" w:rsidRPr="001F3ADC">
        <w:t>PSD</w:t>
      </w:r>
      <w:r w:rsidR="00F41D1D">
        <w:t>)</w:t>
      </w:r>
      <w:r w:rsidR="00AE64B3" w:rsidRPr="001F3ADC">
        <w:t xml:space="preserve">, November 2019 </w:t>
      </w:r>
      <w:bookmarkEnd w:id="27"/>
      <w:r w:rsidR="00AE64B3" w:rsidRPr="001F3ADC">
        <w:t xml:space="preserve">and March 2021 PBAC meetings). </w:t>
      </w:r>
      <w:r w:rsidRPr="001F3ADC">
        <w:t xml:space="preserve">The clinical importance of the magnitude of reduction in HbA1c is uncertain given the changing treatment algorithms based on </w:t>
      </w:r>
      <w:r w:rsidR="003D38FC" w:rsidRPr="001F3ADC">
        <w:t xml:space="preserve">more </w:t>
      </w:r>
      <w:r w:rsidRPr="001F3ADC">
        <w:t>patient-centred outcomes.</w:t>
      </w:r>
      <w:r w:rsidR="006569D3" w:rsidRPr="001F3ADC">
        <w:t xml:space="preserve"> The ESC </w:t>
      </w:r>
      <w:r w:rsidR="008128AD" w:rsidRPr="001F3ADC">
        <w:t>considered the claim of superiority for all three dose</w:t>
      </w:r>
      <w:r w:rsidR="007B0A8B" w:rsidRPr="001F3ADC">
        <w:t>s</w:t>
      </w:r>
      <w:r w:rsidR="008128AD" w:rsidRPr="001F3ADC">
        <w:t xml:space="preserve"> of tirzepatide was supported by statistical significance</w:t>
      </w:r>
      <w:r w:rsidR="00D713D5" w:rsidRPr="001F3ADC">
        <w:t xml:space="preserve"> </w:t>
      </w:r>
      <w:r w:rsidR="008128AD" w:rsidRPr="001F3ADC">
        <w:t xml:space="preserve">but </w:t>
      </w:r>
      <w:r w:rsidR="006569D3" w:rsidRPr="001F3ADC">
        <w:t>questioned whether the superior benefit in HbA1c was clinically meaningful</w:t>
      </w:r>
      <w:r w:rsidR="00982325" w:rsidRPr="001F3ADC">
        <w:t xml:space="preserve"> given the </w:t>
      </w:r>
      <w:r w:rsidR="00D80A3C" w:rsidRPr="001F3ADC">
        <w:t>MCID</w:t>
      </w:r>
      <w:r w:rsidR="00982325" w:rsidRPr="001F3ADC">
        <w:t xml:space="preserve"> had not been met</w:t>
      </w:r>
      <w:r w:rsidR="00F53E01" w:rsidRPr="001F3ADC">
        <w:t xml:space="preserve"> </w:t>
      </w:r>
      <w:r w:rsidR="00364395" w:rsidRPr="001F3ADC">
        <w:t xml:space="preserve">for the mean differences </w:t>
      </w:r>
      <w:r w:rsidR="00F53E01" w:rsidRPr="001F3ADC">
        <w:t>based on the treatment regimen estimand</w:t>
      </w:r>
      <w:r w:rsidR="00364395" w:rsidRPr="001F3ADC">
        <w:t xml:space="preserve"> presented in the evaluation</w:t>
      </w:r>
      <w:r w:rsidR="00885FE5" w:rsidRPr="001F3ADC">
        <w:t>.</w:t>
      </w:r>
      <w:r w:rsidR="00F53E01" w:rsidRPr="001F3ADC">
        <w:t xml:space="preserve"> The ESC noted that</w:t>
      </w:r>
      <w:r w:rsidR="00D80A3C" w:rsidRPr="001F3ADC">
        <w:t xml:space="preserve"> efficacy estimand analyses </w:t>
      </w:r>
      <w:r w:rsidR="00364395" w:rsidRPr="001F3ADC">
        <w:t xml:space="preserve">presented in the submission and PSCR </w:t>
      </w:r>
      <w:r w:rsidR="00D80A3C" w:rsidRPr="001F3ADC">
        <w:t xml:space="preserve">involve causal inference and complex </w:t>
      </w:r>
      <w:r w:rsidR="007227FF" w:rsidRPr="001F3ADC">
        <w:t>statistics but</w:t>
      </w:r>
      <w:r w:rsidR="00D80A3C" w:rsidRPr="001F3ADC">
        <w:t xml:space="preserve"> may be considered a legitimate approach</w:t>
      </w:r>
      <w:r w:rsidR="002F6F1E" w:rsidRPr="001F3ADC">
        <w:rPr>
          <w:rStyle w:val="FootnoteReference"/>
        </w:rPr>
        <w:footnoteReference w:id="2"/>
      </w:r>
      <w:r w:rsidR="00D80A3C" w:rsidRPr="001F3ADC">
        <w:t xml:space="preserve">. </w:t>
      </w:r>
      <w:r w:rsidR="00C41899">
        <w:t>T</w:t>
      </w:r>
      <w:r w:rsidR="0046322E" w:rsidRPr="00C41899">
        <w:t xml:space="preserve">he </w:t>
      </w:r>
      <w:r w:rsidR="00C41899">
        <w:t>pre-</w:t>
      </w:r>
      <w:r w:rsidR="00D80A3C" w:rsidRPr="00C41899">
        <w:t xml:space="preserve">PBAC </w:t>
      </w:r>
      <w:r w:rsidR="00C41899">
        <w:t xml:space="preserve">response </w:t>
      </w:r>
      <w:r w:rsidR="00D72028">
        <w:t xml:space="preserve">noted that using </w:t>
      </w:r>
      <w:r w:rsidR="00D80A3C" w:rsidRPr="00C41899">
        <w:t>the</w:t>
      </w:r>
      <w:r w:rsidR="0046322E" w:rsidRPr="00C41899">
        <w:t xml:space="preserve"> efficacy</w:t>
      </w:r>
      <w:r w:rsidR="00D80A3C" w:rsidRPr="00C41899">
        <w:t xml:space="preserve"> estimates</w:t>
      </w:r>
      <w:r w:rsidR="0046322E" w:rsidRPr="00C41899">
        <w:t xml:space="preserve"> (see </w:t>
      </w:r>
      <w:r w:rsidR="00364395" w:rsidRPr="00C41899">
        <w:fldChar w:fldCharType="begin" w:fldLock="1"/>
      </w:r>
      <w:r w:rsidR="00364395" w:rsidRPr="00C41899">
        <w:instrText xml:space="preserve"> REF _Ref137645352 \h </w:instrText>
      </w:r>
      <w:r w:rsidR="001F3ADC" w:rsidRPr="00C41899">
        <w:instrText xml:space="preserve"> \* MERGEFORMAT </w:instrText>
      </w:r>
      <w:r w:rsidR="00364395" w:rsidRPr="00C41899">
        <w:fldChar w:fldCharType="separate"/>
      </w:r>
      <w:r w:rsidR="00391E15" w:rsidRPr="001F3ADC">
        <w:t xml:space="preserve">Table </w:t>
      </w:r>
      <w:r w:rsidR="00391E15">
        <w:rPr>
          <w:noProof/>
        </w:rPr>
        <w:t>5</w:t>
      </w:r>
      <w:r w:rsidR="00364395" w:rsidRPr="00C41899">
        <w:fldChar w:fldCharType="end"/>
      </w:r>
      <w:r w:rsidR="0046322E" w:rsidRPr="00C41899">
        <w:t xml:space="preserve"> above)</w:t>
      </w:r>
      <w:r w:rsidR="00D80A3C" w:rsidRPr="00C41899">
        <w:t xml:space="preserve">, the HbA1c mean differences </w:t>
      </w:r>
      <w:r w:rsidR="0046322E" w:rsidRPr="00C41899">
        <w:t xml:space="preserve">of tirzepatide 10 mg or 15 mg compared to semaglutide 1 mg </w:t>
      </w:r>
      <w:r w:rsidR="00D80A3C" w:rsidRPr="00C41899">
        <w:t>could be considered clinically mean</w:t>
      </w:r>
      <w:r w:rsidR="00D713D5" w:rsidRPr="00C41899">
        <w:t>ingful based on an MCID of 0.5</w:t>
      </w:r>
      <w:r w:rsidR="005130B1" w:rsidRPr="00C41899">
        <w:t xml:space="preserve"> percentage points </w:t>
      </w:r>
      <w:r w:rsidR="00D713D5" w:rsidRPr="00C41899">
        <w:t>reduction</w:t>
      </w:r>
      <w:bookmarkEnd w:id="26"/>
    </w:p>
    <w:p w14:paraId="1C6B9E49" w14:textId="2F61DA3E" w:rsidR="00E532A1" w:rsidRPr="00FA1E86" w:rsidRDefault="00E532A1" w:rsidP="00E532A1">
      <w:pPr>
        <w:pStyle w:val="COMexecsumnumberedpara"/>
        <w:rPr>
          <w:color w:val="0066FF"/>
        </w:rPr>
      </w:pPr>
      <w:r w:rsidRPr="00FA1E86">
        <w:t>The proportions of patients achieving HbA1c targets of &lt; 7.0%, ≤ 6.5% and &lt; 5.7% at 40</w:t>
      </w:r>
      <w:r w:rsidR="00F551E3">
        <w:t> </w:t>
      </w:r>
      <w:r w:rsidRPr="00FA1E86">
        <w:t>weeks in the SURPASS-2 trial are presented in</w:t>
      </w:r>
      <w:r w:rsidR="00BA0A67" w:rsidRPr="00FA1E86">
        <w:t xml:space="preserve"> </w:t>
      </w:r>
      <w:r w:rsidR="00BA0A67" w:rsidRPr="00FA1E86">
        <w:fldChar w:fldCharType="begin" w:fldLock="1"/>
      </w:r>
      <w:r w:rsidR="00BA0A67" w:rsidRPr="00FA1E86">
        <w:instrText xml:space="preserve"> REF _Ref134096150 \h </w:instrText>
      </w:r>
      <w:r w:rsidR="00BA0A67" w:rsidRPr="00FA1E86">
        <w:fldChar w:fldCharType="separate"/>
      </w:r>
      <w:r w:rsidR="00391E15" w:rsidRPr="00FA1E86">
        <w:t xml:space="preserve">Table </w:t>
      </w:r>
      <w:r w:rsidR="00391E15">
        <w:rPr>
          <w:noProof/>
        </w:rPr>
        <w:t>6</w:t>
      </w:r>
      <w:r w:rsidR="00BA0A67" w:rsidRPr="00FA1E86">
        <w:fldChar w:fldCharType="end"/>
      </w:r>
      <w:r w:rsidRPr="00FA1E86">
        <w:t>. The reported estimates were based on the treatment regimen estimand.</w:t>
      </w:r>
    </w:p>
    <w:p w14:paraId="73ECF5D1" w14:textId="044D0D28" w:rsidR="00E532A1" w:rsidRPr="00FA1E86" w:rsidRDefault="00733C06" w:rsidP="00E94884">
      <w:pPr>
        <w:pStyle w:val="COMtablefigcaption"/>
      </w:pPr>
      <w:bookmarkStart w:id="28" w:name="_Ref134096150"/>
      <w:r w:rsidRPr="00FA1E86">
        <w:t xml:space="preserve">Table </w:t>
      </w:r>
      <w:fldSimple w:instr=" SEQ Table \* ARABIC " w:fldLock="1">
        <w:r w:rsidR="00B71E27">
          <w:rPr>
            <w:noProof/>
          </w:rPr>
          <w:t>6</w:t>
        </w:r>
      </w:fldSimple>
      <w:bookmarkEnd w:id="28"/>
      <w:r w:rsidR="00E532A1" w:rsidRPr="00FA1E86">
        <w:t>: Proportion of patients achieving HbA1c targets at Week 40 (treatment regimen estimand)</w:t>
      </w:r>
    </w:p>
    <w:tbl>
      <w:tblPr>
        <w:tblStyle w:val="TableGrid"/>
        <w:tblW w:w="0" w:type="auto"/>
        <w:tblCellMar>
          <w:left w:w="28" w:type="dxa"/>
          <w:right w:w="28" w:type="dxa"/>
        </w:tblCellMar>
        <w:tblLook w:val="04A0" w:firstRow="1" w:lastRow="0" w:firstColumn="1" w:lastColumn="0" w:noHBand="0" w:noVBand="1"/>
      </w:tblPr>
      <w:tblGrid>
        <w:gridCol w:w="2165"/>
        <w:gridCol w:w="1713"/>
        <w:gridCol w:w="1713"/>
        <w:gridCol w:w="1713"/>
        <w:gridCol w:w="1713"/>
      </w:tblGrid>
      <w:tr w:rsidR="00E532A1" w:rsidRPr="00FA1E86" w14:paraId="4F12D74D" w14:textId="77777777" w:rsidTr="003E0340">
        <w:tc>
          <w:tcPr>
            <w:tcW w:w="2165" w:type="dxa"/>
            <w:vAlign w:val="center"/>
          </w:tcPr>
          <w:p w14:paraId="649F3F92" w14:textId="77777777" w:rsidR="00E532A1" w:rsidRPr="00FA1E86" w:rsidRDefault="00E532A1" w:rsidP="00253C04">
            <w:pPr>
              <w:pStyle w:val="COMTableheadingrow"/>
              <w:rPr>
                <w:lang w:val="en-AU"/>
              </w:rPr>
            </w:pPr>
            <w:r w:rsidRPr="00FA1E86">
              <w:rPr>
                <w:lang w:val="en-AU"/>
              </w:rPr>
              <w:t>HbA1c, %</w:t>
            </w:r>
          </w:p>
        </w:tc>
        <w:tc>
          <w:tcPr>
            <w:tcW w:w="1713" w:type="dxa"/>
            <w:vAlign w:val="center"/>
          </w:tcPr>
          <w:p w14:paraId="4C56AC90" w14:textId="77777777" w:rsidR="00E532A1" w:rsidRPr="00FA1E86" w:rsidRDefault="00E532A1" w:rsidP="00253C04">
            <w:pPr>
              <w:pStyle w:val="COMTableheadingrow"/>
              <w:jc w:val="center"/>
              <w:rPr>
                <w:lang w:val="en-AU"/>
              </w:rPr>
            </w:pPr>
            <w:r w:rsidRPr="00FA1E86">
              <w:rPr>
                <w:lang w:val="en-AU"/>
              </w:rPr>
              <w:t>Tirzepatide 5 mg</w:t>
            </w:r>
          </w:p>
          <w:p w14:paraId="3426F910" w14:textId="659EC7D4" w:rsidR="00E532A1" w:rsidRPr="00FA1E86" w:rsidRDefault="00E532A1" w:rsidP="00253C04">
            <w:pPr>
              <w:pStyle w:val="COMTableheadingrow"/>
              <w:jc w:val="center"/>
              <w:rPr>
                <w:lang w:val="en-AU"/>
              </w:rPr>
            </w:pPr>
            <w:r w:rsidRPr="00FA1E86">
              <w:rPr>
                <w:lang w:val="en-AU"/>
              </w:rPr>
              <w:t>N</w:t>
            </w:r>
            <w:r w:rsidR="0025681F" w:rsidRPr="00FA1E86">
              <w:rPr>
                <w:lang w:val="en-AU"/>
              </w:rPr>
              <w:t xml:space="preserve"> </w:t>
            </w:r>
            <w:r w:rsidRPr="00FA1E86">
              <w:rPr>
                <w:lang w:val="en-AU"/>
              </w:rPr>
              <w:t>=</w:t>
            </w:r>
            <w:r w:rsidR="0025681F" w:rsidRPr="00FA1E86">
              <w:rPr>
                <w:lang w:val="en-AU"/>
              </w:rPr>
              <w:t xml:space="preserve"> </w:t>
            </w:r>
            <w:r w:rsidRPr="00FA1E86">
              <w:rPr>
                <w:lang w:val="en-AU"/>
              </w:rPr>
              <w:t>470</w:t>
            </w:r>
          </w:p>
        </w:tc>
        <w:tc>
          <w:tcPr>
            <w:tcW w:w="1713" w:type="dxa"/>
            <w:vAlign w:val="center"/>
          </w:tcPr>
          <w:p w14:paraId="562DB21A" w14:textId="77777777" w:rsidR="00E532A1" w:rsidRPr="00FA1E86" w:rsidRDefault="00E532A1" w:rsidP="00253C04">
            <w:pPr>
              <w:pStyle w:val="COMTableheadingrow"/>
              <w:jc w:val="center"/>
              <w:rPr>
                <w:lang w:val="en-AU"/>
              </w:rPr>
            </w:pPr>
            <w:r w:rsidRPr="00FA1E86">
              <w:rPr>
                <w:lang w:val="en-AU"/>
              </w:rPr>
              <w:t>Tirzepatide 10 mg</w:t>
            </w:r>
          </w:p>
          <w:p w14:paraId="321680BD" w14:textId="175D91DC" w:rsidR="00E532A1" w:rsidRPr="00FA1E86" w:rsidRDefault="00E532A1" w:rsidP="00253C04">
            <w:pPr>
              <w:pStyle w:val="COMTableheadingrow"/>
              <w:jc w:val="center"/>
              <w:rPr>
                <w:lang w:val="en-AU"/>
              </w:rPr>
            </w:pPr>
            <w:r w:rsidRPr="00FA1E86">
              <w:rPr>
                <w:lang w:val="en-AU"/>
              </w:rPr>
              <w:t>N</w:t>
            </w:r>
            <w:r w:rsidR="0025681F" w:rsidRPr="00FA1E86">
              <w:rPr>
                <w:lang w:val="en-AU"/>
              </w:rPr>
              <w:t xml:space="preserve"> </w:t>
            </w:r>
            <w:r w:rsidRPr="00FA1E86">
              <w:rPr>
                <w:lang w:val="en-AU"/>
              </w:rPr>
              <w:t>=</w:t>
            </w:r>
            <w:r w:rsidR="0025681F" w:rsidRPr="00FA1E86">
              <w:rPr>
                <w:lang w:val="en-AU"/>
              </w:rPr>
              <w:t xml:space="preserve"> </w:t>
            </w:r>
            <w:r w:rsidRPr="00FA1E86">
              <w:rPr>
                <w:lang w:val="en-AU"/>
              </w:rPr>
              <w:t>469</w:t>
            </w:r>
          </w:p>
        </w:tc>
        <w:tc>
          <w:tcPr>
            <w:tcW w:w="1713" w:type="dxa"/>
            <w:vAlign w:val="center"/>
          </w:tcPr>
          <w:p w14:paraId="24559EB7" w14:textId="77777777" w:rsidR="00E532A1" w:rsidRPr="00FA1E86" w:rsidRDefault="00E532A1" w:rsidP="00253C04">
            <w:pPr>
              <w:pStyle w:val="COMTableheadingrow"/>
              <w:jc w:val="center"/>
              <w:rPr>
                <w:lang w:val="en-AU"/>
              </w:rPr>
            </w:pPr>
            <w:r w:rsidRPr="00FA1E86">
              <w:rPr>
                <w:lang w:val="en-AU"/>
              </w:rPr>
              <w:t>Tirzepatide 15 mg</w:t>
            </w:r>
          </w:p>
          <w:p w14:paraId="03B693F9" w14:textId="5FEC17F4" w:rsidR="00E532A1" w:rsidRPr="00FA1E86" w:rsidRDefault="00E532A1" w:rsidP="00253C04">
            <w:pPr>
              <w:pStyle w:val="COMTableheadingrow"/>
              <w:jc w:val="center"/>
              <w:rPr>
                <w:lang w:val="en-AU"/>
              </w:rPr>
            </w:pPr>
            <w:r w:rsidRPr="00FA1E86">
              <w:rPr>
                <w:lang w:val="en-AU"/>
              </w:rPr>
              <w:t>N</w:t>
            </w:r>
            <w:r w:rsidR="0025681F" w:rsidRPr="00FA1E86">
              <w:rPr>
                <w:lang w:val="en-AU"/>
              </w:rPr>
              <w:t xml:space="preserve"> </w:t>
            </w:r>
            <w:r w:rsidRPr="00FA1E86">
              <w:rPr>
                <w:lang w:val="en-AU"/>
              </w:rPr>
              <w:t>=</w:t>
            </w:r>
            <w:r w:rsidR="0025681F" w:rsidRPr="00FA1E86">
              <w:rPr>
                <w:lang w:val="en-AU"/>
              </w:rPr>
              <w:t xml:space="preserve"> </w:t>
            </w:r>
            <w:r w:rsidRPr="00FA1E86">
              <w:rPr>
                <w:lang w:val="en-AU"/>
              </w:rPr>
              <w:t>469</w:t>
            </w:r>
          </w:p>
        </w:tc>
        <w:tc>
          <w:tcPr>
            <w:tcW w:w="1713" w:type="dxa"/>
            <w:vAlign w:val="center"/>
          </w:tcPr>
          <w:p w14:paraId="0E57617F" w14:textId="77777777" w:rsidR="00E532A1" w:rsidRPr="00FA1E86" w:rsidRDefault="00E532A1" w:rsidP="00253C04">
            <w:pPr>
              <w:pStyle w:val="COMTableheadingrow"/>
              <w:jc w:val="center"/>
              <w:rPr>
                <w:lang w:val="en-AU"/>
              </w:rPr>
            </w:pPr>
            <w:r w:rsidRPr="00FA1E86">
              <w:rPr>
                <w:lang w:val="en-AU"/>
              </w:rPr>
              <w:t>Semaglutide 1 mg</w:t>
            </w:r>
          </w:p>
          <w:p w14:paraId="4943F4CA" w14:textId="1C7D5F70" w:rsidR="00E532A1" w:rsidRPr="00FA1E86" w:rsidRDefault="00E532A1" w:rsidP="00253C04">
            <w:pPr>
              <w:pStyle w:val="COMTableheadingrow"/>
              <w:jc w:val="center"/>
              <w:rPr>
                <w:lang w:val="en-AU"/>
              </w:rPr>
            </w:pPr>
            <w:r w:rsidRPr="00FA1E86">
              <w:rPr>
                <w:lang w:val="en-AU"/>
              </w:rPr>
              <w:t>N</w:t>
            </w:r>
            <w:r w:rsidR="0025681F" w:rsidRPr="00FA1E86">
              <w:rPr>
                <w:lang w:val="en-AU"/>
              </w:rPr>
              <w:t xml:space="preserve"> </w:t>
            </w:r>
            <w:r w:rsidRPr="00FA1E86">
              <w:rPr>
                <w:lang w:val="en-AU"/>
              </w:rPr>
              <w:t>=</w:t>
            </w:r>
            <w:r w:rsidR="0025681F" w:rsidRPr="00FA1E86">
              <w:rPr>
                <w:lang w:val="en-AU"/>
              </w:rPr>
              <w:t xml:space="preserve"> </w:t>
            </w:r>
            <w:r w:rsidRPr="00FA1E86">
              <w:rPr>
                <w:lang w:val="en-AU"/>
              </w:rPr>
              <w:t>468</w:t>
            </w:r>
          </w:p>
        </w:tc>
      </w:tr>
      <w:tr w:rsidR="00E532A1" w:rsidRPr="00FA1E86" w14:paraId="7BEEC452" w14:textId="77777777" w:rsidTr="00253C04">
        <w:tc>
          <w:tcPr>
            <w:tcW w:w="9017" w:type="dxa"/>
            <w:gridSpan w:val="5"/>
            <w:vAlign w:val="center"/>
          </w:tcPr>
          <w:p w14:paraId="20DA90B9" w14:textId="77777777" w:rsidR="00E532A1" w:rsidRPr="00FA1E86" w:rsidRDefault="00E532A1" w:rsidP="00253C04">
            <w:pPr>
              <w:pStyle w:val="COMTableheadingrow"/>
              <w:rPr>
                <w:lang w:val="en-AU"/>
              </w:rPr>
            </w:pPr>
            <w:r w:rsidRPr="00FA1E86">
              <w:rPr>
                <w:lang w:val="en-AU"/>
              </w:rPr>
              <w:t>&lt;7.0%</w:t>
            </w:r>
          </w:p>
        </w:tc>
      </w:tr>
      <w:tr w:rsidR="00E532A1" w:rsidRPr="00FA1E86" w14:paraId="44A13517" w14:textId="77777777" w:rsidTr="003E0340">
        <w:tc>
          <w:tcPr>
            <w:tcW w:w="2165" w:type="dxa"/>
            <w:vAlign w:val="center"/>
          </w:tcPr>
          <w:p w14:paraId="11EE8A0F" w14:textId="77777777" w:rsidR="00E532A1" w:rsidRPr="00FA1E86" w:rsidRDefault="00E532A1" w:rsidP="00253C04">
            <w:pPr>
              <w:pStyle w:val="Tabletext0"/>
              <w:keepNext/>
            </w:pPr>
            <w:r w:rsidRPr="00FA1E86">
              <w:t>Patients, n (%)</w:t>
            </w:r>
          </w:p>
        </w:tc>
        <w:tc>
          <w:tcPr>
            <w:tcW w:w="1713" w:type="dxa"/>
            <w:vAlign w:val="center"/>
          </w:tcPr>
          <w:p w14:paraId="07331621" w14:textId="77777777" w:rsidR="00E532A1" w:rsidRPr="00FA1E86" w:rsidRDefault="00E532A1" w:rsidP="00253C04">
            <w:pPr>
              <w:pStyle w:val="Tabletext0"/>
              <w:keepNext/>
              <w:jc w:val="center"/>
            </w:pPr>
            <w:r w:rsidRPr="00FA1E86">
              <w:t>385 (82.0)</w:t>
            </w:r>
          </w:p>
        </w:tc>
        <w:tc>
          <w:tcPr>
            <w:tcW w:w="1713" w:type="dxa"/>
            <w:vAlign w:val="center"/>
          </w:tcPr>
          <w:p w14:paraId="4DE497B3" w14:textId="77777777" w:rsidR="00E532A1" w:rsidRPr="00FA1E86" w:rsidRDefault="00E532A1" w:rsidP="00253C04">
            <w:pPr>
              <w:pStyle w:val="Tabletext0"/>
              <w:keepNext/>
              <w:jc w:val="center"/>
            </w:pPr>
            <w:r w:rsidRPr="00FA1E86">
              <w:t>401 (85.6)</w:t>
            </w:r>
          </w:p>
        </w:tc>
        <w:tc>
          <w:tcPr>
            <w:tcW w:w="1713" w:type="dxa"/>
            <w:vAlign w:val="center"/>
          </w:tcPr>
          <w:p w14:paraId="559C9235" w14:textId="77777777" w:rsidR="00E532A1" w:rsidRPr="00FA1E86" w:rsidRDefault="00E532A1" w:rsidP="00253C04">
            <w:pPr>
              <w:pStyle w:val="Tabletext0"/>
              <w:keepNext/>
              <w:jc w:val="center"/>
            </w:pPr>
            <w:r w:rsidRPr="00FA1E86">
              <w:t>404 (86.2)</w:t>
            </w:r>
          </w:p>
        </w:tc>
        <w:tc>
          <w:tcPr>
            <w:tcW w:w="1713" w:type="dxa"/>
            <w:vAlign w:val="center"/>
          </w:tcPr>
          <w:p w14:paraId="72A1CF78" w14:textId="77777777" w:rsidR="00E532A1" w:rsidRPr="00FA1E86" w:rsidRDefault="00E532A1" w:rsidP="00253C04">
            <w:pPr>
              <w:pStyle w:val="Tabletext0"/>
              <w:keepNext/>
              <w:jc w:val="center"/>
            </w:pPr>
            <w:r w:rsidRPr="00FA1E86">
              <w:t>370 (79.0)</w:t>
            </w:r>
          </w:p>
        </w:tc>
      </w:tr>
      <w:tr w:rsidR="00E532A1" w:rsidRPr="00FA1E86" w14:paraId="67604A74" w14:textId="77777777" w:rsidTr="003E0340">
        <w:tc>
          <w:tcPr>
            <w:tcW w:w="2165" w:type="dxa"/>
            <w:vAlign w:val="center"/>
          </w:tcPr>
          <w:p w14:paraId="777E8EFD" w14:textId="77777777" w:rsidR="00E532A1" w:rsidRPr="00FA1E86" w:rsidRDefault="00E532A1" w:rsidP="00253C04">
            <w:pPr>
              <w:pStyle w:val="Tabletext0"/>
              <w:keepNext/>
            </w:pPr>
            <w:r w:rsidRPr="00FA1E86">
              <w:t>Tirzepatide vs semaglutide, OR (95% CI)</w:t>
            </w:r>
          </w:p>
        </w:tc>
        <w:tc>
          <w:tcPr>
            <w:tcW w:w="1713" w:type="dxa"/>
            <w:vAlign w:val="center"/>
          </w:tcPr>
          <w:p w14:paraId="4D4085BB" w14:textId="77777777" w:rsidR="00E532A1" w:rsidRPr="00FA1E86" w:rsidRDefault="00E532A1" w:rsidP="00253C04">
            <w:pPr>
              <w:pStyle w:val="Tabletext0"/>
              <w:keepNext/>
              <w:jc w:val="center"/>
            </w:pPr>
            <w:r w:rsidRPr="00FA1E86">
              <w:t>1.29 (0.91, 1.83)</w:t>
            </w:r>
          </w:p>
        </w:tc>
        <w:tc>
          <w:tcPr>
            <w:tcW w:w="1713" w:type="dxa"/>
            <w:vAlign w:val="center"/>
          </w:tcPr>
          <w:p w14:paraId="3F5740A8" w14:textId="77777777" w:rsidR="00E532A1" w:rsidRPr="00FA1E86" w:rsidRDefault="00E532A1" w:rsidP="00253C04">
            <w:pPr>
              <w:pStyle w:val="Tabletext0"/>
              <w:keepNext/>
              <w:jc w:val="center"/>
              <w:rPr>
                <w:b/>
                <w:bCs/>
              </w:rPr>
            </w:pPr>
            <w:r w:rsidRPr="00FA1E86">
              <w:rPr>
                <w:b/>
                <w:bCs/>
              </w:rPr>
              <w:t>1.68 (1.15, 2.45)</w:t>
            </w:r>
          </w:p>
        </w:tc>
        <w:tc>
          <w:tcPr>
            <w:tcW w:w="1713" w:type="dxa"/>
            <w:vAlign w:val="center"/>
          </w:tcPr>
          <w:p w14:paraId="11585230" w14:textId="77777777" w:rsidR="00E532A1" w:rsidRPr="00FA1E86" w:rsidRDefault="00E532A1" w:rsidP="00253C04">
            <w:pPr>
              <w:pStyle w:val="Tabletext0"/>
              <w:keepNext/>
              <w:jc w:val="center"/>
              <w:rPr>
                <w:b/>
                <w:bCs/>
              </w:rPr>
            </w:pPr>
            <w:r w:rsidRPr="00FA1E86">
              <w:rPr>
                <w:b/>
                <w:bCs/>
              </w:rPr>
              <w:t>1.72 (1.18, 2.51)</w:t>
            </w:r>
          </w:p>
        </w:tc>
        <w:tc>
          <w:tcPr>
            <w:tcW w:w="1713" w:type="dxa"/>
            <w:vAlign w:val="center"/>
          </w:tcPr>
          <w:p w14:paraId="0455B729" w14:textId="77777777" w:rsidR="00E532A1" w:rsidRPr="00FA1E86" w:rsidRDefault="00E532A1" w:rsidP="00253C04">
            <w:pPr>
              <w:pStyle w:val="Tabletext0"/>
              <w:keepNext/>
              <w:jc w:val="center"/>
            </w:pPr>
            <w:r w:rsidRPr="00FA1E86">
              <w:t>-</w:t>
            </w:r>
          </w:p>
        </w:tc>
      </w:tr>
      <w:tr w:rsidR="00E532A1" w:rsidRPr="00FA1E86" w14:paraId="6A28EC79" w14:textId="77777777" w:rsidTr="00253C04">
        <w:tc>
          <w:tcPr>
            <w:tcW w:w="9017" w:type="dxa"/>
            <w:gridSpan w:val="5"/>
            <w:vAlign w:val="center"/>
          </w:tcPr>
          <w:p w14:paraId="74152492" w14:textId="77777777" w:rsidR="00E532A1" w:rsidRPr="00FA1E86" w:rsidRDefault="00E532A1" w:rsidP="00253C04">
            <w:pPr>
              <w:pStyle w:val="COMTableheadingrow"/>
              <w:rPr>
                <w:lang w:val="en-AU"/>
              </w:rPr>
            </w:pPr>
            <w:r w:rsidRPr="00FA1E86">
              <w:rPr>
                <w:lang w:val="en-AU"/>
              </w:rPr>
              <w:t>≤6.5%</w:t>
            </w:r>
          </w:p>
        </w:tc>
      </w:tr>
      <w:tr w:rsidR="00E532A1" w:rsidRPr="00FA1E86" w14:paraId="729C0F0A" w14:textId="77777777" w:rsidTr="003E0340">
        <w:tc>
          <w:tcPr>
            <w:tcW w:w="2165" w:type="dxa"/>
            <w:vAlign w:val="center"/>
          </w:tcPr>
          <w:p w14:paraId="3F04CC7A" w14:textId="77777777" w:rsidR="00E532A1" w:rsidRPr="00FA1E86" w:rsidRDefault="00E532A1" w:rsidP="00253C04">
            <w:pPr>
              <w:pStyle w:val="Tabletext0"/>
              <w:keepNext/>
            </w:pPr>
            <w:r w:rsidRPr="00FA1E86">
              <w:t>Patients, n (%)</w:t>
            </w:r>
          </w:p>
        </w:tc>
        <w:tc>
          <w:tcPr>
            <w:tcW w:w="1713" w:type="dxa"/>
            <w:vAlign w:val="center"/>
          </w:tcPr>
          <w:p w14:paraId="36253B17" w14:textId="77777777" w:rsidR="00E532A1" w:rsidRPr="00FA1E86" w:rsidRDefault="00E532A1" w:rsidP="00253C04">
            <w:pPr>
              <w:pStyle w:val="Tabletext0"/>
              <w:keepNext/>
              <w:jc w:val="center"/>
            </w:pPr>
            <w:r w:rsidRPr="00FA1E86">
              <w:t>323 (68.8)</w:t>
            </w:r>
          </w:p>
        </w:tc>
        <w:tc>
          <w:tcPr>
            <w:tcW w:w="1713" w:type="dxa"/>
            <w:vAlign w:val="center"/>
          </w:tcPr>
          <w:p w14:paraId="4D58A1DE" w14:textId="77777777" w:rsidR="00E532A1" w:rsidRPr="00FA1E86" w:rsidRDefault="00E532A1" w:rsidP="00253C04">
            <w:pPr>
              <w:pStyle w:val="Tabletext0"/>
              <w:keepNext/>
              <w:jc w:val="center"/>
            </w:pPr>
            <w:r w:rsidRPr="00FA1E86">
              <w:t>362 (77.1)</w:t>
            </w:r>
          </w:p>
        </w:tc>
        <w:tc>
          <w:tcPr>
            <w:tcW w:w="1713" w:type="dxa"/>
            <w:vAlign w:val="center"/>
          </w:tcPr>
          <w:p w14:paraId="5C46AA8C" w14:textId="77777777" w:rsidR="00E532A1" w:rsidRPr="00FA1E86" w:rsidRDefault="00E532A1" w:rsidP="00253C04">
            <w:pPr>
              <w:pStyle w:val="Tabletext0"/>
              <w:keepNext/>
              <w:jc w:val="center"/>
            </w:pPr>
            <w:r w:rsidRPr="00FA1E86">
              <w:t>374 (79.7)</w:t>
            </w:r>
          </w:p>
        </w:tc>
        <w:tc>
          <w:tcPr>
            <w:tcW w:w="1713" w:type="dxa"/>
            <w:vAlign w:val="center"/>
          </w:tcPr>
          <w:p w14:paraId="1E09A217" w14:textId="77777777" w:rsidR="00E532A1" w:rsidRPr="00FA1E86" w:rsidRDefault="00E532A1" w:rsidP="00253C04">
            <w:pPr>
              <w:pStyle w:val="Tabletext0"/>
              <w:keepNext/>
              <w:jc w:val="center"/>
            </w:pPr>
            <w:r w:rsidRPr="00FA1E86">
              <w:t>298 (63.6)</w:t>
            </w:r>
          </w:p>
        </w:tc>
      </w:tr>
      <w:tr w:rsidR="00E532A1" w:rsidRPr="00FA1E86" w14:paraId="62AA4AC5" w14:textId="77777777" w:rsidTr="003E0340">
        <w:tc>
          <w:tcPr>
            <w:tcW w:w="2165" w:type="dxa"/>
            <w:vAlign w:val="center"/>
          </w:tcPr>
          <w:p w14:paraId="67F9E5CC" w14:textId="77777777" w:rsidR="00E532A1" w:rsidRPr="00FA1E86" w:rsidRDefault="00E532A1" w:rsidP="00253C04">
            <w:pPr>
              <w:pStyle w:val="Tabletext0"/>
              <w:keepNext/>
            </w:pPr>
            <w:r w:rsidRPr="00FA1E86">
              <w:t>Tirzepatide vs semaglutide, OR (95% CI)</w:t>
            </w:r>
          </w:p>
        </w:tc>
        <w:tc>
          <w:tcPr>
            <w:tcW w:w="1713" w:type="dxa"/>
            <w:vAlign w:val="center"/>
          </w:tcPr>
          <w:p w14:paraId="78F1A3FD" w14:textId="77777777" w:rsidR="00E532A1" w:rsidRPr="00FA1E86" w:rsidRDefault="00E532A1" w:rsidP="00253C04">
            <w:pPr>
              <w:pStyle w:val="Tabletext0"/>
              <w:keepNext/>
              <w:jc w:val="center"/>
            </w:pPr>
            <w:r w:rsidRPr="00FA1E86">
              <w:t>1.34 (1.00, 1.79)</w:t>
            </w:r>
          </w:p>
        </w:tc>
        <w:tc>
          <w:tcPr>
            <w:tcW w:w="1713" w:type="dxa"/>
            <w:vAlign w:val="center"/>
          </w:tcPr>
          <w:p w14:paraId="692D1BCA" w14:textId="77777777" w:rsidR="00E532A1" w:rsidRPr="001D6FED" w:rsidRDefault="00E532A1" w:rsidP="00253C04">
            <w:pPr>
              <w:pStyle w:val="Tabletext0"/>
              <w:keepNext/>
              <w:jc w:val="center"/>
            </w:pPr>
            <w:r w:rsidRPr="001D6FED">
              <w:t>2.06 (1.53, 2.84)</w:t>
            </w:r>
          </w:p>
        </w:tc>
        <w:tc>
          <w:tcPr>
            <w:tcW w:w="1713" w:type="dxa"/>
            <w:vAlign w:val="center"/>
          </w:tcPr>
          <w:p w14:paraId="02901065" w14:textId="77777777" w:rsidR="00E532A1" w:rsidRPr="001D6FED" w:rsidRDefault="00E532A1" w:rsidP="00253C04">
            <w:pPr>
              <w:pStyle w:val="Tabletext0"/>
              <w:keepNext/>
              <w:jc w:val="center"/>
            </w:pPr>
            <w:r w:rsidRPr="001D6FED">
              <w:t>2.40 (1.75, 3.30)</w:t>
            </w:r>
          </w:p>
        </w:tc>
        <w:tc>
          <w:tcPr>
            <w:tcW w:w="1713" w:type="dxa"/>
            <w:vAlign w:val="center"/>
          </w:tcPr>
          <w:p w14:paraId="6BD19767" w14:textId="77777777" w:rsidR="00E532A1" w:rsidRPr="00FA1E86" w:rsidRDefault="00E532A1" w:rsidP="00253C04">
            <w:pPr>
              <w:pStyle w:val="Tabletext0"/>
              <w:keepNext/>
              <w:jc w:val="center"/>
            </w:pPr>
            <w:r w:rsidRPr="00FA1E86">
              <w:t>-</w:t>
            </w:r>
          </w:p>
        </w:tc>
      </w:tr>
      <w:tr w:rsidR="00E532A1" w:rsidRPr="00FA1E86" w14:paraId="2E40D2CB" w14:textId="77777777" w:rsidTr="00253C04">
        <w:tc>
          <w:tcPr>
            <w:tcW w:w="9017" w:type="dxa"/>
            <w:gridSpan w:val="5"/>
            <w:vAlign w:val="center"/>
          </w:tcPr>
          <w:p w14:paraId="3A035E2E" w14:textId="77777777" w:rsidR="00E532A1" w:rsidRPr="00FA1E86" w:rsidRDefault="00E532A1" w:rsidP="00253C04">
            <w:pPr>
              <w:pStyle w:val="COMTableheadingrow"/>
              <w:rPr>
                <w:lang w:val="en-AU"/>
              </w:rPr>
            </w:pPr>
            <w:r w:rsidRPr="00FA1E86">
              <w:rPr>
                <w:lang w:val="en-AU"/>
              </w:rPr>
              <w:t>&lt;5.7%</w:t>
            </w:r>
          </w:p>
        </w:tc>
      </w:tr>
      <w:tr w:rsidR="00E532A1" w:rsidRPr="00FA1E86" w14:paraId="10E7057D" w14:textId="77777777" w:rsidTr="003E0340">
        <w:tc>
          <w:tcPr>
            <w:tcW w:w="2165" w:type="dxa"/>
            <w:vAlign w:val="center"/>
          </w:tcPr>
          <w:p w14:paraId="07E3858C" w14:textId="77777777" w:rsidR="00E532A1" w:rsidRPr="00FA1E86" w:rsidRDefault="00E532A1" w:rsidP="00253C04">
            <w:pPr>
              <w:pStyle w:val="Tabletext0"/>
              <w:keepNext/>
            </w:pPr>
            <w:r w:rsidRPr="00FA1E86">
              <w:t>Patients, n (%)</w:t>
            </w:r>
          </w:p>
        </w:tc>
        <w:tc>
          <w:tcPr>
            <w:tcW w:w="1713" w:type="dxa"/>
            <w:vAlign w:val="center"/>
          </w:tcPr>
          <w:p w14:paraId="3E87107E" w14:textId="77777777" w:rsidR="00E532A1" w:rsidRPr="00FA1E86" w:rsidRDefault="00E532A1" w:rsidP="00253C04">
            <w:pPr>
              <w:pStyle w:val="Tabletext0"/>
              <w:keepNext/>
              <w:jc w:val="center"/>
            </w:pPr>
            <w:r w:rsidRPr="00FA1E86">
              <w:t>128 (27.1)</w:t>
            </w:r>
          </w:p>
        </w:tc>
        <w:tc>
          <w:tcPr>
            <w:tcW w:w="1713" w:type="dxa"/>
            <w:vAlign w:val="center"/>
          </w:tcPr>
          <w:p w14:paraId="5E909A4C" w14:textId="77777777" w:rsidR="00E532A1" w:rsidRPr="00FA1E86" w:rsidRDefault="00E532A1" w:rsidP="00253C04">
            <w:pPr>
              <w:pStyle w:val="Tabletext0"/>
              <w:keepNext/>
              <w:jc w:val="center"/>
            </w:pPr>
            <w:r w:rsidRPr="00FA1E86">
              <w:t>187 (39.8)</w:t>
            </w:r>
          </w:p>
        </w:tc>
        <w:tc>
          <w:tcPr>
            <w:tcW w:w="1713" w:type="dxa"/>
            <w:vAlign w:val="center"/>
          </w:tcPr>
          <w:p w14:paraId="6C7C3E5B" w14:textId="77777777" w:rsidR="00E532A1" w:rsidRPr="00FA1E86" w:rsidRDefault="00E532A1" w:rsidP="00253C04">
            <w:pPr>
              <w:pStyle w:val="Tabletext0"/>
              <w:keepNext/>
              <w:jc w:val="center"/>
            </w:pPr>
            <w:r w:rsidRPr="00FA1E86">
              <w:t>214 (45.7)</w:t>
            </w:r>
          </w:p>
        </w:tc>
        <w:tc>
          <w:tcPr>
            <w:tcW w:w="1713" w:type="dxa"/>
            <w:vAlign w:val="center"/>
          </w:tcPr>
          <w:p w14:paraId="757126B6" w14:textId="77777777" w:rsidR="00E532A1" w:rsidRPr="00FA1E86" w:rsidRDefault="00E532A1" w:rsidP="00253C04">
            <w:pPr>
              <w:pStyle w:val="Tabletext0"/>
              <w:keepNext/>
              <w:jc w:val="center"/>
            </w:pPr>
            <w:r w:rsidRPr="00FA1E86">
              <w:t>88 (18.9)</w:t>
            </w:r>
          </w:p>
        </w:tc>
      </w:tr>
      <w:tr w:rsidR="00E532A1" w:rsidRPr="00FA1E86" w14:paraId="0FDA4895" w14:textId="77777777" w:rsidTr="003E0340">
        <w:tc>
          <w:tcPr>
            <w:tcW w:w="2165" w:type="dxa"/>
            <w:vAlign w:val="center"/>
          </w:tcPr>
          <w:p w14:paraId="09CA3925" w14:textId="77777777" w:rsidR="00E532A1" w:rsidRPr="00FA1E86" w:rsidRDefault="00E532A1" w:rsidP="00253C04">
            <w:pPr>
              <w:pStyle w:val="Tabletext0"/>
              <w:keepNext/>
            </w:pPr>
            <w:r w:rsidRPr="00FA1E86">
              <w:t>Tirzepatide vs semaglutide, OR (95% CI)</w:t>
            </w:r>
          </w:p>
        </w:tc>
        <w:tc>
          <w:tcPr>
            <w:tcW w:w="1713" w:type="dxa"/>
            <w:vAlign w:val="center"/>
          </w:tcPr>
          <w:p w14:paraId="2DFF04C7" w14:textId="77777777" w:rsidR="00E532A1" w:rsidRPr="001D6FED" w:rsidRDefault="00E532A1" w:rsidP="00253C04">
            <w:pPr>
              <w:pStyle w:val="Tabletext0"/>
              <w:keepNext/>
              <w:jc w:val="center"/>
            </w:pPr>
            <w:r w:rsidRPr="001D6FED">
              <w:t>1.72 (1.25, 2.38)</w:t>
            </w:r>
          </w:p>
        </w:tc>
        <w:tc>
          <w:tcPr>
            <w:tcW w:w="1713" w:type="dxa"/>
            <w:vAlign w:val="center"/>
          </w:tcPr>
          <w:p w14:paraId="2B6712F2" w14:textId="77777777" w:rsidR="00E532A1" w:rsidRPr="00FA1E86" w:rsidRDefault="00E532A1" w:rsidP="00253C04">
            <w:pPr>
              <w:pStyle w:val="Tabletext0"/>
              <w:keepNext/>
              <w:jc w:val="center"/>
              <w:rPr>
                <w:b/>
                <w:bCs/>
              </w:rPr>
            </w:pPr>
            <w:r w:rsidRPr="00FA1E86">
              <w:rPr>
                <w:b/>
                <w:bCs/>
              </w:rPr>
              <w:t>3.20 (2.33, 4.38)</w:t>
            </w:r>
          </w:p>
        </w:tc>
        <w:tc>
          <w:tcPr>
            <w:tcW w:w="1713" w:type="dxa"/>
            <w:vAlign w:val="center"/>
          </w:tcPr>
          <w:p w14:paraId="2C4EA0C9" w14:textId="77777777" w:rsidR="00E532A1" w:rsidRPr="00FA1E86" w:rsidRDefault="00E532A1" w:rsidP="00253C04">
            <w:pPr>
              <w:pStyle w:val="Tabletext0"/>
              <w:keepNext/>
              <w:jc w:val="center"/>
              <w:rPr>
                <w:b/>
                <w:bCs/>
              </w:rPr>
            </w:pPr>
            <w:r w:rsidRPr="00FA1E86">
              <w:rPr>
                <w:b/>
                <w:bCs/>
              </w:rPr>
              <w:t>4.11 (3.01, 5.63)</w:t>
            </w:r>
          </w:p>
        </w:tc>
        <w:tc>
          <w:tcPr>
            <w:tcW w:w="1713" w:type="dxa"/>
            <w:vAlign w:val="center"/>
          </w:tcPr>
          <w:p w14:paraId="5F7B14D0" w14:textId="77777777" w:rsidR="00E532A1" w:rsidRPr="00FA1E86" w:rsidRDefault="00E532A1" w:rsidP="00253C04">
            <w:pPr>
              <w:pStyle w:val="Tabletext0"/>
              <w:keepNext/>
              <w:jc w:val="center"/>
            </w:pPr>
            <w:r w:rsidRPr="00FA1E86">
              <w:t>-</w:t>
            </w:r>
          </w:p>
        </w:tc>
      </w:tr>
    </w:tbl>
    <w:p w14:paraId="441F2783" w14:textId="66EA5D7D" w:rsidR="00E532A1" w:rsidRPr="00FA1E86" w:rsidRDefault="00E532A1" w:rsidP="00E532A1">
      <w:pPr>
        <w:pStyle w:val="COMTablefooter"/>
        <w:keepNext/>
      </w:pPr>
      <w:r w:rsidRPr="00FA1E86">
        <w:t>Source: Table 2(a).5.</w:t>
      </w:r>
      <w:r w:rsidR="00DF715C">
        <w:t>2</w:t>
      </w:r>
      <w:r w:rsidRPr="00FA1E86">
        <w:t>, p92 of the submission</w:t>
      </w:r>
    </w:p>
    <w:p w14:paraId="7A3BACF2" w14:textId="77777777" w:rsidR="00E532A1" w:rsidRPr="00FA1E86" w:rsidRDefault="00E532A1" w:rsidP="00E532A1">
      <w:pPr>
        <w:pStyle w:val="COMTablefooter"/>
        <w:keepNext/>
      </w:pPr>
      <w:r w:rsidRPr="00FA1E86">
        <w:t xml:space="preserve">Abbreviations: CI, confidence interval; </w:t>
      </w:r>
      <w:proofErr w:type="gramStart"/>
      <w:r w:rsidRPr="00FA1E86">
        <w:t>OR,</w:t>
      </w:r>
      <w:proofErr w:type="gramEnd"/>
      <w:r w:rsidRPr="00FA1E86">
        <w:t xml:space="preserve"> odds ratio</w:t>
      </w:r>
    </w:p>
    <w:p w14:paraId="1E566853" w14:textId="2270A11B" w:rsidR="00E532A1" w:rsidRPr="00FA1E86" w:rsidRDefault="00E532A1" w:rsidP="00E532A1">
      <w:pPr>
        <w:pStyle w:val="COMTablefooter"/>
        <w:keepNext/>
      </w:pPr>
      <w:r w:rsidRPr="00FA1E86">
        <w:t>Note: Bolded estimates indicate statistically significant results based on graphical testing results controlled for Type I error</w:t>
      </w:r>
    </w:p>
    <w:p w14:paraId="3CB00FBE" w14:textId="1036B9A9" w:rsidR="00E532A1" w:rsidRPr="00FA1E86" w:rsidRDefault="00E532A1" w:rsidP="00EC5836">
      <w:pPr>
        <w:pStyle w:val="COMexecsumnumberedpara"/>
        <w:rPr>
          <w:color w:val="0066FF"/>
        </w:rPr>
      </w:pPr>
      <w:r w:rsidRPr="00FA1E86">
        <w:t>Treatment with tirzepatide 10 mg or 15 mg weekly was associated with a statistically significant increase in the proportion of patients achieving glycaemic targets compared to semaglutide</w:t>
      </w:r>
      <w:r w:rsidR="001D6FED">
        <w:t xml:space="preserve">, </w:t>
      </w:r>
      <w:r w:rsidR="001D6FED" w:rsidRPr="00BC7837">
        <w:t>although the ≤6.5% target was unadjusted for multiplicity</w:t>
      </w:r>
      <w:r w:rsidRPr="00FA1E86">
        <w:t>. There were no statistically significant differences between tirzepatide 5 mg and semaglutide after adjustment for multiplicity.</w:t>
      </w:r>
    </w:p>
    <w:p w14:paraId="531B8317" w14:textId="7AAFAD18" w:rsidR="0025681F" w:rsidRPr="00FA1E86" w:rsidRDefault="0025681F" w:rsidP="00EC5836">
      <w:pPr>
        <w:pStyle w:val="COMexecsumnumberedpara"/>
        <w:rPr>
          <w:color w:val="0066FF"/>
        </w:rPr>
      </w:pPr>
      <w:r w:rsidRPr="00FA1E86">
        <w:lastRenderedPageBreak/>
        <w:t xml:space="preserve">The change in body weight from baseline to Week 40 in the SURPASS-2 trial is summarised in </w:t>
      </w:r>
      <w:r w:rsidR="00BA0A67" w:rsidRPr="00FA1E86">
        <w:fldChar w:fldCharType="begin" w:fldLock="1"/>
      </w:r>
      <w:r w:rsidR="00BA0A67" w:rsidRPr="00FA1E86">
        <w:instrText xml:space="preserve"> REF _Ref134096163 \h </w:instrText>
      </w:r>
      <w:r w:rsidR="00BA0A67" w:rsidRPr="00FA1E86">
        <w:fldChar w:fldCharType="separate"/>
      </w:r>
      <w:r w:rsidR="00B71E27" w:rsidRPr="00FA1E86">
        <w:t xml:space="preserve">Table </w:t>
      </w:r>
      <w:r w:rsidR="00B71E27">
        <w:rPr>
          <w:noProof/>
        </w:rPr>
        <w:t>7</w:t>
      </w:r>
      <w:r w:rsidR="00BA0A67" w:rsidRPr="00FA1E86">
        <w:fldChar w:fldCharType="end"/>
      </w:r>
      <w:r w:rsidRPr="00FA1E86">
        <w:t>. The reported estimates were based on the treatment regimen estimand.</w:t>
      </w:r>
    </w:p>
    <w:p w14:paraId="1F90D2B8" w14:textId="08F6468E" w:rsidR="0025681F" w:rsidRPr="00FA1E86" w:rsidRDefault="00733C06" w:rsidP="00E94884">
      <w:pPr>
        <w:pStyle w:val="COMtablefigcaption"/>
      </w:pPr>
      <w:bookmarkStart w:id="29" w:name="_Ref134096163"/>
      <w:r w:rsidRPr="00FA1E86">
        <w:t xml:space="preserve">Table </w:t>
      </w:r>
      <w:fldSimple w:instr=" SEQ Table \* ARABIC " w:fldLock="1">
        <w:r w:rsidR="00B71E27">
          <w:rPr>
            <w:noProof/>
          </w:rPr>
          <w:t>7</w:t>
        </w:r>
      </w:fldSimple>
      <w:bookmarkEnd w:id="29"/>
      <w:r w:rsidR="0025681F" w:rsidRPr="00FA1E86">
        <w:t>: Change in body weight at 40 weeks (treatment regimen estimand)</w:t>
      </w:r>
    </w:p>
    <w:tbl>
      <w:tblPr>
        <w:tblStyle w:val="TableGrid"/>
        <w:tblW w:w="0" w:type="auto"/>
        <w:tblCellMar>
          <w:left w:w="28" w:type="dxa"/>
          <w:right w:w="28" w:type="dxa"/>
        </w:tblCellMar>
        <w:tblLook w:val="04A0" w:firstRow="1" w:lastRow="0" w:firstColumn="1" w:lastColumn="0" w:noHBand="0" w:noVBand="1"/>
      </w:tblPr>
      <w:tblGrid>
        <w:gridCol w:w="1803"/>
        <w:gridCol w:w="1803"/>
        <w:gridCol w:w="1803"/>
        <w:gridCol w:w="1804"/>
        <w:gridCol w:w="1804"/>
      </w:tblGrid>
      <w:tr w:rsidR="0025681F" w:rsidRPr="00FA1E86" w14:paraId="1F2266CD" w14:textId="77777777" w:rsidTr="00253C04">
        <w:tc>
          <w:tcPr>
            <w:tcW w:w="1803" w:type="dxa"/>
            <w:vAlign w:val="center"/>
          </w:tcPr>
          <w:p w14:paraId="11F0AD05" w14:textId="77777777" w:rsidR="0025681F" w:rsidRPr="00FA1E86" w:rsidRDefault="0025681F" w:rsidP="00253C04">
            <w:pPr>
              <w:pStyle w:val="COMTableheadingrow"/>
              <w:rPr>
                <w:lang w:val="en-AU"/>
              </w:rPr>
            </w:pPr>
            <w:r w:rsidRPr="00FA1E86">
              <w:rPr>
                <w:lang w:val="en-AU"/>
              </w:rPr>
              <w:t>Body weight, kg</w:t>
            </w:r>
          </w:p>
        </w:tc>
        <w:tc>
          <w:tcPr>
            <w:tcW w:w="1803" w:type="dxa"/>
            <w:vAlign w:val="center"/>
          </w:tcPr>
          <w:p w14:paraId="592A59EE" w14:textId="77777777" w:rsidR="0025681F" w:rsidRPr="00FA1E86" w:rsidRDefault="0025681F" w:rsidP="00253C04">
            <w:pPr>
              <w:pStyle w:val="COMTableheadingrow"/>
              <w:jc w:val="center"/>
              <w:rPr>
                <w:lang w:val="en-AU"/>
              </w:rPr>
            </w:pPr>
            <w:r w:rsidRPr="00FA1E86">
              <w:rPr>
                <w:lang w:val="en-AU"/>
              </w:rPr>
              <w:t>Tirzepatide 5 mg</w:t>
            </w:r>
          </w:p>
          <w:p w14:paraId="48C8D361" w14:textId="4E64AB72" w:rsidR="0025681F" w:rsidRPr="00FA1E86" w:rsidRDefault="0025681F" w:rsidP="00253C04">
            <w:pPr>
              <w:pStyle w:val="COMTableheadingrow"/>
              <w:jc w:val="center"/>
              <w:rPr>
                <w:lang w:val="en-AU"/>
              </w:rPr>
            </w:pPr>
            <w:r w:rsidRPr="00FA1E86">
              <w:rPr>
                <w:lang w:val="en-AU"/>
              </w:rPr>
              <w:t>N</w:t>
            </w:r>
            <w:r w:rsidR="00FE33E1" w:rsidRPr="00FA1E86">
              <w:rPr>
                <w:lang w:val="en-AU"/>
              </w:rPr>
              <w:t xml:space="preserve"> </w:t>
            </w:r>
            <w:r w:rsidRPr="00FA1E86">
              <w:rPr>
                <w:lang w:val="en-AU"/>
              </w:rPr>
              <w:t>=</w:t>
            </w:r>
            <w:r w:rsidR="00FE33E1" w:rsidRPr="00FA1E86">
              <w:rPr>
                <w:lang w:val="en-AU"/>
              </w:rPr>
              <w:t xml:space="preserve"> </w:t>
            </w:r>
            <w:r w:rsidRPr="00FA1E86">
              <w:rPr>
                <w:lang w:val="en-AU"/>
              </w:rPr>
              <w:t>470</w:t>
            </w:r>
          </w:p>
        </w:tc>
        <w:tc>
          <w:tcPr>
            <w:tcW w:w="1803" w:type="dxa"/>
            <w:vAlign w:val="center"/>
          </w:tcPr>
          <w:p w14:paraId="5B621ADC" w14:textId="77777777" w:rsidR="0025681F" w:rsidRPr="00FA1E86" w:rsidRDefault="0025681F" w:rsidP="00253C04">
            <w:pPr>
              <w:pStyle w:val="COMTableheadingrow"/>
              <w:jc w:val="center"/>
              <w:rPr>
                <w:lang w:val="en-AU"/>
              </w:rPr>
            </w:pPr>
            <w:r w:rsidRPr="00FA1E86">
              <w:rPr>
                <w:lang w:val="en-AU"/>
              </w:rPr>
              <w:t>Tirzepatide 10 mg</w:t>
            </w:r>
          </w:p>
          <w:p w14:paraId="5DAD55F8" w14:textId="5988F2FE" w:rsidR="0025681F" w:rsidRPr="00FA1E86" w:rsidRDefault="0025681F" w:rsidP="00253C04">
            <w:pPr>
              <w:pStyle w:val="COMTableheadingrow"/>
              <w:jc w:val="center"/>
              <w:rPr>
                <w:lang w:val="en-AU"/>
              </w:rPr>
            </w:pPr>
            <w:r w:rsidRPr="00FA1E86">
              <w:rPr>
                <w:lang w:val="en-AU"/>
              </w:rPr>
              <w:t>N</w:t>
            </w:r>
            <w:r w:rsidR="00FE33E1" w:rsidRPr="00FA1E86">
              <w:rPr>
                <w:lang w:val="en-AU"/>
              </w:rPr>
              <w:t xml:space="preserve"> </w:t>
            </w:r>
            <w:r w:rsidRPr="00FA1E86">
              <w:rPr>
                <w:lang w:val="en-AU"/>
              </w:rPr>
              <w:t>=</w:t>
            </w:r>
            <w:r w:rsidR="00FE33E1" w:rsidRPr="00FA1E86">
              <w:rPr>
                <w:lang w:val="en-AU"/>
              </w:rPr>
              <w:t xml:space="preserve"> </w:t>
            </w:r>
            <w:r w:rsidRPr="00FA1E86">
              <w:rPr>
                <w:lang w:val="en-AU"/>
              </w:rPr>
              <w:t>469</w:t>
            </w:r>
          </w:p>
        </w:tc>
        <w:tc>
          <w:tcPr>
            <w:tcW w:w="1804" w:type="dxa"/>
            <w:vAlign w:val="center"/>
          </w:tcPr>
          <w:p w14:paraId="5DC7E216" w14:textId="77777777" w:rsidR="0025681F" w:rsidRPr="00FA1E86" w:rsidRDefault="0025681F" w:rsidP="00253C04">
            <w:pPr>
              <w:pStyle w:val="COMTableheadingrow"/>
              <w:jc w:val="center"/>
              <w:rPr>
                <w:lang w:val="en-AU"/>
              </w:rPr>
            </w:pPr>
            <w:r w:rsidRPr="00FA1E86">
              <w:rPr>
                <w:lang w:val="en-AU"/>
              </w:rPr>
              <w:t>Tirzepatide 15 mg</w:t>
            </w:r>
          </w:p>
          <w:p w14:paraId="58393B69" w14:textId="089779AE" w:rsidR="0025681F" w:rsidRPr="00FA1E86" w:rsidRDefault="0025681F" w:rsidP="00253C04">
            <w:pPr>
              <w:pStyle w:val="COMTableheadingrow"/>
              <w:jc w:val="center"/>
              <w:rPr>
                <w:lang w:val="en-AU"/>
              </w:rPr>
            </w:pPr>
            <w:r w:rsidRPr="00FA1E86">
              <w:rPr>
                <w:lang w:val="en-AU"/>
              </w:rPr>
              <w:t>N</w:t>
            </w:r>
            <w:r w:rsidR="00FE33E1" w:rsidRPr="00FA1E86">
              <w:rPr>
                <w:lang w:val="en-AU"/>
              </w:rPr>
              <w:t xml:space="preserve"> </w:t>
            </w:r>
            <w:r w:rsidRPr="00FA1E86">
              <w:rPr>
                <w:lang w:val="en-AU"/>
              </w:rPr>
              <w:t>=</w:t>
            </w:r>
            <w:r w:rsidR="00FE33E1" w:rsidRPr="00FA1E86">
              <w:rPr>
                <w:lang w:val="en-AU"/>
              </w:rPr>
              <w:t xml:space="preserve"> </w:t>
            </w:r>
            <w:r w:rsidRPr="00FA1E86">
              <w:rPr>
                <w:lang w:val="en-AU"/>
              </w:rPr>
              <w:t>469</w:t>
            </w:r>
          </w:p>
        </w:tc>
        <w:tc>
          <w:tcPr>
            <w:tcW w:w="1804" w:type="dxa"/>
            <w:vAlign w:val="center"/>
          </w:tcPr>
          <w:p w14:paraId="26A907AF" w14:textId="77777777" w:rsidR="0025681F" w:rsidRPr="00FA1E86" w:rsidRDefault="0025681F" w:rsidP="00253C04">
            <w:pPr>
              <w:pStyle w:val="COMTableheadingrow"/>
              <w:jc w:val="center"/>
              <w:rPr>
                <w:lang w:val="en-AU"/>
              </w:rPr>
            </w:pPr>
            <w:r w:rsidRPr="00FA1E86">
              <w:rPr>
                <w:lang w:val="en-AU"/>
              </w:rPr>
              <w:t>Semaglutide 1 mg</w:t>
            </w:r>
          </w:p>
          <w:p w14:paraId="3D988490" w14:textId="1417DE49" w:rsidR="0025681F" w:rsidRPr="00FA1E86" w:rsidRDefault="0025681F" w:rsidP="00253C04">
            <w:pPr>
              <w:pStyle w:val="COMTableheadingrow"/>
              <w:jc w:val="center"/>
              <w:rPr>
                <w:lang w:val="en-AU"/>
              </w:rPr>
            </w:pPr>
            <w:r w:rsidRPr="00FA1E86">
              <w:rPr>
                <w:lang w:val="en-AU"/>
              </w:rPr>
              <w:t>N</w:t>
            </w:r>
            <w:r w:rsidR="00FE33E1" w:rsidRPr="00FA1E86">
              <w:rPr>
                <w:lang w:val="en-AU"/>
              </w:rPr>
              <w:t xml:space="preserve"> </w:t>
            </w:r>
            <w:r w:rsidRPr="00FA1E86">
              <w:rPr>
                <w:lang w:val="en-AU"/>
              </w:rPr>
              <w:t>=</w:t>
            </w:r>
            <w:r w:rsidR="00FE33E1" w:rsidRPr="00FA1E86">
              <w:rPr>
                <w:lang w:val="en-AU"/>
              </w:rPr>
              <w:t xml:space="preserve"> </w:t>
            </w:r>
            <w:r w:rsidRPr="00FA1E86">
              <w:rPr>
                <w:lang w:val="en-AU"/>
              </w:rPr>
              <w:t>468</w:t>
            </w:r>
          </w:p>
        </w:tc>
      </w:tr>
      <w:tr w:rsidR="0025681F" w:rsidRPr="00FA1E86" w14:paraId="0737D7A2" w14:textId="77777777" w:rsidTr="00253C04">
        <w:tc>
          <w:tcPr>
            <w:tcW w:w="1803" w:type="dxa"/>
            <w:vAlign w:val="center"/>
          </w:tcPr>
          <w:p w14:paraId="05CE7BD3" w14:textId="77777777" w:rsidR="0025681F" w:rsidRPr="00FA1E86" w:rsidRDefault="0025681F" w:rsidP="00253C04">
            <w:pPr>
              <w:pStyle w:val="Tabletext0"/>
              <w:keepNext/>
            </w:pPr>
            <w:r w:rsidRPr="00FA1E86">
              <w:t>Baseline, mean (SD)</w:t>
            </w:r>
          </w:p>
        </w:tc>
        <w:tc>
          <w:tcPr>
            <w:tcW w:w="1803" w:type="dxa"/>
            <w:vAlign w:val="center"/>
          </w:tcPr>
          <w:p w14:paraId="5D710DB7" w14:textId="77777777" w:rsidR="0025681F" w:rsidRPr="00FA1E86" w:rsidRDefault="0025681F" w:rsidP="00253C04">
            <w:pPr>
              <w:pStyle w:val="Tabletext0"/>
              <w:keepNext/>
              <w:jc w:val="center"/>
            </w:pPr>
            <w:r w:rsidRPr="00FA1E86">
              <w:t>92.5 (21.8)</w:t>
            </w:r>
          </w:p>
        </w:tc>
        <w:tc>
          <w:tcPr>
            <w:tcW w:w="1803" w:type="dxa"/>
            <w:vAlign w:val="center"/>
          </w:tcPr>
          <w:p w14:paraId="55280AEF" w14:textId="77777777" w:rsidR="0025681F" w:rsidRPr="00FA1E86" w:rsidRDefault="0025681F" w:rsidP="00253C04">
            <w:pPr>
              <w:pStyle w:val="Tabletext0"/>
              <w:keepNext/>
              <w:jc w:val="center"/>
            </w:pPr>
            <w:r w:rsidRPr="00FA1E86">
              <w:t>94.8 (22.7)</w:t>
            </w:r>
          </w:p>
        </w:tc>
        <w:tc>
          <w:tcPr>
            <w:tcW w:w="1804" w:type="dxa"/>
            <w:vAlign w:val="center"/>
          </w:tcPr>
          <w:p w14:paraId="7C384A69" w14:textId="77777777" w:rsidR="0025681F" w:rsidRPr="00FA1E86" w:rsidRDefault="0025681F" w:rsidP="00253C04">
            <w:pPr>
              <w:pStyle w:val="Tabletext0"/>
              <w:keepNext/>
              <w:jc w:val="center"/>
            </w:pPr>
            <w:r w:rsidRPr="00FA1E86">
              <w:t>93.8 (21.8)</w:t>
            </w:r>
          </w:p>
        </w:tc>
        <w:tc>
          <w:tcPr>
            <w:tcW w:w="1804" w:type="dxa"/>
            <w:vAlign w:val="center"/>
          </w:tcPr>
          <w:p w14:paraId="168BAB50" w14:textId="77777777" w:rsidR="0025681F" w:rsidRPr="00FA1E86" w:rsidRDefault="0025681F" w:rsidP="00253C04">
            <w:pPr>
              <w:pStyle w:val="Tabletext0"/>
              <w:keepNext/>
              <w:jc w:val="center"/>
            </w:pPr>
            <w:r w:rsidRPr="00FA1E86">
              <w:t>93.7 (21.1)</w:t>
            </w:r>
          </w:p>
        </w:tc>
      </w:tr>
      <w:tr w:rsidR="0025681F" w:rsidRPr="00FA1E86" w14:paraId="705C5D59" w14:textId="77777777" w:rsidTr="00253C04">
        <w:tc>
          <w:tcPr>
            <w:tcW w:w="1803" w:type="dxa"/>
            <w:vAlign w:val="center"/>
          </w:tcPr>
          <w:p w14:paraId="045824D7" w14:textId="77777777" w:rsidR="0025681F" w:rsidRPr="00FA1E86" w:rsidRDefault="0025681F" w:rsidP="00253C04">
            <w:pPr>
              <w:pStyle w:val="Tabletext0"/>
              <w:keepNext/>
            </w:pPr>
            <w:r w:rsidRPr="00FA1E86">
              <w:t>Week 40, mean (SD)</w:t>
            </w:r>
          </w:p>
        </w:tc>
        <w:tc>
          <w:tcPr>
            <w:tcW w:w="1803" w:type="dxa"/>
            <w:vAlign w:val="center"/>
          </w:tcPr>
          <w:p w14:paraId="448A0E6B" w14:textId="77777777" w:rsidR="0025681F" w:rsidRPr="00FA1E86" w:rsidRDefault="0025681F" w:rsidP="00253C04">
            <w:pPr>
              <w:pStyle w:val="Tabletext0"/>
              <w:keepNext/>
              <w:jc w:val="center"/>
            </w:pPr>
            <w:r w:rsidRPr="00FA1E86">
              <w:t>84.5 (21.0)</w:t>
            </w:r>
          </w:p>
        </w:tc>
        <w:tc>
          <w:tcPr>
            <w:tcW w:w="1803" w:type="dxa"/>
            <w:vAlign w:val="center"/>
          </w:tcPr>
          <w:p w14:paraId="7F57EF31" w14:textId="77777777" w:rsidR="0025681F" w:rsidRPr="00FA1E86" w:rsidRDefault="0025681F" w:rsidP="00253C04">
            <w:pPr>
              <w:pStyle w:val="Tabletext0"/>
              <w:keepNext/>
              <w:jc w:val="center"/>
            </w:pPr>
            <w:r w:rsidRPr="00FA1E86">
              <w:t>85.3 (22.3)</w:t>
            </w:r>
          </w:p>
        </w:tc>
        <w:tc>
          <w:tcPr>
            <w:tcW w:w="1804" w:type="dxa"/>
            <w:vAlign w:val="center"/>
          </w:tcPr>
          <w:p w14:paraId="6B802036" w14:textId="77777777" w:rsidR="0025681F" w:rsidRPr="00FA1E86" w:rsidRDefault="0025681F" w:rsidP="00253C04">
            <w:pPr>
              <w:pStyle w:val="Tabletext0"/>
              <w:keepNext/>
              <w:jc w:val="center"/>
            </w:pPr>
            <w:r w:rsidRPr="00FA1E86">
              <w:t>82.3 (20.0)</w:t>
            </w:r>
          </w:p>
        </w:tc>
        <w:tc>
          <w:tcPr>
            <w:tcW w:w="1804" w:type="dxa"/>
            <w:vAlign w:val="center"/>
          </w:tcPr>
          <w:p w14:paraId="2D60A9BC" w14:textId="77777777" w:rsidR="0025681F" w:rsidRPr="00FA1E86" w:rsidRDefault="0025681F" w:rsidP="00253C04">
            <w:pPr>
              <w:pStyle w:val="Tabletext0"/>
              <w:keepNext/>
              <w:jc w:val="center"/>
            </w:pPr>
            <w:r w:rsidRPr="00FA1E86">
              <w:t>87.7 (20.4)</w:t>
            </w:r>
          </w:p>
        </w:tc>
      </w:tr>
      <w:tr w:rsidR="0025681F" w:rsidRPr="00FA1E86" w14:paraId="5F6C80FB" w14:textId="77777777" w:rsidTr="00253C04">
        <w:tc>
          <w:tcPr>
            <w:tcW w:w="1803" w:type="dxa"/>
            <w:vAlign w:val="center"/>
          </w:tcPr>
          <w:p w14:paraId="2276072F" w14:textId="77777777" w:rsidR="0025681F" w:rsidRPr="00FA1E86" w:rsidRDefault="0025681F" w:rsidP="00253C04">
            <w:pPr>
              <w:pStyle w:val="Tabletext0"/>
              <w:keepNext/>
            </w:pPr>
            <w:r w:rsidRPr="00FA1E86">
              <w:t>Change from baseline, LSM (SE)</w:t>
            </w:r>
          </w:p>
        </w:tc>
        <w:tc>
          <w:tcPr>
            <w:tcW w:w="1803" w:type="dxa"/>
            <w:vAlign w:val="center"/>
          </w:tcPr>
          <w:p w14:paraId="24FE66A0" w14:textId="77777777" w:rsidR="0025681F" w:rsidRPr="00FA1E86" w:rsidRDefault="0025681F" w:rsidP="00253C04">
            <w:pPr>
              <w:pStyle w:val="Tabletext0"/>
              <w:keepNext/>
              <w:jc w:val="center"/>
            </w:pPr>
            <w:r w:rsidRPr="00FA1E86">
              <w:t>-7.6 (0.33)</w:t>
            </w:r>
          </w:p>
        </w:tc>
        <w:tc>
          <w:tcPr>
            <w:tcW w:w="1803" w:type="dxa"/>
            <w:vAlign w:val="center"/>
          </w:tcPr>
          <w:p w14:paraId="4EB3C5B7" w14:textId="77777777" w:rsidR="0025681F" w:rsidRPr="00FA1E86" w:rsidRDefault="0025681F" w:rsidP="00253C04">
            <w:pPr>
              <w:pStyle w:val="Tabletext0"/>
              <w:keepNext/>
              <w:jc w:val="center"/>
            </w:pPr>
            <w:r w:rsidRPr="00FA1E86">
              <w:t>-9.3 (0.32)</w:t>
            </w:r>
          </w:p>
        </w:tc>
        <w:tc>
          <w:tcPr>
            <w:tcW w:w="1804" w:type="dxa"/>
            <w:vAlign w:val="center"/>
          </w:tcPr>
          <w:p w14:paraId="61B4E328" w14:textId="77777777" w:rsidR="0025681F" w:rsidRPr="00FA1E86" w:rsidRDefault="0025681F" w:rsidP="00253C04">
            <w:pPr>
              <w:pStyle w:val="Tabletext0"/>
              <w:keepNext/>
              <w:jc w:val="center"/>
            </w:pPr>
            <w:r w:rsidRPr="00FA1E86">
              <w:t>-11.2 (0.32)</w:t>
            </w:r>
          </w:p>
        </w:tc>
        <w:tc>
          <w:tcPr>
            <w:tcW w:w="1804" w:type="dxa"/>
            <w:vAlign w:val="center"/>
          </w:tcPr>
          <w:p w14:paraId="737B6206" w14:textId="77777777" w:rsidR="0025681F" w:rsidRPr="00FA1E86" w:rsidRDefault="0025681F" w:rsidP="00253C04">
            <w:pPr>
              <w:pStyle w:val="Tabletext0"/>
              <w:keepNext/>
              <w:jc w:val="center"/>
            </w:pPr>
            <w:r w:rsidRPr="00FA1E86">
              <w:t>-5.7 (0.32)</w:t>
            </w:r>
          </w:p>
        </w:tc>
      </w:tr>
      <w:tr w:rsidR="0025681F" w:rsidRPr="00FA1E86" w14:paraId="1523EE42" w14:textId="77777777" w:rsidTr="00253C04">
        <w:tc>
          <w:tcPr>
            <w:tcW w:w="1803" w:type="dxa"/>
            <w:vAlign w:val="center"/>
          </w:tcPr>
          <w:p w14:paraId="609D0050" w14:textId="77777777" w:rsidR="0025681F" w:rsidRPr="00FA1E86" w:rsidRDefault="0025681F" w:rsidP="00253C04">
            <w:pPr>
              <w:pStyle w:val="Tabletext0"/>
              <w:keepNext/>
            </w:pPr>
            <w:r w:rsidRPr="00FA1E86">
              <w:t>Tirzepatide vs semaglutide, LSM difference (95% CI)</w:t>
            </w:r>
          </w:p>
        </w:tc>
        <w:tc>
          <w:tcPr>
            <w:tcW w:w="1803" w:type="dxa"/>
            <w:vAlign w:val="center"/>
          </w:tcPr>
          <w:p w14:paraId="0221E2D2" w14:textId="77777777" w:rsidR="0025681F" w:rsidRPr="00FA1E86" w:rsidRDefault="0025681F" w:rsidP="00253C04">
            <w:pPr>
              <w:pStyle w:val="Tabletext0"/>
              <w:keepNext/>
              <w:jc w:val="center"/>
              <w:rPr>
                <w:b/>
                <w:bCs/>
              </w:rPr>
            </w:pPr>
            <w:r w:rsidRPr="00FA1E86">
              <w:rPr>
                <w:b/>
                <w:bCs/>
              </w:rPr>
              <w:t>-1.9 (-2.8, -1.0)</w:t>
            </w:r>
          </w:p>
        </w:tc>
        <w:tc>
          <w:tcPr>
            <w:tcW w:w="1803" w:type="dxa"/>
            <w:vAlign w:val="center"/>
          </w:tcPr>
          <w:p w14:paraId="69073906" w14:textId="77777777" w:rsidR="0025681F" w:rsidRPr="00FA1E86" w:rsidRDefault="0025681F" w:rsidP="00253C04">
            <w:pPr>
              <w:pStyle w:val="Tabletext0"/>
              <w:keepNext/>
              <w:jc w:val="center"/>
              <w:rPr>
                <w:b/>
                <w:bCs/>
              </w:rPr>
            </w:pPr>
            <w:r w:rsidRPr="00FA1E86">
              <w:rPr>
                <w:b/>
                <w:bCs/>
              </w:rPr>
              <w:t>-3.6 (-4.5, -2.7)</w:t>
            </w:r>
          </w:p>
        </w:tc>
        <w:tc>
          <w:tcPr>
            <w:tcW w:w="1804" w:type="dxa"/>
            <w:vAlign w:val="center"/>
          </w:tcPr>
          <w:p w14:paraId="552397DD" w14:textId="77777777" w:rsidR="0025681F" w:rsidRPr="00FA1E86" w:rsidRDefault="0025681F" w:rsidP="00253C04">
            <w:pPr>
              <w:pStyle w:val="Tabletext0"/>
              <w:keepNext/>
              <w:jc w:val="center"/>
              <w:rPr>
                <w:b/>
                <w:bCs/>
              </w:rPr>
            </w:pPr>
            <w:r w:rsidRPr="00FA1E86">
              <w:rPr>
                <w:b/>
                <w:bCs/>
              </w:rPr>
              <w:t>-5.5 (-6.4, -4.6)</w:t>
            </w:r>
          </w:p>
        </w:tc>
        <w:tc>
          <w:tcPr>
            <w:tcW w:w="1804" w:type="dxa"/>
            <w:vAlign w:val="center"/>
          </w:tcPr>
          <w:p w14:paraId="5185CD5B" w14:textId="77777777" w:rsidR="0025681F" w:rsidRPr="00FA1E86" w:rsidRDefault="0025681F" w:rsidP="00253C04">
            <w:pPr>
              <w:pStyle w:val="Tabletext0"/>
              <w:keepNext/>
              <w:jc w:val="center"/>
            </w:pPr>
            <w:r w:rsidRPr="00FA1E86">
              <w:t>-</w:t>
            </w:r>
          </w:p>
        </w:tc>
      </w:tr>
    </w:tbl>
    <w:p w14:paraId="1E78176C" w14:textId="77777777" w:rsidR="0025681F" w:rsidRPr="00FA1E86" w:rsidRDefault="0025681F" w:rsidP="0025681F">
      <w:pPr>
        <w:pStyle w:val="COMTablefooter"/>
      </w:pPr>
      <w:r w:rsidRPr="00FA1E86">
        <w:t>Source: Table 2(a).5.3, p97 of the submission</w:t>
      </w:r>
    </w:p>
    <w:p w14:paraId="00273B9E" w14:textId="77777777" w:rsidR="0025681F" w:rsidRPr="00FA1E86" w:rsidRDefault="0025681F" w:rsidP="0025681F">
      <w:pPr>
        <w:pStyle w:val="COMTablefooter"/>
      </w:pPr>
      <w:r w:rsidRPr="00FA1E86">
        <w:t>Abbreviations: CI, confidence interval; LSM, least squares mean; SD, standard deviation; SE, standard error</w:t>
      </w:r>
    </w:p>
    <w:p w14:paraId="31A199AA" w14:textId="3017B14C" w:rsidR="0025681F" w:rsidRPr="00FA1E86" w:rsidRDefault="0025681F" w:rsidP="004948EA">
      <w:pPr>
        <w:pStyle w:val="COMTablefooter"/>
        <w:rPr>
          <w:bCs/>
        </w:rPr>
      </w:pPr>
      <w:r w:rsidRPr="00FA1E86">
        <w:rPr>
          <w:bCs/>
        </w:rPr>
        <w:t>Note: Bolded estimates indicate statistically significant results based on graphical testing results controlled for Type I error</w:t>
      </w:r>
    </w:p>
    <w:p w14:paraId="35CEC126" w14:textId="47DB5E3E" w:rsidR="0025681F" w:rsidRPr="00FA1E86" w:rsidRDefault="0025681F" w:rsidP="0025681F">
      <w:pPr>
        <w:pStyle w:val="COMexecsumnumberedpara"/>
      </w:pPr>
      <w:r w:rsidRPr="00FA1E86">
        <w:t>Treatment with tirzepatide 5 mg, 10 mg and 15 mg was associated with statistically significant reductions in body weight at Week 40, with treatment differences of between -1.9 to -5.5 kg compared to semaglutide 1 mg. The magnitude of effect increased with increasing tirzepatide dose.</w:t>
      </w:r>
    </w:p>
    <w:p w14:paraId="45BB3A2E" w14:textId="57FE4B32" w:rsidR="00FE33E1" w:rsidRPr="00FA1E86" w:rsidRDefault="00FE33E1" w:rsidP="00FE33E1">
      <w:pPr>
        <w:pStyle w:val="COMexecsumnumberedpara"/>
      </w:pPr>
      <w:r w:rsidRPr="00FA1E86">
        <w:t>Analys</w:t>
      </w:r>
      <w:r w:rsidR="006C31AD" w:rsidRPr="00FA1E86">
        <w:t>e</w:t>
      </w:r>
      <w:r w:rsidRPr="00FA1E86">
        <w:t>s of results based on the efficacy estimand (data censored for patients who discontinued treatment or received rescue therapy) were more favourable for tirzepatide 10 and tirzepatide 15 mg but were less favourable for tirzepatide 5</w:t>
      </w:r>
      <w:r w:rsidR="00F551E3">
        <w:t> </w:t>
      </w:r>
      <w:r w:rsidRPr="00FA1E86">
        <w:t>mg compared to semaglutide.</w:t>
      </w:r>
    </w:p>
    <w:p w14:paraId="60D3D891" w14:textId="77777777" w:rsidR="00EC2D33" w:rsidRDefault="00FE33E1" w:rsidP="00FE33E1">
      <w:pPr>
        <w:pStyle w:val="COMexecsumnumberedpara"/>
      </w:pPr>
      <w:r w:rsidRPr="00FA1E86">
        <w:t>Subgroup analyses of body weight results indicated that age, baseline BMI, duration of diabetes, geographic region and ethnicity may be potential treatment effect modifiers.</w:t>
      </w:r>
    </w:p>
    <w:p w14:paraId="78DF11CF" w14:textId="5197B2BA" w:rsidR="0025681F" w:rsidRPr="00065852" w:rsidRDefault="0025681F" w:rsidP="0025681F">
      <w:pPr>
        <w:pStyle w:val="COMexecsumnumberedpara"/>
        <w:rPr>
          <w:color w:val="0066FF"/>
        </w:rPr>
      </w:pPr>
      <w:r w:rsidRPr="00065852">
        <w:t xml:space="preserve">The submission claimed that the treatment differences for tirzepatide 10 mg and </w:t>
      </w:r>
      <w:r w:rsidR="00F62975">
        <w:br/>
      </w:r>
      <w:r w:rsidRPr="00065852">
        <w:t>15</w:t>
      </w:r>
      <w:r w:rsidR="00F551E3">
        <w:t> </w:t>
      </w:r>
      <w:r w:rsidRPr="00065852">
        <w:t xml:space="preserve">mg versus semaglutide 1 mg were clinically important, with point estimates exceeding </w:t>
      </w:r>
      <w:r w:rsidR="00FE33E1" w:rsidRPr="00065852">
        <w:t xml:space="preserve">the nominated MCID of </w:t>
      </w:r>
      <w:r w:rsidRPr="00065852">
        <w:t xml:space="preserve">3 kg. The quantification of the impact of weight loss on the risk of downstream complications remains highly uncertain. The PBAC has previously raised concerns regarding the lack of long-term data supporting reductions in downstream complications for treatments claiming weight loss benefits (semaglutide for obesity PSD, March 2022 PBAC meeting; semaglutide for type 2 diabetes PSD, November 2019 PBAC meeting; exenatide PSDs, July </w:t>
      </w:r>
      <w:proofErr w:type="gramStart"/>
      <w:r w:rsidRPr="00065852">
        <w:t>2007</w:t>
      </w:r>
      <w:proofErr w:type="gramEnd"/>
      <w:r w:rsidRPr="00065852">
        <w:t xml:space="preserve"> and November 2008 PBAC meetings; sibutramine PSDs, November 2006 and March 2008 PBAC meetings).</w:t>
      </w:r>
    </w:p>
    <w:p w14:paraId="3F66987B" w14:textId="5728C1F4" w:rsidR="0052131C" w:rsidRPr="00FA1E86" w:rsidRDefault="0052131C" w:rsidP="005F47B8">
      <w:pPr>
        <w:pStyle w:val="COMexecsumnumberedpara"/>
        <w:rPr>
          <w:color w:val="0066FF"/>
        </w:rPr>
      </w:pPr>
      <w:r w:rsidRPr="00FA1E86">
        <w:t xml:space="preserve">The proportions of patients achieving a 5%, 10% or 15% reduction in body weight at 40 weeks in the SURPASS-2 trial are presented in </w:t>
      </w:r>
      <w:r w:rsidR="00BA0A67" w:rsidRPr="00FA1E86">
        <w:fldChar w:fldCharType="begin" w:fldLock="1"/>
      </w:r>
      <w:r w:rsidR="00BA0A67" w:rsidRPr="00FA1E86">
        <w:instrText xml:space="preserve"> REF _Ref134096179 \h </w:instrText>
      </w:r>
      <w:r w:rsidR="00BA0A67" w:rsidRPr="00FA1E86">
        <w:fldChar w:fldCharType="separate"/>
      </w:r>
      <w:r w:rsidR="00B71E27" w:rsidRPr="00FA1E86">
        <w:t xml:space="preserve">Table </w:t>
      </w:r>
      <w:r w:rsidR="00B71E27">
        <w:rPr>
          <w:noProof/>
        </w:rPr>
        <w:t>8</w:t>
      </w:r>
      <w:r w:rsidR="00BA0A67" w:rsidRPr="00FA1E86">
        <w:fldChar w:fldCharType="end"/>
      </w:r>
      <w:r w:rsidRPr="00FA1E86">
        <w:t>.</w:t>
      </w:r>
      <w:r w:rsidR="005F47B8" w:rsidRPr="00FA1E86">
        <w:t xml:space="preserve"> The reported estimates were based on the treatment regimen estimand.</w:t>
      </w:r>
    </w:p>
    <w:p w14:paraId="2934FEB1" w14:textId="7F156213" w:rsidR="005F47B8" w:rsidRPr="00FA1E86" w:rsidRDefault="00733C06" w:rsidP="00E94884">
      <w:pPr>
        <w:pStyle w:val="COMtablefigcaption"/>
      </w:pPr>
      <w:bookmarkStart w:id="30" w:name="_Ref134096179"/>
      <w:r w:rsidRPr="00FA1E86">
        <w:lastRenderedPageBreak/>
        <w:t xml:space="preserve">Table </w:t>
      </w:r>
      <w:fldSimple w:instr=" SEQ Table \* ARABIC " w:fldLock="1">
        <w:r w:rsidR="00B71E27">
          <w:rPr>
            <w:noProof/>
          </w:rPr>
          <w:t>8</w:t>
        </w:r>
      </w:fldSimple>
      <w:bookmarkEnd w:id="30"/>
      <w:r w:rsidR="005F47B8" w:rsidRPr="00FA1E86">
        <w:t>: Proportion of patients achieving weight loss targets at Week 40 (treatment regimen estimand)</w:t>
      </w:r>
    </w:p>
    <w:tbl>
      <w:tblPr>
        <w:tblStyle w:val="TableGrid"/>
        <w:tblW w:w="0" w:type="auto"/>
        <w:tblCellMar>
          <w:left w:w="28" w:type="dxa"/>
          <w:right w:w="28" w:type="dxa"/>
        </w:tblCellMar>
        <w:tblLook w:val="04A0" w:firstRow="1" w:lastRow="0" w:firstColumn="1" w:lastColumn="0" w:noHBand="0" w:noVBand="1"/>
      </w:tblPr>
      <w:tblGrid>
        <w:gridCol w:w="2095"/>
        <w:gridCol w:w="1730"/>
        <w:gridCol w:w="1731"/>
        <w:gridCol w:w="1730"/>
        <w:gridCol w:w="1731"/>
      </w:tblGrid>
      <w:tr w:rsidR="005F47B8" w:rsidRPr="00FA1E86" w14:paraId="407CF7A7" w14:textId="77777777" w:rsidTr="003E0340">
        <w:tc>
          <w:tcPr>
            <w:tcW w:w="2095" w:type="dxa"/>
            <w:vAlign w:val="center"/>
          </w:tcPr>
          <w:p w14:paraId="711B8ACA" w14:textId="77777777" w:rsidR="005F47B8" w:rsidRPr="00FA1E86" w:rsidRDefault="005F47B8" w:rsidP="00253C04">
            <w:pPr>
              <w:pStyle w:val="COMTableheadingrow"/>
              <w:rPr>
                <w:lang w:val="en-AU"/>
              </w:rPr>
            </w:pPr>
            <w:r w:rsidRPr="00FA1E86">
              <w:rPr>
                <w:lang w:val="en-AU"/>
              </w:rPr>
              <w:t>Weight loss target</w:t>
            </w:r>
          </w:p>
        </w:tc>
        <w:tc>
          <w:tcPr>
            <w:tcW w:w="1730" w:type="dxa"/>
            <w:vAlign w:val="center"/>
          </w:tcPr>
          <w:p w14:paraId="48A853F4" w14:textId="77777777" w:rsidR="005F47B8" w:rsidRPr="00FA1E86" w:rsidRDefault="005F47B8" w:rsidP="00253C04">
            <w:pPr>
              <w:pStyle w:val="COMTableheadingrow"/>
              <w:jc w:val="center"/>
              <w:rPr>
                <w:lang w:val="en-AU"/>
              </w:rPr>
            </w:pPr>
            <w:r w:rsidRPr="00FA1E86">
              <w:rPr>
                <w:lang w:val="en-AU"/>
              </w:rPr>
              <w:t>Tirzepatide 5 mg</w:t>
            </w:r>
          </w:p>
          <w:p w14:paraId="7CA9991E" w14:textId="09D4DC7A" w:rsidR="005F47B8" w:rsidRPr="00FA1E86" w:rsidRDefault="005F47B8" w:rsidP="00253C04">
            <w:pPr>
              <w:pStyle w:val="COMTableheadingrow"/>
              <w:jc w:val="center"/>
              <w:rPr>
                <w:lang w:val="en-AU"/>
              </w:rPr>
            </w:pPr>
            <w:r w:rsidRPr="00FA1E86">
              <w:rPr>
                <w:lang w:val="en-AU"/>
              </w:rPr>
              <w:t>N</w:t>
            </w:r>
            <w:r w:rsidR="003E0340" w:rsidRPr="00FA1E86">
              <w:rPr>
                <w:lang w:val="en-AU"/>
              </w:rPr>
              <w:t xml:space="preserve"> </w:t>
            </w:r>
            <w:r w:rsidRPr="00FA1E86">
              <w:rPr>
                <w:lang w:val="en-AU"/>
              </w:rPr>
              <w:t>=</w:t>
            </w:r>
            <w:r w:rsidR="003E0340" w:rsidRPr="00FA1E86">
              <w:rPr>
                <w:lang w:val="en-AU"/>
              </w:rPr>
              <w:t xml:space="preserve"> </w:t>
            </w:r>
            <w:r w:rsidRPr="00FA1E86">
              <w:rPr>
                <w:lang w:val="en-AU"/>
              </w:rPr>
              <w:t>470</w:t>
            </w:r>
          </w:p>
        </w:tc>
        <w:tc>
          <w:tcPr>
            <w:tcW w:w="1731" w:type="dxa"/>
            <w:vAlign w:val="center"/>
          </w:tcPr>
          <w:p w14:paraId="1164202B" w14:textId="77777777" w:rsidR="005F47B8" w:rsidRPr="00FA1E86" w:rsidRDefault="005F47B8" w:rsidP="00253C04">
            <w:pPr>
              <w:pStyle w:val="COMTableheadingrow"/>
              <w:jc w:val="center"/>
              <w:rPr>
                <w:lang w:val="en-AU"/>
              </w:rPr>
            </w:pPr>
            <w:r w:rsidRPr="00FA1E86">
              <w:rPr>
                <w:lang w:val="en-AU"/>
              </w:rPr>
              <w:t>Tirzepatide 10 mg</w:t>
            </w:r>
          </w:p>
          <w:p w14:paraId="4932C64C" w14:textId="1224244F" w:rsidR="005F47B8" w:rsidRPr="00FA1E86" w:rsidRDefault="005F47B8" w:rsidP="00253C04">
            <w:pPr>
              <w:pStyle w:val="COMTableheadingrow"/>
              <w:jc w:val="center"/>
              <w:rPr>
                <w:lang w:val="en-AU"/>
              </w:rPr>
            </w:pPr>
            <w:r w:rsidRPr="00FA1E86">
              <w:rPr>
                <w:lang w:val="en-AU"/>
              </w:rPr>
              <w:t>N</w:t>
            </w:r>
            <w:r w:rsidR="003E0340" w:rsidRPr="00FA1E86">
              <w:rPr>
                <w:lang w:val="en-AU"/>
              </w:rPr>
              <w:t xml:space="preserve"> </w:t>
            </w:r>
            <w:r w:rsidRPr="00FA1E86">
              <w:rPr>
                <w:lang w:val="en-AU"/>
              </w:rPr>
              <w:t>=</w:t>
            </w:r>
            <w:r w:rsidR="003E0340" w:rsidRPr="00FA1E86">
              <w:rPr>
                <w:lang w:val="en-AU"/>
              </w:rPr>
              <w:t xml:space="preserve"> </w:t>
            </w:r>
            <w:r w:rsidRPr="00FA1E86">
              <w:rPr>
                <w:lang w:val="en-AU"/>
              </w:rPr>
              <w:t>469</w:t>
            </w:r>
          </w:p>
        </w:tc>
        <w:tc>
          <w:tcPr>
            <w:tcW w:w="1730" w:type="dxa"/>
            <w:vAlign w:val="center"/>
          </w:tcPr>
          <w:p w14:paraId="3BEE1FAF" w14:textId="77777777" w:rsidR="005F47B8" w:rsidRPr="00FA1E86" w:rsidRDefault="005F47B8" w:rsidP="00253C04">
            <w:pPr>
              <w:pStyle w:val="COMTableheadingrow"/>
              <w:jc w:val="center"/>
              <w:rPr>
                <w:lang w:val="en-AU"/>
              </w:rPr>
            </w:pPr>
            <w:r w:rsidRPr="00FA1E86">
              <w:rPr>
                <w:lang w:val="en-AU"/>
              </w:rPr>
              <w:t>Tirzepatide 15 mg</w:t>
            </w:r>
          </w:p>
          <w:p w14:paraId="394260C1" w14:textId="62148302" w:rsidR="005F47B8" w:rsidRPr="00FA1E86" w:rsidRDefault="005F47B8" w:rsidP="00253C04">
            <w:pPr>
              <w:pStyle w:val="COMTableheadingrow"/>
              <w:jc w:val="center"/>
              <w:rPr>
                <w:lang w:val="en-AU"/>
              </w:rPr>
            </w:pPr>
            <w:r w:rsidRPr="00FA1E86">
              <w:rPr>
                <w:lang w:val="en-AU"/>
              </w:rPr>
              <w:t>N</w:t>
            </w:r>
            <w:r w:rsidR="003E0340" w:rsidRPr="00FA1E86">
              <w:rPr>
                <w:lang w:val="en-AU"/>
              </w:rPr>
              <w:t xml:space="preserve"> </w:t>
            </w:r>
            <w:r w:rsidRPr="00FA1E86">
              <w:rPr>
                <w:lang w:val="en-AU"/>
              </w:rPr>
              <w:t>=</w:t>
            </w:r>
            <w:r w:rsidR="003E0340" w:rsidRPr="00FA1E86">
              <w:rPr>
                <w:lang w:val="en-AU"/>
              </w:rPr>
              <w:t xml:space="preserve"> </w:t>
            </w:r>
            <w:r w:rsidRPr="00FA1E86">
              <w:rPr>
                <w:lang w:val="en-AU"/>
              </w:rPr>
              <w:t>469</w:t>
            </w:r>
          </w:p>
        </w:tc>
        <w:tc>
          <w:tcPr>
            <w:tcW w:w="1731" w:type="dxa"/>
            <w:vAlign w:val="center"/>
          </w:tcPr>
          <w:p w14:paraId="4286A055" w14:textId="77777777" w:rsidR="005F47B8" w:rsidRPr="00FA1E86" w:rsidRDefault="005F47B8" w:rsidP="00253C04">
            <w:pPr>
              <w:pStyle w:val="COMTableheadingrow"/>
              <w:jc w:val="center"/>
              <w:rPr>
                <w:lang w:val="en-AU"/>
              </w:rPr>
            </w:pPr>
            <w:r w:rsidRPr="00FA1E86">
              <w:rPr>
                <w:lang w:val="en-AU"/>
              </w:rPr>
              <w:t>Semaglutide 1 mg</w:t>
            </w:r>
          </w:p>
          <w:p w14:paraId="41C1BD03" w14:textId="47818849" w:rsidR="005F47B8" w:rsidRPr="00FA1E86" w:rsidRDefault="005F47B8" w:rsidP="00253C04">
            <w:pPr>
              <w:pStyle w:val="COMTableheadingrow"/>
              <w:jc w:val="center"/>
              <w:rPr>
                <w:lang w:val="en-AU"/>
              </w:rPr>
            </w:pPr>
            <w:r w:rsidRPr="00FA1E86">
              <w:rPr>
                <w:lang w:val="en-AU"/>
              </w:rPr>
              <w:t>N</w:t>
            </w:r>
            <w:r w:rsidR="003E0340" w:rsidRPr="00FA1E86">
              <w:rPr>
                <w:lang w:val="en-AU"/>
              </w:rPr>
              <w:t xml:space="preserve"> </w:t>
            </w:r>
            <w:r w:rsidRPr="00FA1E86">
              <w:rPr>
                <w:lang w:val="en-AU"/>
              </w:rPr>
              <w:t>=</w:t>
            </w:r>
            <w:r w:rsidR="003E0340" w:rsidRPr="00FA1E86">
              <w:rPr>
                <w:lang w:val="en-AU"/>
              </w:rPr>
              <w:t xml:space="preserve"> </w:t>
            </w:r>
            <w:r w:rsidRPr="00FA1E86">
              <w:rPr>
                <w:lang w:val="en-AU"/>
              </w:rPr>
              <w:t>468</w:t>
            </w:r>
          </w:p>
        </w:tc>
      </w:tr>
      <w:tr w:rsidR="005F47B8" w:rsidRPr="00FA1E86" w14:paraId="4467DE3A" w14:textId="77777777" w:rsidTr="00253C04">
        <w:tc>
          <w:tcPr>
            <w:tcW w:w="9017" w:type="dxa"/>
            <w:gridSpan w:val="5"/>
            <w:vAlign w:val="center"/>
          </w:tcPr>
          <w:p w14:paraId="15359A29" w14:textId="77777777" w:rsidR="005F47B8" w:rsidRPr="00FA1E86" w:rsidRDefault="005F47B8" w:rsidP="00253C04">
            <w:pPr>
              <w:pStyle w:val="COMTableheadingrow"/>
              <w:rPr>
                <w:lang w:val="en-AU"/>
              </w:rPr>
            </w:pPr>
            <w:r w:rsidRPr="00FA1E86">
              <w:rPr>
                <w:lang w:val="en-AU"/>
              </w:rPr>
              <w:t>≥5%</w:t>
            </w:r>
          </w:p>
        </w:tc>
      </w:tr>
      <w:tr w:rsidR="005F47B8" w:rsidRPr="00FA1E86" w14:paraId="6E38E487" w14:textId="77777777" w:rsidTr="003E0340">
        <w:tc>
          <w:tcPr>
            <w:tcW w:w="2095" w:type="dxa"/>
            <w:vAlign w:val="center"/>
          </w:tcPr>
          <w:p w14:paraId="5FC52DE9" w14:textId="77777777" w:rsidR="005F47B8" w:rsidRPr="00FA1E86" w:rsidRDefault="005F47B8" w:rsidP="00253C04">
            <w:pPr>
              <w:pStyle w:val="Tabletext0"/>
              <w:keepNext/>
            </w:pPr>
            <w:r w:rsidRPr="00FA1E86">
              <w:t>Patients, n (%)</w:t>
            </w:r>
          </w:p>
        </w:tc>
        <w:tc>
          <w:tcPr>
            <w:tcW w:w="1730" w:type="dxa"/>
            <w:vAlign w:val="center"/>
          </w:tcPr>
          <w:p w14:paraId="2A7F317E" w14:textId="77777777" w:rsidR="005F47B8" w:rsidRPr="00FA1E86" w:rsidRDefault="005F47B8" w:rsidP="00253C04">
            <w:pPr>
              <w:pStyle w:val="Tabletext0"/>
              <w:keepNext/>
              <w:jc w:val="center"/>
            </w:pPr>
            <w:r w:rsidRPr="00FA1E86">
              <w:t>307 (65.3)</w:t>
            </w:r>
          </w:p>
        </w:tc>
        <w:tc>
          <w:tcPr>
            <w:tcW w:w="1731" w:type="dxa"/>
            <w:vAlign w:val="center"/>
          </w:tcPr>
          <w:p w14:paraId="6C9A6D30" w14:textId="77777777" w:rsidR="005F47B8" w:rsidRPr="00FA1E86" w:rsidRDefault="005F47B8" w:rsidP="00253C04">
            <w:pPr>
              <w:pStyle w:val="Tabletext0"/>
              <w:keepNext/>
              <w:jc w:val="center"/>
            </w:pPr>
            <w:r w:rsidRPr="00FA1E86">
              <w:t>357 (76.2)</w:t>
            </w:r>
          </w:p>
        </w:tc>
        <w:tc>
          <w:tcPr>
            <w:tcW w:w="1730" w:type="dxa"/>
            <w:vAlign w:val="center"/>
          </w:tcPr>
          <w:p w14:paraId="7B5BB009" w14:textId="77777777" w:rsidR="005F47B8" w:rsidRPr="00FA1E86" w:rsidRDefault="005F47B8" w:rsidP="00253C04">
            <w:pPr>
              <w:pStyle w:val="Tabletext0"/>
              <w:keepNext/>
              <w:jc w:val="center"/>
            </w:pPr>
            <w:r w:rsidRPr="00FA1E86">
              <w:t>374 (79.7)</w:t>
            </w:r>
          </w:p>
        </w:tc>
        <w:tc>
          <w:tcPr>
            <w:tcW w:w="1731" w:type="dxa"/>
            <w:vAlign w:val="center"/>
          </w:tcPr>
          <w:p w14:paraId="077D552A" w14:textId="77777777" w:rsidR="005F47B8" w:rsidRPr="00FA1E86" w:rsidRDefault="005F47B8" w:rsidP="00253C04">
            <w:pPr>
              <w:pStyle w:val="Tabletext0"/>
              <w:keepNext/>
              <w:jc w:val="center"/>
            </w:pPr>
            <w:r w:rsidRPr="00FA1E86">
              <w:t>253 (54.0)</w:t>
            </w:r>
          </w:p>
        </w:tc>
      </w:tr>
      <w:tr w:rsidR="005F47B8" w:rsidRPr="00FA1E86" w14:paraId="044A3A2E" w14:textId="77777777" w:rsidTr="003E0340">
        <w:tc>
          <w:tcPr>
            <w:tcW w:w="2095" w:type="dxa"/>
            <w:vAlign w:val="center"/>
          </w:tcPr>
          <w:p w14:paraId="17A3F8B2" w14:textId="77777777" w:rsidR="005F47B8" w:rsidRPr="00FA1E86" w:rsidRDefault="005F47B8" w:rsidP="00253C04">
            <w:pPr>
              <w:pStyle w:val="Tabletext0"/>
              <w:keepNext/>
            </w:pPr>
            <w:r w:rsidRPr="00FA1E86">
              <w:t>Tirzepatide vs semaglutide, OR (95% CI)</w:t>
            </w:r>
          </w:p>
        </w:tc>
        <w:tc>
          <w:tcPr>
            <w:tcW w:w="1730" w:type="dxa"/>
            <w:vAlign w:val="center"/>
          </w:tcPr>
          <w:p w14:paraId="08887CA4" w14:textId="77777777" w:rsidR="005F47B8" w:rsidRPr="00FA1E86" w:rsidRDefault="005F47B8" w:rsidP="00253C04">
            <w:pPr>
              <w:pStyle w:val="Tabletext0"/>
              <w:keepNext/>
              <w:jc w:val="center"/>
            </w:pPr>
            <w:r w:rsidRPr="00FA1E86">
              <w:t>1.62 (1.23, 2.14)</w:t>
            </w:r>
          </w:p>
        </w:tc>
        <w:tc>
          <w:tcPr>
            <w:tcW w:w="1731" w:type="dxa"/>
            <w:vAlign w:val="center"/>
          </w:tcPr>
          <w:p w14:paraId="772246FD" w14:textId="77777777" w:rsidR="005F47B8" w:rsidRPr="00FA1E86" w:rsidRDefault="005F47B8" w:rsidP="00253C04">
            <w:pPr>
              <w:pStyle w:val="Tabletext0"/>
              <w:keepNext/>
              <w:jc w:val="center"/>
            </w:pPr>
            <w:r w:rsidRPr="00FA1E86">
              <w:t>2.81 (2.09, 3.79)</w:t>
            </w:r>
          </w:p>
        </w:tc>
        <w:tc>
          <w:tcPr>
            <w:tcW w:w="1730" w:type="dxa"/>
            <w:vAlign w:val="center"/>
          </w:tcPr>
          <w:p w14:paraId="790A4693" w14:textId="77777777" w:rsidR="005F47B8" w:rsidRPr="00FA1E86" w:rsidRDefault="005F47B8" w:rsidP="00253C04">
            <w:pPr>
              <w:pStyle w:val="Tabletext0"/>
              <w:keepNext/>
              <w:jc w:val="center"/>
            </w:pPr>
            <w:r w:rsidRPr="00FA1E86">
              <w:t>3.43 (2.53, 4.64)</w:t>
            </w:r>
          </w:p>
        </w:tc>
        <w:tc>
          <w:tcPr>
            <w:tcW w:w="1731" w:type="dxa"/>
            <w:vAlign w:val="center"/>
          </w:tcPr>
          <w:p w14:paraId="1A42808C" w14:textId="77777777" w:rsidR="005F47B8" w:rsidRPr="00FA1E86" w:rsidRDefault="005F47B8" w:rsidP="00253C04">
            <w:pPr>
              <w:pStyle w:val="Tabletext0"/>
              <w:keepNext/>
              <w:jc w:val="center"/>
            </w:pPr>
            <w:r w:rsidRPr="00FA1E86">
              <w:t>-</w:t>
            </w:r>
          </w:p>
        </w:tc>
      </w:tr>
      <w:tr w:rsidR="005F47B8" w:rsidRPr="00FA1E86" w14:paraId="47E7C71F" w14:textId="77777777" w:rsidTr="00253C04">
        <w:tc>
          <w:tcPr>
            <w:tcW w:w="9017" w:type="dxa"/>
            <w:gridSpan w:val="5"/>
            <w:vAlign w:val="center"/>
          </w:tcPr>
          <w:p w14:paraId="2EA6967B" w14:textId="77777777" w:rsidR="005F47B8" w:rsidRPr="00FA1E86" w:rsidRDefault="005F47B8" w:rsidP="00253C04">
            <w:pPr>
              <w:pStyle w:val="COMTableheadingrow"/>
              <w:rPr>
                <w:lang w:val="en-AU"/>
              </w:rPr>
            </w:pPr>
            <w:r w:rsidRPr="00FA1E86">
              <w:rPr>
                <w:lang w:val="en-AU"/>
              </w:rPr>
              <w:t>≥10%</w:t>
            </w:r>
          </w:p>
        </w:tc>
      </w:tr>
      <w:tr w:rsidR="005F47B8" w:rsidRPr="00FA1E86" w14:paraId="47064CB8" w14:textId="77777777" w:rsidTr="003E0340">
        <w:tc>
          <w:tcPr>
            <w:tcW w:w="2095" w:type="dxa"/>
            <w:vAlign w:val="center"/>
          </w:tcPr>
          <w:p w14:paraId="21CED352" w14:textId="77777777" w:rsidR="005F47B8" w:rsidRPr="00FA1E86" w:rsidRDefault="005F47B8" w:rsidP="00253C04">
            <w:pPr>
              <w:pStyle w:val="Tabletext0"/>
              <w:keepNext/>
            </w:pPr>
            <w:r w:rsidRPr="00FA1E86">
              <w:t>Patients, n (%)</w:t>
            </w:r>
          </w:p>
        </w:tc>
        <w:tc>
          <w:tcPr>
            <w:tcW w:w="1730" w:type="dxa"/>
            <w:vAlign w:val="center"/>
          </w:tcPr>
          <w:p w14:paraId="168DA937" w14:textId="77777777" w:rsidR="005F47B8" w:rsidRPr="00FA1E86" w:rsidRDefault="005F47B8" w:rsidP="00253C04">
            <w:pPr>
              <w:pStyle w:val="Tabletext0"/>
              <w:keepNext/>
              <w:jc w:val="center"/>
            </w:pPr>
            <w:r w:rsidRPr="00FA1E86">
              <w:t>162 (34.5)</w:t>
            </w:r>
          </w:p>
        </w:tc>
        <w:tc>
          <w:tcPr>
            <w:tcW w:w="1731" w:type="dxa"/>
            <w:vAlign w:val="center"/>
          </w:tcPr>
          <w:p w14:paraId="53A14DD7" w14:textId="77777777" w:rsidR="005F47B8" w:rsidRPr="00FA1E86" w:rsidRDefault="005F47B8" w:rsidP="00253C04">
            <w:pPr>
              <w:pStyle w:val="Tabletext0"/>
              <w:keepNext/>
              <w:jc w:val="center"/>
            </w:pPr>
            <w:r w:rsidRPr="00FA1E86">
              <w:t>219 (46.7)</w:t>
            </w:r>
          </w:p>
        </w:tc>
        <w:tc>
          <w:tcPr>
            <w:tcW w:w="1730" w:type="dxa"/>
            <w:vAlign w:val="center"/>
          </w:tcPr>
          <w:p w14:paraId="6E34070C" w14:textId="77777777" w:rsidR="005F47B8" w:rsidRPr="00FA1E86" w:rsidRDefault="005F47B8" w:rsidP="00253C04">
            <w:pPr>
              <w:pStyle w:val="Tabletext0"/>
              <w:keepNext/>
              <w:jc w:val="center"/>
            </w:pPr>
            <w:r w:rsidRPr="00FA1E86">
              <w:t>267 (56.9)</w:t>
            </w:r>
          </w:p>
        </w:tc>
        <w:tc>
          <w:tcPr>
            <w:tcW w:w="1731" w:type="dxa"/>
            <w:vAlign w:val="center"/>
          </w:tcPr>
          <w:p w14:paraId="5CFF3E4F" w14:textId="77777777" w:rsidR="005F47B8" w:rsidRPr="00FA1E86" w:rsidRDefault="005F47B8" w:rsidP="00253C04">
            <w:pPr>
              <w:pStyle w:val="Tabletext0"/>
              <w:keepNext/>
              <w:jc w:val="center"/>
            </w:pPr>
            <w:r w:rsidRPr="00FA1E86">
              <w:t>112 (23.9)</w:t>
            </w:r>
          </w:p>
        </w:tc>
      </w:tr>
      <w:tr w:rsidR="005F47B8" w:rsidRPr="00FA1E86" w14:paraId="456EA971" w14:textId="77777777" w:rsidTr="003E0340">
        <w:tc>
          <w:tcPr>
            <w:tcW w:w="2095" w:type="dxa"/>
            <w:vAlign w:val="center"/>
          </w:tcPr>
          <w:p w14:paraId="57B9F786" w14:textId="77777777" w:rsidR="005F47B8" w:rsidRPr="00FA1E86" w:rsidRDefault="005F47B8" w:rsidP="00253C04">
            <w:pPr>
              <w:pStyle w:val="Tabletext0"/>
              <w:keepNext/>
            </w:pPr>
            <w:r w:rsidRPr="00FA1E86">
              <w:t>Tirzepatide vs semaglutide, OR (95% CI)</w:t>
            </w:r>
          </w:p>
        </w:tc>
        <w:tc>
          <w:tcPr>
            <w:tcW w:w="1730" w:type="dxa"/>
            <w:vAlign w:val="center"/>
          </w:tcPr>
          <w:p w14:paraId="1459B0DD" w14:textId="77777777" w:rsidR="005F47B8" w:rsidRPr="00FA1E86" w:rsidRDefault="005F47B8" w:rsidP="00253C04">
            <w:pPr>
              <w:pStyle w:val="Tabletext0"/>
              <w:keepNext/>
              <w:jc w:val="center"/>
            </w:pPr>
            <w:r w:rsidRPr="00FA1E86">
              <w:t>1.69 (1.26, 2.27)</w:t>
            </w:r>
          </w:p>
        </w:tc>
        <w:tc>
          <w:tcPr>
            <w:tcW w:w="1731" w:type="dxa"/>
            <w:vAlign w:val="center"/>
          </w:tcPr>
          <w:p w14:paraId="4FE2D850" w14:textId="77777777" w:rsidR="005F47B8" w:rsidRPr="00FA1E86" w:rsidRDefault="005F47B8" w:rsidP="00253C04">
            <w:pPr>
              <w:pStyle w:val="Tabletext0"/>
              <w:keepNext/>
              <w:jc w:val="center"/>
            </w:pPr>
            <w:r w:rsidRPr="00FA1E86">
              <w:t>2.89 (2.16, 3.85)</w:t>
            </w:r>
          </w:p>
        </w:tc>
        <w:tc>
          <w:tcPr>
            <w:tcW w:w="1730" w:type="dxa"/>
            <w:vAlign w:val="center"/>
          </w:tcPr>
          <w:p w14:paraId="4C916096" w14:textId="77777777" w:rsidR="005F47B8" w:rsidRPr="00FA1E86" w:rsidRDefault="005F47B8" w:rsidP="00253C04">
            <w:pPr>
              <w:pStyle w:val="Tabletext0"/>
              <w:keepNext/>
              <w:jc w:val="center"/>
            </w:pPr>
            <w:r w:rsidRPr="00FA1E86">
              <w:t>4.32 (3.24, 5.77)</w:t>
            </w:r>
          </w:p>
        </w:tc>
        <w:tc>
          <w:tcPr>
            <w:tcW w:w="1731" w:type="dxa"/>
            <w:vAlign w:val="center"/>
          </w:tcPr>
          <w:p w14:paraId="00332713" w14:textId="77777777" w:rsidR="005F47B8" w:rsidRPr="00FA1E86" w:rsidRDefault="005F47B8" w:rsidP="00253C04">
            <w:pPr>
              <w:pStyle w:val="Tabletext0"/>
              <w:keepNext/>
              <w:jc w:val="center"/>
            </w:pPr>
            <w:r w:rsidRPr="00FA1E86">
              <w:t>-</w:t>
            </w:r>
          </w:p>
        </w:tc>
      </w:tr>
      <w:tr w:rsidR="005F47B8" w:rsidRPr="00FA1E86" w14:paraId="2E5B43C2" w14:textId="77777777" w:rsidTr="00253C04">
        <w:tc>
          <w:tcPr>
            <w:tcW w:w="9017" w:type="dxa"/>
            <w:gridSpan w:val="5"/>
            <w:vAlign w:val="center"/>
          </w:tcPr>
          <w:p w14:paraId="41672DF7" w14:textId="77777777" w:rsidR="005F47B8" w:rsidRPr="00FA1E86" w:rsidRDefault="005F47B8" w:rsidP="00253C04">
            <w:pPr>
              <w:pStyle w:val="COMTableheadingrow"/>
              <w:rPr>
                <w:lang w:val="en-AU"/>
              </w:rPr>
            </w:pPr>
            <w:r w:rsidRPr="00FA1E86">
              <w:rPr>
                <w:lang w:val="en-AU"/>
              </w:rPr>
              <w:t>≥15%</w:t>
            </w:r>
          </w:p>
        </w:tc>
      </w:tr>
      <w:tr w:rsidR="005F47B8" w:rsidRPr="00FA1E86" w14:paraId="10C2D1C9" w14:textId="77777777" w:rsidTr="003E0340">
        <w:tc>
          <w:tcPr>
            <w:tcW w:w="2095" w:type="dxa"/>
            <w:vAlign w:val="center"/>
          </w:tcPr>
          <w:p w14:paraId="7E4339F2" w14:textId="77777777" w:rsidR="005F47B8" w:rsidRPr="00FA1E86" w:rsidRDefault="005F47B8" w:rsidP="00253C04">
            <w:pPr>
              <w:pStyle w:val="Tabletext0"/>
              <w:keepNext/>
            </w:pPr>
            <w:r w:rsidRPr="00FA1E86">
              <w:t>Patients, n (%)</w:t>
            </w:r>
          </w:p>
        </w:tc>
        <w:tc>
          <w:tcPr>
            <w:tcW w:w="1730" w:type="dxa"/>
            <w:vAlign w:val="center"/>
          </w:tcPr>
          <w:p w14:paraId="7412FC43" w14:textId="77777777" w:rsidR="005F47B8" w:rsidRPr="00FA1E86" w:rsidRDefault="005F47B8" w:rsidP="00253C04">
            <w:pPr>
              <w:pStyle w:val="Tabletext0"/>
              <w:keepNext/>
              <w:jc w:val="center"/>
            </w:pPr>
            <w:r w:rsidRPr="00FA1E86">
              <w:t>69 (14.7)</w:t>
            </w:r>
          </w:p>
        </w:tc>
        <w:tc>
          <w:tcPr>
            <w:tcW w:w="1731" w:type="dxa"/>
            <w:vAlign w:val="center"/>
          </w:tcPr>
          <w:p w14:paraId="17648037" w14:textId="77777777" w:rsidR="005F47B8" w:rsidRPr="00FA1E86" w:rsidRDefault="005F47B8" w:rsidP="00253C04">
            <w:pPr>
              <w:pStyle w:val="Tabletext0"/>
              <w:keepNext/>
              <w:jc w:val="center"/>
            </w:pPr>
            <w:r w:rsidRPr="00FA1E86">
              <w:t>112 (23.9)</w:t>
            </w:r>
          </w:p>
        </w:tc>
        <w:tc>
          <w:tcPr>
            <w:tcW w:w="1730" w:type="dxa"/>
            <w:vAlign w:val="center"/>
          </w:tcPr>
          <w:p w14:paraId="05978AC9" w14:textId="77777777" w:rsidR="005F47B8" w:rsidRPr="00FA1E86" w:rsidRDefault="005F47B8" w:rsidP="00253C04">
            <w:pPr>
              <w:pStyle w:val="Tabletext0"/>
              <w:keepNext/>
              <w:jc w:val="center"/>
            </w:pPr>
            <w:r w:rsidRPr="00FA1E86">
              <w:t>168 (35.8)</w:t>
            </w:r>
          </w:p>
        </w:tc>
        <w:tc>
          <w:tcPr>
            <w:tcW w:w="1731" w:type="dxa"/>
            <w:vAlign w:val="center"/>
          </w:tcPr>
          <w:p w14:paraId="21B3FB77" w14:textId="77777777" w:rsidR="005F47B8" w:rsidRPr="00FA1E86" w:rsidRDefault="005F47B8" w:rsidP="00253C04">
            <w:pPr>
              <w:pStyle w:val="Tabletext0"/>
              <w:keepNext/>
              <w:jc w:val="center"/>
            </w:pPr>
            <w:r w:rsidRPr="00FA1E86">
              <w:t>37 (8.0)</w:t>
            </w:r>
          </w:p>
        </w:tc>
      </w:tr>
      <w:tr w:rsidR="005F47B8" w:rsidRPr="00FA1E86" w14:paraId="01583ED4" w14:textId="77777777" w:rsidTr="003E0340">
        <w:tc>
          <w:tcPr>
            <w:tcW w:w="2095" w:type="dxa"/>
            <w:vAlign w:val="center"/>
          </w:tcPr>
          <w:p w14:paraId="1CF6BF6C" w14:textId="77777777" w:rsidR="005F47B8" w:rsidRPr="00FA1E86" w:rsidRDefault="005F47B8" w:rsidP="00253C04">
            <w:pPr>
              <w:pStyle w:val="Tabletext0"/>
              <w:keepNext/>
            </w:pPr>
            <w:r w:rsidRPr="00FA1E86">
              <w:t>Tirzepatide vs semaglutide, OR (95% CI)</w:t>
            </w:r>
          </w:p>
        </w:tc>
        <w:tc>
          <w:tcPr>
            <w:tcW w:w="1730" w:type="dxa"/>
            <w:vAlign w:val="center"/>
          </w:tcPr>
          <w:p w14:paraId="411A5CF0" w14:textId="77777777" w:rsidR="005F47B8" w:rsidRPr="00FA1E86" w:rsidRDefault="005F47B8" w:rsidP="00253C04">
            <w:pPr>
              <w:pStyle w:val="Tabletext0"/>
              <w:keepNext/>
              <w:jc w:val="center"/>
            </w:pPr>
            <w:r w:rsidRPr="00FA1E86">
              <w:t>2.00 (1.31, 3.06)</w:t>
            </w:r>
          </w:p>
        </w:tc>
        <w:tc>
          <w:tcPr>
            <w:tcW w:w="1731" w:type="dxa"/>
            <w:vAlign w:val="center"/>
          </w:tcPr>
          <w:p w14:paraId="2B6C40B3" w14:textId="77777777" w:rsidR="005F47B8" w:rsidRPr="00FA1E86" w:rsidRDefault="005F47B8" w:rsidP="00253C04">
            <w:pPr>
              <w:pStyle w:val="Tabletext0"/>
              <w:keepNext/>
              <w:jc w:val="center"/>
            </w:pPr>
            <w:r w:rsidRPr="00FA1E86">
              <w:t>3.73 (2.50, 5.57)</w:t>
            </w:r>
          </w:p>
        </w:tc>
        <w:tc>
          <w:tcPr>
            <w:tcW w:w="1730" w:type="dxa"/>
            <w:vAlign w:val="center"/>
          </w:tcPr>
          <w:p w14:paraId="72FAE0E0" w14:textId="77777777" w:rsidR="005F47B8" w:rsidRPr="00FA1E86" w:rsidRDefault="005F47B8" w:rsidP="00253C04">
            <w:pPr>
              <w:pStyle w:val="Tabletext0"/>
              <w:keepNext/>
              <w:jc w:val="center"/>
            </w:pPr>
            <w:r w:rsidRPr="00FA1E86">
              <w:t xml:space="preserve">6.66 (4.51, 9.82) </w:t>
            </w:r>
          </w:p>
        </w:tc>
        <w:tc>
          <w:tcPr>
            <w:tcW w:w="1731" w:type="dxa"/>
            <w:vAlign w:val="center"/>
          </w:tcPr>
          <w:p w14:paraId="1D91E704" w14:textId="77777777" w:rsidR="005F47B8" w:rsidRPr="00FA1E86" w:rsidRDefault="005F47B8" w:rsidP="00253C04">
            <w:pPr>
              <w:pStyle w:val="Tabletext0"/>
              <w:keepNext/>
              <w:jc w:val="center"/>
            </w:pPr>
            <w:r w:rsidRPr="00FA1E86">
              <w:t>-</w:t>
            </w:r>
          </w:p>
        </w:tc>
      </w:tr>
    </w:tbl>
    <w:p w14:paraId="316EEB3C" w14:textId="77777777" w:rsidR="005F47B8" w:rsidRPr="00FA1E86" w:rsidRDefault="005F47B8" w:rsidP="005F47B8">
      <w:pPr>
        <w:pStyle w:val="COMTablefooter"/>
      </w:pPr>
      <w:r w:rsidRPr="00FA1E86">
        <w:t>Source: Table 2(a).5.1, p92 of the submission</w:t>
      </w:r>
    </w:p>
    <w:p w14:paraId="28593FB8" w14:textId="1DB51B9E" w:rsidR="002C2775" w:rsidRPr="00FA1E86" w:rsidRDefault="005F47B8" w:rsidP="005F47B8">
      <w:pPr>
        <w:pStyle w:val="COMTablefooter"/>
      </w:pPr>
      <w:r w:rsidRPr="00FA1E86">
        <w:t xml:space="preserve">Abbreviations: CI, confidence interval; </w:t>
      </w:r>
      <w:proofErr w:type="gramStart"/>
      <w:r w:rsidRPr="00FA1E86">
        <w:t>OR,</w:t>
      </w:r>
      <w:proofErr w:type="gramEnd"/>
      <w:r w:rsidRPr="00FA1E86">
        <w:t xml:space="preserve"> odds ratio</w:t>
      </w:r>
    </w:p>
    <w:p w14:paraId="323D7E89" w14:textId="77777777" w:rsidR="00EC2D33" w:rsidRDefault="005F47B8" w:rsidP="00EC5836">
      <w:pPr>
        <w:pStyle w:val="COMexecsumnumberedpara"/>
        <w:rPr>
          <w:snapToGrid/>
        </w:rPr>
      </w:pPr>
      <w:r w:rsidRPr="00FA1E86">
        <w:rPr>
          <w:snapToGrid/>
        </w:rPr>
        <w:t>Treatment with tirzepatide 5 mg, 10 mg and 15 mg weekly were all associated with a numerical increase in the proportion of patients achieving weight loss targets compared to semaglutide.</w:t>
      </w:r>
    </w:p>
    <w:p w14:paraId="2B4596D6" w14:textId="3A282C6F" w:rsidR="005F47B8" w:rsidRPr="00FA1E86" w:rsidRDefault="005F47B8" w:rsidP="00EC5836">
      <w:pPr>
        <w:pStyle w:val="COMexecsumnumberedpara"/>
        <w:rPr>
          <w:color w:val="0066FF"/>
        </w:rPr>
      </w:pPr>
      <w:r w:rsidRPr="00FA1E86">
        <w:t>Treatment with tirzepatide was also associated with some nominal improvements in blood pressure and lipid parameters compared to semaglutide.</w:t>
      </w:r>
    </w:p>
    <w:p w14:paraId="4E70D2DD" w14:textId="4657C1A3" w:rsidR="00A14330" w:rsidRPr="00FA1E86" w:rsidRDefault="003E0340" w:rsidP="00EC5836">
      <w:pPr>
        <w:pStyle w:val="COMexecsumnumberedpara"/>
        <w:rPr>
          <w:color w:val="0066FF"/>
        </w:rPr>
      </w:pPr>
      <w:r w:rsidRPr="00FA1E86">
        <w:t>T</w:t>
      </w:r>
      <w:r w:rsidR="00A14330" w:rsidRPr="00FA1E86">
        <w:t xml:space="preserve">he change in </w:t>
      </w:r>
      <w:r w:rsidR="007227FF" w:rsidRPr="00FA1E86">
        <w:t>quality-of-life</w:t>
      </w:r>
      <w:r w:rsidR="00A14330" w:rsidRPr="00FA1E86">
        <w:t xml:space="preserve"> measures</w:t>
      </w:r>
      <w:r w:rsidRPr="00FA1E86">
        <w:t xml:space="preserve"> (using generic: EQ VAS, EQ-5D-5L and weight specific instruments: IWQOL-Lite-CT)</w:t>
      </w:r>
      <w:r w:rsidR="00A14330" w:rsidRPr="00FA1E86">
        <w:t xml:space="preserve"> </w:t>
      </w:r>
      <w:r w:rsidRPr="00FA1E86">
        <w:t>from baseline to Week</w:t>
      </w:r>
      <w:r w:rsidR="00A14330" w:rsidRPr="00FA1E86">
        <w:t xml:space="preserve"> 4</w:t>
      </w:r>
      <w:r w:rsidRPr="00FA1E86">
        <w:t>0</w:t>
      </w:r>
      <w:r w:rsidR="00A14330" w:rsidRPr="00FA1E86">
        <w:t xml:space="preserve"> in the SURPASS-2 trial</w:t>
      </w:r>
      <w:r w:rsidRPr="00FA1E86">
        <w:t xml:space="preserve"> are summarised in </w:t>
      </w:r>
      <w:r w:rsidR="00BA0A67" w:rsidRPr="00FA1E86">
        <w:fldChar w:fldCharType="begin" w:fldLock="1"/>
      </w:r>
      <w:r w:rsidR="00BA0A67" w:rsidRPr="00FA1E86">
        <w:instrText xml:space="preserve"> REF _Ref134096191 \h </w:instrText>
      </w:r>
      <w:r w:rsidR="00BA0A67" w:rsidRPr="00FA1E86">
        <w:fldChar w:fldCharType="separate"/>
      </w:r>
      <w:r w:rsidR="00B71E27" w:rsidRPr="00FA1E86">
        <w:t xml:space="preserve">Table </w:t>
      </w:r>
      <w:r w:rsidR="00B71E27">
        <w:rPr>
          <w:noProof/>
        </w:rPr>
        <w:t>9</w:t>
      </w:r>
      <w:r w:rsidR="00BA0A67" w:rsidRPr="00FA1E86">
        <w:fldChar w:fldCharType="end"/>
      </w:r>
      <w:r w:rsidRPr="00FA1E86">
        <w:t>.</w:t>
      </w:r>
    </w:p>
    <w:p w14:paraId="1313829F" w14:textId="01F7B0BD" w:rsidR="003E0340" w:rsidRPr="00FA1E86" w:rsidRDefault="00EC6E59" w:rsidP="00E94884">
      <w:pPr>
        <w:pStyle w:val="COMtablefigcaption"/>
      </w:pPr>
      <w:bookmarkStart w:id="31" w:name="_Ref134096191"/>
      <w:r w:rsidRPr="00FA1E86">
        <w:lastRenderedPageBreak/>
        <w:t xml:space="preserve">Table </w:t>
      </w:r>
      <w:fldSimple w:instr=" SEQ Table \* ARABIC " w:fldLock="1">
        <w:r w:rsidR="00B71E27">
          <w:rPr>
            <w:noProof/>
          </w:rPr>
          <w:t>9</w:t>
        </w:r>
      </w:fldSimple>
      <w:bookmarkEnd w:id="31"/>
      <w:r w:rsidR="003E0340" w:rsidRPr="00FA1E86">
        <w:t xml:space="preserve">: Change in </w:t>
      </w:r>
      <w:r w:rsidR="007227FF" w:rsidRPr="00FA1E86">
        <w:t>quality-of-life</w:t>
      </w:r>
      <w:r w:rsidR="003E0340" w:rsidRPr="00FA1E86">
        <w:t xml:space="preserve"> measures at 40 weeks (full analysis set)</w:t>
      </w:r>
    </w:p>
    <w:tbl>
      <w:tblPr>
        <w:tblStyle w:val="TableGrid"/>
        <w:tblW w:w="0" w:type="auto"/>
        <w:tblCellMar>
          <w:left w:w="28" w:type="dxa"/>
          <w:right w:w="28" w:type="dxa"/>
        </w:tblCellMar>
        <w:tblLook w:val="04A0" w:firstRow="1" w:lastRow="0" w:firstColumn="1" w:lastColumn="0" w:noHBand="0" w:noVBand="1"/>
      </w:tblPr>
      <w:tblGrid>
        <w:gridCol w:w="2067"/>
        <w:gridCol w:w="1737"/>
        <w:gridCol w:w="1738"/>
        <w:gridCol w:w="1737"/>
        <w:gridCol w:w="1738"/>
      </w:tblGrid>
      <w:tr w:rsidR="003E0340" w:rsidRPr="00FA1E86" w14:paraId="4816150A" w14:textId="77777777" w:rsidTr="003E0340">
        <w:trPr>
          <w:cantSplit/>
          <w:tblHeader/>
        </w:trPr>
        <w:tc>
          <w:tcPr>
            <w:tcW w:w="2067" w:type="dxa"/>
            <w:vAlign w:val="center"/>
          </w:tcPr>
          <w:p w14:paraId="6E86C0C9" w14:textId="77777777" w:rsidR="003E0340" w:rsidRPr="00FA1E86" w:rsidRDefault="003E0340" w:rsidP="00253C04">
            <w:pPr>
              <w:pStyle w:val="COMTableheadingrow"/>
              <w:rPr>
                <w:lang w:val="en-AU"/>
              </w:rPr>
            </w:pPr>
          </w:p>
        </w:tc>
        <w:tc>
          <w:tcPr>
            <w:tcW w:w="1737" w:type="dxa"/>
            <w:vAlign w:val="center"/>
          </w:tcPr>
          <w:p w14:paraId="429ED39C" w14:textId="77777777" w:rsidR="003E0340" w:rsidRPr="00FA1E86" w:rsidRDefault="003E0340" w:rsidP="00253C04">
            <w:pPr>
              <w:pStyle w:val="COMTableheadingrow"/>
              <w:jc w:val="center"/>
              <w:rPr>
                <w:lang w:val="en-AU"/>
              </w:rPr>
            </w:pPr>
            <w:r w:rsidRPr="00FA1E86">
              <w:rPr>
                <w:lang w:val="en-AU"/>
              </w:rPr>
              <w:t>Tirzepatide 5 mg</w:t>
            </w:r>
          </w:p>
        </w:tc>
        <w:tc>
          <w:tcPr>
            <w:tcW w:w="1738" w:type="dxa"/>
            <w:vAlign w:val="center"/>
          </w:tcPr>
          <w:p w14:paraId="6228D36C" w14:textId="77777777" w:rsidR="003E0340" w:rsidRPr="00FA1E86" w:rsidRDefault="003E0340" w:rsidP="00253C04">
            <w:pPr>
              <w:pStyle w:val="COMTableheadingrow"/>
              <w:jc w:val="center"/>
              <w:rPr>
                <w:lang w:val="en-AU"/>
              </w:rPr>
            </w:pPr>
            <w:r w:rsidRPr="00FA1E86">
              <w:rPr>
                <w:lang w:val="en-AU"/>
              </w:rPr>
              <w:t>Tirzepatide 10 mg</w:t>
            </w:r>
          </w:p>
        </w:tc>
        <w:tc>
          <w:tcPr>
            <w:tcW w:w="1737" w:type="dxa"/>
            <w:vAlign w:val="center"/>
          </w:tcPr>
          <w:p w14:paraId="5343C893" w14:textId="77777777" w:rsidR="003E0340" w:rsidRPr="00FA1E86" w:rsidRDefault="003E0340" w:rsidP="00253C04">
            <w:pPr>
              <w:pStyle w:val="COMTableheadingrow"/>
              <w:jc w:val="center"/>
              <w:rPr>
                <w:lang w:val="en-AU"/>
              </w:rPr>
            </w:pPr>
            <w:r w:rsidRPr="00FA1E86">
              <w:rPr>
                <w:lang w:val="en-AU"/>
              </w:rPr>
              <w:t>Tirzepatide 15 mg</w:t>
            </w:r>
          </w:p>
        </w:tc>
        <w:tc>
          <w:tcPr>
            <w:tcW w:w="1738" w:type="dxa"/>
            <w:vAlign w:val="center"/>
          </w:tcPr>
          <w:p w14:paraId="6A729048" w14:textId="77777777" w:rsidR="003E0340" w:rsidRPr="00FA1E86" w:rsidRDefault="003E0340" w:rsidP="00253C04">
            <w:pPr>
              <w:pStyle w:val="COMTableheadingrow"/>
              <w:jc w:val="center"/>
              <w:rPr>
                <w:lang w:val="en-AU"/>
              </w:rPr>
            </w:pPr>
            <w:r w:rsidRPr="00FA1E86">
              <w:rPr>
                <w:lang w:val="en-AU"/>
              </w:rPr>
              <w:t>Semaglutide 1 mg</w:t>
            </w:r>
          </w:p>
        </w:tc>
      </w:tr>
      <w:tr w:rsidR="003E0340" w:rsidRPr="00FA1E86" w14:paraId="21C1CCE0" w14:textId="77777777" w:rsidTr="00253C04">
        <w:trPr>
          <w:cantSplit/>
        </w:trPr>
        <w:tc>
          <w:tcPr>
            <w:tcW w:w="9017" w:type="dxa"/>
            <w:gridSpan w:val="5"/>
            <w:vAlign w:val="center"/>
          </w:tcPr>
          <w:p w14:paraId="1231F647" w14:textId="77777777" w:rsidR="003E0340" w:rsidRPr="00FA1E86" w:rsidRDefault="003E0340" w:rsidP="00253C04">
            <w:pPr>
              <w:pStyle w:val="COMTableheadingrow"/>
              <w:rPr>
                <w:vertAlign w:val="superscript"/>
                <w:lang w:val="en-AU"/>
              </w:rPr>
            </w:pPr>
            <w:r w:rsidRPr="00FA1E86">
              <w:rPr>
                <w:lang w:val="en-AU"/>
              </w:rPr>
              <w:t xml:space="preserve">EQ VAS </w:t>
            </w:r>
            <w:r w:rsidRPr="00FA1E86">
              <w:rPr>
                <w:vertAlign w:val="superscript"/>
                <w:lang w:val="en-AU"/>
              </w:rPr>
              <w:t>a</w:t>
            </w:r>
          </w:p>
        </w:tc>
      </w:tr>
      <w:tr w:rsidR="003E0340" w:rsidRPr="00FA1E86" w14:paraId="76673CA3" w14:textId="77777777" w:rsidTr="003E0340">
        <w:trPr>
          <w:cantSplit/>
        </w:trPr>
        <w:tc>
          <w:tcPr>
            <w:tcW w:w="2067" w:type="dxa"/>
            <w:vAlign w:val="center"/>
          </w:tcPr>
          <w:p w14:paraId="22DD6101" w14:textId="77777777" w:rsidR="003E0340" w:rsidRPr="00FA1E86" w:rsidRDefault="003E0340" w:rsidP="00253C04">
            <w:pPr>
              <w:pStyle w:val="Tabletext0"/>
              <w:keepNext/>
            </w:pPr>
            <w:r w:rsidRPr="00FA1E86">
              <w:t>Baseline, mean (SD)</w:t>
            </w:r>
          </w:p>
        </w:tc>
        <w:tc>
          <w:tcPr>
            <w:tcW w:w="1737" w:type="dxa"/>
            <w:vAlign w:val="center"/>
          </w:tcPr>
          <w:p w14:paraId="21DF1C9C" w14:textId="77777777" w:rsidR="003E0340" w:rsidRPr="00FA1E86" w:rsidRDefault="003E0340" w:rsidP="00253C04">
            <w:pPr>
              <w:pStyle w:val="COMTabletext"/>
              <w:jc w:val="center"/>
            </w:pPr>
            <w:r w:rsidRPr="00FA1E86">
              <w:t>74.4 (18.0)</w:t>
            </w:r>
          </w:p>
        </w:tc>
        <w:tc>
          <w:tcPr>
            <w:tcW w:w="1738" w:type="dxa"/>
            <w:vAlign w:val="center"/>
          </w:tcPr>
          <w:p w14:paraId="07595DD3" w14:textId="77777777" w:rsidR="003E0340" w:rsidRPr="00FA1E86" w:rsidRDefault="003E0340" w:rsidP="00253C04">
            <w:pPr>
              <w:pStyle w:val="COMTabletext"/>
              <w:jc w:val="center"/>
            </w:pPr>
            <w:r w:rsidRPr="00FA1E86">
              <w:t>74.7 (15.9)</w:t>
            </w:r>
          </w:p>
        </w:tc>
        <w:tc>
          <w:tcPr>
            <w:tcW w:w="1737" w:type="dxa"/>
            <w:vAlign w:val="center"/>
          </w:tcPr>
          <w:p w14:paraId="0A711044" w14:textId="77777777" w:rsidR="003E0340" w:rsidRPr="00FA1E86" w:rsidRDefault="003E0340" w:rsidP="00253C04">
            <w:pPr>
              <w:pStyle w:val="COMTabletext"/>
              <w:jc w:val="center"/>
            </w:pPr>
            <w:r w:rsidRPr="00FA1E86">
              <w:t>75.8 (17.6)</w:t>
            </w:r>
          </w:p>
        </w:tc>
        <w:tc>
          <w:tcPr>
            <w:tcW w:w="1738" w:type="dxa"/>
            <w:vAlign w:val="center"/>
          </w:tcPr>
          <w:p w14:paraId="2E89C56A" w14:textId="77777777" w:rsidR="003E0340" w:rsidRPr="00FA1E86" w:rsidRDefault="003E0340" w:rsidP="00253C04">
            <w:pPr>
              <w:pStyle w:val="COMTabletext"/>
              <w:jc w:val="center"/>
            </w:pPr>
            <w:r w:rsidRPr="00FA1E86">
              <w:t>74.8 (16.8)</w:t>
            </w:r>
          </w:p>
        </w:tc>
      </w:tr>
      <w:tr w:rsidR="003E0340" w:rsidRPr="00FA1E86" w14:paraId="071F14F6" w14:textId="77777777" w:rsidTr="003E0340">
        <w:trPr>
          <w:cantSplit/>
        </w:trPr>
        <w:tc>
          <w:tcPr>
            <w:tcW w:w="2067" w:type="dxa"/>
            <w:vAlign w:val="center"/>
          </w:tcPr>
          <w:p w14:paraId="718E1DD7" w14:textId="77777777" w:rsidR="003E0340" w:rsidRPr="00FA1E86" w:rsidRDefault="003E0340" w:rsidP="00253C04">
            <w:pPr>
              <w:pStyle w:val="Tabletext0"/>
              <w:keepNext/>
            </w:pPr>
            <w:r w:rsidRPr="00FA1E86">
              <w:t>Week 40, mean (SD)</w:t>
            </w:r>
          </w:p>
        </w:tc>
        <w:tc>
          <w:tcPr>
            <w:tcW w:w="1737" w:type="dxa"/>
            <w:vAlign w:val="center"/>
          </w:tcPr>
          <w:p w14:paraId="741BBF35" w14:textId="77777777" w:rsidR="003E0340" w:rsidRPr="00FA1E86" w:rsidRDefault="003E0340" w:rsidP="00253C04">
            <w:pPr>
              <w:pStyle w:val="COMTabletext"/>
              <w:jc w:val="center"/>
            </w:pPr>
            <w:r w:rsidRPr="00FA1E86">
              <w:t>82.7 (14.4)</w:t>
            </w:r>
          </w:p>
        </w:tc>
        <w:tc>
          <w:tcPr>
            <w:tcW w:w="1738" w:type="dxa"/>
            <w:vAlign w:val="center"/>
          </w:tcPr>
          <w:p w14:paraId="67834911" w14:textId="77777777" w:rsidR="003E0340" w:rsidRPr="00FA1E86" w:rsidRDefault="003E0340" w:rsidP="00253C04">
            <w:pPr>
              <w:pStyle w:val="COMTabletext"/>
              <w:jc w:val="center"/>
            </w:pPr>
            <w:r w:rsidRPr="00FA1E86">
              <w:t>83.6 (13.4)</w:t>
            </w:r>
          </w:p>
        </w:tc>
        <w:tc>
          <w:tcPr>
            <w:tcW w:w="1737" w:type="dxa"/>
            <w:vAlign w:val="center"/>
          </w:tcPr>
          <w:p w14:paraId="3296F1E9" w14:textId="77777777" w:rsidR="003E0340" w:rsidRPr="00FA1E86" w:rsidRDefault="003E0340" w:rsidP="00253C04">
            <w:pPr>
              <w:pStyle w:val="COMTabletext"/>
              <w:jc w:val="center"/>
            </w:pPr>
            <w:r w:rsidRPr="00FA1E86">
              <w:t>83.3 (15.2)</w:t>
            </w:r>
          </w:p>
        </w:tc>
        <w:tc>
          <w:tcPr>
            <w:tcW w:w="1738" w:type="dxa"/>
            <w:vAlign w:val="center"/>
          </w:tcPr>
          <w:p w14:paraId="63CB3E3A" w14:textId="77777777" w:rsidR="003E0340" w:rsidRPr="00FA1E86" w:rsidRDefault="003E0340" w:rsidP="00253C04">
            <w:pPr>
              <w:pStyle w:val="COMTabletext"/>
              <w:jc w:val="center"/>
            </w:pPr>
            <w:r w:rsidRPr="00FA1E86">
              <w:t>82.3 (14.6)</w:t>
            </w:r>
          </w:p>
        </w:tc>
      </w:tr>
      <w:tr w:rsidR="003E0340" w:rsidRPr="00FA1E86" w14:paraId="07068758" w14:textId="77777777" w:rsidTr="003E0340">
        <w:trPr>
          <w:cantSplit/>
        </w:trPr>
        <w:tc>
          <w:tcPr>
            <w:tcW w:w="2067" w:type="dxa"/>
            <w:vAlign w:val="center"/>
          </w:tcPr>
          <w:p w14:paraId="4E73C555" w14:textId="77777777" w:rsidR="003E0340" w:rsidRPr="00FA1E86" w:rsidRDefault="003E0340" w:rsidP="00253C04">
            <w:pPr>
              <w:pStyle w:val="Tabletext0"/>
              <w:keepNext/>
            </w:pPr>
            <w:r w:rsidRPr="00FA1E86">
              <w:t>Change from baseline, LSM (SE)</w:t>
            </w:r>
          </w:p>
        </w:tc>
        <w:tc>
          <w:tcPr>
            <w:tcW w:w="1737" w:type="dxa"/>
            <w:vAlign w:val="center"/>
          </w:tcPr>
          <w:p w14:paraId="4A662EE9" w14:textId="77777777" w:rsidR="003E0340" w:rsidRPr="00FA1E86" w:rsidRDefault="003E0340" w:rsidP="00253C04">
            <w:pPr>
              <w:pStyle w:val="COMTabletext"/>
              <w:jc w:val="center"/>
            </w:pPr>
            <w:r w:rsidRPr="00FA1E86">
              <w:t>7.8 (0.6)</w:t>
            </w:r>
          </w:p>
        </w:tc>
        <w:tc>
          <w:tcPr>
            <w:tcW w:w="1738" w:type="dxa"/>
            <w:vAlign w:val="center"/>
          </w:tcPr>
          <w:p w14:paraId="4D22831A" w14:textId="77777777" w:rsidR="003E0340" w:rsidRPr="00FA1E86" w:rsidRDefault="003E0340" w:rsidP="00253C04">
            <w:pPr>
              <w:pStyle w:val="COMTabletext"/>
              <w:jc w:val="center"/>
            </w:pPr>
            <w:r w:rsidRPr="00FA1E86">
              <w:t>8.6 (0.6)</w:t>
            </w:r>
          </w:p>
        </w:tc>
        <w:tc>
          <w:tcPr>
            <w:tcW w:w="1737" w:type="dxa"/>
            <w:vAlign w:val="center"/>
          </w:tcPr>
          <w:p w14:paraId="400C49D9" w14:textId="77777777" w:rsidR="003E0340" w:rsidRPr="00FA1E86" w:rsidRDefault="003E0340" w:rsidP="00253C04">
            <w:pPr>
              <w:pStyle w:val="COMTabletext"/>
              <w:jc w:val="center"/>
            </w:pPr>
            <w:r w:rsidRPr="00FA1E86">
              <w:t>8.0 (0.6)</w:t>
            </w:r>
          </w:p>
        </w:tc>
        <w:tc>
          <w:tcPr>
            <w:tcW w:w="1738" w:type="dxa"/>
            <w:vAlign w:val="center"/>
          </w:tcPr>
          <w:p w14:paraId="3279D5A9" w14:textId="77777777" w:rsidR="003E0340" w:rsidRPr="00FA1E86" w:rsidRDefault="003E0340" w:rsidP="00253C04">
            <w:pPr>
              <w:pStyle w:val="COMTabletext"/>
              <w:jc w:val="center"/>
            </w:pPr>
            <w:r w:rsidRPr="00FA1E86">
              <w:t>7.3 (0.6)</w:t>
            </w:r>
          </w:p>
        </w:tc>
      </w:tr>
      <w:tr w:rsidR="003E0340" w:rsidRPr="00FA1E86" w14:paraId="28C17DC4" w14:textId="77777777" w:rsidTr="003E0340">
        <w:trPr>
          <w:cantSplit/>
        </w:trPr>
        <w:tc>
          <w:tcPr>
            <w:tcW w:w="2067" w:type="dxa"/>
            <w:vAlign w:val="center"/>
          </w:tcPr>
          <w:p w14:paraId="2082F15E" w14:textId="77777777" w:rsidR="003E0340" w:rsidRPr="00FA1E86" w:rsidRDefault="003E0340" w:rsidP="00253C04">
            <w:pPr>
              <w:pStyle w:val="Tabletext0"/>
              <w:keepNext/>
            </w:pPr>
            <w:r w:rsidRPr="00FA1E86">
              <w:t>Tirzepatide vs semaglutide, LSM difference (95% CI)</w:t>
            </w:r>
          </w:p>
        </w:tc>
        <w:tc>
          <w:tcPr>
            <w:tcW w:w="1737" w:type="dxa"/>
            <w:vAlign w:val="center"/>
          </w:tcPr>
          <w:p w14:paraId="5A72780A" w14:textId="77777777" w:rsidR="003E0340" w:rsidRPr="00FA1E86" w:rsidRDefault="003E0340" w:rsidP="00253C04">
            <w:pPr>
              <w:pStyle w:val="COMTabletext"/>
              <w:jc w:val="center"/>
              <w:rPr>
                <w:bCs w:val="0"/>
              </w:rPr>
            </w:pPr>
            <w:r w:rsidRPr="00FA1E86">
              <w:rPr>
                <w:bCs w:val="0"/>
              </w:rPr>
              <w:t>0.4 (-1.3, 2.1)</w:t>
            </w:r>
          </w:p>
        </w:tc>
        <w:tc>
          <w:tcPr>
            <w:tcW w:w="1738" w:type="dxa"/>
            <w:vAlign w:val="center"/>
          </w:tcPr>
          <w:p w14:paraId="7474101D" w14:textId="77777777" w:rsidR="003E0340" w:rsidRPr="00FA1E86" w:rsidRDefault="003E0340" w:rsidP="00253C04">
            <w:pPr>
              <w:pStyle w:val="COMTabletext"/>
              <w:jc w:val="center"/>
              <w:rPr>
                <w:bCs w:val="0"/>
              </w:rPr>
            </w:pPr>
            <w:r w:rsidRPr="00FA1E86">
              <w:rPr>
                <w:bCs w:val="0"/>
              </w:rPr>
              <w:t>1.3 (-0.4, 3.0)</w:t>
            </w:r>
          </w:p>
        </w:tc>
        <w:tc>
          <w:tcPr>
            <w:tcW w:w="1737" w:type="dxa"/>
            <w:vAlign w:val="center"/>
          </w:tcPr>
          <w:p w14:paraId="239B2BBD" w14:textId="77777777" w:rsidR="003E0340" w:rsidRPr="00FA1E86" w:rsidRDefault="003E0340" w:rsidP="00253C04">
            <w:pPr>
              <w:pStyle w:val="COMTabletext"/>
              <w:jc w:val="center"/>
              <w:rPr>
                <w:bCs w:val="0"/>
              </w:rPr>
            </w:pPr>
            <w:r w:rsidRPr="00FA1E86">
              <w:rPr>
                <w:bCs w:val="0"/>
              </w:rPr>
              <w:t>0.7 (-1.0, 2.4)</w:t>
            </w:r>
          </w:p>
        </w:tc>
        <w:tc>
          <w:tcPr>
            <w:tcW w:w="1738" w:type="dxa"/>
            <w:vAlign w:val="center"/>
          </w:tcPr>
          <w:p w14:paraId="12E9A73D" w14:textId="77777777" w:rsidR="003E0340" w:rsidRPr="00FA1E86" w:rsidRDefault="003E0340" w:rsidP="00253C04">
            <w:pPr>
              <w:pStyle w:val="COMTabletext"/>
              <w:jc w:val="center"/>
              <w:rPr>
                <w:bCs w:val="0"/>
              </w:rPr>
            </w:pPr>
            <w:r w:rsidRPr="00FA1E86">
              <w:rPr>
                <w:bCs w:val="0"/>
              </w:rPr>
              <w:t>-</w:t>
            </w:r>
          </w:p>
        </w:tc>
      </w:tr>
      <w:tr w:rsidR="003E0340" w:rsidRPr="00FA1E86" w14:paraId="59F292F6" w14:textId="77777777" w:rsidTr="00253C04">
        <w:trPr>
          <w:cantSplit/>
        </w:trPr>
        <w:tc>
          <w:tcPr>
            <w:tcW w:w="9017" w:type="dxa"/>
            <w:gridSpan w:val="5"/>
            <w:vAlign w:val="center"/>
          </w:tcPr>
          <w:p w14:paraId="2202A14C" w14:textId="77777777" w:rsidR="003E0340" w:rsidRPr="00FA1E86" w:rsidRDefault="003E0340" w:rsidP="00253C04">
            <w:pPr>
              <w:pStyle w:val="COMTableheadingrow"/>
              <w:rPr>
                <w:lang w:val="en-AU"/>
              </w:rPr>
            </w:pPr>
            <w:r w:rsidRPr="00FA1E86">
              <w:rPr>
                <w:lang w:val="en-AU"/>
              </w:rPr>
              <w:t xml:space="preserve">EQ-5D-5L (UK index) </w:t>
            </w:r>
            <w:r w:rsidRPr="00FA1E86">
              <w:rPr>
                <w:vertAlign w:val="superscript"/>
                <w:lang w:val="en-AU"/>
              </w:rPr>
              <w:t>b</w:t>
            </w:r>
          </w:p>
        </w:tc>
      </w:tr>
      <w:tr w:rsidR="003E0340" w:rsidRPr="00FA1E86" w14:paraId="4FC5441B" w14:textId="77777777" w:rsidTr="003E0340">
        <w:trPr>
          <w:cantSplit/>
        </w:trPr>
        <w:tc>
          <w:tcPr>
            <w:tcW w:w="2067" w:type="dxa"/>
            <w:vAlign w:val="center"/>
          </w:tcPr>
          <w:p w14:paraId="49FCC39B" w14:textId="77777777" w:rsidR="003E0340" w:rsidRPr="00FA1E86" w:rsidRDefault="003E0340" w:rsidP="00253C04">
            <w:pPr>
              <w:pStyle w:val="Tabletext0"/>
              <w:keepNext/>
            </w:pPr>
            <w:r w:rsidRPr="00FA1E86">
              <w:t>Baseline, mean (SD)</w:t>
            </w:r>
          </w:p>
        </w:tc>
        <w:tc>
          <w:tcPr>
            <w:tcW w:w="1737" w:type="dxa"/>
            <w:vAlign w:val="center"/>
          </w:tcPr>
          <w:p w14:paraId="00E8DBCB" w14:textId="77777777" w:rsidR="003E0340" w:rsidRPr="00FA1E86" w:rsidRDefault="003E0340" w:rsidP="00253C04">
            <w:pPr>
              <w:pStyle w:val="COMTabletext"/>
              <w:jc w:val="center"/>
              <w:rPr>
                <w:bCs w:val="0"/>
              </w:rPr>
            </w:pPr>
            <w:r w:rsidRPr="00FA1E86">
              <w:rPr>
                <w:bCs w:val="0"/>
              </w:rPr>
              <w:t>0.82 (0.22)</w:t>
            </w:r>
          </w:p>
        </w:tc>
        <w:tc>
          <w:tcPr>
            <w:tcW w:w="1738" w:type="dxa"/>
            <w:vAlign w:val="center"/>
          </w:tcPr>
          <w:p w14:paraId="00449CFE" w14:textId="77777777" w:rsidR="003E0340" w:rsidRPr="00FA1E86" w:rsidRDefault="003E0340" w:rsidP="00253C04">
            <w:pPr>
              <w:pStyle w:val="COMTabletext"/>
              <w:jc w:val="center"/>
              <w:rPr>
                <w:bCs w:val="0"/>
              </w:rPr>
            </w:pPr>
            <w:r w:rsidRPr="00FA1E86">
              <w:rPr>
                <w:bCs w:val="0"/>
              </w:rPr>
              <w:t>0.82 (0.19)</w:t>
            </w:r>
          </w:p>
        </w:tc>
        <w:tc>
          <w:tcPr>
            <w:tcW w:w="1737" w:type="dxa"/>
            <w:vAlign w:val="center"/>
          </w:tcPr>
          <w:p w14:paraId="63477020" w14:textId="77777777" w:rsidR="003E0340" w:rsidRPr="00FA1E86" w:rsidRDefault="003E0340" w:rsidP="00253C04">
            <w:pPr>
              <w:pStyle w:val="COMTabletext"/>
              <w:jc w:val="center"/>
              <w:rPr>
                <w:bCs w:val="0"/>
              </w:rPr>
            </w:pPr>
            <w:r w:rsidRPr="00FA1E86">
              <w:rPr>
                <w:bCs w:val="0"/>
              </w:rPr>
              <w:t>0.82 (0.20)</w:t>
            </w:r>
          </w:p>
        </w:tc>
        <w:tc>
          <w:tcPr>
            <w:tcW w:w="1738" w:type="dxa"/>
            <w:vAlign w:val="center"/>
          </w:tcPr>
          <w:p w14:paraId="46A55546" w14:textId="77777777" w:rsidR="003E0340" w:rsidRPr="00FA1E86" w:rsidRDefault="003E0340" w:rsidP="00253C04">
            <w:pPr>
              <w:pStyle w:val="COMTabletext"/>
              <w:jc w:val="center"/>
              <w:rPr>
                <w:bCs w:val="0"/>
              </w:rPr>
            </w:pPr>
            <w:r w:rsidRPr="00FA1E86">
              <w:rPr>
                <w:bCs w:val="0"/>
              </w:rPr>
              <w:t>0.81 (0.20)</w:t>
            </w:r>
          </w:p>
        </w:tc>
      </w:tr>
      <w:tr w:rsidR="003E0340" w:rsidRPr="00FA1E86" w14:paraId="3F02032B" w14:textId="77777777" w:rsidTr="003E0340">
        <w:trPr>
          <w:cantSplit/>
        </w:trPr>
        <w:tc>
          <w:tcPr>
            <w:tcW w:w="2067" w:type="dxa"/>
            <w:vAlign w:val="center"/>
          </w:tcPr>
          <w:p w14:paraId="5DD2AC4E" w14:textId="77777777" w:rsidR="003E0340" w:rsidRPr="00FA1E86" w:rsidRDefault="003E0340" w:rsidP="00253C04">
            <w:pPr>
              <w:pStyle w:val="Tabletext0"/>
              <w:keepNext/>
            </w:pPr>
            <w:r w:rsidRPr="00FA1E86">
              <w:t>Week 40, mean (SD)</w:t>
            </w:r>
          </w:p>
        </w:tc>
        <w:tc>
          <w:tcPr>
            <w:tcW w:w="1737" w:type="dxa"/>
            <w:vAlign w:val="center"/>
          </w:tcPr>
          <w:p w14:paraId="762906C5" w14:textId="77777777" w:rsidR="003E0340" w:rsidRPr="00FA1E86" w:rsidRDefault="003E0340" w:rsidP="00253C04">
            <w:pPr>
              <w:pStyle w:val="COMTabletext"/>
              <w:jc w:val="center"/>
              <w:rPr>
                <w:bCs w:val="0"/>
              </w:rPr>
            </w:pPr>
            <w:r w:rsidRPr="00FA1E86">
              <w:rPr>
                <w:bCs w:val="0"/>
              </w:rPr>
              <w:t>0.85 (0.19)</w:t>
            </w:r>
          </w:p>
        </w:tc>
        <w:tc>
          <w:tcPr>
            <w:tcW w:w="1738" w:type="dxa"/>
            <w:vAlign w:val="center"/>
          </w:tcPr>
          <w:p w14:paraId="1EF5BCFD" w14:textId="77777777" w:rsidR="003E0340" w:rsidRPr="00FA1E86" w:rsidRDefault="003E0340" w:rsidP="00253C04">
            <w:pPr>
              <w:pStyle w:val="COMTabletext"/>
              <w:jc w:val="center"/>
              <w:rPr>
                <w:bCs w:val="0"/>
              </w:rPr>
            </w:pPr>
            <w:r w:rsidRPr="00FA1E86">
              <w:rPr>
                <w:bCs w:val="0"/>
              </w:rPr>
              <w:t>0.86 (0.19)</w:t>
            </w:r>
          </w:p>
        </w:tc>
        <w:tc>
          <w:tcPr>
            <w:tcW w:w="1737" w:type="dxa"/>
            <w:vAlign w:val="center"/>
          </w:tcPr>
          <w:p w14:paraId="545FEE7B" w14:textId="77777777" w:rsidR="003E0340" w:rsidRPr="00FA1E86" w:rsidRDefault="003E0340" w:rsidP="00253C04">
            <w:pPr>
              <w:pStyle w:val="COMTabletext"/>
              <w:jc w:val="center"/>
              <w:rPr>
                <w:bCs w:val="0"/>
              </w:rPr>
            </w:pPr>
            <w:r w:rsidRPr="00FA1E86">
              <w:rPr>
                <w:bCs w:val="0"/>
              </w:rPr>
              <w:t>0.85 (0.20)</w:t>
            </w:r>
          </w:p>
        </w:tc>
        <w:tc>
          <w:tcPr>
            <w:tcW w:w="1738" w:type="dxa"/>
            <w:vAlign w:val="center"/>
          </w:tcPr>
          <w:p w14:paraId="7F4CC3D7" w14:textId="77777777" w:rsidR="003E0340" w:rsidRPr="00FA1E86" w:rsidRDefault="003E0340" w:rsidP="00253C04">
            <w:pPr>
              <w:pStyle w:val="COMTabletext"/>
              <w:jc w:val="center"/>
              <w:rPr>
                <w:bCs w:val="0"/>
              </w:rPr>
            </w:pPr>
            <w:r w:rsidRPr="00FA1E86">
              <w:rPr>
                <w:bCs w:val="0"/>
              </w:rPr>
              <w:t>0.85 (0.20)</w:t>
            </w:r>
          </w:p>
        </w:tc>
      </w:tr>
      <w:tr w:rsidR="003E0340" w:rsidRPr="00FA1E86" w14:paraId="5038D924" w14:textId="77777777" w:rsidTr="003E0340">
        <w:trPr>
          <w:cantSplit/>
        </w:trPr>
        <w:tc>
          <w:tcPr>
            <w:tcW w:w="2067" w:type="dxa"/>
            <w:vAlign w:val="center"/>
          </w:tcPr>
          <w:p w14:paraId="4B407065" w14:textId="77777777" w:rsidR="003E0340" w:rsidRPr="00FA1E86" w:rsidRDefault="003E0340" w:rsidP="00253C04">
            <w:pPr>
              <w:pStyle w:val="Tabletext0"/>
              <w:keepNext/>
            </w:pPr>
            <w:r w:rsidRPr="00FA1E86">
              <w:t>Change from baseline, LSM (SE)</w:t>
            </w:r>
          </w:p>
        </w:tc>
        <w:tc>
          <w:tcPr>
            <w:tcW w:w="1737" w:type="dxa"/>
            <w:vAlign w:val="center"/>
          </w:tcPr>
          <w:p w14:paraId="0224C27D" w14:textId="77777777" w:rsidR="003E0340" w:rsidRPr="00FA1E86" w:rsidRDefault="003E0340" w:rsidP="00253C04">
            <w:pPr>
              <w:pStyle w:val="COMTabletext"/>
              <w:jc w:val="center"/>
              <w:rPr>
                <w:bCs w:val="0"/>
              </w:rPr>
            </w:pPr>
            <w:r w:rsidRPr="00FA1E86">
              <w:rPr>
                <w:bCs w:val="0"/>
              </w:rPr>
              <w:t>0.04 (0.01)</w:t>
            </w:r>
          </w:p>
        </w:tc>
        <w:tc>
          <w:tcPr>
            <w:tcW w:w="1738" w:type="dxa"/>
            <w:vAlign w:val="center"/>
          </w:tcPr>
          <w:p w14:paraId="5745E92F" w14:textId="77777777" w:rsidR="003E0340" w:rsidRPr="00FA1E86" w:rsidRDefault="003E0340" w:rsidP="00253C04">
            <w:pPr>
              <w:pStyle w:val="COMTabletext"/>
              <w:jc w:val="center"/>
              <w:rPr>
                <w:bCs w:val="0"/>
              </w:rPr>
            </w:pPr>
            <w:r w:rsidRPr="00FA1E86">
              <w:rPr>
                <w:bCs w:val="0"/>
              </w:rPr>
              <w:t>0.04 (0.01)</w:t>
            </w:r>
          </w:p>
        </w:tc>
        <w:tc>
          <w:tcPr>
            <w:tcW w:w="1737" w:type="dxa"/>
            <w:vAlign w:val="center"/>
          </w:tcPr>
          <w:p w14:paraId="300F9D9F" w14:textId="77777777" w:rsidR="003E0340" w:rsidRPr="00FA1E86" w:rsidRDefault="003E0340" w:rsidP="00253C04">
            <w:pPr>
              <w:pStyle w:val="COMTabletext"/>
              <w:jc w:val="center"/>
              <w:rPr>
                <w:bCs w:val="0"/>
              </w:rPr>
            </w:pPr>
            <w:r w:rsidRPr="00FA1E86">
              <w:rPr>
                <w:bCs w:val="0"/>
              </w:rPr>
              <w:t>0.04 (0.01)</w:t>
            </w:r>
          </w:p>
        </w:tc>
        <w:tc>
          <w:tcPr>
            <w:tcW w:w="1738" w:type="dxa"/>
            <w:vAlign w:val="center"/>
          </w:tcPr>
          <w:p w14:paraId="621EBCAB" w14:textId="77777777" w:rsidR="003E0340" w:rsidRPr="00FA1E86" w:rsidRDefault="003E0340" w:rsidP="00253C04">
            <w:pPr>
              <w:pStyle w:val="COMTabletext"/>
              <w:jc w:val="center"/>
              <w:rPr>
                <w:bCs w:val="0"/>
              </w:rPr>
            </w:pPr>
            <w:r w:rsidRPr="00FA1E86">
              <w:rPr>
                <w:bCs w:val="0"/>
              </w:rPr>
              <w:t>0.03 (0.01)</w:t>
            </w:r>
          </w:p>
        </w:tc>
      </w:tr>
      <w:tr w:rsidR="003E0340" w:rsidRPr="00FA1E86" w14:paraId="17C464D0" w14:textId="77777777" w:rsidTr="003E0340">
        <w:trPr>
          <w:cantSplit/>
        </w:trPr>
        <w:tc>
          <w:tcPr>
            <w:tcW w:w="2067" w:type="dxa"/>
            <w:vAlign w:val="center"/>
          </w:tcPr>
          <w:p w14:paraId="2FEF1EEF" w14:textId="77777777" w:rsidR="003E0340" w:rsidRPr="00FA1E86" w:rsidRDefault="003E0340" w:rsidP="00253C04">
            <w:pPr>
              <w:pStyle w:val="Tabletext0"/>
              <w:keepNext/>
            </w:pPr>
            <w:r w:rsidRPr="00FA1E86">
              <w:t>Tirzepatide vs semaglutide, LSM difference (95% CI)</w:t>
            </w:r>
          </w:p>
        </w:tc>
        <w:tc>
          <w:tcPr>
            <w:tcW w:w="1737" w:type="dxa"/>
            <w:vAlign w:val="center"/>
          </w:tcPr>
          <w:p w14:paraId="03827D09" w14:textId="77777777" w:rsidR="003E0340" w:rsidRPr="00FA1E86" w:rsidRDefault="003E0340" w:rsidP="00253C04">
            <w:pPr>
              <w:pStyle w:val="COMTabletext"/>
              <w:jc w:val="center"/>
              <w:rPr>
                <w:bCs w:val="0"/>
              </w:rPr>
            </w:pPr>
            <w:r w:rsidRPr="00FA1E86">
              <w:rPr>
                <w:bCs w:val="0"/>
              </w:rPr>
              <w:t>0.00 (-0.02, 0.02)</w:t>
            </w:r>
          </w:p>
        </w:tc>
        <w:tc>
          <w:tcPr>
            <w:tcW w:w="1738" w:type="dxa"/>
            <w:vAlign w:val="center"/>
          </w:tcPr>
          <w:p w14:paraId="40037D50" w14:textId="77777777" w:rsidR="003E0340" w:rsidRPr="00FA1E86" w:rsidRDefault="003E0340" w:rsidP="00253C04">
            <w:pPr>
              <w:pStyle w:val="COMTabletext"/>
              <w:jc w:val="center"/>
              <w:rPr>
                <w:bCs w:val="0"/>
              </w:rPr>
            </w:pPr>
            <w:r w:rsidRPr="00FA1E86">
              <w:rPr>
                <w:bCs w:val="0"/>
              </w:rPr>
              <w:t>0.01 (-0.01, 0.03)</w:t>
            </w:r>
          </w:p>
        </w:tc>
        <w:tc>
          <w:tcPr>
            <w:tcW w:w="1737" w:type="dxa"/>
            <w:vAlign w:val="center"/>
          </w:tcPr>
          <w:p w14:paraId="60EB44FF" w14:textId="77777777" w:rsidR="003E0340" w:rsidRPr="00FA1E86" w:rsidRDefault="003E0340" w:rsidP="00253C04">
            <w:pPr>
              <w:pStyle w:val="COMTabletext"/>
              <w:jc w:val="center"/>
              <w:rPr>
                <w:bCs w:val="0"/>
              </w:rPr>
            </w:pPr>
            <w:r w:rsidRPr="00FA1E86">
              <w:rPr>
                <w:bCs w:val="0"/>
              </w:rPr>
              <w:t>0.00 (-0.02, 0.02)</w:t>
            </w:r>
          </w:p>
        </w:tc>
        <w:tc>
          <w:tcPr>
            <w:tcW w:w="1738" w:type="dxa"/>
            <w:vAlign w:val="center"/>
          </w:tcPr>
          <w:p w14:paraId="3CC2C9CC" w14:textId="77777777" w:rsidR="003E0340" w:rsidRPr="00FA1E86" w:rsidRDefault="003E0340" w:rsidP="00253C04">
            <w:pPr>
              <w:pStyle w:val="COMTabletext"/>
              <w:jc w:val="center"/>
              <w:rPr>
                <w:bCs w:val="0"/>
              </w:rPr>
            </w:pPr>
            <w:r w:rsidRPr="00FA1E86">
              <w:rPr>
                <w:bCs w:val="0"/>
              </w:rPr>
              <w:t>-</w:t>
            </w:r>
          </w:p>
        </w:tc>
      </w:tr>
      <w:tr w:rsidR="003E0340" w:rsidRPr="00FA1E86" w14:paraId="4232A061" w14:textId="77777777" w:rsidTr="00253C04">
        <w:trPr>
          <w:cantSplit/>
        </w:trPr>
        <w:tc>
          <w:tcPr>
            <w:tcW w:w="9017" w:type="dxa"/>
            <w:gridSpan w:val="5"/>
            <w:vAlign w:val="center"/>
          </w:tcPr>
          <w:p w14:paraId="645C40E6" w14:textId="77777777" w:rsidR="003E0340" w:rsidRPr="00FA1E86" w:rsidRDefault="003E0340" w:rsidP="00253C04">
            <w:pPr>
              <w:pStyle w:val="COMTableheadingrow"/>
              <w:rPr>
                <w:vertAlign w:val="superscript"/>
                <w:lang w:val="en-AU"/>
              </w:rPr>
            </w:pPr>
            <w:r w:rsidRPr="00FA1E86">
              <w:rPr>
                <w:lang w:val="en-AU"/>
              </w:rPr>
              <w:t xml:space="preserve">IWQOL-Lite-CT (Total score) </w:t>
            </w:r>
            <w:r w:rsidRPr="00FA1E86">
              <w:rPr>
                <w:vertAlign w:val="superscript"/>
                <w:lang w:val="en-AU"/>
              </w:rPr>
              <w:t>c</w:t>
            </w:r>
          </w:p>
        </w:tc>
      </w:tr>
      <w:tr w:rsidR="003E0340" w:rsidRPr="00FA1E86" w14:paraId="66946A00" w14:textId="77777777" w:rsidTr="003E0340">
        <w:trPr>
          <w:cantSplit/>
        </w:trPr>
        <w:tc>
          <w:tcPr>
            <w:tcW w:w="2067" w:type="dxa"/>
            <w:vAlign w:val="center"/>
          </w:tcPr>
          <w:p w14:paraId="2B3F8780" w14:textId="77777777" w:rsidR="003E0340" w:rsidRPr="00FA1E86" w:rsidRDefault="003E0340" w:rsidP="00253C04">
            <w:pPr>
              <w:pStyle w:val="Tabletext0"/>
              <w:keepNext/>
            </w:pPr>
            <w:r w:rsidRPr="00FA1E86">
              <w:t>Baseline, mean (SD)</w:t>
            </w:r>
          </w:p>
        </w:tc>
        <w:tc>
          <w:tcPr>
            <w:tcW w:w="1737" w:type="dxa"/>
            <w:vAlign w:val="center"/>
          </w:tcPr>
          <w:p w14:paraId="3F3E004F" w14:textId="77777777" w:rsidR="003E0340" w:rsidRPr="00FA1E86" w:rsidRDefault="003E0340" w:rsidP="00253C04">
            <w:pPr>
              <w:pStyle w:val="COMTabletext"/>
              <w:jc w:val="center"/>
              <w:rPr>
                <w:bCs w:val="0"/>
              </w:rPr>
            </w:pPr>
            <w:r w:rsidRPr="00FA1E86">
              <w:rPr>
                <w:bCs w:val="0"/>
              </w:rPr>
              <w:t>69.8 (22.5)</w:t>
            </w:r>
          </w:p>
        </w:tc>
        <w:tc>
          <w:tcPr>
            <w:tcW w:w="1738" w:type="dxa"/>
            <w:vAlign w:val="center"/>
          </w:tcPr>
          <w:p w14:paraId="489EA320" w14:textId="77777777" w:rsidR="003E0340" w:rsidRPr="00FA1E86" w:rsidRDefault="003E0340" w:rsidP="00253C04">
            <w:pPr>
              <w:pStyle w:val="COMTabletext"/>
              <w:jc w:val="center"/>
              <w:rPr>
                <w:bCs w:val="0"/>
              </w:rPr>
            </w:pPr>
            <w:r w:rsidRPr="00FA1E86">
              <w:rPr>
                <w:bCs w:val="0"/>
              </w:rPr>
              <w:t>68.7 (22.6)</w:t>
            </w:r>
          </w:p>
        </w:tc>
        <w:tc>
          <w:tcPr>
            <w:tcW w:w="1737" w:type="dxa"/>
            <w:vAlign w:val="center"/>
          </w:tcPr>
          <w:p w14:paraId="08E4E6F5" w14:textId="77777777" w:rsidR="003E0340" w:rsidRPr="00FA1E86" w:rsidRDefault="003E0340" w:rsidP="00253C04">
            <w:pPr>
              <w:pStyle w:val="COMTabletext"/>
              <w:jc w:val="center"/>
              <w:rPr>
                <w:bCs w:val="0"/>
              </w:rPr>
            </w:pPr>
            <w:r w:rsidRPr="00FA1E86">
              <w:rPr>
                <w:bCs w:val="0"/>
              </w:rPr>
              <w:t>67.8 (23.7)</w:t>
            </w:r>
          </w:p>
        </w:tc>
        <w:tc>
          <w:tcPr>
            <w:tcW w:w="1738" w:type="dxa"/>
            <w:vAlign w:val="center"/>
          </w:tcPr>
          <w:p w14:paraId="507D00CC" w14:textId="77777777" w:rsidR="003E0340" w:rsidRPr="00FA1E86" w:rsidRDefault="003E0340" w:rsidP="00253C04">
            <w:pPr>
              <w:pStyle w:val="COMTabletext"/>
              <w:jc w:val="center"/>
              <w:rPr>
                <w:bCs w:val="0"/>
              </w:rPr>
            </w:pPr>
            <w:r w:rsidRPr="00FA1E86">
              <w:rPr>
                <w:bCs w:val="0"/>
              </w:rPr>
              <w:t>71.2 (21.5)</w:t>
            </w:r>
          </w:p>
        </w:tc>
      </w:tr>
      <w:tr w:rsidR="003E0340" w:rsidRPr="00FA1E86" w14:paraId="012A7EF7" w14:textId="77777777" w:rsidTr="003E0340">
        <w:trPr>
          <w:cantSplit/>
        </w:trPr>
        <w:tc>
          <w:tcPr>
            <w:tcW w:w="2067" w:type="dxa"/>
            <w:vAlign w:val="center"/>
          </w:tcPr>
          <w:p w14:paraId="66B35E4F" w14:textId="77777777" w:rsidR="003E0340" w:rsidRPr="00FA1E86" w:rsidRDefault="003E0340" w:rsidP="00253C04">
            <w:pPr>
              <w:pStyle w:val="Tabletext0"/>
              <w:keepNext/>
            </w:pPr>
            <w:r w:rsidRPr="00FA1E86">
              <w:t>Week 40, mean (SD)</w:t>
            </w:r>
          </w:p>
        </w:tc>
        <w:tc>
          <w:tcPr>
            <w:tcW w:w="1737" w:type="dxa"/>
            <w:vAlign w:val="center"/>
          </w:tcPr>
          <w:p w14:paraId="0A35F483" w14:textId="77777777" w:rsidR="003E0340" w:rsidRPr="00FA1E86" w:rsidRDefault="003E0340" w:rsidP="00253C04">
            <w:pPr>
              <w:pStyle w:val="COMTabletext"/>
              <w:jc w:val="center"/>
              <w:rPr>
                <w:bCs w:val="0"/>
              </w:rPr>
            </w:pPr>
            <w:r w:rsidRPr="00FA1E86">
              <w:rPr>
                <w:bCs w:val="0"/>
              </w:rPr>
              <w:t>78.8 (17.7)</w:t>
            </w:r>
          </w:p>
        </w:tc>
        <w:tc>
          <w:tcPr>
            <w:tcW w:w="1738" w:type="dxa"/>
            <w:vAlign w:val="center"/>
          </w:tcPr>
          <w:p w14:paraId="52F20A13" w14:textId="77777777" w:rsidR="003E0340" w:rsidRPr="00FA1E86" w:rsidRDefault="003E0340" w:rsidP="00253C04">
            <w:pPr>
              <w:pStyle w:val="COMTabletext"/>
              <w:jc w:val="center"/>
              <w:rPr>
                <w:bCs w:val="0"/>
              </w:rPr>
            </w:pPr>
            <w:r w:rsidRPr="00FA1E86">
              <w:rPr>
                <w:bCs w:val="0"/>
              </w:rPr>
              <w:t>78.2 (18.8)</w:t>
            </w:r>
          </w:p>
        </w:tc>
        <w:tc>
          <w:tcPr>
            <w:tcW w:w="1737" w:type="dxa"/>
            <w:vAlign w:val="center"/>
          </w:tcPr>
          <w:p w14:paraId="2A79557E" w14:textId="77777777" w:rsidR="003E0340" w:rsidRPr="00FA1E86" w:rsidRDefault="003E0340" w:rsidP="00253C04">
            <w:pPr>
              <w:pStyle w:val="COMTabletext"/>
              <w:jc w:val="center"/>
              <w:rPr>
                <w:bCs w:val="0"/>
              </w:rPr>
            </w:pPr>
            <w:r w:rsidRPr="00FA1E86">
              <w:rPr>
                <w:bCs w:val="0"/>
              </w:rPr>
              <w:t>78.5 (18.9)</w:t>
            </w:r>
          </w:p>
        </w:tc>
        <w:tc>
          <w:tcPr>
            <w:tcW w:w="1738" w:type="dxa"/>
            <w:vAlign w:val="center"/>
          </w:tcPr>
          <w:p w14:paraId="0BD18D68" w14:textId="77777777" w:rsidR="003E0340" w:rsidRPr="00FA1E86" w:rsidRDefault="003E0340" w:rsidP="00253C04">
            <w:pPr>
              <w:pStyle w:val="COMTabletext"/>
              <w:jc w:val="center"/>
              <w:rPr>
                <w:bCs w:val="0"/>
              </w:rPr>
            </w:pPr>
            <w:r w:rsidRPr="00FA1E86">
              <w:rPr>
                <w:bCs w:val="0"/>
              </w:rPr>
              <w:t>77.8 (19.0)</w:t>
            </w:r>
          </w:p>
        </w:tc>
      </w:tr>
      <w:tr w:rsidR="003E0340" w:rsidRPr="00FA1E86" w14:paraId="682448EA" w14:textId="77777777" w:rsidTr="003E0340">
        <w:trPr>
          <w:cantSplit/>
        </w:trPr>
        <w:tc>
          <w:tcPr>
            <w:tcW w:w="2067" w:type="dxa"/>
            <w:vAlign w:val="center"/>
          </w:tcPr>
          <w:p w14:paraId="56557556" w14:textId="77777777" w:rsidR="003E0340" w:rsidRPr="00FA1E86" w:rsidRDefault="003E0340" w:rsidP="00253C04">
            <w:pPr>
              <w:pStyle w:val="Tabletext0"/>
              <w:keepNext/>
            </w:pPr>
            <w:r w:rsidRPr="00FA1E86">
              <w:t>Change from baseline, LSM (SE)</w:t>
            </w:r>
          </w:p>
        </w:tc>
        <w:tc>
          <w:tcPr>
            <w:tcW w:w="1737" w:type="dxa"/>
            <w:vAlign w:val="center"/>
          </w:tcPr>
          <w:p w14:paraId="27835982" w14:textId="77777777" w:rsidR="003E0340" w:rsidRPr="00FA1E86" w:rsidRDefault="003E0340" w:rsidP="00253C04">
            <w:pPr>
              <w:pStyle w:val="COMTabletext"/>
              <w:jc w:val="center"/>
              <w:rPr>
                <w:bCs w:val="0"/>
              </w:rPr>
            </w:pPr>
            <w:r w:rsidRPr="00FA1E86">
              <w:rPr>
                <w:bCs w:val="0"/>
              </w:rPr>
              <w:t>9.0 (0.7)</w:t>
            </w:r>
          </w:p>
        </w:tc>
        <w:tc>
          <w:tcPr>
            <w:tcW w:w="1738" w:type="dxa"/>
            <w:vAlign w:val="center"/>
          </w:tcPr>
          <w:p w14:paraId="750D996E" w14:textId="77777777" w:rsidR="003E0340" w:rsidRPr="00FA1E86" w:rsidRDefault="003E0340" w:rsidP="00253C04">
            <w:pPr>
              <w:pStyle w:val="COMTabletext"/>
              <w:jc w:val="center"/>
              <w:rPr>
                <w:bCs w:val="0"/>
              </w:rPr>
            </w:pPr>
            <w:r w:rsidRPr="00FA1E86">
              <w:rPr>
                <w:bCs w:val="0"/>
              </w:rPr>
              <w:t>9.0 (0.7)</w:t>
            </w:r>
          </w:p>
        </w:tc>
        <w:tc>
          <w:tcPr>
            <w:tcW w:w="1737" w:type="dxa"/>
            <w:vAlign w:val="center"/>
          </w:tcPr>
          <w:p w14:paraId="25C3FC8F" w14:textId="77777777" w:rsidR="003E0340" w:rsidRPr="00FA1E86" w:rsidRDefault="003E0340" w:rsidP="00253C04">
            <w:pPr>
              <w:pStyle w:val="COMTabletext"/>
              <w:jc w:val="center"/>
              <w:rPr>
                <w:bCs w:val="0"/>
              </w:rPr>
            </w:pPr>
            <w:r w:rsidRPr="00FA1E86">
              <w:rPr>
                <w:bCs w:val="0"/>
              </w:rPr>
              <w:t>9.9 (0.7)</w:t>
            </w:r>
          </w:p>
        </w:tc>
        <w:tc>
          <w:tcPr>
            <w:tcW w:w="1738" w:type="dxa"/>
            <w:vAlign w:val="center"/>
          </w:tcPr>
          <w:p w14:paraId="6ABCCD7E" w14:textId="77777777" w:rsidR="003E0340" w:rsidRPr="00FA1E86" w:rsidRDefault="003E0340" w:rsidP="00253C04">
            <w:pPr>
              <w:pStyle w:val="COMTabletext"/>
              <w:jc w:val="center"/>
              <w:rPr>
                <w:bCs w:val="0"/>
              </w:rPr>
            </w:pPr>
            <w:r w:rsidRPr="00FA1E86">
              <w:rPr>
                <w:bCs w:val="0"/>
              </w:rPr>
              <w:t>7.3 (0.7)</w:t>
            </w:r>
          </w:p>
        </w:tc>
      </w:tr>
      <w:tr w:rsidR="003E0340" w:rsidRPr="00FA1E86" w14:paraId="7EA4256F" w14:textId="77777777" w:rsidTr="003E0340">
        <w:trPr>
          <w:cantSplit/>
        </w:trPr>
        <w:tc>
          <w:tcPr>
            <w:tcW w:w="2067" w:type="dxa"/>
            <w:vAlign w:val="center"/>
          </w:tcPr>
          <w:p w14:paraId="530E39A9" w14:textId="77777777" w:rsidR="003E0340" w:rsidRPr="00FA1E86" w:rsidRDefault="003E0340" w:rsidP="00253C04">
            <w:pPr>
              <w:pStyle w:val="Tabletext0"/>
              <w:keepNext/>
            </w:pPr>
            <w:r w:rsidRPr="00FA1E86">
              <w:t>Tirzepatide vs semaglutide, LSM difference (95% CI)</w:t>
            </w:r>
          </w:p>
        </w:tc>
        <w:tc>
          <w:tcPr>
            <w:tcW w:w="1737" w:type="dxa"/>
            <w:vAlign w:val="center"/>
          </w:tcPr>
          <w:p w14:paraId="63C6DD83" w14:textId="77777777" w:rsidR="003E0340" w:rsidRPr="00FA1E86" w:rsidRDefault="003E0340" w:rsidP="00253C04">
            <w:pPr>
              <w:pStyle w:val="COMTabletext"/>
              <w:jc w:val="center"/>
              <w:rPr>
                <w:bCs w:val="0"/>
              </w:rPr>
            </w:pPr>
            <w:r w:rsidRPr="00FA1E86">
              <w:rPr>
                <w:bCs w:val="0"/>
              </w:rPr>
              <w:t>1.7 (-0.2, 3.5)</w:t>
            </w:r>
          </w:p>
        </w:tc>
        <w:tc>
          <w:tcPr>
            <w:tcW w:w="1738" w:type="dxa"/>
            <w:vAlign w:val="center"/>
          </w:tcPr>
          <w:p w14:paraId="5F2CD19D" w14:textId="77777777" w:rsidR="003E0340" w:rsidRPr="00FA1E86" w:rsidRDefault="003E0340" w:rsidP="00253C04">
            <w:pPr>
              <w:pStyle w:val="COMTabletext"/>
              <w:jc w:val="center"/>
              <w:rPr>
                <w:bCs w:val="0"/>
              </w:rPr>
            </w:pPr>
            <w:r w:rsidRPr="00FA1E86">
              <w:rPr>
                <w:bCs w:val="0"/>
              </w:rPr>
              <w:t>1.7 (-0.1, 3.5)</w:t>
            </w:r>
          </w:p>
        </w:tc>
        <w:tc>
          <w:tcPr>
            <w:tcW w:w="1737" w:type="dxa"/>
            <w:vAlign w:val="center"/>
          </w:tcPr>
          <w:p w14:paraId="55726ADF" w14:textId="77777777" w:rsidR="003E0340" w:rsidRPr="00FA1E86" w:rsidRDefault="003E0340" w:rsidP="00253C04">
            <w:pPr>
              <w:pStyle w:val="COMTabletext"/>
              <w:jc w:val="center"/>
              <w:rPr>
                <w:bCs w:val="0"/>
              </w:rPr>
            </w:pPr>
            <w:r w:rsidRPr="00FA1E86">
              <w:rPr>
                <w:bCs w:val="0"/>
              </w:rPr>
              <w:t>2.6 (0.7, 4.4)</w:t>
            </w:r>
          </w:p>
        </w:tc>
        <w:tc>
          <w:tcPr>
            <w:tcW w:w="1738" w:type="dxa"/>
            <w:vAlign w:val="center"/>
          </w:tcPr>
          <w:p w14:paraId="217ACA00" w14:textId="77777777" w:rsidR="003E0340" w:rsidRPr="00FA1E86" w:rsidRDefault="003E0340" w:rsidP="00253C04">
            <w:pPr>
              <w:pStyle w:val="COMTabletext"/>
              <w:jc w:val="center"/>
              <w:rPr>
                <w:bCs w:val="0"/>
              </w:rPr>
            </w:pPr>
            <w:r w:rsidRPr="00FA1E86">
              <w:rPr>
                <w:bCs w:val="0"/>
              </w:rPr>
              <w:t>-</w:t>
            </w:r>
          </w:p>
        </w:tc>
      </w:tr>
      <w:tr w:rsidR="003E0340" w:rsidRPr="00FA1E86" w14:paraId="11209674" w14:textId="77777777" w:rsidTr="00253C04">
        <w:trPr>
          <w:cantSplit/>
        </w:trPr>
        <w:tc>
          <w:tcPr>
            <w:tcW w:w="9017" w:type="dxa"/>
            <w:gridSpan w:val="5"/>
            <w:vAlign w:val="center"/>
          </w:tcPr>
          <w:p w14:paraId="7A3CFF71" w14:textId="77777777" w:rsidR="003E0340" w:rsidRPr="00FA1E86" w:rsidRDefault="003E0340" w:rsidP="00253C04">
            <w:pPr>
              <w:pStyle w:val="COMTableheadingrow"/>
              <w:rPr>
                <w:lang w:val="en-AU"/>
              </w:rPr>
            </w:pPr>
            <w:r w:rsidRPr="00FA1E86">
              <w:rPr>
                <w:lang w:val="en-AU"/>
              </w:rPr>
              <w:t>IWQOL-Lite-CT (Physical composite subscore)</w:t>
            </w:r>
          </w:p>
        </w:tc>
      </w:tr>
      <w:tr w:rsidR="003E0340" w:rsidRPr="00FA1E86" w14:paraId="4B8B6C26" w14:textId="77777777" w:rsidTr="003E0340">
        <w:trPr>
          <w:cantSplit/>
        </w:trPr>
        <w:tc>
          <w:tcPr>
            <w:tcW w:w="2067" w:type="dxa"/>
            <w:vAlign w:val="center"/>
          </w:tcPr>
          <w:p w14:paraId="2A38921F" w14:textId="77777777" w:rsidR="003E0340" w:rsidRPr="00FA1E86" w:rsidRDefault="003E0340" w:rsidP="00253C04">
            <w:pPr>
              <w:pStyle w:val="Tabletext0"/>
              <w:keepNext/>
            </w:pPr>
            <w:r w:rsidRPr="00FA1E86">
              <w:t>Baseline, mean (SD)</w:t>
            </w:r>
          </w:p>
        </w:tc>
        <w:tc>
          <w:tcPr>
            <w:tcW w:w="1737" w:type="dxa"/>
            <w:vAlign w:val="center"/>
          </w:tcPr>
          <w:p w14:paraId="574A68A8" w14:textId="77777777" w:rsidR="003E0340" w:rsidRPr="00FA1E86" w:rsidRDefault="003E0340" w:rsidP="00253C04">
            <w:pPr>
              <w:pStyle w:val="COMTabletext"/>
              <w:jc w:val="center"/>
              <w:rPr>
                <w:bCs w:val="0"/>
              </w:rPr>
            </w:pPr>
            <w:r w:rsidRPr="00FA1E86">
              <w:rPr>
                <w:bCs w:val="0"/>
              </w:rPr>
              <w:t>65.4 (23.8)</w:t>
            </w:r>
          </w:p>
        </w:tc>
        <w:tc>
          <w:tcPr>
            <w:tcW w:w="1738" w:type="dxa"/>
            <w:vAlign w:val="center"/>
          </w:tcPr>
          <w:p w14:paraId="5C9DD41D" w14:textId="77777777" w:rsidR="003E0340" w:rsidRPr="00FA1E86" w:rsidRDefault="003E0340" w:rsidP="00253C04">
            <w:pPr>
              <w:pStyle w:val="COMTabletext"/>
              <w:jc w:val="center"/>
              <w:rPr>
                <w:bCs w:val="0"/>
              </w:rPr>
            </w:pPr>
            <w:r w:rsidRPr="00FA1E86">
              <w:rPr>
                <w:bCs w:val="0"/>
              </w:rPr>
              <w:t>63.6 (24.8)</w:t>
            </w:r>
          </w:p>
        </w:tc>
        <w:tc>
          <w:tcPr>
            <w:tcW w:w="1737" w:type="dxa"/>
            <w:vAlign w:val="center"/>
          </w:tcPr>
          <w:p w14:paraId="2DDF49A2" w14:textId="77777777" w:rsidR="003E0340" w:rsidRPr="00FA1E86" w:rsidRDefault="003E0340" w:rsidP="00253C04">
            <w:pPr>
              <w:pStyle w:val="COMTabletext"/>
              <w:jc w:val="center"/>
              <w:rPr>
                <w:bCs w:val="0"/>
              </w:rPr>
            </w:pPr>
            <w:r w:rsidRPr="00FA1E86">
              <w:rPr>
                <w:bCs w:val="0"/>
              </w:rPr>
              <w:t>63.3 (25.1)</w:t>
            </w:r>
          </w:p>
        </w:tc>
        <w:tc>
          <w:tcPr>
            <w:tcW w:w="1738" w:type="dxa"/>
            <w:vAlign w:val="center"/>
          </w:tcPr>
          <w:p w14:paraId="6A18914F" w14:textId="77777777" w:rsidR="003E0340" w:rsidRPr="00FA1E86" w:rsidRDefault="003E0340" w:rsidP="00253C04">
            <w:pPr>
              <w:pStyle w:val="COMTabletext"/>
              <w:jc w:val="center"/>
              <w:rPr>
                <w:bCs w:val="0"/>
              </w:rPr>
            </w:pPr>
            <w:r w:rsidRPr="00FA1E86">
              <w:rPr>
                <w:bCs w:val="0"/>
              </w:rPr>
              <w:t>66.5 (23.3)</w:t>
            </w:r>
          </w:p>
        </w:tc>
      </w:tr>
      <w:tr w:rsidR="003E0340" w:rsidRPr="00FA1E86" w14:paraId="19EFA8D8" w14:textId="77777777" w:rsidTr="003E0340">
        <w:trPr>
          <w:cantSplit/>
        </w:trPr>
        <w:tc>
          <w:tcPr>
            <w:tcW w:w="2067" w:type="dxa"/>
            <w:vAlign w:val="center"/>
          </w:tcPr>
          <w:p w14:paraId="3EC0CF96" w14:textId="77777777" w:rsidR="003E0340" w:rsidRPr="00FA1E86" w:rsidRDefault="003E0340" w:rsidP="00253C04">
            <w:pPr>
              <w:pStyle w:val="Tabletext0"/>
              <w:keepNext/>
            </w:pPr>
            <w:r w:rsidRPr="00FA1E86">
              <w:t>Week 40, mean (SD)</w:t>
            </w:r>
          </w:p>
        </w:tc>
        <w:tc>
          <w:tcPr>
            <w:tcW w:w="1737" w:type="dxa"/>
            <w:vAlign w:val="center"/>
          </w:tcPr>
          <w:p w14:paraId="05E888E9" w14:textId="77777777" w:rsidR="003E0340" w:rsidRPr="00FA1E86" w:rsidRDefault="003E0340" w:rsidP="00253C04">
            <w:pPr>
              <w:pStyle w:val="COMTabletext"/>
              <w:jc w:val="center"/>
              <w:rPr>
                <w:bCs w:val="0"/>
              </w:rPr>
            </w:pPr>
            <w:r w:rsidRPr="00FA1E86">
              <w:rPr>
                <w:bCs w:val="0"/>
              </w:rPr>
              <w:t>74.7 (20.7)</w:t>
            </w:r>
          </w:p>
        </w:tc>
        <w:tc>
          <w:tcPr>
            <w:tcW w:w="1738" w:type="dxa"/>
            <w:vAlign w:val="center"/>
          </w:tcPr>
          <w:p w14:paraId="44D8F6D6" w14:textId="77777777" w:rsidR="003E0340" w:rsidRPr="00FA1E86" w:rsidRDefault="003E0340" w:rsidP="00253C04">
            <w:pPr>
              <w:pStyle w:val="COMTabletext"/>
              <w:jc w:val="center"/>
              <w:rPr>
                <w:bCs w:val="0"/>
              </w:rPr>
            </w:pPr>
            <w:r w:rsidRPr="00FA1E86">
              <w:rPr>
                <w:bCs w:val="0"/>
              </w:rPr>
              <w:t>73.7 (23.0)</w:t>
            </w:r>
          </w:p>
        </w:tc>
        <w:tc>
          <w:tcPr>
            <w:tcW w:w="1737" w:type="dxa"/>
            <w:vAlign w:val="center"/>
          </w:tcPr>
          <w:p w14:paraId="52823F51" w14:textId="77777777" w:rsidR="003E0340" w:rsidRPr="00FA1E86" w:rsidRDefault="003E0340" w:rsidP="00253C04">
            <w:pPr>
              <w:pStyle w:val="COMTabletext"/>
              <w:jc w:val="center"/>
              <w:rPr>
                <w:bCs w:val="0"/>
              </w:rPr>
            </w:pPr>
            <w:r w:rsidRPr="00FA1E86">
              <w:rPr>
                <w:bCs w:val="0"/>
              </w:rPr>
              <w:t>74.3 (22.4)</w:t>
            </w:r>
          </w:p>
        </w:tc>
        <w:tc>
          <w:tcPr>
            <w:tcW w:w="1738" w:type="dxa"/>
            <w:vAlign w:val="center"/>
          </w:tcPr>
          <w:p w14:paraId="69C3DC84" w14:textId="77777777" w:rsidR="003E0340" w:rsidRPr="00FA1E86" w:rsidRDefault="003E0340" w:rsidP="00253C04">
            <w:pPr>
              <w:pStyle w:val="COMTabletext"/>
              <w:jc w:val="center"/>
              <w:rPr>
                <w:bCs w:val="0"/>
              </w:rPr>
            </w:pPr>
            <w:r w:rsidRPr="00FA1E86">
              <w:rPr>
                <w:bCs w:val="0"/>
              </w:rPr>
              <w:t>72.9 (22.2)</w:t>
            </w:r>
          </w:p>
        </w:tc>
      </w:tr>
      <w:tr w:rsidR="003E0340" w:rsidRPr="00FA1E86" w14:paraId="5626C8D4" w14:textId="77777777" w:rsidTr="003E0340">
        <w:trPr>
          <w:cantSplit/>
        </w:trPr>
        <w:tc>
          <w:tcPr>
            <w:tcW w:w="2067" w:type="dxa"/>
            <w:vAlign w:val="center"/>
          </w:tcPr>
          <w:p w14:paraId="1A2D27BC" w14:textId="77777777" w:rsidR="003E0340" w:rsidRPr="00FA1E86" w:rsidRDefault="003E0340" w:rsidP="00253C04">
            <w:pPr>
              <w:pStyle w:val="Tabletext0"/>
              <w:keepNext/>
            </w:pPr>
            <w:r w:rsidRPr="00FA1E86">
              <w:t>Change from baseline, LSM (SE)</w:t>
            </w:r>
          </w:p>
        </w:tc>
        <w:tc>
          <w:tcPr>
            <w:tcW w:w="1737" w:type="dxa"/>
            <w:vAlign w:val="center"/>
          </w:tcPr>
          <w:p w14:paraId="515A12CA" w14:textId="77777777" w:rsidR="003E0340" w:rsidRPr="00FA1E86" w:rsidRDefault="003E0340" w:rsidP="00253C04">
            <w:pPr>
              <w:pStyle w:val="COMTabletext"/>
              <w:jc w:val="center"/>
              <w:rPr>
                <w:bCs w:val="0"/>
              </w:rPr>
            </w:pPr>
            <w:r w:rsidRPr="00FA1E86">
              <w:rPr>
                <w:bCs w:val="0"/>
              </w:rPr>
              <w:t>9.4 (0.8)</w:t>
            </w:r>
          </w:p>
        </w:tc>
        <w:tc>
          <w:tcPr>
            <w:tcW w:w="1738" w:type="dxa"/>
            <w:vAlign w:val="center"/>
          </w:tcPr>
          <w:p w14:paraId="078FB1C4" w14:textId="77777777" w:rsidR="003E0340" w:rsidRPr="00FA1E86" w:rsidRDefault="003E0340" w:rsidP="00253C04">
            <w:pPr>
              <w:pStyle w:val="COMTabletext"/>
              <w:jc w:val="center"/>
              <w:rPr>
                <w:bCs w:val="0"/>
              </w:rPr>
            </w:pPr>
            <w:r w:rsidRPr="00FA1E86">
              <w:rPr>
                <w:bCs w:val="0"/>
              </w:rPr>
              <w:t>9.5 (0.8)</w:t>
            </w:r>
          </w:p>
        </w:tc>
        <w:tc>
          <w:tcPr>
            <w:tcW w:w="1737" w:type="dxa"/>
            <w:vAlign w:val="center"/>
          </w:tcPr>
          <w:p w14:paraId="2EA372A3" w14:textId="77777777" w:rsidR="003E0340" w:rsidRPr="00FA1E86" w:rsidRDefault="003E0340" w:rsidP="00253C04">
            <w:pPr>
              <w:pStyle w:val="COMTabletext"/>
              <w:jc w:val="center"/>
              <w:rPr>
                <w:bCs w:val="0"/>
              </w:rPr>
            </w:pPr>
            <w:r w:rsidRPr="00FA1E86">
              <w:rPr>
                <w:bCs w:val="0"/>
              </w:rPr>
              <w:t>10.4 (0.8)</w:t>
            </w:r>
          </w:p>
        </w:tc>
        <w:tc>
          <w:tcPr>
            <w:tcW w:w="1738" w:type="dxa"/>
            <w:vAlign w:val="center"/>
          </w:tcPr>
          <w:p w14:paraId="4F71A72A" w14:textId="77777777" w:rsidR="003E0340" w:rsidRPr="00FA1E86" w:rsidRDefault="003E0340" w:rsidP="00253C04">
            <w:pPr>
              <w:pStyle w:val="COMTabletext"/>
              <w:jc w:val="center"/>
              <w:rPr>
                <w:bCs w:val="0"/>
              </w:rPr>
            </w:pPr>
            <w:r w:rsidRPr="00FA1E86">
              <w:rPr>
                <w:bCs w:val="0"/>
              </w:rPr>
              <w:t>7.0 (0.8)</w:t>
            </w:r>
          </w:p>
        </w:tc>
      </w:tr>
      <w:tr w:rsidR="003E0340" w:rsidRPr="00FA1E86" w14:paraId="04D1DBC9" w14:textId="77777777" w:rsidTr="003E0340">
        <w:trPr>
          <w:cantSplit/>
        </w:trPr>
        <w:tc>
          <w:tcPr>
            <w:tcW w:w="2067" w:type="dxa"/>
            <w:vAlign w:val="center"/>
          </w:tcPr>
          <w:p w14:paraId="28F34D4D" w14:textId="77777777" w:rsidR="003E0340" w:rsidRPr="00FA1E86" w:rsidRDefault="003E0340" w:rsidP="00253C04">
            <w:pPr>
              <w:pStyle w:val="Tabletext0"/>
              <w:keepNext/>
            </w:pPr>
            <w:r w:rsidRPr="00FA1E86">
              <w:t>Tirzepatide vs semaglutide, LSM difference (95% CI)</w:t>
            </w:r>
          </w:p>
        </w:tc>
        <w:tc>
          <w:tcPr>
            <w:tcW w:w="1737" w:type="dxa"/>
            <w:vAlign w:val="center"/>
          </w:tcPr>
          <w:p w14:paraId="18E9461C" w14:textId="77777777" w:rsidR="003E0340" w:rsidRPr="00FA1E86" w:rsidRDefault="003E0340" w:rsidP="00253C04">
            <w:pPr>
              <w:pStyle w:val="COMTabletext"/>
              <w:jc w:val="center"/>
              <w:rPr>
                <w:bCs w:val="0"/>
              </w:rPr>
            </w:pPr>
            <w:r w:rsidRPr="00FA1E86">
              <w:rPr>
                <w:bCs w:val="0"/>
              </w:rPr>
              <w:t>2.3 (0.2, 4.5)</w:t>
            </w:r>
          </w:p>
        </w:tc>
        <w:tc>
          <w:tcPr>
            <w:tcW w:w="1738" w:type="dxa"/>
            <w:vAlign w:val="center"/>
          </w:tcPr>
          <w:p w14:paraId="4833706B" w14:textId="77777777" w:rsidR="003E0340" w:rsidRPr="00FA1E86" w:rsidRDefault="003E0340" w:rsidP="00253C04">
            <w:pPr>
              <w:pStyle w:val="COMTabletext"/>
              <w:jc w:val="center"/>
              <w:rPr>
                <w:bCs w:val="0"/>
              </w:rPr>
            </w:pPr>
            <w:r w:rsidRPr="00FA1E86">
              <w:rPr>
                <w:bCs w:val="0"/>
              </w:rPr>
              <w:t>2.4 (0.3, 4.6)</w:t>
            </w:r>
          </w:p>
        </w:tc>
        <w:tc>
          <w:tcPr>
            <w:tcW w:w="1737" w:type="dxa"/>
            <w:vAlign w:val="center"/>
          </w:tcPr>
          <w:p w14:paraId="786CA750" w14:textId="77777777" w:rsidR="003E0340" w:rsidRPr="00FA1E86" w:rsidRDefault="003E0340" w:rsidP="00253C04">
            <w:pPr>
              <w:pStyle w:val="COMTabletext"/>
              <w:jc w:val="center"/>
              <w:rPr>
                <w:bCs w:val="0"/>
              </w:rPr>
            </w:pPr>
            <w:r w:rsidRPr="00FA1E86">
              <w:rPr>
                <w:bCs w:val="0"/>
              </w:rPr>
              <w:t>3.4 (1.2, 5.5)</w:t>
            </w:r>
          </w:p>
        </w:tc>
        <w:tc>
          <w:tcPr>
            <w:tcW w:w="1738" w:type="dxa"/>
            <w:vAlign w:val="center"/>
          </w:tcPr>
          <w:p w14:paraId="7B5B9E39" w14:textId="77777777" w:rsidR="003E0340" w:rsidRPr="00FA1E86" w:rsidRDefault="003E0340" w:rsidP="00253C04">
            <w:pPr>
              <w:pStyle w:val="COMTabletext"/>
              <w:jc w:val="center"/>
              <w:rPr>
                <w:bCs w:val="0"/>
              </w:rPr>
            </w:pPr>
            <w:r w:rsidRPr="00FA1E86">
              <w:rPr>
                <w:bCs w:val="0"/>
              </w:rPr>
              <w:t>-</w:t>
            </w:r>
          </w:p>
        </w:tc>
      </w:tr>
      <w:tr w:rsidR="003E0340" w:rsidRPr="00FA1E86" w14:paraId="6ECFF384" w14:textId="77777777" w:rsidTr="00253C04">
        <w:trPr>
          <w:cantSplit/>
        </w:trPr>
        <w:tc>
          <w:tcPr>
            <w:tcW w:w="9017" w:type="dxa"/>
            <w:gridSpan w:val="5"/>
            <w:vAlign w:val="center"/>
          </w:tcPr>
          <w:p w14:paraId="01E950DE" w14:textId="77777777" w:rsidR="003E0340" w:rsidRPr="00FA1E86" w:rsidRDefault="003E0340" w:rsidP="00253C04">
            <w:pPr>
              <w:pStyle w:val="COMTableheadingrow"/>
              <w:rPr>
                <w:lang w:val="en-AU"/>
              </w:rPr>
            </w:pPr>
            <w:r w:rsidRPr="00FA1E86">
              <w:rPr>
                <w:lang w:val="en-AU"/>
              </w:rPr>
              <w:t>IWQOL-Lite-CT (Psychosocial composite subscore)</w:t>
            </w:r>
          </w:p>
        </w:tc>
      </w:tr>
      <w:tr w:rsidR="003E0340" w:rsidRPr="00FA1E86" w14:paraId="78F5AF53" w14:textId="77777777" w:rsidTr="003E0340">
        <w:trPr>
          <w:cantSplit/>
        </w:trPr>
        <w:tc>
          <w:tcPr>
            <w:tcW w:w="2067" w:type="dxa"/>
            <w:vAlign w:val="center"/>
          </w:tcPr>
          <w:p w14:paraId="3ABE08DD" w14:textId="77777777" w:rsidR="003E0340" w:rsidRPr="00FA1E86" w:rsidRDefault="003E0340" w:rsidP="00253C04">
            <w:pPr>
              <w:pStyle w:val="Tabletext0"/>
              <w:keepNext/>
            </w:pPr>
            <w:r w:rsidRPr="00FA1E86">
              <w:t>Baseline, mean (SD)</w:t>
            </w:r>
          </w:p>
        </w:tc>
        <w:tc>
          <w:tcPr>
            <w:tcW w:w="1737" w:type="dxa"/>
            <w:vAlign w:val="center"/>
          </w:tcPr>
          <w:p w14:paraId="2766E512" w14:textId="77777777" w:rsidR="003E0340" w:rsidRPr="00FA1E86" w:rsidRDefault="003E0340" w:rsidP="00253C04">
            <w:pPr>
              <w:pStyle w:val="COMTabletext"/>
              <w:jc w:val="center"/>
              <w:rPr>
                <w:bCs w:val="0"/>
              </w:rPr>
            </w:pPr>
            <w:r w:rsidRPr="00FA1E86">
              <w:rPr>
                <w:bCs w:val="0"/>
              </w:rPr>
              <w:t>72.1 (24.3)</w:t>
            </w:r>
          </w:p>
        </w:tc>
        <w:tc>
          <w:tcPr>
            <w:tcW w:w="1738" w:type="dxa"/>
            <w:vAlign w:val="center"/>
          </w:tcPr>
          <w:p w14:paraId="316EB4C3" w14:textId="77777777" w:rsidR="003E0340" w:rsidRPr="00FA1E86" w:rsidRDefault="003E0340" w:rsidP="00253C04">
            <w:pPr>
              <w:pStyle w:val="COMTabletext"/>
              <w:jc w:val="center"/>
              <w:rPr>
                <w:bCs w:val="0"/>
              </w:rPr>
            </w:pPr>
            <w:r w:rsidRPr="00FA1E86">
              <w:rPr>
                <w:bCs w:val="0"/>
              </w:rPr>
              <w:t>71.5 (24.2)</w:t>
            </w:r>
          </w:p>
        </w:tc>
        <w:tc>
          <w:tcPr>
            <w:tcW w:w="1737" w:type="dxa"/>
            <w:vAlign w:val="center"/>
          </w:tcPr>
          <w:p w14:paraId="7F1972C7" w14:textId="77777777" w:rsidR="003E0340" w:rsidRPr="00FA1E86" w:rsidRDefault="003E0340" w:rsidP="00253C04">
            <w:pPr>
              <w:pStyle w:val="COMTabletext"/>
              <w:jc w:val="center"/>
              <w:rPr>
                <w:bCs w:val="0"/>
              </w:rPr>
            </w:pPr>
            <w:r w:rsidRPr="00FA1E86">
              <w:rPr>
                <w:bCs w:val="0"/>
              </w:rPr>
              <w:t>70.1 (25.5)</w:t>
            </w:r>
          </w:p>
        </w:tc>
        <w:tc>
          <w:tcPr>
            <w:tcW w:w="1738" w:type="dxa"/>
            <w:vAlign w:val="center"/>
          </w:tcPr>
          <w:p w14:paraId="0E55499C" w14:textId="77777777" w:rsidR="003E0340" w:rsidRPr="00FA1E86" w:rsidRDefault="003E0340" w:rsidP="00253C04">
            <w:pPr>
              <w:pStyle w:val="COMTabletext"/>
              <w:jc w:val="center"/>
              <w:rPr>
                <w:bCs w:val="0"/>
              </w:rPr>
            </w:pPr>
            <w:r w:rsidRPr="00FA1E86">
              <w:rPr>
                <w:bCs w:val="0"/>
              </w:rPr>
              <w:t>73.7 (23.0)</w:t>
            </w:r>
          </w:p>
        </w:tc>
      </w:tr>
      <w:tr w:rsidR="003E0340" w:rsidRPr="00FA1E86" w14:paraId="3E3BB96A" w14:textId="77777777" w:rsidTr="003E0340">
        <w:trPr>
          <w:cantSplit/>
        </w:trPr>
        <w:tc>
          <w:tcPr>
            <w:tcW w:w="2067" w:type="dxa"/>
            <w:vAlign w:val="center"/>
          </w:tcPr>
          <w:p w14:paraId="0453F233" w14:textId="77777777" w:rsidR="003E0340" w:rsidRPr="00FA1E86" w:rsidRDefault="003E0340" w:rsidP="00253C04">
            <w:pPr>
              <w:pStyle w:val="Tabletext0"/>
              <w:keepNext/>
            </w:pPr>
            <w:r w:rsidRPr="00FA1E86">
              <w:t>Week 40, mean (SD)</w:t>
            </w:r>
          </w:p>
        </w:tc>
        <w:tc>
          <w:tcPr>
            <w:tcW w:w="1737" w:type="dxa"/>
            <w:vAlign w:val="center"/>
          </w:tcPr>
          <w:p w14:paraId="237F497F" w14:textId="77777777" w:rsidR="003E0340" w:rsidRPr="00FA1E86" w:rsidRDefault="003E0340" w:rsidP="00253C04">
            <w:pPr>
              <w:pStyle w:val="COMTabletext"/>
              <w:jc w:val="center"/>
              <w:rPr>
                <w:bCs w:val="0"/>
              </w:rPr>
            </w:pPr>
            <w:r w:rsidRPr="00FA1E86">
              <w:rPr>
                <w:bCs w:val="0"/>
              </w:rPr>
              <w:t>81.0 (18.7)</w:t>
            </w:r>
          </w:p>
        </w:tc>
        <w:tc>
          <w:tcPr>
            <w:tcW w:w="1738" w:type="dxa"/>
            <w:vAlign w:val="center"/>
          </w:tcPr>
          <w:p w14:paraId="6533651A" w14:textId="77777777" w:rsidR="003E0340" w:rsidRPr="00FA1E86" w:rsidRDefault="003E0340" w:rsidP="00253C04">
            <w:pPr>
              <w:pStyle w:val="COMTabletext"/>
              <w:jc w:val="center"/>
              <w:rPr>
                <w:bCs w:val="0"/>
              </w:rPr>
            </w:pPr>
            <w:r w:rsidRPr="00FA1E86">
              <w:rPr>
                <w:bCs w:val="0"/>
              </w:rPr>
              <w:t>80.5 (19.2)</w:t>
            </w:r>
          </w:p>
        </w:tc>
        <w:tc>
          <w:tcPr>
            <w:tcW w:w="1737" w:type="dxa"/>
            <w:vAlign w:val="center"/>
          </w:tcPr>
          <w:p w14:paraId="7FBA79B9" w14:textId="77777777" w:rsidR="003E0340" w:rsidRPr="00FA1E86" w:rsidRDefault="003E0340" w:rsidP="00253C04">
            <w:pPr>
              <w:pStyle w:val="COMTabletext"/>
              <w:jc w:val="center"/>
              <w:rPr>
                <w:bCs w:val="0"/>
              </w:rPr>
            </w:pPr>
            <w:r w:rsidRPr="00FA1E86">
              <w:rPr>
                <w:bCs w:val="0"/>
              </w:rPr>
              <w:t>80.6 (19.8)</w:t>
            </w:r>
          </w:p>
        </w:tc>
        <w:tc>
          <w:tcPr>
            <w:tcW w:w="1738" w:type="dxa"/>
            <w:vAlign w:val="center"/>
          </w:tcPr>
          <w:p w14:paraId="2FDCA1E6" w14:textId="77777777" w:rsidR="003E0340" w:rsidRPr="00FA1E86" w:rsidRDefault="003E0340" w:rsidP="00253C04">
            <w:pPr>
              <w:pStyle w:val="COMTabletext"/>
              <w:jc w:val="center"/>
              <w:rPr>
                <w:bCs w:val="0"/>
              </w:rPr>
            </w:pPr>
            <w:r w:rsidRPr="00FA1E86">
              <w:rPr>
                <w:bCs w:val="0"/>
              </w:rPr>
              <w:t>80.4 (19.7)</w:t>
            </w:r>
          </w:p>
        </w:tc>
      </w:tr>
      <w:tr w:rsidR="003E0340" w:rsidRPr="00FA1E86" w14:paraId="6F2314DC" w14:textId="77777777" w:rsidTr="003E0340">
        <w:trPr>
          <w:cantSplit/>
        </w:trPr>
        <w:tc>
          <w:tcPr>
            <w:tcW w:w="2067" w:type="dxa"/>
            <w:vAlign w:val="center"/>
          </w:tcPr>
          <w:p w14:paraId="1444EE94" w14:textId="77777777" w:rsidR="003E0340" w:rsidRPr="00FA1E86" w:rsidRDefault="003E0340" w:rsidP="00253C04">
            <w:pPr>
              <w:pStyle w:val="Tabletext0"/>
              <w:keepNext/>
            </w:pPr>
            <w:r w:rsidRPr="00FA1E86">
              <w:t>Change from baseline, LSM (SE)</w:t>
            </w:r>
          </w:p>
        </w:tc>
        <w:tc>
          <w:tcPr>
            <w:tcW w:w="1737" w:type="dxa"/>
            <w:vAlign w:val="center"/>
          </w:tcPr>
          <w:p w14:paraId="338159CA" w14:textId="77777777" w:rsidR="003E0340" w:rsidRPr="00FA1E86" w:rsidRDefault="003E0340" w:rsidP="00253C04">
            <w:pPr>
              <w:pStyle w:val="COMTabletext"/>
              <w:jc w:val="center"/>
              <w:rPr>
                <w:bCs w:val="0"/>
              </w:rPr>
            </w:pPr>
            <w:r w:rsidRPr="00FA1E86">
              <w:rPr>
                <w:bCs w:val="0"/>
              </w:rPr>
              <w:t>8.8 (0.7)</w:t>
            </w:r>
          </w:p>
        </w:tc>
        <w:tc>
          <w:tcPr>
            <w:tcW w:w="1738" w:type="dxa"/>
            <w:vAlign w:val="center"/>
          </w:tcPr>
          <w:p w14:paraId="045E72CD" w14:textId="77777777" w:rsidR="003E0340" w:rsidRPr="00FA1E86" w:rsidRDefault="003E0340" w:rsidP="00253C04">
            <w:pPr>
              <w:pStyle w:val="COMTabletext"/>
              <w:jc w:val="center"/>
              <w:rPr>
                <w:bCs w:val="0"/>
              </w:rPr>
            </w:pPr>
            <w:r w:rsidRPr="00FA1E86">
              <w:rPr>
                <w:bCs w:val="0"/>
              </w:rPr>
              <w:t>8.8 (0.7)</w:t>
            </w:r>
          </w:p>
        </w:tc>
        <w:tc>
          <w:tcPr>
            <w:tcW w:w="1737" w:type="dxa"/>
            <w:vAlign w:val="center"/>
          </w:tcPr>
          <w:p w14:paraId="3666E2D6" w14:textId="77777777" w:rsidR="003E0340" w:rsidRPr="00FA1E86" w:rsidRDefault="003E0340" w:rsidP="00253C04">
            <w:pPr>
              <w:pStyle w:val="COMTabletext"/>
              <w:jc w:val="center"/>
              <w:rPr>
                <w:bCs w:val="0"/>
              </w:rPr>
            </w:pPr>
            <w:r w:rsidRPr="00FA1E86">
              <w:rPr>
                <w:bCs w:val="0"/>
              </w:rPr>
              <w:t>9.6 (0.7)</w:t>
            </w:r>
          </w:p>
        </w:tc>
        <w:tc>
          <w:tcPr>
            <w:tcW w:w="1738" w:type="dxa"/>
            <w:vAlign w:val="center"/>
          </w:tcPr>
          <w:p w14:paraId="241906B5" w14:textId="77777777" w:rsidR="003E0340" w:rsidRPr="00FA1E86" w:rsidRDefault="003E0340" w:rsidP="00253C04">
            <w:pPr>
              <w:pStyle w:val="COMTabletext"/>
              <w:jc w:val="center"/>
              <w:rPr>
                <w:bCs w:val="0"/>
              </w:rPr>
            </w:pPr>
            <w:r w:rsidRPr="00FA1E86">
              <w:rPr>
                <w:bCs w:val="0"/>
              </w:rPr>
              <w:t>7.5 (0.7)</w:t>
            </w:r>
          </w:p>
        </w:tc>
      </w:tr>
      <w:tr w:rsidR="003E0340" w:rsidRPr="00FA1E86" w14:paraId="1621D679" w14:textId="77777777" w:rsidTr="003E0340">
        <w:trPr>
          <w:cantSplit/>
        </w:trPr>
        <w:tc>
          <w:tcPr>
            <w:tcW w:w="2067" w:type="dxa"/>
            <w:vAlign w:val="center"/>
          </w:tcPr>
          <w:p w14:paraId="2FE42439" w14:textId="77777777" w:rsidR="003E0340" w:rsidRPr="00FA1E86" w:rsidRDefault="003E0340" w:rsidP="00253C04">
            <w:pPr>
              <w:pStyle w:val="Tabletext0"/>
              <w:keepNext/>
            </w:pPr>
            <w:r w:rsidRPr="00FA1E86">
              <w:t>Tirzepatide vs semaglutide, LSM difference (95% CI)</w:t>
            </w:r>
          </w:p>
        </w:tc>
        <w:tc>
          <w:tcPr>
            <w:tcW w:w="1737" w:type="dxa"/>
            <w:vAlign w:val="center"/>
          </w:tcPr>
          <w:p w14:paraId="5E4E728D" w14:textId="77777777" w:rsidR="003E0340" w:rsidRPr="00FA1E86" w:rsidRDefault="003E0340" w:rsidP="00253C04">
            <w:pPr>
              <w:pStyle w:val="COMTabletext"/>
              <w:jc w:val="center"/>
              <w:rPr>
                <w:bCs w:val="0"/>
              </w:rPr>
            </w:pPr>
            <w:r w:rsidRPr="00FA1E86">
              <w:rPr>
                <w:bCs w:val="0"/>
              </w:rPr>
              <w:t>1.3 (-0.7, 3.2)</w:t>
            </w:r>
          </w:p>
        </w:tc>
        <w:tc>
          <w:tcPr>
            <w:tcW w:w="1738" w:type="dxa"/>
            <w:vAlign w:val="center"/>
          </w:tcPr>
          <w:p w14:paraId="028D6EE2" w14:textId="77777777" w:rsidR="003E0340" w:rsidRPr="00FA1E86" w:rsidRDefault="003E0340" w:rsidP="00253C04">
            <w:pPr>
              <w:pStyle w:val="COMTabletext"/>
              <w:jc w:val="center"/>
              <w:rPr>
                <w:bCs w:val="0"/>
              </w:rPr>
            </w:pPr>
            <w:r w:rsidRPr="00FA1E86">
              <w:rPr>
                <w:bCs w:val="0"/>
              </w:rPr>
              <w:t>1.3 (-0.7, 3.3)</w:t>
            </w:r>
          </w:p>
        </w:tc>
        <w:tc>
          <w:tcPr>
            <w:tcW w:w="1737" w:type="dxa"/>
            <w:vAlign w:val="center"/>
          </w:tcPr>
          <w:p w14:paraId="06E3778C" w14:textId="77777777" w:rsidR="003E0340" w:rsidRPr="00FA1E86" w:rsidRDefault="003E0340" w:rsidP="00253C04">
            <w:pPr>
              <w:pStyle w:val="COMTabletext"/>
              <w:jc w:val="center"/>
              <w:rPr>
                <w:bCs w:val="0"/>
              </w:rPr>
            </w:pPr>
            <w:r w:rsidRPr="00FA1E86">
              <w:rPr>
                <w:bCs w:val="0"/>
              </w:rPr>
              <w:t>2.1 (0.2, 4.1)</w:t>
            </w:r>
          </w:p>
        </w:tc>
        <w:tc>
          <w:tcPr>
            <w:tcW w:w="1738" w:type="dxa"/>
            <w:vAlign w:val="center"/>
          </w:tcPr>
          <w:p w14:paraId="5F6DE61D" w14:textId="77777777" w:rsidR="003E0340" w:rsidRPr="00FA1E86" w:rsidRDefault="003E0340" w:rsidP="00253C04">
            <w:pPr>
              <w:pStyle w:val="COMTabletext"/>
              <w:jc w:val="center"/>
              <w:rPr>
                <w:bCs w:val="0"/>
              </w:rPr>
            </w:pPr>
            <w:r w:rsidRPr="00FA1E86">
              <w:rPr>
                <w:bCs w:val="0"/>
              </w:rPr>
              <w:t>-</w:t>
            </w:r>
          </w:p>
        </w:tc>
      </w:tr>
    </w:tbl>
    <w:p w14:paraId="2B2D9263" w14:textId="77777777" w:rsidR="003E0340" w:rsidRPr="00FA1E86" w:rsidRDefault="003E0340" w:rsidP="003E0340">
      <w:pPr>
        <w:pStyle w:val="COMTablefooter"/>
      </w:pPr>
      <w:r w:rsidRPr="00FA1E86">
        <w:t>Source: Table GPGL.8.61, p1568; Table GPGL.8.63, p1706 of the SURPASS-2 trial report</w:t>
      </w:r>
    </w:p>
    <w:p w14:paraId="0E559CCF" w14:textId="77777777" w:rsidR="003E0340" w:rsidRPr="00FA1E86" w:rsidRDefault="003E0340" w:rsidP="003E0340">
      <w:pPr>
        <w:pStyle w:val="COMTablefooter"/>
      </w:pPr>
      <w:r w:rsidRPr="00FA1E86">
        <w:t>Abbreviations: CI, confidence interval; LSM, least squares mean; SD, standard deviation; SE, standard error</w:t>
      </w:r>
    </w:p>
    <w:p w14:paraId="056D7790" w14:textId="77777777" w:rsidR="003E0340" w:rsidRPr="00FA1E86" w:rsidRDefault="003E0340" w:rsidP="003E0340">
      <w:pPr>
        <w:pStyle w:val="COMTablefooter"/>
      </w:pPr>
      <w:proofErr w:type="gramStart"/>
      <w:r w:rsidRPr="00FA1E86">
        <w:rPr>
          <w:vertAlign w:val="superscript"/>
        </w:rPr>
        <w:t>a</w:t>
      </w:r>
      <w:proofErr w:type="gramEnd"/>
      <w:r w:rsidRPr="00FA1E86">
        <w:t xml:space="preserve"> EQ VAS scores range from 0 to 100, higher scores indicate better quality of life</w:t>
      </w:r>
    </w:p>
    <w:p w14:paraId="539071EE" w14:textId="77777777" w:rsidR="003E0340" w:rsidRPr="00FA1E86" w:rsidRDefault="003E0340" w:rsidP="003E0340">
      <w:pPr>
        <w:pStyle w:val="COMTablefooter"/>
      </w:pPr>
      <w:r w:rsidRPr="00FA1E86">
        <w:rPr>
          <w:vertAlign w:val="superscript"/>
        </w:rPr>
        <w:t>b</w:t>
      </w:r>
      <w:r w:rsidRPr="00FA1E86">
        <w:t xml:space="preserve"> EQ-5D-5L UK index scores range from -0.285 to 1, higher scores indicate better quality of life</w:t>
      </w:r>
    </w:p>
    <w:p w14:paraId="676F8E27" w14:textId="77777777" w:rsidR="003E0340" w:rsidRPr="00FA1E86" w:rsidRDefault="003E0340" w:rsidP="003E0340">
      <w:pPr>
        <w:pStyle w:val="COMTablefooter"/>
      </w:pPr>
      <w:r w:rsidRPr="00FA1E86">
        <w:rPr>
          <w:vertAlign w:val="superscript"/>
        </w:rPr>
        <w:t>c</w:t>
      </w:r>
      <w:r w:rsidRPr="00FA1E86">
        <w:t xml:space="preserve"> IWQOL-Lite-CT Total scores range from 0 to 100, higher scores indicate better weight-related quality of life</w:t>
      </w:r>
    </w:p>
    <w:p w14:paraId="3DAD4E14" w14:textId="77777777" w:rsidR="003E0340" w:rsidRPr="00FA1E86" w:rsidRDefault="003E0340" w:rsidP="003E0340">
      <w:pPr>
        <w:pStyle w:val="COMTablefooter"/>
      </w:pPr>
      <w:r w:rsidRPr="00FA1E86">
        <w:rPr>
          <w:vertAlign w:val="superscript"/>
        </w:rPr>
        <w:t>d</w:t>
      </w:r>
      <w:r w:rsidRPr="00FA1E86">
        <w:t xml:space="preserve"> IWQOL-Lite-CT Physical composite scores range from 0 to 100, higher scores indicate better weight-related quality of life specific to physical impacts due to weight</w:t>
      </w:r>
    </w:p>
    <w:p w14:paraId="5ED5FE5A" w14:textId="3C991BEC" w:rsidR="003E0340" w:rsidRPr="00FA1E86" w:rsidRDefault="003E0340" w:rsidP="003E0340">
      <w:pPr>
        <w:pStyle w:val="COMTablefooter"/>
        <w:rPr>
          <w:color w:val="0066FF"/>
        </w:rPr>
      </w:pPr>
      <w:r w:rsidRPr="00FA1E86">
        <w:rPr>
          <w:vertAlign w:val="superscript"/>
        </w:rPr>
        <w:t xml:space="preserve">e </w:t>
      </w:r>
      <w:r w:rsidRPr="00FA1E86">
        <w:t>IWQOL-Lite-CT Psychosocial composite scores range from 0 to 100, higher scores indicate better weight-related quality of life specific to emotional and social impacts due to weight</w:t>
      </w:r>
    </w:p>
    <w:p w14:paraId="6C6ADEEC" w14:textId="77777777" w:rsidR="00EC2D33" w:rsidRDefault="00745D1E" w:rsidP="00745D1E">
      <w:pPr>
        <w:pStyle w:val="COMexecsumnumberedpara"/>
      </w:pPr>
      <w:r w:rsidRPr="00FA1E86">
        <w:t>There were no apparent differences between all doses of tirzepatide and semaglutide in terms of generic quality of life outcomes (EQ-5D VAS and EQ-5D-5L).</w:t>
      </w:r>
    </w:p>
    <w:p w14:paraId="4A6E3E6F" w14:textId="4F8CECF2" w:rsidR="00745D1E" w:rsidRPr="00FA1E86" w:rsidRDefault="00745D1E" w:rsidP="00745D1E">
      <w:pPr>
        <w:pStyle w:val="COMexecsumnumberedpara"/>
        <w:rPr>
          <w:color w:val="0066FF"/>
        </w:rPr>
      </w:pPr>
      <w:r w:rsidRPr="00FA1E86">
        <w:t>Treatment with tirzepatide 15 mg was associated with a relatively small improvement in IWQOL-Lite-CT scores (total score, physical and psychosocial composite subscores) compared to semaglutide 1.0 mg. There were no apparent differences between tirzepatide 5 mg and 10 mg compared with semaglutide in terms of the IWQOL-Lite-</w:t>
      </w:r>
      <w:r w:rsidRPr="00FA1E86">
        <w:lastRenderedPageBreak/>
        <w:t>CT total score and psychosocial composite score, with relatively small improvements in the IWQOL-Lite-CT physical composite subscore.</w:t>
      </w:r>
    </w:p>
    <w:p w14:paraId="353949B4" w14:textId="47D093B1" w:rsidR="00745D1E" w:rsidRPr="00FA1E86" w:rsidRDefault="00745D1E" w:rsidP="00745D1E">
      <w:pPr>
        <w:pStyle w:val="COMexecsumnumberedpara"/>
        <w:rPr>
          <w:color w:val="0066FF"/>
        </w:rPr>
      </w:pPr>
      <w:r w:rsidRPr="00FA1E86">
        <w:t xml:space="preserve">The </w:t>
      </w:r>
      <w:r w:rsidR="007227FF" w:rsidRPr="00FA1E86">
        <w:t>quality-of-life</w:t>
      </w:r>
      <w:r w:rsidRPr="00FA1E86">
        <w:t xml:space="preserve"> results were consistent with other patient-reported outcomes (Impact of Weight on Self-Perceptions Questionnaire; Diabetes Treatment Satisfaction Questionnaire; Ability to Perform Physical Activities of Daily Living) which indicated minimal differences between treatment arms.</w:t>
      </w:r>
    </w:p>
    <w:p w14:paraId="149C6182" w14:textId="48117567" w:rsidR="00745D1E" w:rsidRPr="00FA1E86" w:rsidRDefault="00745D1E" w:rsidP="00EC5836">
      <w:pPr>
        <w:pStyle w:val="COMexecsumnumberedpara"/>
        <w:rPr>
          <w:color w:val="0066FF"/>
        </w:rPr>
      </w:pPr>
      <w:r w:rsidRPr="00FA1E86">
        <w:t>Based on the supportive indirect comparison</w:t>
      </w:r>
      <w:r w:rsidR="00950C9C" w:rsidRPr="00FA1E86">
        <w:t xml:space="preserve"> of tirzepatide 5 mg (SURPASS-2) versus semaglutide 0.5 mg (SUSTAIN 7)</w:t>
      </w:r>
      <w:r w:rsidRPr="00FA1E86">
        <w:t>, treatment with tirzepatide 5 mg was associated with a statistically significant</w:t>
      </w:r>
      <w:r w:rsidR="00E93DC5" w:rsidRPr="00FA1E86">
        <w:t xml:space="preserve"> reduction in Hb</w:t>
      </w:r>
      <w:r w:rsidR="006C31AD" w:rsidRPr="00FA1E86">
        <w:t>A</w:t>
      </w:r>
      <w:r w:rsidR="00E93DC5" w:rsidRPr="00FA1E86">
        <w:t>1c (mean difference -0.53</w:t>
      </w:r>
      <w:r w:rsidR="00952045">
        <w:t xml:space="preserve"> percentage points</w:t>
      </w:r>
      <w:r w:rsidR="00E93DC5" w:rsidRPr="00FA1E86">
        <w:t xml:space="preserve">; 95% CI 0.74, </w:t>
      </w:r>
      <w:r w:rsidR="0099568C" w:rsidRPr="00FA1E86">
        <w:noBreakHyphen/>
      </w:r>
      <w:r w:rsidR="00E93DC5" w:rsidRPr="00FA1E86">
        <w:t>0.32) and body weight (mean difference -3.5 kg; 95% CI -4.70, -2.30) compared to semaglutide 0.5 mg.</w:t>
      </w:r>
    </w:p>
    <w:p w14:paraId="566B7247" w14:textId="26DF5C4B" w:rsidR="00311737" w:rsidRPr="00FA1E86" w:rsidRDefault="00E93DC5" w:rsidP="00EE11D5">
      <w:pPr>
        <w:pStyle w:val="COMexecsumnumberedpara"/>
        <w:spacing w:after="60"/>
        <w:rPr>
          <w:color w:val="0066FF"/>
        </w:rPr>
      </w:pPr>
      <w:r w:rsidRPr="00FA1E86">
        <w:t>Based on the supportive indirect comparison</w:t>
      </w:r>
      <w:r w:rsidR="00EF72CB" w:rsidRPr="00FA1E86">
        <w:t xml:space="preserve"> of tirzepatide 5 mg, 10 </w:t>
      </w:r>
      <w:proofErr w:type="gramStart"/>
      <w:r w:rsidR="00EF72CB" w:rsidRPr="00FA1E86">
        <w:t>mg</w:t>
      </w:r>
      <w:proofErr w:type="gramEnd"/>
      <w:r w:rsidR="00EF72CB" w:rsidRPr="00FA1E86">
        <w:t xml:space="preserve"> and 15</w:t>
      </w:r>
      <w:r w:rsidR="00F551E3">
        <w:t> </w:t>
      </w:r>
      <w:r w:rsidR="00EF72CB" w:rsidRPr="00FA1E86">
        <w:t xml:space="preserve">mg (SURPASS-2) versus dulaglutide </w:t>
      </w:r>
      <w:r w:rsidR="00311737" w:rsidRPr="00FA1E86">
        <w:t>1</w:t>
      </w:r>
      <w:r w:rsidR="00EF72CB" w:rsidRPr="00FA1E86">
        <w:t>.5 mg (SUSTAIN 7)</w:t>
      </w:r>
      <w:r w:rsidR="00B911B9">
        <w:rPr>
          <w:rStyle w:val="FootnoteReference"/>
        </w:rPr>
        <w:footnoteReference w:id="3"/>
      </w:r>
      <w:r w:rsidR="00311737" w:rsidRPr="00FA1E86">
        <w:t>:</w:t>
      </w:r>
    </w:p>
    <w:p w14:paraId="53E51B25" w14:textId="60D1C6F5" w:rsidR="00E93DC5" w:rsidRPr="005216F9" w:rsidRDefault="00E93DC5" w:rsidP="00EE11D5">
      <w:pPr>
        <w:pStyle w:val="COMexecsummbulletlist"/>
        <w:spacing w:after="60"/>
      </w:pPr>
      <w:r w:rsidRPr="00FA1E86">
        <w:t xml:space="preserve">treatment with tirzepatide 5 mg was associated with a statistically significant reduction </w:t>
      </w:r>
      <w:r w:rsidRPr="00182CD3">
        <w:t xml:space="preserve">in </w:t>
      </w:r>
      <w:r w:rsidRPr="005216F9">
        <w:t>Hb</w:t>
      </w:r>
      <w:r w:rsidR="006C31AD" w:rsidRPr="005216F9">
        <w:t>A</w:t>
      </w:r>
      <w:r w:rsidRPr="005216F9">
        <w:t>1c (mean difference -0.63</w:t>
      </w:r>
      <w:r w:rsidR="00952045" w:rsidRPr="005216F9">
        <w:t xml:space="preserve"> percentage points</w:t>
      </w:r>
      <w:r w:rsidRPr="005216F9">
        <w:t>; 95% CI -0.84, -0.42) and body weight (mean difference -5.1 kg; 95% CI -6.29, -3.91) compared to dulaglutide 1.5 mg.</w:t>
      </w:r>
    </w:p>
    <w:p w14:paraId="783B5E3C" w14:textId="6ACA9D56" w:rsidR="00E93DC5" w:rsidRPr="005216F9" w:rsidRDefault="00E93DC5" w:rsidP="00EE11D5">
      <w:pPr>
        <w:pStyle w:val="COMexecsummbulletlist"/>
        <w:spacing w:after="60"/>
      </w:pPr>
      <w:r w:rsidRPr="005216F9">
        <w:t>treatment with tirzepatide 10 mg was associated with a statistically significant reduction in Hb</w:t>
      </w:r>
      <w:r w:rsidR="006C31AD" w:rsidRPr="005216F9">
        <w:t>A</w:t>
      </w:r>
      <w:r w:rsidRPr="005216F9">
        <w:t>1c (mean difference -0.91</w:t>
      </w:r>
      <w:r w:rsidR="00952045" w:rsidRPr="005216F9">
        <w:t xml:space="preserve"> percentage points</w:t>
      </w:r>
      <w:r w:rsidRPr="005216F9">
        <w:t>; 95% CI -1.12, -0.70) and body weight (mean difference -7.6 kg; 95% CI -8.80, -6.40) compared to dulaglutide 1.5 mg.</w:t>
      </w:r>
    </w:p>
    <w:p w14:paraId="2698285A" w14:textId="7A02E180" w:rsidR="00934988" w:rsidRPr="00FA1E86" w:rsidRDefault="00F36EDA" w:rsidP="002A25AD">
      <w:pPr>
        <w:pStyle w:val="COMexecsummbulletlist"/>
        <w:rPr>
          <w:rStyle w:val="COMtablefigcaptionChar"/>
          <w:rFonts w:asciiTheme="minorHAnsi" w:eastAsia="Times New Roman" w:hAnsiTheme="minorHAnsi" w:cs="Arial"/>
          <w:b w:val="0"/>
          <w:bCs w:val="0"/>
          <w:color w:val="0066FF"/>
          <w:szCs w:val="24"/>
        </w:rPr>
      </w:pPr>
      <w:r w:rsidRPr="005216F9">
        <w:t>treatment with tirzepatide 15 mg was associated with a statistically significant reduction in Hb</w:t>
      </w:r>
      <w:r w:rsidR="006C31AD" w:rsidRPr="005216F9">
        <w:t>A</w:t>
      </w:r>
      <w:r w:rsidRPr="005216F9">
        <w:t>1c (mean difference -1.00</w:t>
      </w:r>
      <w:r w:rsidR="00952045" w:rsidRPr="005216F9">
        <w:t xml:space="preserve"> percentage points</w:t>
      </w:r>
      <w:r w:rsidRPr="005216F9">
        <w:t>; 95% CI -1.21, -0.79) and body weight (mean difference -9.7 kg; 95% CI -10.90, -8.50</w:t>
      </w:r>
      <w:r w:rsidRPr="00182CD3">
        <w:t>) compared</w:t>
      </w:r>
      <w:r w:rsidRPr="00FA1E86">
        <w:t xml:space="preserve"> to dulaglutide 1.5 mg.</w:t>
      </w:r>
    </w:p>
    <w:p w14:paraId="1452C351" w14:textId="04F85588" w:rsidR="00B60939" w:rsidRPr="00FA1E86" w:rsidRDefault="00B60939" w:rsidP="00D86231">
      <w:pPr>
        <w:pStyle w:val="COMH2-non-numbered"/>
      </w:pPr>
      <w:bookmarkStart w:id="32" w:name="_Toc22897642"/>
      <w:bookmarkStart w:id="33" w:name="_Toc135227811"/>
      <w:r w:rsidRPr="00FA1E86">
        <w:t>Comparative harms</w:t>
      </w:r>
      <w:bookmarkEnd w:id="32"/>
      <w:bookmarkEnd w:id="33"/>
    </w:p>
    <w:p w14:paraId="77B5D49E" w14:textId="15C9C62B" w:rsidR="00DF1C86" w:rsidRPr="00FA1E86" w:rsidRDefault="00BA0A67" w:rsidP="00DF1C86">
      <w:pPr>
        <w:pStyle w:val="COMexecsumnumberedpara"/>
        <w:rPr>
          <w:color w:val="0066FF"/>
        </w:rPr>
      </w:pPr>
      <w:r w:rsidRPr="00FA1E86">
        <w:fldChar w:fldCharType="begin" w:fldLock="1"/>
      </w:r>
      <w:r w:rsidRPr="00FA1E86">
        <w:instrText xml:space="preserve"> REF _Ref134096207 \h </w:instrText>
      </w:r>
      <w:r w:rsidRPr="00FA1E86">
        <w:fldChar w:fldCharType="separate"/>
      </w:r>
      <w:r w:rsidR="00B71E27" w:rsidRPr="00FA1E86">
        <w:t xml:space="preserve">Table </w:t>
      </w:r>
      <w:r w:rsidR="00B71E27">
        <w:rPr>
          <w:noProof/>
        </w:rPr>
        <w:t>10</w:t>
      </w:r>
      <w:r w:rsidRPr="00FA1E86">
        <w:fldChar w:fldCharType="end"/>
      </w:r>
      <w:r w:rsidR="00DF1C86" w:rsidRPr="00FA1E86">
        <w:t xml:space="preserve"> presents an overall summary of the adverse events reported with tirzepatide and semaglutide treatment in the SURPASS-2 trial.</w:t>
      </w:r>
    </w:p>
    <w:p w14:paraId="2E476C48" w14:textId="10C44000" w:rsidR="00DF1C86" w:rsidRPr="00FA1E86" w:rsidRDefault="00EC6E59" w:rsidP="00E94884">
      <w:pPr>
        <w:pStyle w:val="COMtablefigcaption"/>
      </w:pPr>
      <w:bookmarkStart w:id="34" w:name="_Ref134096207"/>
      <w:r w:rsidRPr="00FA1E86">
        <w:lastRenderedPageBreak/>
        <w:t xml:space="preserve">Table </w:t>
      </w:r>
      <w:fldSimple w:instr=" SEQ Table \* ARABIC " w:fldLock="1">
        <w:r w:rsidR="00B71E27">
          <w:rPr>
            <w:noProof/>
          </w:rPr>
          <w:t>10</w:t>
        </w:r>
      </w:fldSimple>
      <w:bookmarkEnd w:id="34"/>
      <w:r w:rsidR="00DF1C86" w:rsidRPr="00FA1E86">
        <w:t>: Summary of key adverse events in the SURPASS-2 trial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28"/>
        <w:gridCol w:w="1774"/>
        <w:gridCol w:w="1777"/>
        <w:gridCol w:w="1769"/>
        <w:gridCol w:w="1769"/>
      </w:tblGrid>
      <w:tr w:rsidR="00DF1C86" w:rsidRPr="00FA1E86" w14:paraId="6191952E" w14:textId="77777777" w:rsidTr="00253C04">
        <w:trPr>
          <w:tblHeader/>
        </w:trPr>
        <w:tc>
          <w:tcPr>
            <w:tcW w:w="1928" w:type="dxa"/>
            <w:vAlign w:val="center"/>
          </w:tcPr>
          <w:p w14:paraId="0511C1E1" w14:textId="77777777" w:rsidR="00DF1C86" w:rsidRPr="00FA1E86" w:rsidRDefault="00DF1C86" w:rsidP="00253C04">
            <w:pPr>
              <w:pStyle w:val="COMTableheadingrow"/>
              <w:rPr>
                <w:lang w:val="en-AU"/>
              </w:rPr>
            </w:pPr>
            <w:r w:rsidRPr="00FA1E86">
              <w:rPr>
                <w:lang w:val="en-AU"/>
              </w:rPr>
              <w:t>Patients, n (%)</w:t>
            </w:r>
          </w:p>
        </w:tc>
        <w:tc>
          <w:tcPr>
            <w:tcW w:w="1774" w:type="dxa"/>
            <w:vAlign w:val="center"/>
          </w:tcPr>
          <w:p w14:paraId="15477F4D" w14:textId="77777777" w:rsidR="00DF1C86" w:rsidRPr="00FA1E86" w:rsidRDefault="00DF1C86" w:rsidP="00253C04">
            <w:pPr>
              <w:pStyle w:val="COMTableheadingrow"/>
              <w:jc w:val="center"/>
              <w:rPr>
                <w:lang w:val="en-AU"/>
              </w:rPr>
            </w:pPr>
            <w:r w:rsidRPr="00FA1E86">
              <w:rPr>
                <w:lang w:val="en-AU"/>
              </w:rPr>
              <w:t>Tirzepatide 5 mg</w:t>
            </w:r>
          </w:p>
          <w:p w14:paraId="72EB670A" w14:textId="77777777" w:rsidR="00DF1C86" w:rsidRPr="00FA1E86" w:rsidRDefault="00DF1C86" w:rsidP="00253C04">
            <w:pPr>
              <w:pStyle w:val="COMTableheadingrow"/>
              <w:jc w:val="center"/>
              <w:rPr>
                <w:lang w:val="en-AU"/>
              </w:rPr>
            </w:pPr>
            <w:r w:rsidRPr="00FA1E86">
              <w:rPr>
                <w:lang w:val="en-AU"/>
              </w:rPr>
              <w:t>N=470</w:t>
            </w:r>
          </w:p>
        </w:tc>
        <w:tc>
          <w:tcPr>
            <w:tcW w:w="1777" w:type="dxa"/>
            <w:vAlign w:val="center"/>
          </w:tcPr>
          <w:p w14:paraId="4BDCE211" w14:textId="77777777" w:rsidR="00DF1C86" w:rsidRPr="00FA1E86" w:rsidRDefault="00DF1C86" w:rsidP="00253C04">
            <w:pPr>
              <w:pStyle w:val="COMTableheadingrow"/>
              <w:jc w:val="center"/>
              <w:rPr>
                <w:lang w:val="en-AU"/>
              </w:rPr>
            </w:pPr>
            <w:r w:rsidRPr="00FA1E86">
              <w:rPr>
                <w:lang w:val="en-AU"/>
              </w:rPr>
              <w:t>Tirzepatide 10 mg</w:t>
            </w:r>
          </w:p>
          <w:p w14:paraId="73D994B1" w14:textId="77777777" w:rsidR="00DF1C86" w:rsidRPr="00FA1E86" w:rsidRDefault="00DF1C86" w:rsidP="00253C04">
            <w:pPr>
              <w:pStyle w:val="COMTableheadingrow"/>
              <w:jc w:val="center"/>
              <w:rPr>
                <w:lang w:val="en-AU"/>
              </w:rPr>
            </w:pPr>
            <w:r w:rsidRPr="00FA1E86">
              <w:rPr>
                <w:lang w:val="en-AU"/>
              </w:rPr>
              <w:t>N=469</w:t>
            </w:r>
          </w:p>
        </w:tc>
        <w:tc>
          <w:tcPr>
            <w:tcW w:w="1769" w:type="dxa"/>
            <w:vAlign w:val="center"/>
          </w:tcPr>
          <w:p w14:paraId="7D2A476D" w14:textId="77777777" w:rsidR="00DF1C86" w:rsidRPr="00FA1E86" w:rsidRDefault="00DF1C86" w:rsidP="00253C04">
            <w:pPr>
              <w:pStyle w:val="COMTableheadingrow"/>
              <w:jc w:val="center"/>
              <w:rPr>
                <w:lang w:val="en-AU"/>
              </w:rPr>
            </w:pPr>
            <w:r w:rsidRPr="00FA1E86">
              <w:rPr>
                <w:lang w:val="en-AU"/>
              </w:rPr>
              <w:t>Tirzepatide 15 mg</w:t>
            </w:r>
          </w:p>
          <w:p w14:paraId="5A032DFC" w14:textId="77777777" w:rsidR="00DF1C86" w:rsidRPr="00FA1E86" w:rsidRDefault="00DF1C86" w:rsidP="00253C04">
            <w:pPr>
              <w:pStyle w:val="COMTableheadingrow"/>
              <w:jc w:val="center"/>
              <w:rPr>
                <w:lang w:val="en-AU"/>
              </w:rPr>
            </w:pPr>
            <w:r w:rsidRPr="00FA1E86">
              <w:rPr>
                <w:lang w:val="en-AU"/>
              </w:rPr>
              <w:t>N=470</w:t>
            </w:r>
          </w:p>
        </w:tc>
        <w:tc>
          <w:tcPr>
            <w:tcW w:w="1769" w:type="dxa"/>
          </w:tcPr>
          <w:p w14:paraId="47081375" w14:textId="77777777" w:rsidR="00DF1C86" w:rsidRPr="00FA1E86" w:rsidRDefault="00DF1C86" w:rsidP="00253C04">
            <w:pPr>
              <w:pStyle w:val="COMTableheadingrow"/>
              <w:jc w:val="center"/>
              <w:rPr>
                <w:lang w:val="en-AU"/>
              </w:rPr>
            </w:pPr>
            <w:r w:rsidRPr="00FA1E86">
              <w:rPr>
                <w:lang w:val="en-AU"/>
              </w:rPr>
              <w:t>Semaglutide 1.0 mg</w:t>
            </w:r>
          </w:p>
          <w:p w14:paraId="1BDF5376" w14:textId="77777777" w:rsidR="00DF1C86" w:rsidRPr="00FA1E86" w:rsidRDefault="00DF1C86" w:rsidP="00253C04">
            <w:pPr>
              <w:pStyle w:val="COMTableheadingrow"/>
              <w:jc w:val="center"/>
              <w:rPr>
                <w:lang w:val="en-AU"/>
              </w:rPr>
            </w:pPr>
            <w:r w:rsidRPr="00FA1E86">
              <w:rPr>
                <w:lang w:val="en-AU"/>
              </w:rPr>
              <w:t>N=469</w:t>
            </w:r>
          </w:p>
        </w:tc>
      </w:tr>
      <w:tr w:rsidR="00DF1C86" w:rsidRPr="00FA1E86" w14:paraId="64278A3E" w14:textId="77777777" w:rsidTr="00253C04">
        <w:tc>
          <w:tcPr>
            <w:tcW w:w="1928" w:type="dxa"/>
            <w:vAlign w:val="center"/>
          </w:tcPr>
          <w:p w14:paraId="2914F235" w14:textId="77777777" w:rsidR="00DF1C86" w:rsidRPr="00FA1E86" w:rsidRDefault="00DF1C86" w:rsidP="00253C04">
            <w:pPr>
              <w:pStyle w:val="COMTabletext"/>
            </w:pPr>
            <w:r w:rsidRPr="00FA1E86">
              <w:t>Any adverse event</w:t>
            </w:r>
          </w:p>
        </w:tc>
        <w:tc>
          <w:tcPr>
            <w:tcW w:w="1774" w:type="dxa"/>
            <w:vAlign w:val="center"/>
          </w:tcPr>
          <w:p w14:paraId="239CB5B2" w14:textId="77777777" w:rsidR="00DF1C86" w:rsidRPr="00FA1E86" w:rsidRDefault="00DF1C86" w:rsidP="00253C04">
            <w:pPr>
              <w:pStyle w:val="COMTabletext"/>
              <w:jc w:val="center"/>
            </w:pPr>
            <w:r w:rsidRPr="00FA1E86">
              <w:t>299 (63.6)</w:t>
            </w:r>
          </w:p>
        </w:tc>
        <w:tc>
          <w:tcPr>
            <w:tcW w:w="1777" w:type="dxa"/>
            <w:vAlign w:val="center"/>
          </w:tcPr>
          <w:p w14:paraId="4DF32A5B" w14:textId="77777777" w:rsidR="00DF1C86" w:rsidRPr="00FA1E86" w:rsidRDefault="00DF1C86" w:rsidP="00253C04">
            <w:pPr>
              <w:pStyle w:val="COMTabletext"/>
              <w:jc w:val="center"/>
            </w:pPr>
            <w:r w:rsidRPr="00FA1E86">
              <w:t>322 (68.7)</w:t>
            </w:r>
          </w:p>
        </w:tc>
        <w:tc>
          <w:tcPr>
            <w:tcW w:w="1769" w:type="dxa"/>
            <w:vAlign w:val="center"/>
          </w:tcPr>
          <w:p w14:paraId="04ACC3D9" w14:textId="77777777" w:rsidR="00DF1C86" w:rsidRPr="00FA1E86" w:rsidRDefault="00DF1C86" w:rsidP="00253C04">
            <w:pPr>
              <w:pStyle w:val="COMTabletext"/>
              <w:jc w:val="center"/>
            </w:pPr>
            <w:r w:rsidRPr="00FA1E86">
              <w:t>324 (68.9)</w:t>
            </w:r>
          </w:p>
        </w:tc>
        <w:tc>
          <w:tcPr>
            <w:tcW w:w="1769" w:type="dxa"/>
            <w:vAlign w:val="center"/>
          </w:tcPr>
          <w:p w14:paraId="72E206B0" w14:textId="77777777" w:rsidR="00DF1C86" w:rsidRPr="00FA1E86" w:rsidRDefault="00DF1C86" w:rsidP="00253C04">
            <w:pPr>
              <w:pStyle w:val="COMTabletext"/>
              <w:jc w:val="center"/>
            </w:pPr>
            <w:r w:rsidRPr="00FA1E86">
              <w:t>301 (64.2)</w:t>
            </w:r>
          </w:p>
        </w:tc>
      </w:tr>
      <w:tr w:rsidR="00DF1C86" w:rsidRPr="00FA1E86" w14:paraId="681064A2" w14:textId="77777777" w:rsidTr="00253C04">
        <w:tc>
          <w:tcPr>
            <w:tcW w:w="1928" w:type="dxa"/>
            <w:vAlign w:val="center"/>
          </w:tcPr>
          <w:p w14:paraId="5BEF538C" w14:textId="77777777" w:rsidR="00DF1C86" w:rsidRPr="00FA1E86" w:rsidRDefault="00DF1C86" w:rsidP="00253C04">
            <w:pPr>
              <w:pStyle w:val="COMTabletext"/>
            </w:pPr>
            <w:r w:rsidRPr="00FA1E86">
              <w:t>Treatment-related adverse event</w:t>
            </w:r>
          </w:p>
        </w:tc>
        <w:tc>
          <w:tcPr>
            <w:tcW w:w="1774" w:type="dxa"/>
            <w:vAlign w:val="center"/>
          </w:tcPr>
          <w:p w14:paraId="076518B3" w14:textId="77777777" w:rsidR="00DF1C86" w:rsidRPr="00FA1E86" w:rsidRDefault="00DF1C86" w:rsidP="00253C04">
            <w:pPr>
              <w:pStyle w:val="COMTabletext"/>
              <w:jc w:val="center"/>
            </w:pPr>
            <w:r w:rsidRPr="00FA1E86">
              <w:t>188 (40.0)</w:t>
            </w:r>
          </w:p>
        </w:tc>
        <w:tc>
          <w:tcPr>
            <w:tcW w:w="1777" w:type="dxa"/>
            <w:vAlign w:val="center"/>
          </w:tcPr>
          <w:p w14:paraId="4C7141A6" w14:textId="77777777" w:rsidR="00DF1C86" w:rsidRPr="00FA1E86" w:rsidRDefault="00DF1C86" w:rsidP="00253C04">
            <w:pPr>
              <w:pStyle w:val="COMTabletext"/>
              <w:jc w:val="center"/>
            </w:pPr>
            <w:r w:rsidRPr="00FA1E86">
              <w:t>221 (47.1)</w:t>
            </w:r>
          </w:p>
        </w:tc>
        <w:tc>
          <w:tcPr>
            <w:tcW w:w="1769" w:type="dxa"/>
            <w:vAlign w:val="center"/>
          </w:tcPr>
          <w:p w14:paraId="2FF0671B" w14:textId="77777777" w:rsidR="00DF1C86" w:rsidRPr="00FA1E86" w:rsidRDefault="00DF1C86" w:rsidP="00253C04">
            <w:pPr>
              <w:pStyle w:val="COMTabletext"/>
              <w:jc w:val="center"/>
            </w:pPr>
            <w:r w:rsidRPr="00FA1E86">
              <w:t>225 (47.9)</w:t>
            </w:r>
          </w:p>
        </w:tc>
        <w:tc>
          <w:tcPr>
            <w:tcW w:w="1769" w:type="dxa"/>
            <w:vAlign w:val="center"/>
          </w:tcPr>
          <w:p w14:paraId="34B03C91" w14:textId="77777777" w:rsidR="00DF1C86" w:rsidRPr="00FA1E86" w:rsidRDefault="00DF1C86" w:rsidP="00253C04">
            <w:pPr>
              <w:pStyle w:val="COMTabletext"/>
              <w:jc w:val="center"/>
            </w:pPr>
            <w:r w:rsidRPr="00FA1E86">
              <w:t>194 (41.4)</w:t>
            </w:r>
          </w:p>
        </w:tc>
      </w:tr>
      <w:tr w:rsidR="00DF1C86" w:rsidRPr="00FA1E86" w14:paraId="69E0FDA1" w14:textId="77777777" w:rsidTr="00253C04">
        <w:tc>
          <w:tcPr>
            <w:tcW w:w="1928" w:type="dxa"/>
            <w:vAlign w:val="center"/>
          </w:tcPr>
          <w:p w14:paraId="57F19283" w14:textId="77777777" w:rsidR="00DF1C86" w:rsidRPr="00FA1E86" w:rsidRDefault="00DF1C86" w:rsidP="00253C04">
            <w:pPr>
              <w:pStyle w:val="COMTabletext"/>
            </w:pPr>
            <w:r w:rsidRPr="00FA1E86">
              <w:t>Serious adverse event</w:t>
            </w:r>
          </w:p>
        </w:tc>
        <w:tc>
          <w:tcPr>
            <w:tcW w:w="1774" w:type="dxa"/>
            <w:vAlign w:val="center"/>
          </w:tcPr>
          <w:p w14:paraId="698E8880" w14:textId="77777777" w:rsidR="00DF1C86" w:rsidRPr="00FA1E86" w:rsidRDefault="00DF1C86" w:rsidP="00253C04">
            <w:pPr>
              <w:pStyle w:val="COMTabletext"/>
              <w:jc w:val="center"/>
            </w:pPr>
            <w:r w:rsidRPr="00FA1E86">
              <w:t>33 (7.0)</w:t>
            </w:r>
          </w:p>
        </w:tc>
        <w:tc>
          <w:tcPr>
            <w:tcW w:w="1777" w:type="dxa"/>
            <w:vAlign w:val="center"/>
          </w:tcPr>
          <w:p w14:paraId="1C177955" w14:textId="77777777" w:rsidR="00DF1C86" w:rsidRPr="00FA1E86" w:rsidRDefault="00DF1C86" w:rsidP="00253C04">
            <w:pPr>
              <w:pStyle w:val="COMTabletext"/>
              <w:jc w:val="center"/>
            </w:pPr>
            <w:r w:rsidRPr="00FA1E86">
              <w:t>25 (5.3)</w:t>
            </w:r>
          </w:p>
        </w:tc>
        <w:tc>
          <w:tcPr>
            <w:tcW w:w="1769" w:type="dxa"/>
            <w:vAlign w:val="center"/>
          </w:tcPr>
          <w:p w14:paraId="4B967BC2" w14:textId="77777777" w:rsidR="00DF1C86" w:rsidRPr="00FA1E86" w:rsidRDefault="00DF1C86" w:rsidP="00253C04">
            <w:pPr>
              <w:pStyle w:val="COMTabletext"/>
              <w:jc w:val="center"/>
            </w:pPr>
            <w:r w:rsidRPr="00FA1E86">
              <w:t>27 (5.7)</w:t>
            </w:r>
          </w:p>
        </w:tc>
        <w:tc>
          <w:tcPr>
            <w:tcW w:w="1769" w:type="dxa"/>
            <w:vAlign w:val="center"/>
          </w:tcPr>
          <w:p w14:paraId="67169F0F" w14:textId="77777777" w:rsidR="00DF1C86" w:rsidRPr="00FA1E86" w:rsidRDefault="00DF1C86" w:rsidP="00253C04">
            <w:pPr>
              <w:pStyle w:val="COMTabletext"/>
              <w:jc w:val="center"/>
            </w:pPr>
            <w:r w:rsidRPr="00FA1E86">
              <w:t>13 (2.8)</w:t>
            </w:r>
          </w:p>
        </w:tc>
      </w:tr>
      <w:tr w:rsidR="00DF1C86" w:rsidRPr="00FA1E86" w14:paraId="0827BA81" w14:textId="77777777" w:rsidTr="00253C04">
        <w:tc>
          <w:tcPr>
            <w:tcW w:w="1928" w:type="dxa"/>
            <w:vAlign w:val="center"/>
          </w:tcPr>
          <w:p w14:paraId="776EFB00" w14:textId="77777777" w:rsidR="00DF1C86" w:rsidRPr="00FA1E86" w:rsidRDefault="00DF1C86" w:rsidP="00253C04">
            <w:pPr>
              <w:pStyle w:val="COMTabletext"/>
            </w:pPr>
            <w:r w:rsidRPr="00FA1E86">
              <w:t>Adverse events leading to treatment discontinuation</w:t>
            </w:r>
          </w:p>
        </w:tc>
        <w:tc>
          <w:tcPr>
            <w:tcW w:w="1774" w:type="dxa"/>
            <w:vAlign w:val="center"/>
          </w:tcPr>
          <w:p w14:paraId="77A03651" w14:textId="77777777" w:rsidR="00DF1C86" w:rsidRPr="00FA1E86" w:rsidRDefault="00DF1C86" w:rsidP="00253C04">
            <w:pPr>
              <w:pStyle w:val="COMTabletext"/>
              <w:jc w:val="center"/>
            </w:pPr>
            <w:r w:rsidRPr="00FA1E86">
              <w:t>28 (6.0)</w:t>
            </w:r>
          </w:p>
        </w:tc>
        <w:tc>
          <w:tcPr>
            <w:tcW w:w="1777" w:type="dxa"/>
            <w:vAlign w:val="center"/>
          </w:tcPr>
          <w:p w14:paraId="5850C36D" w14:textId="77777777" w:rsidR="00DF1C86" w:rsidRPr="00FA1E86" w:rsidRDefault="00DF1C86" w:rsidP="00253C04">
            <w:pPr>
              <w:pStyle w:val="COMTabletext"/>
              <w:jc w:val="center"/>
            </w:pPr>
            <w:r w:rsidRPr="00FA1E86">
              <w:t>40 (8.5)</w:t>
            </w:r>
          </w:p>
        </w:tc>
        <w:tc>
          <w:tcPr>
            <w:tcW w:w="1769" w:type="dxa"/>
            <w:vAlign w:val="center"/>
          </w:tcPr>
          <w:p w14:paraId="2D660C22" w14:textId="77777777" w:rsidR="00DF1C86" w:rsidRPr="00FA1E86" w:rsidRDefault="00DF1C86" w:rsidP="00253C04">
            <w:pPr>
              <w:pStyle w:val="COMTabletext"/>
              <w:jc w:val="center"/>
            </w:pPr>
            <w:r w:rsidRPr="00FA1E86">
              <w:t>40 (8.5)</w:t>
            </w:r>
          </w:p>
        </w:tc>
        <w:tc>
          <w:tcPr>
            <w:tcW w:w="1769" w:type="dxa"/>
            <w:vAlign w:val="center"/>
          </w:tcPr>
          <w:p w14:paraId="3EEC3E88" w14:textId="77777777" w:rsidR="00DF1C86" w:rsidRPr="00FA1E86" w:rsidRDefault="00DF1C86" w:rsidP="00253C04">
            <w:pPr>
              <w:pStyle w:val="COMTabletext"/>
              <w:jc w:val="center"/>
            </w:pPr>
            <w:r w:rsidRPr="00FA1E86">
              <w:t>19 (4.1)</w:t>
            </w:r>
          </w:p>
        </w:tc>
      </w:tr>
      <w:tr w:rsidR="00DF1C86" w:rsidRPr="00FA1E86" w14:paraId="1C73D9B4" w14:textId="77777777" w:rsidTr="00253C04">
        <w:tc>
          <w:tcPr>
            <w:tcW w:w="1928" w:type="dxa"/>
            <w:vAlign w:val="center"/>
          </w:tcPr>
          <w:p w14:paraId="772AAB32" w14:textId="77777777" w:rsidR="00DF1C86" w:rsidRPr="00FA1E86" w:rsidRDefault="00DF1C86" w:rsidP="00253C04">
            <w:pPr>
              <w:pStyle w:val="COMTabletext"/>
            </w:pPr>
            <w:r w:rsidRPr="00FA1E86">
              <w:t>Adverse events leading to study discontinuation</w:t>
            </w:r>
          </w:p>
        </w:tc>
        <w:tc>
          <w:tcPr>
            <w:tcW w:w="1774" w:type="dxa"/>
            <w:vAlign w:val="center"/>
          </w:tcPr>
          <w:p w14:paraId="3AF6902E" w14:textId="77777777" w:rsidR="00DF1C86" w:rsidRPr="00FA1E86" w:rsidRDefault="00DF1C86" w:rsidP="00253C04">
            <w:pPr>
              <w:pStyle w:val="COMTabletext"/>
              <w:jc w:val="center"/>
            </w:pPr>
            <w:r w:rsidRPr="00FA1E86">
              <w:t>5 (1.1)</w:t>
            </w:r>
          </w:p>
        </w:tc>
        <w:tc>
          <w:tcPr>
            <w:tcW w:w="1777" w:type="dxa"/>
            <w:vAlign w:val="center"/>
          </w:tcPr>
          <w:p w14:paraId="200607A9" w14:textId="77777777" w:rsidR="00DF1C86" w:rsidRPr="00FA1E86" w:rsidRDefault="00DF1C86" w:rsidP="00253C04">
            <w:pPr>
              <w:pStyle w:val="COMTabletext"/>
              <w:jc w:val="center"/>
            </w:pPr>
            <w:r w:rsidRPr="00FA1E86">
              <w:t>8 (1.7)</w:t>
            </w:r>
          </w:p>
        </w:tc>
        <w:tc>
          <w:tcPr>
            <w:tcW w:w="1769" w:type="dxa"/>
            <w:vAlign w:val="center"/>
          </w:tcPr>
          <w:p w14:paraId="226094CB" w14:textId="77777777" w:rsidR="00DF1C86" w:rsidRPr="00FA1E86" w:rsidRDefault="00DF1C86" w:rsidP="00253C04">
            <w:pPr>
              <w:pStyle w:val="COMTabletext"/>
              <w:jc w:val="center"/>
            </w:pPr>
            <w:r w:rsidRPr="00FA1E86">
              <w:t>5 (1.1)</w:t>
            </w:r>
          </w:p>
        </w:tc>
        <w:tc>
          <w:tcPr>
            <w:tcW w:w="1769" w:type="dxa"/>
            <w:vAlign w:val="center"/>
          </w:tcPr>
          <w:p w14:paraId="6E3904A3" w14:textId="77777777" w:rsidR="00DF1C86" w:rsidRPr="00FA1E86" w:rsidRDefault="00DF1C86" w:rsidP="00253C04">
            <w:pPr>
              <w:pStyle w:val="COMTabletext"/>
              <w:jc w:val="center"/>
            </w:pPr>
            <w:r w:rsidRPr="00FA1E86">
              <w:t>4 (0.9)</w:t>
            </w:r>
          </w:p>
        </w:tc>
      </w:tr>
      <w:tr w:rsidR="00DF1C86" w:rsidRPr="00FA1E86" w14:paraId="7588ABC8" w14:textId="77777777" w:rsidTr="00253C04">
        <w:tc>
          <w:tcPr>
            <w:tcW w:w="1928" w:type="dxa"/>
            <w:vAlign w:val="center"/>
          </w:tcPr>
          <w:p w14:paraId="237384DE" w14:textId="77777777" w:rsidR="00DF1C86" w:rsidRPr="00FA1E86" w:rsidRDefault="00DF1C86" w:rsidP="00253C04">
            <w:pPr>
              <w:pStyle w:val="COMTabletext"/>
            </w:pPr>
            <w:r w:rsidRPr="00FA1E86">
              <w:t>Deaths</w:t>
            </w:r>
          </w:p>
        </w:tc>
        <w:tc>
          <w:tcPr>
            <w:tcW w:w="1774" w:type="dxa"/>
            <w:vAlign w:val="center"/>
          </w:tcPr>
          <w:p w14:paraId="21BCEE26" w14:textId="77777777" w:rsidR="00DF1C86" w:rsidRPr="00FA1E86" w:rsidRDefault="00DF1C86" w:rsidP="00253C04">
            <w:pPr>
              <w:pStyle w:val="COMTabletext"/>
              <w:jc w:val="center"/>
            </w:pPr>
            <w:r w:rsidRPr="00FA1E86">
              <w:t>4 (0.9)</w:t>
            </w:r>
          </w:p>
        </w:tc>
        <w:tc>
          <w:tcPr>
            <w:tcW w:w="1777" w:type="dxa"/>
            <w:vAlign w:val="center"/>
          </w:tcPr>
          <w:p w14:paraId="6808F5CE" w14:textId="77777777" w:rsidR="00DF1C86" w:rsidRPr="00FA1E86" w:rsidRDefault="00DF1C86" w:rsidP="00253C04">
            <w:pPr>
              <w:pStyle w:val="COMTabletext"/>
              <w:jc w:val="center"/>
            </w:pPr>
            <w:r w:rsidRPr="00FA1E86">
              <w:t>4 (0.9)</w:t>
            </w:r>
          </w:p>
        </w:tc>
        <w:tc>
          <w:tcPr>
            <w:tcW w:w="1769" w:type="dxa"/>
            <w:vAlign w:val="center"/>
          </w:tcPr>
          <w:p w14:paraId="3ACABD0C" w14:textId="77777777" w:rsidR="00DF1C86" w:rsidRPr="00FA1E86" w:rsidRDefault="00DF1C86" w:rsidP="00253C04">
            <w:pPr>
              <w:pStyle w:val="COMTabletext"/>
              <w:jc w:val="center"/>
            </w:pPr>
            <w:r w:rsidRPr="00FA1E86">
              <w:t>4 (0.9)</w:t>
            </w:r>
          </w:p>
        </w:tc>
        <w:tc>
          <w:tcPr>
            <w:tcW w:w="1769" w:type="dxa"/>
            <w:vAlign w:val="center"/>
          </w:tcPr>
          <w:p w14:paraId="0EC34DB4" w14:textId="77777777" w:rsidR="00DF1C86" w:rsidRPr="00FA1E86" w:rsidRDefault="00DF1C86" w:rsidP="00253C04">
            <w:pPr>
              <w:pStyle w:val="COMTabletext"/>
              <w:jc w:val="center"/>
            </w:pPr>
            <w:r w:rsidRPr="00FA1E86">
              <w:t>1 (0.2)</w:t>
            </w:r>
          </w:p>
        </w:tc>
      </w:tr>
      <w:tr w:rsidR="00DF1C86" w:rsidRPr="00FA1E86" w14:paraId="1EF05B9E" w14:textId="77777777" w:rsidTr="00253C04">
        <w:tc>
          <w:tcPr>
            <w:tcW w:w="9017" w:type="dxa"/>
            <w:gridSpan w:val="5"/>
            <w:vAlign w:val="center"/>
          </w:tcPr>
          <w:p w14:paraId="17331D1B" w14:textId="77777777" w:rsidR="00DF1C86" w:rsidRPr="00FA1E86" w:rsidRDefault="00DF1C86" w:rsidP="00253C04">
            <w:pPr>
              <w:pStyle w:val="COMTableheadingrow"/>
              <w:rPr>
                <w:lang w:val="en-AU"/>
              </w:rPr>
            </w:pPr>
            <w:r w:rsidRPr="00FA1E86">
              <w:rPr>
                <w:lang w:val="en-AU"/>
              </w:rPr>
              <w:t>Adverse events of special interest</w:t>
            </w:r>
          </w:p>
        </w:tc>
      </w:tr>
      <w:tr w:rsidR="00DF1C86" w:rsidRPr="00FA1E86" w14:paraId="30DEEF19" w14:textId="77777777" w:rsidTr="00253C04">
        <w:tc>
          <w:tcPr>
            <w:tcW w:w="1928" w:type="dxa"/>
            <w:vAlign w:val="center"/>
          </w:tcPr>
          <w:p w14:paraId="05F788D4" w14:textId="77777777" w:rsidR="00DF1C86" w:rsidRPr="00FA1E86" w:rsidRDefault="00DF1C86" w:rsidP="00253C04">
            <w:pPr>
              <w:pStyle w:val="COMTabletext"/>
            </w:pPr>
            <w:r w:rsidRPr="00FA1E86">
              <w:t>Gastrointestinal events</w:t>
            </w:r>
          </w:p>
        </w:tc>
        <w:tc>
          <w:tcPr>
            <w:tcW w:w="1774" w:type="dxa"/>
            <w:vAlign w:val="center"/>
          </w:tcPr>
          <w:p w14:paraId="0448EAFC" w14:textId="77777777" w:rsidR="00DF1C86" w:rsidRPr="00FA1E86" w:rsidRDefault="00DF1C86" w:rsidP="00253C04">
            <w:pPr>
              <w:pStyle w:val="COMTabletext"/>
              <w:jc w:val="center"/>
            </w:pPr>
            <w:r w:rsidRPr="00FA1E86">
              <w:t>188 (40.0)</w:t>
            </w:r>
          </w:p>
        </w:tc>
        <w:tc>
          <w:tcPr>
            <w:tcW w:w="1777" w:type="dxa"/>
            <w:vAlign w:val="center"/>
          </w:tcPr>
          <w:p w14:paraId="7C6B8156" w14:textId="77777777" w:rsidR="00DF1C86" w:rsidRPr="00FA1E86" w:rsidRDefault="00DF1C86" w:rsidP="00253C04">
            <w:pPr>
              <w:pStyle w:val="COMTabletext"/>
              <w:jc w:val="center"/>
            </w:pPr>
            <w:r w:rsidRPr="00FA1E86">
              <w:t>216 (46.1)</w:t>
            </w:r>
          </w:p>
        </w:tc>
        <w:tc>
          <w:tcPr>
            <w:tcW w:w="1769" w:type="dxa"/>
            <w:vAlign w:val="center"/>
          </w:tcPr>
          <w:p w14:paraId="434DBE7F" w14:textId="77777777" w:rsidR="00DF1C86" w:rsidRPr="00FA1E86" w:rsidRDefault="00DF1C86" w:rsidP="00253C04">
            <w:pPr>
              <w:pStyle w:val="COMTabletext"/>
              <w:jc w:val="center"/>
            </w:pPr>
            <w:r w:rsidRPr="00FA1E86">
              <w:t>211 (44.9)</w:t>
            </w:r>
          </w:p>
        </w:tc>
        <w:tc>
          <w:tcPr>
            <w:tcW w:w="1769" w:type="dxa"/>
          </w:tcPr>
          <w:p w14:paraId="1891EA87" w14:textId="77777777" w:rsidR="00DF1C86" w:rsidRPr="00FA1E86" w:rsidRDefault="00DF1C86" w:rsidP="00253C04">
            <w:pPr>
              <w:pStyle w:val="COMTabletext"/>
              <w:jc w:val="center"/>
            </w:pPr>
            <w:r w:rsidRPr="00FA1E86">
              <w:t>193 (41.2)</w:t>
            </w:r>
          </w:p>
        </w:tc>
      </w:tr>
      <w:tr w:rsidR="00DF1C86" w:rsidRPr="00FA1E86" w14:paraId="6A2BF2B4" w14:textId="77777777" w:rsidTr="00253C04">
        <w:tc>
          <w:tcPr>
            <w:tcW w:w="1928" w:type="dxa"/>
            <w:vAlign w:val="center"/>
          </w:tcPr>
          <w:p w14:paraId="73875271" w14:textId="77777777" w:rsidR="00DF1C86" w:rsidRPr="00FA1E86" w:rsidRDefault="00DF1C86" w:rsidP="00253C04">
            <w:pPr>
              <w:pStyle w:val="COMTabletext"/>
            </w:pPr>
            <w:r w:rsidRPr="00FA1E86">
              <w:t xml:space="preserve">Hypoglycaemia </w:t>
            </w:r>
            <w:r w:rsidRPr="00FA1E86">
              <w:rPr>
                <w:vertAlign w:val="superscript"/>
              </w:rPr>
              <w:t>a</w:t>
            </w:r>
          </w:p>
        </w:tc>
        <w:tc>
          <w:tcPr>
            <w:tcW w:w="1774" w:type="dxa"/>
            <w:vAlign w:val="center"/>
          </w:tcPr>
          <w:p w14:paraId="2972BA61" w14:textId="77777777" w:rsidR="00DF1C86" w:rsidRPr="00FA1E86" w:rsidRDefault="00DF1C86" w:rsidP="00253C04">
            <w:pPr>
              <w:pStyle w:val="COMTabletext"/>
              <w:jc w:val="center"/>
            </w:pPr>
            <w:r w:rsidRPr="00FA1E86">
              <w:t>3 (0.6)</w:t>
            </w:r>
          </w:p>
        </w:tc>
        <w:tc>
          <w:tcPr>
            <w:tcW w:w="1777" w:type="dxa"/>
            <w:vAlign w:val="center"/>
          </w:tcPr>
          <w:p w14:paraId="3164E27F" w14:textId="77777777" w:rsidR="00DF1C86" w:rsidRPr="00FA1E86" w:rsidRDefault="00DF1C86" w:rsidP="00253C04">
            <w:pPr>
              <w:pStyle w:val="COMTabletext"/>
              <w:jc w:val="center"/>
            </w:pPr>
            <w:r w:rsidRPr="00FA1E86">
              <w:t>1 (0.2)</w:t>
            </w:r>
          </w:p>
        </w:tc>
        <w:tc>
          <w:tcPr>
            <w:tcW w:w="1769" w:type="dxa"/>
            <w:vAlign w:val="center"/>
          </w:tcPr>
          <w:p w14:paraId="0651F204" w14:textId="77777777" w:rsidR="00DF1C86" w:rsidRPr="00FA1E86" w:rsidRDefault="00DF1C86" w:rsidP="00253C04">
            <w:pPr>
              <w:pStyle w:val="COMTabletext"/>
              <w:jc w:val="center"/>
            </w:pPr>
            <w:r w:rsidRPr="00FA1E86">
              <w:t>8 (1.7)</w:t>
            </w:r>
          </w:p>
        </w:tc>
        <w:tc>
          <w:tcPr>
            <w:tcW w:w="1769" w:type="dxa"/>
          </w:tcPr>
          <w:p w14:paraId="10BE28B2" w14:textId="77777777" w:rsidR="00DF1C86" w:rsidRPr="00FA1E86" w:rsidRDefault="00DF1C86" w:rsidP="00253C04">
            <w:pPr>
              <w:pStyle w:val="COMTabletext"/>
              <w:jc w:val="center"/>
            </w:pPr>
            <w:r w:rsidRPr="00FA1E86">
              <w:t>2 (0.4)</w:t>
            </w:r>
          </w:p>
        </w:tc>
      </w:tr>
      <w:tr w:rsidR="00DF1C86" w:rsidRPr="00FA1E86" w14:paraId="4BDBC98A" w14:textId="77777777" w:rsidTr="00253C04">
        <w:tc>
          <w:tcPr>
            <w:tcW w:w="1928" w:type="dxa"/>
            <w:vAlign w:val="center"/>
          </w:tcPr>
          <w:p w14:paraId="330ACC84" w14:textId="77777777" w:rsidR="00DF1C86" w:rsidRPr="00FA1E86" w:rsidRDefault="00DF1C86" w:rsidP="00253C04">
            <w:pPr>
              <w:pStyle w:val="COMTabletext"/>
            </w:pPr>
            <w:r w:rsidRPr="00FA1E86">
              <w:t>Severe hypoglycaemia</w:t>
            </w:r>
          </w:p>
        </w:tc>
        <w:tc>
          <w:tcPr>
            <w:tcW w:w="1774" w:type="dxa"/>
            <w:vAlign w:val="center"/>
          </w:tcPr>
          <w:p w14:paraId="4054B7B9" w14:textId="77777777" w:rsidR="00DF1C86" w:rsidRPr="00FA1E86" w:rsidRDefault="00DF1C86" w:rsidP="00253C04">
            <w:pPr>
              <w:pStyle w:val="COMTabletext"/>
              <w:jc w:val="center"/>
            </w:pPr>
            <w:r w:rsidRPr="00FA1E86">
              <w:t>1 (0.2)</w:t>
            </w:r>
          </w:p>
        </w:tc>
        <w:tc>
          <w:tcPr>
            <w:tcW w:w="1777" w:type="dxa"/>
            <w:vAlign w:val="center"/>
          </w:tcPr>
          <w:p w14:paraId="0D1910E6" w14:textId="77777777" w:rsidR="00DF1C86" w:rsidRPr="00FA1E86" w:rsidRDefault="00DF1C86" w:rsidP="00253C04">
            <w:pPr>
              <w:pStyle w:val="COMTabletext"/>
              <w:jc w:val="center"/>
            </w:pPr>
            <w:r w:rsidRPr="00FA1E86">
              <w:t>0</w:t>
            </w:r>
          </w:p>
        </w:tc>
        <w:tc>
          <w:tcPr>
            <w:tcW w:w="1769" w:type="dxa"/>
            <w:vAlign w:val="center"/>
          </w:tcPr>
          <w:p w14:paraId="15A9EF1F" w14:textId="77777777" w:rsidR="00DF1C86" w:rsidRPr="00FA1E86" w:rsidRDefault="00DF1C86" w:rsidP="00253C04">
            <w:pPr>
              <w:pStyle w:val="COMTabletext"/>
              <w:jc w:val="center"/>
            </w:pPr>
            <w:r w:rsidRPr="00FA1E86">
              <w:t>1 (0.2)</w:t>
            </w:r>
          </w:p>
        </w:tc>
        <w:tc>
          <w:tcPr>
            <w:tcW w:w="1769" w:type="dxa"/>
          </w:tcPr>
          <w:p w14:paraId="33472824" w14:textId="77777777" w:rsidR="00DF1C86" w:rsidRPr="00FA1E86" w:rsidRDefault="00DF1C86" w:rsidP="00253C04">
            <w:pPr>
              <w:pStyle w:val="COMTabletext"/>
              <w:jc w:val="center"/>
            </w:pPr>
            <w:r w:rsidRPr="00FA1E86">
              <w:t>0</w:t>
            </w:r>
          </w:p>
        </w:tc>
      </w:tr>
      <w:tr w:rsidR="00DF1C86" w:rsidRPr="00FA1E86" w14:paraId="15DB6A58" w14:textId="77777777" w:rsidTr="00253C04">
        <w:tc>
          <w:tcPr>
            <w:tcW w:w="1928" w:type="dxa"/>
            <w:vAlign w:val="center"/>
          </w:tcPr>
          <w:p w14:paraId="49CF9284" w14:textId="77777777" w:rsidR="00DF1C86" w:rsidRPr="00FA1E86" w:rsidRDefault="00DF1C86" w:rsidP="00253C04">
            <w:pPr>
              <w:pStyle w:val="COMTabletext"/>
            </w:pPr>
            <w:r w:rsidRPr="00FA1E86">
              <w:t>Injection site reaction</w:t>
            </w:r>
          </w:p>
        </w:tc>
        <w:tc>
          <w:tcPr>
            <w:tcW w:w="1774" w:type="dxa"/>
            <w:vAlign w:val="center"/>
          </w:tcPr>
          <w:p w14:paraId="3B34B48F" w14:textId="77777777" w:rsidR="00DF1C86" w:rsidRPr="00FA1E86" w:rsidRDefault="00DF1C86" w:rsidP="00253C04">
            <w:pPr>
              <w:pStyle w:val="COMTabletext"/>
              <w:jc w:val="center"/>
            </w:pPr>
            <w:r w:rsidRPr="00FA1E86">
              <w:t>9 (1.9)</w:t>
            </w:r>
          </w:p>
        </w:tc>
        <w:tc>
          <w:tcPr>
            <w:tcW w:w="1777" w:type="dxa"/>
            <w:vAlign w:val="center"/>
          </w:tcPr>
          <w:p w14:paraId="6FFFAD49" w14:textId="77777777" w:rsidR="00DF1C86" w:rsidRPr="00FA1E86" w:rsidRDefault="00DF1C86" w:rsidP="00253C04">
            <w:pPr>
              <w:pStyle w:val="COMTabletext"/>
              <w:jc w:val="center"/>
            </w:pPr>
            <w:r w:rsidRPr="00FA1E86">
              <w:t>13 (2.8)</w:t>
            </w:r>
          </w:p>
        </w:tc>
        <w:tc>
          <w:tcPr>
            <w:tcW w:w="1769" w:type="dxa"/>
            <w:vAlign w:val="center"/>
          </w:tcPr>
          <w:p w14:paraId="3EA7B378" w14:textId="77777777" w:rsidR="00DF1C86" w:rsidRPr="00FA1E86" w:rsidRDefault="00DF1C86" w:rsidP="00253C04">
            <w:pPr>
              <w:pStyle w:val="COMTabletext"/>
              <w:jc w:val="center"/>
            </w:pPr>
            <w:r w:rsidRPr="00FA1E86">
              <w:t>21 (4.5)</w:t>
            </w:r>
          </w:p>
        </w:tc>
        <w:tc>
          <w:tcPr>
            <w:tcW w:w="1769" w:type="dxa"/>
          </w:tcPr>
          <w:p w14:paraId="429CD670" w14:textId="77777777" w:rsidR="00DF1C86" w:rsidRPr="00FA1E86" w:rsidRDefault="00DF1C86" w:rsidP="00253C04">
            <w:pPr>
              <w:pStyle w:val="COMTabletext"/>
              <w:jc w:val="center"/>
            </w:pPr>
            <w:r w:rsidRPr="00FA1E86">
              <w:t>1 (0.2)</w:t>
            </w:r>
          </w:p>
        </w:tc>
      </w:tr>
      <w:tr w:rsidR="00DF1C86" w:rsidRPr="00FA1E86" w14:paraId="426E79AA" w14:textId="77777777" w:rsidTr="00253C04">
        <w:tc>
          <w:tcPr>
            <w:tcW w:w="1928" w:type="dxa"/>
            <w:vAlign w:val="center"/>
          </w:tcPr>
          <w:p w14:paraId="1D8B7BC7" w14:textId="77777777" w:rsidR="00DF1C86" w:rsidRPr="00FA1E86" w:rsidRDefault="00DF1C86" w:rsidP="00253C04">
            <w:pPr>
              <w:pStyle w:val="COMTabletext"/>
            </w:pPr>
            <w:r w:rsidRPr="00FA1E86">
              <w:t>Adjudicated pancreatitis</w:t>
            </w:r>
          </w:p>
        </w:tc>
        <w:tc>
          <w:tcPr>
            <w:tcW w:w="1774" w:type="dxa"/>
            <w:vAlign w:val="center"/>
          </w:tcPr>
          <w:p w14:paraId="0B18318D" w14:textId="77777777" w:rsidR="00DF1C86" w:rsidRPr="00FA1E86" w:rsidRDefault="00DF1C86" w:rsidP="00253C04">
            <w:pPr>
              <w:pStyle w:val="COMTabletext"/>
              <w:jc w:val="center"/>
            </w:pPr>
            <w:r w:rsidRPr="00FA1E86">
              <w:t>0</w:t>
            </w:r>
          </w:p>
        </w:tc>
        <w:tc>
          <w:tcPr>
            <w:tcW w:w="1777" w:type="dxa"/>
            <w:vAlign w:val="center"/>
          </w:tcPr>
          <w:p w14:paraId="3A31A0CD" w14:textId="77777777" w:rsidR="00DF1C86" w:rsidRPr="00FA1E86" w:rsidRDefault="00DF1C86" w:rsidP="00253C04">
            <w:pPr>
              <w:pStyle w:val="COMTabletext"/>
              <w:jc w:val="center"/>
            </w:pPr>
            <w:r w:rsidRPr="00FA1E86">
              <w:t>2 (0.4)</w:t>
            </w:r>
          </w:p>
        </w:tc>
        <w:tc>
          <w:tcPr>
            <w:tcW w:w="1769" w:type="dxa"/>
            <w:vAlign w:val="center"/>
          </w:tcPr>
          <w:p w14:paraId="1CF2A341" w14:textId="77777777" w:rsidR="00DF1C86" w:rsidRPr="00FA1E86" w:rsidRDefault="00DF1C86" w:rsidP="00253C04">
            <w:pPr>
              <w:pStyle w:val="COMTabletext"/>
              <w:jc w:val="center"/>
            </w:pPr>
            <w:r w:rsidRPr="00FA1E86">
              <w:t>2 (0.4)</w:t>
            </w:r>
          </w:p>
        </w:tc>
        <w:tc>
          <w:tcPr>
            <w:tcW w:w="1769" w:type="dxa"/>
          </w:tcPr>
          <w:p w14:paraId="236DB2BB" w14:textId="77777777" w:rsidR="00DF1C86" w:rsidRPr="00FA1E86" w:rsidRDefault="00DF1C86" w:rsidP="00253C04">
            <w:pPr>
              <w:pStyle w:val="COMTabletext"/>
              <w:jc w:val="center"/>
            </w:pPr>
            <w:r w:rsidRPr="00FA1E86">
              <w:t>3 (0.6)</w:t>
            </w:r>
          </w:p>
        </w:tc>
      </w:tr>
      <w:tr w:rsidR="00DF1C86" w:rsidRPr="00FA1E86" w14:paraId="75FFFB72" w14:textId="77777777" w:rsidTr="00253C04">
        <w:tc>
          <w:tcPr>
            <w:tcW w:w="1928" w:type="dxa"/>
            <w:vAlign w:val="center"/>
          </w:tcPr>
          <w:p w14:paraId="233E3E69" w14:textId="77777777" w:rsidR="00DF1C86" w:rsidRPr="00FA1E86" w:rsidRDefault="00DF1C86" w:rsidP="00253C04">
            <w:pPr>
              <w:pStyle w:val="COMTabletext"/>
            </w:pPr>
            <w:r w:rsidRPr="00FA1E86">
              <w:t>Cholelithiasis</w:t>
            </w:r>
          </w:p>
        </w:tc>
        <w:tc>
          <w:tcPr>
            <w:tcW w:w="1774" w:type="dxa"/>
            <w:vAlign w:val="center"/>
          </w:tcPr>
          <w:p w14:paraId="25ECF8D8" w14:textId="77777777" w:rsidR="00DF1C86" w:rsidRPr="00FA1E86" w:rsidRDefault="00DF1C86" w:rsidP="00253C04">
            <w:pPr>
              <w:pStyle w:val="COMTabletext"/>
              <w:jc w:val="center"/>
            </w:pPr>
            <w:r w:rsidRPr="00FA1E86">
              <w:t>4 (0.9)</w:t>
            </w:r>
          </w:p>
        </w:tc>
        <w:tc>
          <w:tcPr>
            <w:tcW w:w="1777" w:type="dxa"/>
            <w:vAlign w:val="center"/>
          </w:tcPr>
          <w:p w14:paraId="0F1340E0" w14:textId="77777777" w:rsidR="00DF1C86" w:rsidRPr="00FA1E86" w:rsidRDefault="00DF1C86" w:rsidP="00253C04">
            <w:pPr>
              <w:pStyle w:val="COMTabletext"/>
              <w:jc w:val="center"/>
            </w:pPr>
            <w:r w:rsidRPr="00FA1E86">
              <w:t>4 (0.9)</w:t>
            </w:r>
          </w:p>
        </w:tc>
        <w:tc>
          <w:tcPr>
            <w:tcW w:w="1769" w:type="dxa"/>
            <w:vAlign w:val="center"/>
          </w:tcPr>
          <w:p w14:paraId="70AC9302" w14:textId="77777777" w:rsidR="00DF1C86" w:rsidRPr="00FA1E86" w:rsidRDefault="00DF1C86" w:rsidP="00253C04">
            <w:pPr>
              <w:pStyle w:val="COMTabletext"/>
              <w:jc w:val="center"/>
            </w:pPr>
            <w:r w:rsidRPr="00FA1E86">
              <w:t>4 (0.9)</w:t>
            </w:r>
          </w:p>
        </w:tc>
        <w:tc>
          <w:tcPr>
            <w:tcW w:w="1769" w:type="dxa"/>
          </w:tcPr>
          <w:p w14:paraId="2790B86D" w14:textId="77777777" w:rsidR="00DF1C86" w:rsidRPr="00FA1E86" w:rsidRDefault="00DF1C86" w:rsidP="00253C04">
            <w:pPr>
              <w:pStyle w:val="COMTabletext"/>
              <w:jc w:val="center"/>
            </w:pPr>
            <w:r w:rsidRPr="00FA1E86">
              <w:t>2 (0.4)</w:t>
            </w:r>
          </w:p>
        </w:tc>
      </w:tr>
      <w:tr w:rsidR="00DF1C86" w:rsidRPr="00FA1E86" w14:paraId="78AA6826" w14:textId="77777777" w:rsidTr="00253C04">
        <w:tc>
          <w:tcPr>
            <w:tcW w:w="1928" w:type="dxa"/>
            <w:vAlign w:val="center"/>
          </w:tcPr>
          <w:p w14:paraId="785E3A0C" w14:textId="77777777" w:rsidR="00DF1C86" w:rsidRPr="00FA1E86" w:rsidRDefault="00DF1C86" w:rsidP="00253C04">
            <w:pPr>
              <w:pStyle w:val="COMTabletext"/>
            </w:pPr>
            <w:r w:rsidRPr="00FA1E86">
              <w:t>Hypersensitivity</w:t>
            </w:r>
          </w:p>
        </w:tc>
        <w:tc>
          <w:tcPr>
            <w:tcW w:w="1774" w:type="dxa"/>
            <w:vAlign w:val="center"/>
          </w:tcPr>
          <w:p w14:paraId="51E5E574" w14:textId="77777777" w:rsidR="00DF1C86" w:rsidRPr="00FA1E86" w:rsidRDefault="00DF1C86" w:rsidP="00253C04">
            <w:pPr>
              <w:pStyle w:val="COMTabletext"/>
              <w:jc w:val="center"/>
            </w:pPr>
            <w:r w:rsidRPr="00FA1E86">
              <w:t>9 (1.9)</w:t>
            </w:r>
          </w:p>
        </w:tc>
        <w:tc>
          <w:tcPr>
            <w:tcW w:w="1777" w:type="dxa"/>
            <w:vAlign w:val="center"/>
          </w:tcPr>
          <w:p w14:paraId="7BA08028" w14:textId="77777777" w:rsidR="00DF1C86" w:rsidRPr="00FA1E86" w:rsidRDefault="00DF1C86" w:rsidP="00253C04">
            <w:pPr>
              <w:pStyle w:val="COMTabletext"/>
              <w:jc w:val="center"/>
            </w:pPr>
            <w:r w:rsidRPr="00FA1E86">
              <w:t>13 (2.8)</w:t>
            </w:r>
          </w:p>
        </w:tc>
        <w:tc>
          <w:tcPr>
            <w:tcW w:w="1769" w:type="dxa"/>
            <w:vAlign w:val="center"/>
          </w:tcPr>
          <w:p w14:paraId="576189BF" w14:textId="77777777" w:rsidR="00DF1C86" w:rsidRPr="00FA1E86" w:rsidRDefault="00DF1C86" w:rsidP="00253C04">
            <w:pPr>
              <w:pStyle w:val="COMTabletext"/>
              <w:jc w:val="center"/>
            </w:pPr>
            <w:r w:rsidRPr="00FA1E86">
              <w:t>8 (1.7)</w:t>
            </w:r>
          </w:p>
        </w:tc>
        <w:tc>
          <w:tcPr>
            <w:tcW w:w="1769" w:type="dxa"/>
          </w:tcPr>
          <w:p w14:paraId="53EE511B" w14:textId="77777777" w:rsidR="00DF1C86" w:rsidRPr="00FA1E86" w:rsidRDefault="00DF1C86" w:rsidP="00253C04">
            <w:pPr>
              <w:pStyle w:val="COMTabletext"/>
              <w:jc w:val="center"/>
            </w:pPr>
            <w:r w:rsidRPr="00FA1E86">
              <w:t>11 (2.3)</w:t>
            </w:r>
          </w:p>
        </w:tc>
      </w:tr>
      <w:tr w:rsidR="00DF1C86" w:rsidRPr="00FA1E86" w14:paraId="12BE3E28" w14:textId="77777777" w:rsidTr="00253C04">
        <w:tc>
          <w:tcPr>
            <w:tcW w:w="1928" w:type="dxa"/>
            <w:vAlign w:val="center"/>
          </w:tcPr>
          <w:p w14:paraId="3C6A76DC" w14:textId="77777777" w:rsidR="00DF1C86" w:rsidRPr="00FA1E86" w:rsidRDefault="00DF1C86" w:rsidP="00253C04">
            <w:pPr>
              <w:pStyle w:val="COMTabletext"/>
            </w:pPr>
            <w:r w:rsidRPr="00FA1E86">
              <w:t>Diabetic retinopathy</w:t>
            </w:r>
          </w:p>
        </w:tc>
        <w:tc>
          <w:tcPr>
            <w:tcW w:w="1774" w:type="dxa"/>
            <w:vAlign w:val="center"/>
          </w:tcPr>
          <w:p w14:paraId="5B5EB5E7" w14:textId="77777777" w:rsidR="00DF1C86" w:rsidRPr="00FA1E86" w:rsidRDefault="00DF1C86" w:rsidP="00253C04">
            <w:pPr>
              <w:pStyle w:val="COMTabletext"/>
              <w:jc w:val="center"/>
            </w:pPr>
            <w:r w:rsidRPr="00FA1E86">
              <w:t>0</w:t>
            </w:r>
          </w:p>
        </w:tc>
        <w:tc>
          <w:tcPr>
            <w:tcW w:w="1777" w:type="dxa"/>
            <w:vAlign w:val="center"/>
          </w:tcPr>
          <w:p w14:paraId="5B7552E8" w14:textId="77777777" w:rsidR="00DF1C86" w:rsidRPr="00FA1E86" w:rsidRDefault="00DF1C86" w:rsidP="00253C04">
            <w:pPr>
              <w:pStyle w:val="COMTabletext"/>
              <w:jc w:val="center"/>
            </w:pPr>
            <w:r w:rsidRPr="00FA1E86">
              <w:t>2 (0.4)</w:t>
            </w:r>
          </w:p>
        </w:tc>
        <w:tc>
          <w:tcPr>
            <w:tcW w:w="1769" w:type="dxa"/>
            <w:vAlign w:val="center"/>
          </w:tcPr>
          <w:p w14:paraId="3EFA6F04" w14:textId="77777777" w:rsidR="00DF1C86" w:rsidRPr="00FA1E86" w:rsidRDefault="00DF1C86" w:rsidP="00253C04">
            <w:pPr>
              <w:pStyle w:val="COMTabletext"/>
              <w:jc w:val="center"/>
            </w:pPr>
            <w:r w:rsidRPr="00FA1E86">
              <w:t>0</w:t>
            </w:r>
          </w:p>
        </w:tc>
        <w:tc>
          <w:tcPr>
            <w:tcW w:w="1769" w:type="dxa"/>
          </w:tcPr>
          <w:p w14:paraId="2881B30A" w14:textId="77777777" w:rsidR="00DF1C86" w:rsidRPr="00FA1E86" w:rsidRDefault="00DF1C86" w:rsidP="00253C04">
            <w:pPr>
              <w:pStyle w:val="COMTabletext"/>
              <w:jc w:val="center"/>
            </w:pPr>
            <w:r w:rsidRPr="00FA1E86">
              <w:t>0</w:t>
            </w:r>
          </w:p>
        </w:tc>
      </w:tr>
    </w:tbl>
    <w:p w14:paraId="27634EDD" w14:textId="77777777" w:rsidR="00DF1C86" w:rsidRPr="00FA1E86" w:rsidRDefault="00DF1C86" w:rsidP="00DF1C86">
      <w:pPr>
        <w:pStyle w:val="COMTablefooter"/>
      </w:pPr>
      <w:r w:rsidRPr="00FA1E86">
        <w:t>Source: Table 2(a).5.1, p104 of the submission; Table 2, Frias 2021 publication; Table GPGL.5.27, SURPASS-2 trial report</w:t>
      </w:r>
    </w:p>
    <w:p w14:paraId="36038E66" w14:textId="155C6BF1" w:rsidR="00DF1C86" w:rsidRPr="00FA1E86" w:rsidRDefault="00DF1C86" w:rsidP="00DF1C86">
      <w:pPr>
        <w:pStyle w:val="COMTablefooter"/>
      </w:pPr>
      <w:r w:rsidRPr="00FA1E86">
        <w:rPr>
          <w:vertAlign w:val="superscript"/>
        </w:rPr>
        <w:t>a</w:t>
      </w:r>
      <w:r w:rsidRPr="00FA1E86">
        <w:t xml:space="preserve"> Clinically significant, defined as blood glucose level &lt;3 mmol/L or severe hypoglycaemia</w:t>
      </w:r>
    </w:p>
    <w:p w14:paraId="4D768CF0" w14:textId="77777777" w:rsidR="00EC2D33" w:rsidRDefault="00DF1C86" w:rsidP="00D86231">
      <w:pPr>
        <w:pStyle w:val="COMexecsumnumberedpara"/>
      </w:pPr>
      <w:r w:rsidRPr="00FA1E86">
        <w:t>Treatment with tirzepatide (all dose strengths) was associated with a higher incidence of serious adverse events compared to semaglutide. The difference was primarily driven by an increase in cardiac and gastrointestinal disorders with tir</w:t>
      </w:r>
      <w:r w:rsidR="0054700B" w:rsidRPr="00FA1E86">
        <w:t>zepatide treatment</w:t>
      </w:r>
      <w:r w:rsidRPr="00FA1E86">
        <w:t>.</w:t>
      </w:r>
    </w:p>
    <w:p w14:paraId="64303F02" w14:textId="77777777" w:rsidR="00EC2D33" w:rsidRDefault="0054700B" w:rsidP="00A57A6E">
      <w:pPr>
        <w:pStyle w:val="COMexecsumnumberedpara"/>
      </w:pPr>
      <w:bookmarkStart w:id="35" w:name="_Ref137395979"/>
      <w:r w:rsidRPr="00FA1E86">
        <w:t xml:space="preserve">The most frequently reported class of adverse events was gastrointestinal disorders including nausea, diarrhoea, vomiting, dyspepsia, decreased appetite, </w:t>
      </w:r>
      <w:proofErr w:type="gramStart"/>
      <w:r w:rsidRPr="00FA1E86">
        <w:t>constipation</w:t>
      </w:r>
      <w:proofErr w:type="gramEnd"/>
      <w:r w:rsidRPr="00FA1E86">
        <w:t xml:space="preserve"> and abdominal pain. The incidence of gastrointestinal disorders was similar between the tirzepatide 5 mg and semaglutide arms, with higher incidence reported in the tirzepatide 10 mg and 15 mg arms. The difference was primarily driven by an increased incidence of diarrhoea with the higher dose strengths of tirzepatide. The majority of gastrointestinal adverse events were of mild to moderate severity. The prevalence of gastrointestinal events peaked within the dose escalation period for each treatment and then started to decline over time.</w:t>
      </w:r>
      <w:bookmarkEnd w:id="35"/>
    </w:p>
    <w:p w14:paraId="17A58F17" w14:textId="050677D8" w:rsidR="0054700B" w:rsidRPr="00F217C7" w:rsidRDefault="0054700B" w:rsidP="0054700B">
      <w:pPr>
        <w:pStyle w:val="COMexecsumnumberedpara"/>
        <w:rPr>
          <w:color w:val="0066FF"/>
        </w:rPr>
      </w:pPr>
      <w:r w:rsidRPr="00FA1E86">
        <w:t>There was a small number of clinically significant hypoglycaemia events (blood glucose &lt;3.0 mmol/L or severe hypoglycaemia) in the trial, with</w:t>
      </w:r>
      <w:r w:rsidR="006C31AD" w:rsidRPr="00FA1E86">
        <w:t xml:space="preserve"> a</w:t>
      </w:r>
      <w:r w:rsidRPr="00FA1E86">
        <w:t xml:space="preserve"> higher incidence in the tirzepatide 15 mg arm and similar incidence between tirzepatide 5 mg, tirzepatide 10 mg and semaglutide arms.</w:t>
      </w:r>
    </w:p>
    <w:p w14:paraId="2BF4B138" w14:textId="77777777" w:rsidR="00EC2D33" w:rsidRDefault="00401596" w:rsidP="0054700B">
      <w:pPr>
        <w:pStyle w:val="COMexecsumnumberedpara"/>
      </w:pPr>
      <w:r w:rsidRPr="00FA1E86">
        <w:t xml:space="preserve">The submission stated that indirect comparisons of safety between the SURPASS-2 trial and SUSTAIN 7 </w:t>
      </w:r>
      <w:proofErr w:type="gramStart"/>
      <w:r w:rsidRPr="00FA1E86">
        <w:t>trial</w:t>
      </w:r>
      <w:proofErr w:type="gramEnd"/>
      <w:r w:rsidRPr="00FA1E86">
        <w:t xml:space="preserve"> were unreliable due to substantial differences in the reported incidence of events in the common comparator arm.</w:t>
      </w:r>
    </w:p>
    <w:p w14:paraId="511C03A2" w14:textId="77777777" w:rsidR="00EC2D33" w:rsidRDefault="0054700B" w:rsidP="00D86231">
      <w:pPr>
        <w:pStyle w:val="COMexecsumnumberedpara"/>
      </w:pPr>
      <w:r w:rsidRPr="00FA1E86">
        <w:t xml:space="preserve">The submission provided additional data on potential safety concerns with tirzepatide based on a Periodic Safety Update Report (May 2022 to November 2022). The report </w:t>
      </w:r>
      <w:r w:rsidRPr="00FA1E86">
        <w:lastRenderedPageBreak/>
        <w:t xml:space="preserve">includes use of tirzepatide 2.5 mg, 5 mg, 7.5 mg, 10 mg, 12.5 mg and </w:t>
      </w:r>
      <w:r w:rsidR="006C31AD" w:rsidRPr="00FA1E86">
        <w:br/>
      </w:r>
      <w:r w:rsidRPr="00FA1E86">
        <w:t xml:space="preserve">15 mg for type 2 diabetes, overweight/obesity, non-alcoholic </w:t>
      </w:r>
      <w:proofErr w:type="gramStart"/>
      <w:r w:rsidRPr="00FA1E86">
        <w:t>steatohepatitis</w:t>
      </w:r>
      <w:proofErr w:type="gramEnd"/>
      <w:r w:rsidRPr="00FA1E86">
        <w:t xml:space="preserve"> and heart failure with preserved ejection fraction. There was limited post-marketing exposure as tirzepatide was first authorised for type 2 diabetes in the US in May 2022, with subsequent authorisations globally including the EU and Japan.</w:t>
      </w:r>
    </w:p>
    <w:p w14:paraId="36A86703" w14:textId="653F869C" w:rsidR="0054700B" w:rsidRPr="00FA1E86" w:rsidRDefault="001F25B2" w:rsidP="0080401B">
      <w:pPr>
        <w:pStyle w:val="COMexecsumnumberedpara"/>
        <w:rPr>
          <w:color w:val="0066FF"/>
        </w:rPr>
      </w:pPr>
      <w:r w:rsidRPr="00FA1E86">
        <w:t xml:space="preserve">Hypersensitivity was identified as a new adverse drug reaction for tirzepatide. There were no important identified risks. Important potential risks include medullary thyroid cancer, pancreatic malignancy, diabetic retinopathy complications, gallbladder disorders, hypotension, </w:t>
      </w:r>
      <w:proofErr w:type="gramStart"/>
      <w:r w:rsidRPr="00FA1E86">
        <w:t>dizziness</w:t>
      </w:r>
      <w:proofErr w:type="gramEnd"/>
      <w:r w:rsidRPr="00FA1E86">
        <w:t xml:space="preserve"> and hair loss. The </w:t>
      </w:r>
      <w:r w:rsidR="0080401B" w:rsidRPr="00FA1E86">
        <w:t>report</w:t>
      </w:r>
      <w:r w:rsidRPr="00FA1E86">
        <w:t xml:space="preserve"> identified missing information in regard to pregnancy and lactation.</w:t>
      </w:r>
    </w:p>
    <w:p w14:paraId="1486B640" w14:textId="77777777" w:rsidR="00F217C7" w:rsidRPr="00F217C7" w:rsidRDefault="0080401B" w:rsidP="0080401B">
      <w:pPr>
        <w:pStyle w:val="COMexecsumnumberedpara"/>
        <w:rPr>
          <w:i/>
          <w:iCs/>
          <w:color w:val="0066FF"/>
        </w:rPr>
      </w:pPr>
      <w:r w:rsidRPr="00065852">
        <w:t>Overall, there are limited data to support the long-term safety of tirzepatide given the limited duration of exposure for most patients (&lt; 1 year).</w:t>
      </w:r>
    </w:p>
    <w:p w14:paraId="04908C7F" w14:textId="381F8EE6" w:rsidR="007F1017" w:rsidRPr="00FA1E86" w:rsidRDefault="007F1017" w:rsidP="00D86231">
      <w:pPr>
        <w:pStyle w:val="COMH2-non-numbered"/>
      </w:pPr>
      <w:bookmarkStart w:id="36" w:name="_Toc22897643"/>
      <w:bookmarkStart w:id="37" w:name="_Toc135227812"/>
      <w:r w:rsidRPr="00FA1E86">
        <w:t>Benefits/harms</w:t>
      </w:r>
      <w:bookmarkEnd w:id="36"/>
      <w:bookmarkEnd w:id="37"/>
    </w:p>
    <w:p w14:paraId="3F425BD7" w14:textId="129F456A" w:rsidR="00AF75E6" w:rsidRPr="00FA1E86" w:rsidRDefault="00AF75E6" w:rsidP="00422C04">
      <w:pPr>
        <w:pStyle w:val="ExecSumBodyText"/>
        <w:numPr>
          <w:ilvl w:val="1"/>
          <w:numId w:val="4"/>
        </w:numPr>
        <w:spacing w:after="60"/>
        <w:rPr>
          <w:snapToGrid/>
        </w:rPr>
      </w:pPr>
      <w:r w:rsidRPr="00FA1E86">
        <w:rPr>
          <w:snapToGrid/>
        </w:rPr>
        <w:t xml:space="preserve">Based on the SURPASS-2 trial, for </w:t>
      </w:r>
      <w:proofErr w:type="gramStart"/>
      <w:r w:rsidRPr="00FA1E86">
        <w:rPr>
          <w:snapToGrid/>
        </w:rPr>
        <w:t>every 100 type</w:t>
      </w:r>
      <w:proofErr w:type="gramEnd"/>
      <w:r w:rsidRPr="00FA1E86">
        <w:rPr>
          <w:snapToGrid/>
        </w:rPr>
        <w:t xml:space="preserve"> 2 diabetes patients treated with tirzepatide 5 mg in comparison with semaglutide 1 mg over 40 weeks:</w:t>
      </w:r>
    </w:p>
    <w:p w14:paraId="6733E2D0" w14:textId="6FCFBD7E" w:rsidR="00AF75E6" w:rsidRPr="00FA1E86" w:rsidRDefault="00AF75E6" w:rsidP="00422C04">
      <w:pPr>
        <w:pStyle w:val="COMexecsumnumberedpara"/>
        <w:numPr>
          <w:ilvl w:val="0"/>
          <w:numId w:val="9"/>
        </w:numPr>
        <w:spacing w:after="60"/>
      </w:pPr>
      <w:r w:rsidRPr="00FA1E86">
        <w:t xml:space="preserve">There would be no additional patients achieving conventional glycaemic targets </w:t>
      </w:r>
      <w:r w:rsidR="006C31AD" w:rsidRPr="00FA1E86">
        <w:br/>
      </w:r>
      <w:r w:rsidRPr="00FA1E86">
        <w:t>(&lt; 7.0%) or glycaemic normalisation (&lt; 5.7%)</w:t>
      </w:r>
      <w:r w:rsidR="009E7B1F" w:rsidRPr="00FA1E86">
        <w:t>.</w:t>
      </w:r>
    </w:p>
    <w:p w14:paraId="05873776" w14:textId="77BF6072" w:rsidR="00AF75E6" w:rsidRPr="00FA1E86" w:rsidRDefault="00AF75E6" w:rsidP="00422C04">
      <w:pPr>
        <w:pStyle w:val="COMexecsumnumberedpara"/>
        <w:numPr>
          <w:ilvl w:val="0"/>
          <w:numId w:val="9"/>
        </w:numPr>
        <w:spacing w:after="60"/>
      </w:pPr>
      <w:r w:rsidRPr="00FA1E86">
        <w:t>11 additional patients</w:t>
      </w:r>
      <w:r w:rsidR="006C31AD" w:rsidRPr="00FA1E86">
        <w:t xml:space="preserve"> would</w:t>
      </w:r>
      <w:r w:rsidRPr="00FA1E86">
        <w:t xml:space="preserve"> experience </w:t>
      </w:r>
      <w:r w:rsidRPr="00FA1E86">
        <w:rPr>
          <w:u w:val="single"/>
        </w:rPr>
        <w:t>&gt;</w:t>
      </w:r>
      <w:r w:rsidRPr="00FA1E86">
        <w:t xml:space="preserve"> 5% weight loss, 11 additional patients </w:t>
      </w:r>
      <w:r w:rsidR="006C31AD" w:rsidRPr="00FA1E86">
        <w:t>would</w:t>
      </w:r>
      <w:r w:rsidRPr="00FA1E86">
        <w:t xml:space="preserve"> experience </w:t>
      </w:r>
      <w:r w:rsidRPr="00FA1E86">
        <w:rPr>
          <w:u w:val="single"/>
        </w:rPr>
        <w:t>&gt;</w:t>
      </w:r>
      <w:r w:rsidRPr="00FA1E86">
        <w:t xml:space="preserve"> 10% weight loss and 7 additional patients</w:t>
      </w:r>
      <w:r w:rsidR="006C31AD" w:rsidRPr="00FA1E86">
        <w:t xml:space="preserve"> would</w:t>
      </w:r>
      <w:r w:rsidRPr="00FA1E86">
        <w:t xml:space="preserve"> experience </w:t>
      </w:r>
      <w:r w:rsidRPr="00FA1E86">
        <w:rPr>
          <w:u w:val="single"/>
        </w:rPr>
        <w:t>&gt;</w:t>
      </w:r>
      <w:r w:rsidRPr="00FA1E86">
        <w:t xml:space="preserve"> 15% weight loss from baseline.</w:t>
      </w:r>
    </w:p>
    <w:p w14:paraId="13F748E8" w14:textId="03E3EA75" w:rsidR="00AF75E6" w:rsidRPr="00FA1E86" w:rsidRDefault="006C31AD" w:rsidP="00422C04">
      <w:pPr>
        <w:pStyle w:val="COMexecsumnumberedpara"/>
        <w:numPr>
          <w:ilvl w:val="0"/>
          <w:numId w:val="9"/>
        </w:numPr>
        <w:spacing w:after="60"/>
      </w:pPr>
      <w:r w:rsidRPr="00FA1E86">
        <w:t>There would be n</w:t>
      </w:r>
      <w:r w:rsidR="00AF75E6" w:rsidRPr="00FA1E86">
        <w:t>o apparent differences in generic quality of life measures and minimal differences in disease-specific quality of measures and patient reported outcomes.</w:t>
      </w:r>
    </w:p>
    <w:p w14:paraId="55AB5B15" w14:textId="59A6337D" w:rsidR="00AF75E6" w:rsidRPr="00FA1E86" w:rsidRDefault="006C31AD" w:rsidP="00422C04">
      <w:pPr>
        <w:pStyle w:val="COMexecsumnumberedpara"/>
        <w:numPr>
          <w:ilvl w:val="0"/>
          <w:numId w:val="9"/>
        </w:numPr>
      </w:pPr>
      <w:r w:rsidRPr="00FA1E86">
        <w:t xml:space="preserve">There would be one </w:t>
      </w:r>
      <w:r w:rsidR="00AF75E6" w:rsidRPr="00FA1E86">
        <w:t>fewer patient with gastrointestinal events (</w:t>
      </w:r>
      <w:proofErr w:type="gramStart"/>
      <w:r w:rsidR="00AF75E6" w:rsidRPr="00FA1E86">
        <w:t>e.g.</w:t>
      </w:r>
      <w:proofErr w:type="gramEnd"/>
      <w:r w:rsidR="00AF75E6" w:rsidRPr="00FA1E86">
        <w:t xml:space="preserve"> nausea, vomiting, diarrhoea) and no difference in patients with hypoglycaemia.</w:t>
      </w:r>
    </w:p>
    <w:p w14:paraId="15F2CD22" w14:textId="7DF119ED" w:rsidR="00AF75E6" w:rsidRPr="00FA1E86" w:rsidRDefault="00AF75E6" w:rsidP="00422C04">
      <w:pPr>
        <w:pStyle w:val="ExecSumBodyText"/>
        <w:numPr>
          <w:ilvl w:val="1"/>
          <w:numId w:val="4"/>
        </w:numPr>
        <w:spacing w:after="60"/>
        <w:rPr>
          <w:snapToGrid/>
        </w:rPr>
      </w:pPr>
      <w:r w:rsidRPr="00FA1E86">
        <w:rPr>
          <w:snapToGrid/>
        </w:rPr>
        <w:t xml:space="preserve">Based on the SURPASS-2 trial, for </w:t>
      </w:r>
      <w:proofErr w:type="gramStart"/>
      <w:r w:rsidRPr="00FA1E86">
        <w:rPr>
          <w:snapToGrid/>
        </w:rPr>
        <w:t>every 100 type</w:t>
      </w:r>
      <w:proofErr w:type="gramEnd"/>
      <w:r w:rsidRPr="00FA1E86">
        <w:rPr>
          <w:snapToGrid/>
        </w:rPr>
        <w:t xml:space="preserve"> 2 diabetes patients treated with tirzepatide 10 mg in comparison with semaglutide 1 mg over 40 weeks:</w:t>
      </w:r>
    </w:p>
    <w:p w14:paraId="1EB44B59" w14:textId="65555E6D" w:rsidR="00AF75E6" w:rsidRPr="00FA1E86" w:rsidRDefault="00AF75E6" w:rsidP="00422C04">
      <w:pPr>
        <w:pStyle w:val="COMexecsumnumberedpara"/>
        <w:numPr>
          <w:ilvl w:val="0"/>
          <w:numId w:val="9"/>
        </w:numPr>
        <w:spacing w:after="60"/>
      </w:pPr>
      <w:r w:rsidRPr="00FA1E86">
        <w:t xml:space="preserve">There would be 7 additional patients achieving conventional glycaemic targets </w:t>
      </w:r>
      <w:r w:rsidR="006C31AD" w:rsidRPr="00FA1E86">
        <w:br/>
      </w:r>
      <w:r w:rsidRPr="00FA1E86">
        <w:t>(&lt; 7.0%) and 21 additional patients achieving glycaemic normalisation (&lt; 5.7%)</w:t>
      </w:r>
      <w:r w:rsidR="009E7B1F" w:rsidRPr="00FA1E86">
        <w:t>.</w:t>
      </w:r>
    </w:p>
    <w:p w14:paraId="2D358CC6" w14:textId="602884B2" w:rsidR="00AF75E6" w:rsidRPr="00FA1E86" w:rsidRDefault="00AF75E6" w:rsidP="00422C04">
      <w:pPr>
        <w:pStyle w:val="COMexecsumnumberedpara"/>
        <w:numPr>
          <w:ilvl w:val="0"/>
          <w:numId w:val="9"/>
        </w:numPr>
        <w:spacing w:after="60"/>
      </w:pPr>
      <w:r w:rsidRPr="00FA1E86">
        <w:t xml:space="preserve">22 additional patients </w:t>
      </w:r>
      <w:r w:rsidR="006C31AD" w:rsidRPr="00FA1E86">
        <w:t xml:space="preserve">would </w:t>
      </w:r>
      <w:r w:rsidRPr="00FA1E86">
        <w:t xml:space="preserve">experience </w:t>
      </w:r>
      <w:r w:rsidRPr="00FA1E86">
        <w:rPr>
          <w:u w:val="single"/>
        </w:rPr>
        <w:t>&gt;</w:t>
      </w:r>
      <w:r w:rsidRPr="00FA1E86">
        <w:t xml:space="preserve"> 5% weight loss, 23 additional patients </w:t>
      </w:r>
      <w:r w:rsidR="006C31AD" w:rsidRPr="00FA1E86">
        <w:t>would</w:t>
      </w:r>
      <w:r w:rsidRPr="00FA1E86">
        <w:t xml:space="preserve"> experience </w:t>
      </w:r>
      <w:r w:rsidRPr="00FA1E86">
        <w:rPr>
          <w:u w:val="single"/>
        </w:rPr>
        <w:t>&gt;</w:t>
      </w:r>
      <w:r w:rsidRPr="00FA1E86">
        <w:t xml:space="preserve"> 10% weight loss and 16 additional patients </w:t>
      </w:r>
      <w:r w:rsidR="006C31AD" w:rsidRPr="00FA1E86">
        <w:t>would</w:t>
      </w:r>
      <w:r w:rsidRPr="00FA1E86">
        <w:t xml:space="preserve"> experience </w:t>
      </w:r>
      <w:r w:rsidRPr="00FA1E86">
        <w:rPr>
          <w:u w:val="single"/>
        </w:rPr>
        <w:t>&gt;</w:t>
      </w:r>
      <w:r w:rsidRPr="00FA1E86">
        <w:t xml:space="preserve"> 15% weight loss from baseline.</w:t>
      </w:r>
    </w:p>
    <w:p w14:paraId="004917D2" w14:textId="0D777ACE" w:rsidR="00AF75E6" w:rsidRPr="00FA1E86" w:rsidRDefault="006C31AD" w:rsidP="00422C04">
      <w:pPr>
        <w:pStyle w:val="COMexecsumnumberedpara"/>
        <w:numPr>
          <w:ilvl w:val="0"/>
          <w:numId w:val="9"/>
        </w:numPr>
        <w:spacing w:after="60"/>
      </w:pPr>
      <w:r w:rsidRPr="00FA1E86">
        <w:t>There would be n</w:t>
      </w:r>
      <w:r w:rsidR="00AF75E6" w:rsidRPr="00FA1E86">
        <w:t>o apparent differences in generic quality of life measures and minimal differences in disease-specific quality of measures and patient reported outcomes.</w:t>
      </w:r>
    </w:p>
    <w:p w14:paraId="0F237562" w14:textId="1FB1C628" w:rsidR="00AF75E6" w:rsidRPr="00FA1E86" w:rsidRDefault="006C31AD" w:rsidP="00422C04">
      <w:pPr>
        <w:pStyle w:val="COMexecsumnumberedpara"/>
        <w:numPr>
          <w:ilvl w:val="0"/>
          <w:numId w:val="9"/>
        </w:numPr>
      </w:pPr>
      <w:r w:rsidRPr="00FA1E86">
        <w:t xml:space="preserve">There would be </w:t>
      </w:r>
      <w:r w:rsidR="00AF75E6" w:rsidRPr="00FA1E86">
        <w:t>5 additional patients with gastrointestinal events (</w:t>
      </w:r>
      <w:proofErr w:type="gramStart"/>
      <w:r w:rsidR="00AF75E6" w:rsidRPr="00FA1E86">
        <w:t>e.g.</w:t>
      </w:r>
      <w:proofErr w:type="gramEnd"/>
      <w:r w:rsidR="00AF75E6" w:rsidRPr="00FA1E86">
        <w:t xml:space="preserve"> nausea, vomiting, diarrhoea) and no difference in patients with hypoglycaemia.</w:t>
      </w:r>
    </w:p>
    <w:p w14:paraId="59B378F8" w14:textId="780894E8" w:rsidR="00AF75E6" w:rsidRPr="00FA1E86" w:rsidRDefault="00AF75E6" w:rsidP="00422C04">
      <w:pPr>
        <w:pStyle w:val="ExecSumBodyText"/>
        <w:numPr>
          <w:ilvl w:val="1"/>
          <w:numId w:val="4"/>
        </w:numPr>
        <w:spacing w:after="60"/>
        <w:rPr>
          <w:snapToGrid/>
        </w:rPr>
      </w:pPr>
      <w:r w:rsidRPr="00FA1E86">
        <w:rPr>
          <w:snapToGrid/>
        </w:rPr>
        <w:t xml:space="preserve">Based on the SURPASS-2 trial, for </w:t>
      </w:r>
      <w:proofErr w:type="gramStart"/>
      <w:r w:rsidRPr="00FA1E86">
        <w:rPr>
          <w:snapToGrid/>
        </w:rPr>
        <w:t>every 100 type</w:t>
      </w:r>
      <w:proofErr w:type="gramEnd"/>
      <w:r w:rsidRPr="00FA1E86">
        <w:rPr>
          <w:snapToGrid/>
        </w:rPr>
        <w:t xml:space="preserve"> 2 diabetes patients treated with tirzepatide 15 mg in comparison with semaglutide 1 mg over 40 weeks:</w:t>
      </w:r>
    </w:p>
    <w:p w14:paraId="5534B0B0" w14:textId="7ACC70CE" w:rsidR="00AF75E6" w:rsidRPr="00FA1E86" w:rsidRDefault="00AF75E6" w:rsidP="00422C04">
      <w:pPr>
        <w:pStyle w:val="COMexecsumnumberedpara"/>
        <w:numPr>
          <w:ilvl w:val="0"/>
          <w:numId w:val="9"/>
        </w:numPr>
        <w:spacing w:after="60"/>
      </w:pPr>
      <w:r w:rsidRPr="00FA1E86">
        <w:lastRenderedPageBreak/>
        <w:t xml:space="preserve">There would be 7 additional patients achieving conventional glycaemic targets </w:t>
      </w:r>
      <w:r w:rsidR="006C31AD" w:rsidRPr="00FA1E86">
        <w:br/>
      </w:r>
      <w:r w:rsidRPr="00FA1E86">
        <w:t>(&lt; 7.0%) and 27 additional patients achieving glycaemic normalisation (&lt; 5.7%).</w:t>
      </w:r>
    </w:p>
    <w:p w14:paraId="5A1F6F4B" w14:textId="446C1386" w:rsidR="00AF75E6" w:rsidRPr="00FA1E86" w:rsidRDefault="00AF75E6" w:rsidP="00422C04">
      <w:pPr>
        <w:pStyle w:val="COMexecsumnumberedpara"/>
        <w:numPr>
          <w:ilvl w:val="0"/>
          <w:numId w:val="9"/>
        </w:numPr>
        <w:spacing w:after="60"/>
      </w:pPr>
      <w:r w:rsidRPr="00FA1E86">
        <w:t xml:space="preserve">26 additional patients </w:t>
      </w:r>
      <w:r w:rsidR="006C31AD" w:rsidRPr="00FA1E86">
        <w:t xml:space="preserve">would </w:t>
      </w:r>
      <w:r w:rsidRPr="00FA1E86">
        <w:t xml:space="preserve">experience </w:t>
      </w:r>
      <w:r w:rsidRPr="00FA1E86">
        <w:rPr>
          <w:u w:val="single"/>
        </w:rPr>
        <w:t>&gt;</w:t>
      </w:r>
      <w:r w:rsidRPr="00FA1E86">
        <w:t xml:space="preserve"> 5% weight loss, 33 additional patients </w:t>
      </w:r>
      <w:r w:rsidR="006C31AD" w:rsidRPr="00FA1E86">
        <w:t>would</w:t>
      </w:r>
      <w:r w:rsidRPr="00FA1E86">
        <w:t xml:space="preserve"> experience </w:t>
      </w:r>
      <w:r w:rsidRPr="00FA1E86">
        <w:rPr>
          <w:u w:val="single"/>
        </w:rPr>
        <w:t>&gt;</w:t>
      </w:r>
      <w:r w:rsidRPr="00FA1E86">
        <w:t xml:space="preserve"> 10% weight loss and 28 additional patients </w:t>
      </w:r>
      <w:r w:rsidR="006C31AD" w:rsidRPr="00FA1E86">
        <w:t>would</w:t>
      </w:r>
      <w:r w:rsidRPr="00FA1E86">
        <w:t xml:space="preserve"> experience </w:t>
      </w:r>
      <w:r w:rsidRPr="00FA1E86">
        <w:rPr>
          <w:u w:val="single"/>
        </w:rPr>
        <w:t>&gt;</w:t>
      </w:r>
      <w:r w:rsidRPr="00FA1E86">
        <w:t xml:space="preserve"> 15% weight loss from baseline.</w:t>
      </w:r>
    </w:p>
    <w:p w14:paraId="67C4023D" w14:textId="0135C843" w:rsidR="00AF75E6" w:rsidRPr="00FA1E86" w:rsidRDefault="006C31AD" w:rsidP="00422C04">
      <w:pPr>
        <w:pStyle w:val="COMexecsumnumberedpara"/>
        <w:numPr>
          <w:ilvl w:val="0"/>
          <w:numId w:val="9"/>
        </w:numPr>
        <w:spacing w:after="60"/>
      </w:pPr>
      <w:r w:rsidRPr="00FA1E86">
        <w:t>There would be n</w:t>
      </w:r>
      <w:r w:rsidR="00AF75E6" w:rsidRPr="00FA1E86">
        <w:t>o apparent differences in generic quality of life measures and minimal differences in disease-specific quality of measures and patient reported outcomes.</w:t>
      </w:r>
    </w:p>
    <w:p w14:paraId="6596C76F" w14:textId="23B114B1" w:rsidR="00AF75E6" w:rsidRPr="00FA1E86" w:rsidRDefault="006C31AD" w:rsidP="00422C04">
      <w:pPr>
        <w:pStyle w:val="COMexecsumnumberedpara"/>
        <w:numPr>
          <w:ilvl w:val="0"/>
          <w:numId w:val="9"/>
        </w:numPr>
      </w:pPr>
      <w:r w:rsidRPr="00FA1E86">
        <w:t xml:space="preserve">There would be </w:t>
      </w:r>
      <w:r w:rsidR="00AF75E6" w:rsidRPr="00FA1E86">
        <w:t>4 additional patients with gastrointestinal events (</w:t>
      </w:r>
      <w:proofErr w:type="gramStart"/>
      <w:r w:rsidR="00AF75E6" w:rsidRPr="00FA1E86">
        <w:t>e.g.</w:t>
      </w:r>
      <w:proofErr w:type="gramEnd"/>
      <w:r w:rsidR="00AF75E6" w:rsidRPr="00FA1E86">
        <w:t xml:space="preserve"> nausea, vomiting, diarrhoea) and 2 additional patients with hypoglycaemia.</w:t>
      </w:r>
    </w:p>
    <w:p w14:paraId="194D743E" w14:textId="20E716F9" w:rsidR="00AF75E6" w:rsidRPr="00FA1E86" w:rsidRDefault="00B60939" w:rsidP="00AF75E6">
      <w:pPr>
        <w:pStyle w:val="COMH2-non-numbered"/>
      </w:pPr>
      <w:bookmarkStart w:id="38" w:name="_Toc22897644"/>
      <w:bookmarkStart w:id="39" w:name="_Toc135227813"/>
      <w:r w:rsidRPr="00FA1E86">
        <w:t>Clinical claim</w:t>
      </w:r>
      <w:bookmarkEnd w:id="38"/>
      <w:bookmarkEnd w:id="39"/>
    </w:p>
    <w:p w14:paraId="17B58F27" w14:textId="77777777" w:rsidR="00EC2D33" w:rsidRDefault="00AF75E6" w:rsidP="003A23E7">
      <w:pPr>
        <w:pStyle w:val="COMexecsumnumberedpara"/>
      </w:pPr>
      <w:r w:rsidRPr="00065852">
        <w:t>The submission described tirzepatide 5 mg once weekly as superior in terms of efficacy and non-inferior in terms of safety compared to semaglutide 0.5 mg once weekly.</w:t>
      </w:r>
      <w:r w:rsidR="00634B02" w:rsidRPr="00065852">
        <w:t xml:space="preserve"> </w:t>
      </w:r>
      <w:r w:rsidR="00F47C76" w:rsidRPr="00065852">
        <w:t xml:space="preserve">The </w:t>
      </w:r>
      <w:r w:rsidR="001B6A42">
        <w:t xml:space="preserve">evaluation concluded this </w:t>
      </w:r>
      <w:r w:rsidR="00F47C76" w:rsidRPr="00065852">
        <w:t>efficacy claim was reasonable in terms of a statistically significant change in HbA1c and weight loss which exceeded the nominated MCIDs for both outcomes. The claim of non-inferior safety was not adequately supported.</w:t>
      </w:r>
    </w:p>
    <w:p w14:paraId="22AE79C7" w14:textId="47EF440B" w:rsidR="00EC2D33" w:rsidRDefault="00AF75E6" w:rsidP="003A23E7">
      <w:pPr>
        <w:pStyle w:val="COMexecsumnumberedpara"/>
      </w:pPr>
      <w:bookmarkStart w:id="40" w:name="_Ref141699205"/>
      <w:r w:rsidRPr="00065852">
        <w:t>The submission did not make a clinical claim for tirzepatide 5 mg once weekly versus semaglutide 1 mg once weekly. Based on data presented in the submission, tirzepatide 5 mg</w:t>
      </w:r>
      <w:r w:rsidR="003A23E7" w:rsidRPr="00065852">
        <w:t xml:space="preserve"> </w:t>
      </w:r>
      <w:r w:rsidRPr="00065852">
        <w:t>appeared s</w:t>
      </w:r>
      <w:r w:rsidR="002F12EC" w:rsidRPr="00065852">
        <w:t>imilar</w:t>
      </w:r>
      <w:r w:rsidRPr="00065852">
        <w:t xml:space="preserve"> in terms of efficacy</w:t>
      </w:r>
      <w:r w:rsidR="002F12EC" w:rsidRPr="00065852">
        <w:t xml:space="preserve"> (did not meet the nominated MCIDs for either HbA1c or weight loss)</w:t>
      </w:r>
      <w:r w:rsidRPr="00065852">
        <w:t xml:space="preserve"> and potentially similar or inferior in terms of safety.</w:t>
      </w:r>
      <w:r w:rsidR="00FD58FD">
        <w:t xml:space="preserve"> </w:t>
      </w:r>
      <w:r w:rsidR="00FD58FD" w:rsidRPr="00BC7837">
        <w:t xml:space="preserve">The </w:t>
      </w:r>
      <w:proofErr w:type="gramStart"/>
      <w:r w:rsidR="00FD58FD" w:rsidRPr="00BC7837">
        <w:t>PSCR  objected</w:t>
      </w:r>
      <w:proofErr w:type="gramEnd"/>
      <w:r w:rsidR="00FD58FD" w:rsidRPr="00BC7837">
        <w:t xml:space="preserve"> to the comparisons of tirzepatide 5 mg versus semaglutide 1</w:t>
      </w:r>
      <w:r w:rsidR="00F551E3">
        <w:t> </w:t>
      </w:r>
      <w:r w:rsidR="00FD58FD" w:rsidRPr="00BC7837">
        <w:t xml:space="preserve">mg presented in the evaluation. The </w:t>
      </w:r>
      <w:proofErr w:type="gramStart"/>
      <w:r w:rsidR="00FD58FD" w:rsidRPr="00BC7837">
        <w:t>PSCR  argued</w:t>
      </w:r>
      <w:proofErr w:type="gramEnd"/>
      <w:r w:rsidR="00FD58FD" w:rsidRPr="00BC7837">
        <w:t xml:space="preserve"> that this was inappropriate as it compared low-dose tirzepatide with high-dose semaglutide</w:t>
      </w:r>
      <w:r w:rsidR="00B31FD5" w:rsidRPr="00BC7837">
        <w:t xml:space="preserve"> and that it was more reasonable to </w:t>
      </w:r>
      <w:r w:rsidR="00FD58FD" w:rsidRPr="00BC7837">
        <w:t xml:space="preserve">low dose tirzepatide (5 mg) with low dose semaglutide (0.5 mg). However, </w:t>
      </w:r>
      <w:r w:rsidR="00B31FD5" w:rsidRPr="00BC7837">
        <w:t xml:space="preserve">the ESC considered that </w:t>
      </w:r>
      <w:r w:rsidR="00FD58FD" w:rsidRPr="00BC7837">
        <w:t>the relative efficacy</w:t>
      </w:r>
      <w:r w:rsidR="00B31FD5" w:rsidRPr="00BC7837">
        <w:t xml:space="preserve"> and</w:t>
      </w:r>
      <w:r w:rsidR="00FD58FD" w:rsidRPr="00BC7837">
        <w:t xml:space="preserve"> safety </w:t>
      </w:r>
      <w:r w:rsidR="00B31FD5" w:rsidRPr="00BC7837">
        <w:t>(</w:t>
      </w:r>
      <w:r w:rsidR="00FD58FD" w:rsidRPr="00BC7837">
        <w:t xml:space="preserve">and </w:t>
      </w:r>
      <w:r w:rsidR="00B31FD5" w:rsidRPr="00BC7837">
        <w:t xml:space="preserve">subsequently </w:t>
      </w:r>
      <w:r w:rsidR="00FD58FD" w:rsidRPr="00BC7837">
        <w:t>cost-effectiveness</w:t>
      </w:r>
      <w:r w:rsidR="00B31FD5" w:rsidRPr="00BC7837">
        <w:t>)</w:t>
      </w:r>
      <w:r w:rsidR="00FD58FD" w:rsidRPr="00BC7837">
        <w:t xml:space="preserve"> of tirzepatide 5 mg compared to semaglutide 1 mg </w:t>
      </w:r>
      <w:r w:rsidR="00B31FD5" w:rsidRPr="00BC7837">
        <w:t>was</w:t>
      </w:r>
      <w:r w:rsidR="00FD58FD" w:rsidRPr="00BC7837">
        <w:t xml:space="preserve"> relevant given that submission requested a higher price for low dose tirzepatide compared to high dose semaglutid</w:t>
      </w:r>
      <w:r w:rsidR="00B31FD5" w:rsidRPr="00BC7837">
        <w:t xml:space="preserve">e (see paragraph </w:t>
      </w:r>
      <w:r w:rsidR="00B31FD5" w:rsidRPr="00BC7837">
        <w:fldChar w:fldCharType="begin" w:fldLock="1"/>
      </w:r>
      <w:r w:rsidR="00B31FD5" w:rsidRPr="00BC7837">
        <w:instrText xml:space="preserve"> REF _Ref137392070 \r \h </w:instrText>
      </w:r>
      <w:r w:rsidR="00BC7837">
        <w:instrText xml:space="preserve"> \* MERGEFORMAT </w:instrText>
      </w:r>
      <w:r w:rsidR="00B31FD5" w:rsidRPr="00BC7837">
        <w:fldChar w:fldCharType="separate"/>
      </w:r>
      <w:r w:rsidR="00391E15">
        <w:t>6.58</w:t>
      </w:r>
      <w:r w:rsidR="00B31FD5" w:rsidRPr="00BC7837">
        <w:fldChar w:fldCharType="end"/>
      </w:r>
      <w:r w:rsidR="00B31FD5" w:rsidRPr="00BC7837">
        <w:t>)</w:t>
      </w:r>
      <w:r w:rsidR="00CE04CD">
        <w:t>.</w:t>
      </w:r>
      <w:bookmarkEnd w:id="40"/>
    </w:p>
    <w:p w14:paraId="1CBD9172" w14:textId="77777777" w:rsidR="00EC2D33" w:rsidRDefault="00AF75E6" w:rsidP="003A23E7">
      <w:pPr>
        <w:pStyle w:val="COMexecsumnumberedpara"/>
      </w:pPr>
      <w:r w:rsidRPr="00065852">
        <w:t>The submission described tirzepatide 10 mg once weekly as superior in terms of efficacy and non-inferior in terms of safety compared to semaglutide 1 mg once weekly.</w:t>
      </w:r>
      <w:r w:rsidR="003A23E7" w:rsidRPr="00065852">
        <w:t xml:space="preserve"> The </w:t>
      </w:r>
      <w:r w:rsidR="001B6A42">
        <w:t xml:space="preserve">evaluation concluded this </w:t>
      </w:r>
      <w:r w:rsidR="003A23E7" w:rsidRPr="00065852">
        <w:t>efficacy claim was reasonable in terms of a statistically significant change in HbA1c and weight loss</w:t>
      </w:r>
      <w:r w:rsidR="00AB6C5F" w:rsidRPr="00065852">
        <w:t>,</w:t>
      </w:r>
      <w:r w:rsidR="003A23E7" w:rsidRPr="00065852">
        <w:t xml:space="preserve"> with the difference </w:t>
      </w:r>
      <w:r w:rsidR="00D759F6">
        <w:t xml:space="preserve">based on the treatment regimen estimand </w:t>
      </w:r>
      <w:r w:rsidR="003A23E7" w:rsidRPr="00065852">
        <w:t>exceeding the nominated MCID</w:t>
      </w:r>
      <w:r w:rsidR="00E30B8A" w:rsidRPr="00065852">
        <w:t xml:space="preserve"> for weight but not HbA1c</w:t>
      </w:r>
      <w:r w:rsidR="003A23E7" w:rsidRPr="00065852">
        <w:t>. The claim of non-inferior safety was not adequately supported.</w:t>
      </w:r>
    </w:p>
    <w:p w14:paraId="15DC2EC2" w14:textId="77777777" w:rsidR="00EC2D33" w:rsidRDefault="00AF75E6" w:rsidP="003A23E7">
      <w:pPr>
        <w:pStyle w:val="COMexecsumnumberedpara"/>
      </w:pPr>
      <w:r w:rsidRPr="00065852">
        <w:t xml:space="preserve">The submission described tirzepatide 15 mg once weekly as superior in terms of efficacy and non-inferior in terms of safety compared to semaglutide 1 mg once weekly. </w:t>
      </w:r>
      <w:r w:rsidR="003A23E7" w:rsidRPr="00065852">
        <w:t xml:space="preserve">The </w:t>
      </w:r>
      <w:r w:rsidR="003C0DA2">
        <w:t xml:space="preserve">evaluation concluded this </w:t>
      </w:r>
      <w:r w:rsidR="003A23E7" w:rsidRPr="00065852">
        <w:t>efficacy claim was reasonable in terms of a statistically significant change in HbA1c and weight loss</w:t>
      </w:r>
      <w:r w:rsidR="00AB6C5F" w:rsidRPr="00065852">
        <w:t>,</w:t>
      </w:r>
      <w:r w:rsidR="003A23E7" w:rsidRPr="00065852">
        <w:t xml:space="preserve"> with the difference </w:t>
      </w:r>
      <w:r w:rsidR="00D759F6">
        <w:t>based on the treatment regimen estimand</w:t>
      </w:r>
      <w:r w:rsidR="00D759F6" w:rsidRPr="00065852">
        <w:t xml:space="preserve"> </w:t>
      </w:r>
      <w:r w:rsidR="003A23E7" w:rsidRPr="00065852">
        <w:t>exceeding the nominated MCID</w:t>
      </w:r>
      <w:r w:rsidR="00E30B8A" w:rsidRPr="00065852">
        <w:t xml:space="preserve"> for weight but not HbA1c</w:t>
      </w:r>
      <w:r w:rsidR="003A23E7" w:rsidRPr="00065852">
        <w:t>. The claim of non-inferior safety was not adequately supported.</w:t>
      </w:r>
    </w:p>
    <w:p w14:paraId="3AB6602B" w14:textId="25948588" w:rsidR="00EC2D33" w:rsidRDefault="00AF75E6" w:rsidP="003A23E7">
      <w:pPr>
        <w:pStyle w:val="COMexecsumnumberedpara"/>
      </w:pPr>
      <w:r w:rsidRPr="00065852">
        <w:lastRenderedPageBreak/>
        <w:t xml:space="preserve">The submission described tirzepatide 5 mg, 10 </w:t>
      </w:r>
      <w:proofErr w:type="gramStart"/>
      <w:r w:rsidRPr="00065852">
        <w:t>mg</w:t>
      </w:r>
      <w:proofErr w:type="gramEnd"/>
      <w:r w:rsidRPr="00065852">
        <w:t xml:space="preserve"> and 15 mg once weekly as superior in terms of efficacy and non-inferior in terms of safety compared to dulaglutide 1.5</w:t>
      </w:r>
      <w:r w:rsidR="00F551E3">
        <w:t> </w:t>
      </w:r>
      <w:r w:rsidRPr="00065852">
        <w:t xml:space="preserve">mg once weekly. </w:t>
      </w:r>
      <w:r w:rsidR="003A23E7" w:rsidRPr="00065852">
        <w:t xml:space="preserve">The </w:t>
      </w:r>
      <w:r w:rsidR="003C0DA2">
        <w:t xml:space="preserve">evaluation concluded this </w:t>
      </w:r>
      <w:r w:rsidR="003A23E7" w:rsidRPr="00065852">
        <w:t>efficacy claim was reasonable in terms of a statistically significant change in HbA1c and weight loss which exceeded the nominated MCIDs for both outcomes. The claim of non-inferior safety was not adequately supported.</w:t>
      </w:r>
    </w:p>
    <w:p w14:paraId="5946C938" w14:textId="3AFA986D" w:rsidR="006248B5" w:rsidRPr="00065852" w:rsidRDefault="006248B5" w:rsidP="00253C04">
      <w:pPr>
        <w:pStyle w:val="COMexecsumnumberedpara"/>
        <w:spacing w:after="60"/>
      </w:pPr>
      <w:r w:rsidRPr="00065852">
        <w:t xml:space="preserve">The </w:t>
      </w:r>
      <w:r w:rsidR="003C0DA2">
        <w:t xml:space="preserve">evaluation considered the </w:t>
      </w:r>
      <w:r w:rsidRPr="00065852">
        <w:t>following issues should be considered:</w:t>
      </w:r>
    </w:p>
    <w:p w14:paraId="2D4B546B" w14:textId="45A1769D" w:rsidR="00EC2D33" w:rsidRDefault="00AF75E6" w:rsidP="00422C04">
      <w:pPr>
        <w:pStyle w:val="COMexecsumnumberedpara"/>
        <w:numPr>
          <w:ilvl w:val="0"/>
          <w:numId w:val="10"/>
        </w:numPr>
        <w:spacing w:after="60"/>
      </w:pPr>
      <w:r w:rsidRPr="00065852">
        <w:t>There were multiple evidence gaps</w:t>
      </w:r>
      <w:r w:rsidR="006248B5" w:rsidRPr="00065852">
        <w:t xml:space="preserve"> in the clinical data; including a lack of data for flexible dose titration</w:t>
      </w:r>
      <w:r w:rsidR="00401596" w:rsidRPr="00065852">
        <w:t>,</w:t>
      </w:r>
      <w:r w:rsidR="006248B5" w:rsidRPr="00065852">
        <w:t xml:space="preserve"> limited long term efficacy</w:t>
      </w:r>
      <w:r w:rsidR="00401596" w:rsidRPr="00065852">
        <w:t xml:space="preserve"> data (maximum 40 week</w:t>
      </w:r>
      <w:r w:rsidR="006C31AD" w:rsidRPr="00065852">
        <w:t>s</w:t>
      </w:r>
      <w:r w:rsidR="00401596" w:rsidRPr="00065852">
        <w:t>) particularly regarding cardiovascular outcomes as well as limited long-term safety data (typically &lt; 1 year exposure across</w:t>
      </w:r>
      <w:r w:rsidR="006C31AD" w:rsidRPr="00065852">
        <w:t xml:space="preserve"> the</w:t>
      </w:r>
      <w:r w:rsidR="00401596" w:rsidRPr="00065852">
        <w:t xml:space="preserve"> broader tirzepatide clinical program).</w:t>
      </w:r>
      <w:r w:rsidR="006248B5" w:rsidRPr="00065852">
        <w:t xml:space="preserve"> </w:t>
      </w:r>
      <w:r w:rsidR="00552784" w:rsidRPr="00BC7837">
        <w:t xml:space="preserve">The </w:t>
      </w:r>
      <w:proofErr w:type="gramStart"/>
      <w:r w:rsidR="00552784" w:rsidRPr="00BC7837">
        <w:t>PSCR  argued</w:t>
      </w:r>
      <w:proofErr w:type="gramEnd"/>
      <w:r w:rsidR="00552784" w:rsidRPr="00BC7837">
        <w:t xml:space="preserve"> that the fixed dose titration regimen is common in clinical trials of type 2 diabetes medicines even when a flexible dose titration regimen is used in clinical practice (semaglutide PSD, November 2019). </w:t>
      </w:r>
      <w:r w:rsidR="00E54ED7" w:rsidRPr="00BC7837">
        <w:t xml:space="preserve">In addition, the </w:t>
      </w:r>
      <w:proofErr w:type="gramStart"/>
      <w:r w:rsidR="00E54ED7" w:rsidRPr="00BC7837">
        <w:t>PSCR  argued</w:t>
      </w:r>
      <w:proofErr w:type="gramEnd"/>
      <w:r w:rsidR="00E54ED7" w:rsidRPr="00BC7837">
        <w:t xml:space="preserve"> that there is precedent for the PBAC recommending the listing of alternative </w:t>
      </w:r>
      <w:r w:rsidR="00F114CB" w:rsidRPr="00BC7837">
        <w:t xml:space="preserve">antihyperglycemic </w:t>
      </w:r>
      <w:r w:rsidR="00E54ED7" w:rsidRPr="00BC7837">
        <w:t xml:space="preserve">medicines based on trials with shorter trial durations (semaglutide PSD, March 2021, linagliptin + metformin PSD, March 2016). </w:t>
      </w:r>
      <w:r w:rsidR="00F114CB" w:rsidRPr="00BC7837">
        <w:t xml:space="preserve">However, the </w:t>
      </w:r>
      <w:r w:rsidR="00E4694E">
        <w:t xml:space="preserve">ESC noted the </w:t>
      </w:r>
      <w:r w:rsidR="00F114CB" w:rsidRPr="00BC7837">
        <w:t>PBAC had not recommended these medicines based on superiority claims.</w:t>
      </w:r>
    </w:p>
    <w:p w14:paraId="15EB41D9" w14:textId="5E503DAC" w:rsidR="00EC2D33" w:rsidRDefault="00AF75E6" w:rsidP="00422C04">
      <w:pPr>
        <w:pStyle w:val="COMexecsumnumberedpara"/>
        <w:numPr>
          <w:ilvl w:val="0"/>
          <w:numId w:val="10"/>
        </w:numPr>
        <w:spacing w:after="60"/>
      </w:pPr>
      <w:r w:rsidRPr="00065852">
        <w:t>The clinical claim of superiority was based on HbA1c and weight loss benefits. The PBAC previously considered the clinical relevance of change in HbA1c may shift in the context of changing treatment algorithms based on patient-centred outcomes (para 7.5, semaglutide PSD, November 2019 PBAC meeting). The PBAC has also raised concerns regarding the lack of long-term data supporting reductions in downstream complications for treatments claiming weight loss benefits (semaglutide for obesity PSD, March 2022 PBAC meeting; semaglutide for type 2 diabetes PSD, November 2019 PBAC meeting).</w:t>
      </w:r>
      <w:r w:rsidR="00E54ED7">
        <w:t xml:space="preserve"> </w:t>
      </w:r>
      <w:r w:rsidR="00C2732E" w:rsidRPr="00BC7837">
        <w:t xml:space="preserve">The </w:t>
      </w:r>
      <w:proofErr w:type="gramStart"/>
      <w:r w:rsidR="00C2732E" w:rsidRPr="00BC7837">
        <w:t>PSCR  argued</w:t>
      </w:r>
      <w:proofErr w:type="gramEnd"/>
      <w:r w:rsidR="00C2732E" w:rsidRPr="00BC7837">
        <w:t xml:space="preserve"> that UK Prospective Diabetes Study has clearly shown an association between HbA1c improvement and a reduction in macro- and micro-vascular outcomes (Stratton et al, 2000) and that the PBAC has recommended other antihyperglycemic medicines based on HbA1c prior to the availability of cardiovascular outcomes.</w:t>
      </w:r>
      <w:r w:rsidR="00A74E37" w:rsidRPr="00BC7837">
        <w:t xml:space="preserve"> However, the </w:t>
      </w:r>
      <w:r w:rsidR="00E4694E">
        <w:t xml:space="preserve">ESC noted the </w:t>
      </w:r>
      <w:r w:rsidR="00A74E37" w:rsidRPr="00BC7837">
        <w:t>PBAC had not recommended these medicines based on superiority claims.</w:t>
      </w:r>
    </w:p>
    <w:p w14:paraId="2BE24892" w14:textId="05FAAC81" w:rsidR="00885FE5" w:rsidRPr="00BC7837" w:rsidRDefault="00AF75E6" w:rsidP="00422C04">
      <w:pPr>
        <w:pStyle w:val="COMexecsumnumberedpara"/>
        <w:numPr>
          <w:ilvl w:val="0"/>
          <w:numId w:val="10"/>
        </w:numPr>
      </w:pPr>
      <w:r w:rsidRPr="00065852">
        <w:t>Tirzepatide 5 mg, 10 mg and 15 mg once weekly was potentially inferior in terms of sa</w:t>
      </w:r>
      <w:r w:rsidR="00401596" w:rsidRPr="00065852">
        <w:t>fety compared to semaglutide 1</w:t>
      </w:r>
      <w:r w:rsidRPr="00065852">
        <w:t xml:space="preserve"> mg once weekly, due to higher incidence of g</w:t>
      </w:r>
      <w:r w:rsidR="00401596" w:rsidRPr="00065852">
        <w:t>astrointestinal adverse events including serious adverse events and adverse events leading to discontinuation</w:t>
      </w:r>
      <w:r w:rsidRPr="00065852">
        <w:t xml:space="preserve">. Results from the key trial showed a dose-dependent increase in the risk of gastrointestinal adverse events with tirzepatide. </w:t>
      </w:r>
      <w:r w:rsidR="00001B45" w:rsidRPr="00BC7837">
        <w:t xml:space="preserve">The </w:t>
      </w:r>
      <w:proofErr w:type="gramStart"/>
      <w:r w:rsidR="00001B45" w:rsidRPr="00BC7837">
        <w:t>PSCR  argued</w:t>
      </w:r>
      <w:proofErr w:type="gramEnd"/>
      <w:r w:rsidR="00001B45" w:rsidRPr="00BC7837">
        <w:t xml:space="preserve"> that the forced titration regimen may have influenced the frequency of adverse events (see paragraph </w:t>
      </w:r>
      <w:r w:rsidR="00001B45" w:rsidRPr="00BC7837">
        <w:fldChar w:fldCharType="begin" w:fldLock="1"/>
      </w:r>
      <w:r w:rsidR="00001B45" w:rsidRPr="00BC7837">
        <w:instrText xml:space="preserve"> REF _Ref137395979 \r \h </w:instrText>
      </w:r>
      <w:r w:rsidR="00BC7837">
        <w:instrText xml:space="preserve"> \* MERGEFORMAT </w:instrText>
      </w:r>
      <w:r w:rsidR="00001B45" w:rsidRPr="00BC7837">
        <w:fldChar w:fldCharType="separate"/>
      </w:r>
      <w:r w:rsidR="00391E15">
        <w:t>6.39</w:t>
      </w:r>
      <w:r w:rsidR="00001B45" w:rsidRPr="00BC7837">
        <w:fldChar w:fldCharType="end"/>
      </w:r>
      <w:r w:rsidR="00001B45" w:rsidRPr="00BC7837">
        <w:t xml:space="preserve">). In addition, the </w:t>
      </w:r>
      <w:proofErr w:type="gramStart"/>
      <w:r w:rsidR="00001B45" w:rsidRPr="00BC7837">
        <w:t>PSCR  noted</w:t>
      </w:r>
      <w:proofErr w:type="gramEnd"/>
      <w:r w:rsidR="00001B45" w:rsidRPr="00BC7837">
        <w:t xml:space="preserve"> that the SURPASS-2 study was not designed as a non-inferiority study for safety outcomes and argued there was no clear evidence of a dose-dependent </w:t>
      </w:r>
      <w:r w:rsidR="00001B45" w:rsidRPr="00BC7837">
        <w:lastRenderedPageBreak/>
        <w:t>relationship between tirzepatide and severe adverse events.</w:t>
      </w:r>
      <w:r w:rsidR="004A5A69" w:rsidRPr="00BC7837">
        <w:t xml:space="preserve"> </w:t>
      </w:r>
      <w:r w:rsidR="00F36844" w:rsidRPr="00BC7837">
        <w:t xml:space="preserve">The ESC considered the PSCR claim that inflexible dose titration may lead to greater risk of experiencing adverse events may be </w:t>
      </w:r>
      <w:r w:rsidR="007227FF" w:rsidRPr="00BC7837">
        <w:t>reasonable but</w:t>
      </w:r>
      <w:r w:rsidR="00F36844" w:rsidRPr="00BC7837">
        <w:t xml:space="preserve"> advised that this would also apply to semaglutide.</w:t>
      </w:r>
      <w:r w:rsidR="002A1B9E" w:rsidRPr="00BC7837">
        <w:t xml:space="preserve"> </w:t>
      </w:r>
      <w:r w:rsidR="00E4694E">
        <w:t xml:space="preserve">The pre-PBAC </w:t>
      </w:r>
      <w:proofErr w:type="gramStart"/>
      <w:r w:rsidR="00E4694E">
        <w:t>response  noted</w:t>
      </w:r>
      <w:proofErr w:type="gramEnd"/>
      <w:r w:rsidR="00E4694E">
        <w:t xml:space="preserve"> that the number of titration steps (each 4 weeks) differs between the medicines to reach the maximum dose (tirzepatide 5 titration steps versus semaglutide 2 titration steps). As such, the pre-PBAC </w:t>
      </w:r>
      <w:proofErr w:type="gramStart"/>
      <w:r w:rsidR="00E4694E">
        <w:t>response  argued</w:t>
      </w:r>
      <w:proofErr w:type="gramEnd"/>
      <w:r w:rsidR="00E4694E">
        <w:t xml:space="preserve"> that the safety comparison is biased against tirzepatide based on the inflexible dose titration in the clinical trials compared to the flexible dosing that occurs in practice.</w:t>
      </w:r>
    </w:p>
    <w:p w14:paraId="1538617C" w14:textId="77777777" w:rsidR="00EC2D33" w:rsidRDefault="00EC5F39" w:rsidP="00253C04">
      <w:pPr>
        <w:pStyle w:val="COMexecsumnumberedpara"/>
      </w:pPr>
      <w:r w:rsidRPr="00BC7837">
        <w:t>The ESC considered that</w:t>
      </w:r>
      <w:r w:rsidR="00BF054A" w:rsidRPr="00BC7837">
        <w:t xml:space="preserve"> </w:t>
      </w:r>
      <w:r w:rsidR="00B521D6" w:rsidRPr="00BC7837">
        <w:t>the claim of superior clinical efficacy for tirzepatide 5 mg once weekly compared to semaglutide 0.5 mg once weekly was supported</w:t>
      </w:r>
      <w:r w:rsidR="00913647" w:rsidRPr="00BC7837">
        <w:t xml:space="preserve">, but the comparison of </w:t>
      </w:r>
      <w:r w:rsidR="00DE53D3" w:rsidRPr="00BC7837">
        <w:t>tirzepatide 5 mg and semaglutide 1</w:t>
      </w:r>
      <w:r w:rsidR="00672E6E" w:rsidRPr="00BC7837">
        <w:t xml:space="preserve"> </w:t>
      </w:r>
      <w:r w:rsidR="00DE53D3" w:rsidRPr="00BC7837">
        <w:t xml:space="preserve">mg remained relevant given the proposed </w:t>
      </w:r>
      <w:r w:rsidR="00672E6E" w:rsidRPr="00BC7837">
        <w:t xml:space="preserve">higher </w:t>
      </w:r>
      <w:r w:rsidR="00DE53D3" w:rsidRPr="00BC7837">
        <w:t>pricing</w:t>
      </w:r>
      <w:r w:rsidR="00364395" w:rsidRPr="00BC7837">
        <w:t xml:space="preserve"> relative to semaglutide 1 mg</w:t>
      </w:r>
      <w:r w:rsidR="00B521D6" w:rsidRPr="00BC7837">
        <w:t>.</w:t>
      </w:r>
      <w:r w:rsidR="00DE53D3" w:rsidRPr="00BC7837">
        <w:t xml:space="preserve"> This comparison did not support a clinically meaningful difference.</w:t>
      </w:r>
      <w:r w:rsidR="00B521D6" w:rsidRPr="00BC7837">
        <w:t xml:space="preserve"> The ESC also </w:t>
      </w:r>
      <w:r w:rsidR="001B6A42">
        <w:t>advis</w:t>
      </w:r>
      <w:r w:rsidR="001B6A42" w:rsidRPr="00BC7837">
        <w:t xml:space="preserve">ed </w:t>
      </w:r>
      <w:r w:rsidR="00B521D6" w:rsidRPr="00BC7837">
        <w:t>the claim of superior efficacy for tirzepatide 10 mg once weekly and tirzepatide 15 mg once weekly compared to semaglutide 1 mg once weekly was reasonable</w:t>
      </w:r>
      <w:r w:rsidR="00DE53D3" w:rsidRPr="00BC7837">
        <w:t xml:space="preserve"> and clinically meaningful if using the efficacy estimand but inadequately supported based on </w:t>
      </w:r>
      <w:r w:rsidR="00364395" w:rsidRPr="00BC7837">
        <w:t xml:space="preserve">the </w:t>
      </w:r>
      <w:r w:rsidR="00DE53D3" w:rsidRPr="00BC7837">
        <w:t>treatment regimen estimand, which is the analysis used in the key trial publication</w:t>
      </w:r>
      <w:r w:rsidR="00B521D6" w:rsidRPr="00BC7837">
        <w:t>.</w:t>
      </w:r>
    </w:p>
    <w:p w14:paraId="44931A62" w14:textId="77777777" w:rsidR="00EC2D33" w:rsidRDefault="00B521D6" w:rsidP="00253C04">
      <w:pPr>
        <w:pStyle w:val="COMexecsumnumberedpara"/>
      </w:pPr>
      <w:r w:rsidRPr="00BC7837">
        <w:t>The ESC agreed with the evaluation that a non-inferior safety claim was not adequately supported for any of the comparisons.</w:t>
      </w:r>
    </w:p>
    <w:p w14:paraId="61B8B4A3" w14:textId="77777777" w:rsidR="00EC2D33" w:rsidRDefault="00422C04" w:rsidP="00422C04">
      <w:pPr>
        <w:widowControl w:val="0"/>
        <w:numPr>
          <w:ilvl w:val="1"/>
          <w:numId w:val="4"/>
        </w:numPr>
        <w:spacing w:after="120"/>
      </w:pPr>
      <w:bookmarkStart w:id="41" w:name="_Hlk140760938"/>
      <w:bookmarkStart w:id="42" w:name="_Hlk76376200"/>
      <w:r w:rsidRPr="00D72028">
        <w:rPr>
          <w:rFonts w:asciiTheme="minorHAnsi" w:hAnsiTheme="minorHAnsi"/>
          <w:iCs/>
          <w:snapToGrid w:val="0"/>
        </w:rPr>
        <w:t>The</w:t>
      </w:r>
      <w:r w:rsidRPr="00D72028">
        <w:rPr>
          <w:rFonts w:asciiTheme="minorHAnsi" w:hAnsiTheme="minorHAnsi"/>
          <w:snapToGrid w:val="0"/>
          <w:szCs w:val="20"/>
        </w:rPr>
        <w:t xml:space="preserve"> PBAC considered that the claim of </w:t>
      </w:r>
      <w:r w:rsidR="00D72028">
        <w:rPr>
          <w:rFonts w:asciiTheme="minorHAnsi" w:hAnsiTheme="minorHAnsi"/>
          <w:snapToGrid w:val="0"/>
          <w:szCs w:val="20"/>
        </w:rPr>
        <w:t>superior</w:t>
      </w:r>
      <w:r w:rsidRPr="00D72028">
        <w:rPr>
          <w:rFonts w:asciiTheme="minorHAnsi" w:hAnsiTheme="minorHAnsi"/>
          <w:snapToGrid w:val="0"/>
          <w:szCs w:val="20"/>
        </w:rPr>
        <w:t xml:space="preserve"> comparative effectiveness was reasonable</w:t>
      </w:r>
      <w:r w:rsidR="00D72028">
        <w:rPr>
          <w:rFonts w:asciiTheme="minorHAnsi" w:hAnsiTheme="minorHAnsi"/>
          <w:snapToGrid w:val="0"/>
          <w:szCs w:val="20"/>
        </w:rPr>
        <w:t xml:space="preserve"> for</w:t>
      </w:r>
      <w:r w:rsidR="00D72028" w:rsidRPr="00BC7837">
        <w:t xml:space="preserve"> tirzepatide 5 mg once weekly compared to semaglutide 0.5 mg once weekly</w:t>
      </w:r>
      <w:r w:rsidR="00F27211">
        <w:t xml:space="preserve"> and for </w:t>
      </w:r>
      <w:r w:rsidR="00F27211" w:rsidRPr="00BC7837">
        <w:t>tirzepatide 10 mg once weekly and tirzepatide 15 mg once weekly compared to semaglutide 1 mg once weekly</w:t>
      </w:r>
      <w:r w:rsidRPr="00D72028">
        <w:rPr>
          <w:rFonts w:asciiTheme="minorHAnsi" w:hAnsiTheme="minorHAnsi"/>
          <w:snapToGrid w:val="0"/>
          <w:szCs w:val="20"/>
        </w:rPr>
        <w:t>.</w:t>
      </w:r>
      <w:r w:rsidR="00F27211">
        <w:rPr>
          <w:rFonts w:asciiTheme="minorHAnsi" w:hAnsiTheme="minorHAnsi"/>
          <w:snapToGrid w:val="0"/>
          <w:szCs w:val="20"/>
        </w:rPr>
        <w:t xml:space="preserve"> The PBAC agreed with the ESC that the </w:t>
      </w:r>
      <w:r w:rsidR="00F27211" w:rsidRPr="00BC7837">
        <w:t>comparison of tirzepatide 5 mg and semaglutide 1 mg remained relevant</w:t>
      </w:r>
      <w:r w:rsidR="00F27211">
        <w:t>,</w:t>
      </w:r>
      <w:r w:rsidR="00F27211" w:rsidRPr="00BC7837">
        <w:t xml:space="preserve"> </w:t>
      </w:r>
      <w:r w:rsidR="00F27211">
        <w:t xml:space="preserve">but this </w:t>
      </w:r>
      <w:r w:rsidR="00F27211" w:rsidRPr="00BC7837">
        <w:t>comparison did not support a clinically meaningful difference.</w:t>
      </w:r>
    </w:p>
    <w:bookmarkEnd w:id="41"/>
    <w:p w14:paraId="0E44FB69" w14:textId="5A67F898" w:rsidR="00422C04" w:rsidRPr="00FD1106" w:rsidRDefault="00422C04" w:rsidP="00422C04">
      <w:pPr>
        <w:widowControl w:val="0"/>
        <w:numPr>
          <w:ilvl w:val="1"/>
          <w:numId w:val="4"/>
        </w:numPr>
        <w:spacing w:after="120"/>
        <w:rPr>
          <w:rFonts w:asciiTheme="minorHAnsi" w:hAnsiTheme="minorHAnsi"/>
          <w:snapToGrid w:val="0"/>
          <w:szCs w:val="20"/>
        </w:rPr>
      </w:pPr>
      <w:r w:rsidRPr="00FD1106">
        <w:rPr>
          <w:rFonts w:asciiTheme="minorHAnsi" w:hAnsiTheme="minorHAnsi"/>
          <w:snapToGrid w:val="0"/>
          <w:szCs w:val="20"/>
        </w:rPr>
        <w:t>The PBAC considered that the claim of non-inferior</w:t>
      </w:r>
      <w:r w:rsidR="00FD1106">
        <w:rPr>
          <w:rFonts w:asciiTheme="minorHAnsi" w:hAnsiTheme="minorHAnsi"/>
          <w:snapToGrid w:val="0"/>
          <w:szCs w:val="20"/>
        </w:rPr>
        <w:t xml:space="preserve"> </w:t>
      </w:r>
      <w:r w:rsidRPr="00FD1106">
        <w:rPr>
          <w:rFonts w:asciiTheme="minorHAnsi" w:hAnsiTheme="minorHAnsi"/>
          <w:snapToGrid w:val="0"/>
          <w:szCs w:val="20"/>
        </w:rPr>
        <w:t>comparative safety was not adequately supported by the data</w:t>
      </w:r>
      <w:r w:rsidR="00FD1106">
        <w:rPr>
          <w:rFonts w:asciiTheme="minorHAnsi" w:hAnsiTheme="minorHAnsi"/>
          <w:snapToGrid w:val="0"/>
          <w:szCs w:val="20"/>
        </w:rPr>
        <w:t xml:space="preserve"> for any of the comparisons</w:t>
      </w:r>
      <w:r w:rsidRPr="00FD1106">
        <w:rPr>
          <w:rFonts w:asciiTheme="minorHAnsi" w:hAnsiTheme="minorHAnsi"/>
          <w:snapToGrid w:val="0"/>
          <w:szCs w:val="20"/>
        </w:rPr>
        <w:t>.</w:t>
      </w:r>
      <w:bookmarkEnd w:id="42"/>
    </w:p>
    <w:p w14:paraId="083C019A" w14:textId="77777777" w:rsidR="00EC2D33" w:rsidRDefault="00B60939" w:rsidP="00E93CDA">
      <w:pPr>
        <w:pStyle w:val="COMH2-non-numbered"/>
      </w:pPr>
      <w:bookmarkStart w:id="43" w:name="_Toc22897645"/>
      <w:bookmarkStart w:id="44" w:name="_Toc135227814"/>
      <w:r w:rsidRPr="002C1802">
        <w:t>Economic analysis</w:t>
      </w:r>
      <w:bookmarkEnd w:id="43"/>
      <w:bookmarkEnd w:id="44"/>
    </w:p>
    <w:p w14:paraId="154F1D82" w14:textId="64E6E069" w:rsidR="00E93CDA" w:rsidRPr="00065852" w:rsidRDefault="00E93CDA" w:rsidP="00E93CDA">
      <w:pPr>
        <w:pStyle w:val="COMexecsumnumberedpara"/>
        <w:rPr>
          <w:iCs/>
        </w:rPr>
      </w:pPr>
      <w:bookmarkStart w:id="45" w:name="_Ref137392070"/>
      <w:r w:rsidRPr="002C1802">
        <w:t>The</w:t>
      </w:r>
      <w:r w:rsidRPr="00364395">
        <w:t xml:space="preserve"> submission presented</w:t>
      </w:r>
      <w:r w:rsidRPr="00FA1E86">
        <w:t xml:space="preserve"> a modelled economic evaluation of tirzepatide 10 mg and 15 mg weekly compared to semaglutide 1 mg weekly based on clinical data from the SURPASS-2 trial with additional modelled data. </w:t>
      </w:r>
      <w:r w:rsidRPr="00065852">
        <w:rPr>
          <w:iCs/>
        </w:rPr>
        <w:t xml:space="preserve">During the evaluation, an additional comparison of tirzepatide 5 mg weekly versus semaglutide 1 mg weekly (based on the SURPASS-2 trial) was presented given the lack of an established dose equivalency between treatments and the </w:t>
      </w:r>
      <w:r w:rsidRPr="00182CD3">
        <w:rPr>
          <w:iCs/>
        </w:rPr>
        <w:t xml:space="preserve">use </w:t>
      </w:r>
      <w:r w:rsidRPr="0009575C">
        <w:rPr>
          <w:iCs/>
        </w:rPr>
        <w:t>of flat pricing structures which</w:t>
      </w:r>
      <w:r w:rsidRPr="00065852">
        <w:rPr>
          <w:iCs/>
        </w:rPr>
        <w:t xml:space="preserve"> results in a higher price for tirzepatide 5 mg weekly compared to semaglutide 1 mg weekly.</w:t>
      </w:r>
      <w:bookmarkEnd w:id="45"/>
      <w:r w:rsidRPr="00065852">
        <w:rPr>
          <w:iCs/>
        </w:rPr>
        <w:t xml:space="preserve"> </w:t>
      </w:r>
      <w:r w:rsidR="002C1802" w:rsidRPr="00BC7837">
        <w:rPr>
          <w:iCs/>
        </w:rPr>
        <w:t>The ESC considered this additional analysis was informative.</w:t>
      </w:r>
    </w:p>
    <w:p w14:paraId="3B1C6F11" w14:textId="77777777" w:rsidR="00EC2D33" w:rsidRDefault="00E93CDA" w:rsidP="00E93CDA">
      <w:pPr>
        <w:pStyle w:val="COMexecsumnumberedpara"/>
      </w:pPr>
      <w:r w:rsidRPr="00FA1E86">
        <w:t xml:space="preserve">The submission also presented a scenario analysis comparing tirzepatide 5 mg weekly with semaglutide 0.5 mg weekly based on an indirect comparison of the SURPASS-2 and SUSTAIN-7 trials with additional modelled data. Scenario analyses were also </w:t>
      </w:r>
      <w:r w:rsidRPr="00FA1E86">
        <w:lastRenderedPageBreak/>
        <w:t xml:space="preserve">presented comparing tirzepatide 5 mg, 10 </w:t>
      </w:r>
      <w:proofErr w:type="gramStart"/>
      <w:r w:rsidRPr="00FA1E86">
        <w:t>mg</w:t>
      </w:r>
      <w:proofErr w:type="gramEnd"/>
      <w:r w:rsidRPr="00FA1E86">
        <w:t xml:space="preserve"> and 15 mg weekly with dulaglutide 1.5 mg weekly based on another indirect comparison of the SURPASS-2 and SUSTAIN-7 trials with additional modelled data.</w:t>
      </w:r>
    </w:p>
    <w:p w14:paraId="7248F207" w14:textId="77777777" w:rsidR="00EC2D33" w:rsidRDefault="00E93CDA" w:rsidP="00E93CDA">
      <w:pPr>
        <w:pStyle w:val="COMexecsumnumberedpara"/>
      </w:pPr>
      <w:r w:rsidRPr="00FA1E86">
        <w:t>All economic evaluations were presented as a cost-effectiveness/cost-utility analysis.</w:t>
      </w:r>
    </w:p>
    <w:p w14:paraId="15B36ECA" w14:textId="4CDDC12E" w:rsidR="00E93CDA" w:rsidRPr="00FA1E86" w:rsidRDefault="00EC6E59" w:rsidP="00E94884">
      <w:pPr>
        <w:pStyle w:val="COMtablefigcaption"/>
      </w:pPr>
      <w:bookmarkStart w:id="46" w:name="_Ref137244153"/>
      <w:r w:rsidRPr="00FA1E86">
        <w:t xml:space="preserve">Table </w:t>
      </w:r>
      <w:fldSimple w:instr=" SEQ Table \* ARABIC " w:fldLock="1">
        <w:r w:rsidR="00B71E27">
          <w:rPr>
            <w:noProof/>
          </w:rPr>
          <w:t>11</w:t>
        </w:r>
      </w:fldSimple>
      <w:bookmarkEnd w:id="46"/>
      <w:r w:rsidR="00E93CDA" w:rsidRPr="00FA1E86">
        <w:t xml:space="preserve">: </w:t>
      </w:r>
      <w:r w:rsidR="00E93CDA" w:rsidRPr="00E67FBB">
        <w:t>Key components of the economic evaluation</w:t>
      </w:r>
    </w:p>
    <w:tbl>
      <w:tblPr>
        <w:tblW w:w="499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05"/>
        <w:gridCol w:w="7610"/>
      </w:tblGrid>
      <w:tr w:rsidR="00E93CDA" w:rsidRPr="00FA1E86" w14:paraId="463B93E4" w14:textId="77777777" w:rsidTr="0084191D">
        <w:trPr>
          <w:tblHeader/>
        </w:trPr>
        <w:tc>
          <w:tcPr>
            <w:tcW w:w="779" w:type="pct"/>
            <w:shd w:val="clear" w:color="auto" w:fill="auto"/>
          </w:tcPr>
          <w:p w14:paraId="1FADF169" w14:textId="77777777" w:rsidR="00E93CDA" w:rsidRPr="00FA1E86" w:rsidRDefault="00E93CDA" w:rsidP="00E94884">
            <w:pPr>
              <w:pStyle w:val="COMtablefigcaption"/>
            </w:pPr>
            <w:r w:rsidRPr="00FA1E86">
              <w:t xml:space="preserve">Component </w:t>
            </w:r>
          </w:p>
        </w:tc>
        <w:tc>
          <w:tcPr>
            <w:tcW w:w="4221" w:type="pct"/>
            <w:shd w:val="clear" w:color="auto" w:fill="auto"/>
          </w:tcPr>
          <w:p w14:paraId="6F12FB32" w14:textId="77777777" w:rsidR="00E93CDA" w:rsidRPr="00FA1E86" w:rsidRDefault="00E93CDA" w:rsidP="00E94884">
            <w:pPr>
              <w:pStyle w:val="COMtablefigcaption"/>
            </w:pPr>
            <w:r w:rsidRPr="00FA1E86">
              <w:t>Description</w:t>
            </w:r>
          </w:p>
        </w:tc>
      </w:tr>
      <w:tr w:rsidR="00E93CDA" w:rsidRPr="00FA1E86" w14:paraId="2E2EF38A" w14:textId="77777777" w:rsidTr="0084191D">
        <w:tc>
          <w:tcPr>
            <w:tcW w:w="779" w:type="pct"/>
            <w:shd w:val="clear" w:color="auto" w:fill="auto"/>
            <w:vAlign w:val="center"/>
          </w:tcPr>
          <w:p w14:paraId="76A56CDD" w14:textId="77777777" w:rsidR="00E93CDA" w:rsidRPr="00FA1E86" w:rsidRDefault="00E93CDA" w:rsidP="007D219D">
            <w:pPr>
              <w:pStyle w:val="COMTabletext"/>
              <w:keepNext w:val="0"/>
            </w:pPr>
            <w:r w:rsidRPr="00FA1E86">
              <w:t xml:space="preserve">Type of analysis </w:t>
            </w:r>
          </w:p>
        </w:tc>
        <w:tc>
          <w:tcPr>
            <w:tcW w:w="4221" w:type="pct"/>
            <w:shd w:val="clear" w:color="auto" w:fill="auto"/>
            <w:vAlign w:val="center"/>
          </w:tcPr>
          <w:p w14:paraId="434E4EB9" w14:textId="77777777" w:rsidR="00E93CDA" w:rsidRPr="00FA1E86" w:rsidRDefault="00E93CDA" w:rsidP="007D219D">
            <w:pPr>
              <w:pStyle w:val="COMTabletext"/>
              <w:keepNext w:val="0"/>
              <w:rPr>
                <w:rFonts w:ascii="Times" w:eastAsia="Times New Roman" w:hAnsi="Times" w:cs="Times New Roman"/>
                <w:szCs w:val="20"/>
              </w:rPr>
            </w:pPr>
            <w:r w:rsidRPr="00FA1E86">
              <w:t>Cost-effectiveness/cost-utility analysis</w:t>
            </w:r>
          </w:p>
        </w:tc>
      </w:tr>
      <w:tr w:rsidR="00E93CDA" w:rsidRPr="00FA1E86" w14:paraId="55C90539" w14:textId="77777777" w:rsidTr="0084191D">
        <w:tc>
          <w:tcPr>
            <w:tcW w:w="779" w:type="pct"/>
            <w:shd w:val="clear" w:color="auto" w:fill="auto"/>
            <w:vAlign w:val="center"/>
          </w:tcPr>
          <w:p w14:paraId="5A41B0ED" w14:textId="77777777" w:rsidR="00E93CDA" w:rsidRPr="00FA1E86" w:rsidRDefault="00E93CDA" w:rsidP="007D219D">
            <w:pPr>
              <w:pStyle w:val="COMTabletext"/>
              <w:keepNext w:val="0"/>
              <w:rPr>
                <w:rFonts w:ascii="Times" w:eastAsia="Times New Roman" w:hAnsi="Times" w:cs="Times New Roman"/>
                <w:szCs w:val="20"/>
              </w:rPr>
            </w:pPr>
            <w:r w:rsidRPr="00FA1E86">
              <w:t>Outcomes</w:t>
            </w:r>
          </w:p>
        </w:tc>
        <w:tc>
          <w:tcPr>
            <w:tcW w:w="4221" w:type="pct"/>
            <w:shd w:val="clear" w:color="auto" w:fill="auto"/>
            <w:vAlign w:val="center"/>
          </w:tcPr>
          <w:p w14:paraId="252D4BFE" w14:textId="77777777" w:rsidR="00E93CDA" w:rsidRPr="00FA1E86" w:rsidRDefault="00E93CDA" w:rsidP="007D219D">
            <w:pPr>
              <w:pStyle w:val="COMTabletext"/>
              <w:keepNext w:val="0"/>
            </w:pPr>
            <w:r w:rsidRPr="00FA1E86">
              <w:t xml:space="preserve">Life years, quality adjusted life years </w:t>
            </w:r>
          </w:p>
        </w:tc>
      </w:tr>
      <w:tr w:rsidR="00E93CDA" w:rsidRPr="00FA1E86" w14:paraId="3E56A00B" w14:textId="77777777" w:rsidTr="0084191D">
        <w:tc>
          <w:tcPr>
            <w:tcW w:w="779" w:type="pct"/>
            <w:shd w:val="clear" w:color="auto" w:fill="auto"/>
            <w:vAlign w:val="center"/>
          </w:tcPr>
          <w:p w14:paraId="1BDA2D28" w14:textId="77777777" w:rsidR="00E93CDA" w:rsidRPr="00FA1E86" w:rsidRDefault="00E93CDA" w:rsidP="007D219D">
            <w:pPr>
              <w:pStyle w:val="COMTabletext"/>
              <w:keepNext w:val="0"/>
              <w:rPr>
                <w:rFonts w:ascii="Times" w:eastAsia="Times New Roman" w:hAnsi="Times" w:cs="Times New Roman"/>
                <w:szCs w:val="20"/>
              </w:rPr>
            </w:pPr>
            <w:r w:rsidRPr="00FA1E86">
              <w:t>Time horizon</w:t>
            </w:r>
          </w:p>
        </w:tc>
        <w:tc>
          <w:tcPr>
            <w:tcW w:w="4221" w:type="pct"/>
            <w:shd w:val="clear" w:color="auto" w:fill="auto"/>
            <w:vAlign w:val="center"/>
          </w:tcPr>
          <w:p w14:paraId="1C031C05" w14:textId="77777777" w:rsidR="00E93CDA" w:rsidRPr="00FA1E86" w:rsidRDefault="00E93CDA" w:rsidP="007D219D">
            <w:pPr>
              <w:pStyle w:val="COMTabletext"/>
              <w:keepNext w:val="0"/>
              <w:rPr>
                <w:rFonts w:ascii="Times" w:eastAsia="Times New Roman" w:hAnsi="Times" w:cs="Times New Roman"/>
                <w:szCs w:val="20"/>
              </w:rPr>
            </w:pPr>
            <w:r w:rsidRPr="00FA1E86">
              <w:t>Lifetime (maximum 50 years)</w:t>
            </w:r>
          </w:p>
        </w:tc>
      </w:tr>
      <w:tr w:rsidR="00E93CDA" w:rsidRPr="00FA1E86" w14:paraId="2A1D1218" w14:textId="77777777" w:rsidTr="0084191D">
        <w:tc>
          <w:tcPr>
            <w:tcW w:w="779" w:type="pct"/>
            <w:shd w:val="clear" w:color="auto" w:fill="auto"/>
            <w:vAlign w:val="center"/>
          </w:tcPr>
          <w:p w14:paraId="1C4690A1" w14:textId="77777777" w:rsidR="00E93CDA" w:rsidRPr="00FA1E86" w:rsidRDefault="00E93CDA" w:rsidP="007D219D">
            <w:pPr>
              <w:pStyle w:val="COMTabletext"/>
              <w:keepNext w:val="0"/>
              <w:rPr>
                <w:rFonts w:ascii="Times" w:eastAsia="Times New Roman" w:hAnsi="Times" w:cs="Times New Roman"/>
                <w:szCs w:val="20"/>
              </w:rPr>
            </w:pPr>
            <w:r w:rsidRPr="00FA1E86">
              <w:t>Methods used to generate results</w:t>
            </w:r>
          </w:p>
        </w:tc>
        <w:tc>
          <w:tcPr>
            <w:tcW w:w="4221" w:type="pct"/>
            <w:shd w:val="clear" w:color="auto" w:fill="auto"/>
            <w:vAlign w:val="center"/>
          </w:tcPr>
          <w:p w14:paraId="5A2720AA" w14:textId="2779B33B" w:rsidR="00E93CDA" w:rsidRPr="00FA1E86" w:rsidRDefault="00E93CDA" w:rsidP="007D219D">
            <w:pPr>
              <w:pStyle w:val="COMTabletext"/>
              <w:keepNext w:val="0"/>
            </w:pPr>
            <w:r w:rsidRPr="00FA1E86">
              <w:t>Patient-level microsimulation model (10,000 patients; runtime approximately 30-40 minutes)</w:t>
            </w:r>
            <w:r w:rsidR="004D58C3" w:rsidRPr="00FA1E86">
              <w:t>.</w:t>
            </w:r>
          </w:p>
        </w:tc>
      </w:tr>
      <w:tr w:rsidR="00E93CDA" w:rsidRPr="00FA1E86" w14:paraId="787C081C" w14:textId="77777777" w:rsidTr="0084191D">
        <w:tc>
          <w:tcPr>
            <w:tcW w:w="779" w:type="pct"/>
            <w:shd w:val="clear" w:color="auto" w:fill="auto"/>
            <w:vAlign w:val="center"/>
          </w:tcPr>
          <w:p w14:paraId="384BF19E" w14:textId="77777777" w:rsidR="00E93CDA" w:rsidRPr="00FA1E86" w:rsidRDefault="00E93CDA" w:rsidP="007D219D">
            <w:pPr>
              <w:pStyle w:val="COMTabletext"/>
              <w:keepNext w:val="0"/>
            </w:pPr>
            <w:r w:rsidRPr="00FA1E86">
              <w:t>Treatments</w:t>
            </w:r>
          </w:p>
        </w:tc>
        <w:tc>
          <w:tcPr>
            <w:tcW w:w="4221" w:type="pct"/>
            <w:shd w:val="clear" w:color="auto" w:fill="auto"/>
            <w:vAlign w:val="center"/>
          </w:tcPr>
          <w:p w14:paraId="54811E80" w14:textId="02DDB3C8" w:rsidR="00E93CDA" w:rsidRPr="00FA1E86" w:rsidRDefault="00E93CDA" w:rsidP="007D219D">
            <w:pPr>
              <w:pStyle w:val="COMTabletext"/>
              <w:keepNext w:val="0"/>
            </w:pPr>
            <w:r w:rsidRPr="00FA1E86">
              <w:t>Tirzepatide (10 mg or 15 mg weekly) or semaglutide (1 mg weekly) in combination with metformin with two further lines of insulin intensification therapy (basal insulin, basal and bolus insulin)</w:t>
            </w:r>
            <w:r w:rsidR="004D58C3" w:rsidRPr="00FA1E86">
              <w:t>.</w:t>
            </w:r>
          </w:p>
        </w:tc>
      </w:tr>
      <w:tr w:rsidR="00E93CDA" w:rsidRPr="00FA1E86" w14:paraId="714AE0CA" w14:textId="77777777" w:rsidTr="0084191D">
        <w:tc>
          <w:tcPr>
            <w:tcW w:w="779" w:type="pct"/>
            <w:shd w:val="clear" w:color="auto" w:fill="auto"/>
            <w:vAlign w:val="center"/>
          </w:tcPr>
          <w:p w14:paraId="495024CA" w14:textId="77777777" w:rsidR="00E93CDA" w:rsidRPr="00FA1E86" w:rsidRDefault="00E93CDA" w:rsidP="007D219D">
            <w:pPr>
              <w:pStyle w:val="COMTabletext"/>
              <w:keepNext w:val="0"/>
              <w:rPr>
                <w:rFonts w:ascii="Times" w:eastAsia="Times New Roman" w:hAnsi="Times" w:cs="Times New Roman"/>
                <w:szCs w:val="20"/>
              </w:rPr>
            </w:pPr>
            <w:r w:rsidRPr="00FA1E86">
              <w:t>Model structure</w:t>
            </w:r>
          </w:p>
        </w:tc>
        <w:tc>
          <w:tcPr>
            <w:tcW w:w="4221" w:type="pct"/>
            <w:shd w:val="clear" w:color="auto" w:fill="auto"/>
            <w:vAlign w:val="center"/>
          </w:tcPr>
          <w:p w14:paraId="771360CA" w14:textId="2A47B5A4" w:rsidR="00E93CDA" w:rsidRPr="00FA1E86" w:rsidRDefault="00E93CDA" w:rsidP="00A67847">
            <w:pPr>
              <w:pStyle w:val="COMTabletext"/>
              <w:keepNext w:val="0"/>
              <w:spacing w:after="120"/>
            </w:pPr>
            <w:r w:rsidRPr="00FA1E86">
              <w:t>The model tracked individual patient-level changes in surrogate biomarkers over time.</w:t>
            </w:r>
          </w:p>
          <w:p w14:paraId="3D751F71" w14:textId="77777777" w:rsidR="00E93CDA" w:rsidRPr="00FA1E86" w:rsidRDefault="00E93CDA" w:rsidP="00A67847">
            <w:pPr>
              <w:pStyle w:val="COMTabletext"/>
              <w:keepNext w:val="0"/>
              <w:spacing w:after="120"/>
            </w:pPr>
            <w:r w:rsidRPr="00FA1E86">
              <w:t xml:space="preserve">The risk of events in each annual cycle was determined by a </w:t>
            </w:r>
            <w:proofErr w:type="gramStart"/>
            <w:r w:rsidRPr="00FA1E86">
              <w:t>randomly-ordered</w:t>
            </w:r>
            <w:proofErr w:type="gramEnd"/>
            <w:r w:rsidRPr="00FA1E86">
              <w:t xml:space="preserve"> sequence of risk modules for diabetes complications (congestive heart failure, ischaemic heart disease, first and subsequent myocardial infarction, first and subsequent stroke, blindness, ulcer, first and subsequent amputation, renal failure). Adverse event risk modules were also used to capture treatment-specific event rates for hypoglycaemia and nausea.</w:t>
            </w:r>
          </w:p>
          <w:p w14:paraId="39EDC27C" w14:textId="73EFF98D" w:rsidR="00E93CDA" w:rsidRPr="00FA1E86" w:rsidRDefault="00E93CDA" w:rsidP="007D219D">
            <w:pPr>
              <w:pStyle w:val="COMTabletext"/>
              <w:keepNext w:val="0"/>
            </w:pPr>
            <w:r w:rsidRPr="00FA1E86">
              <w:t>The risk of death was captured in separate risk modules depending on patient event history (years with no event history or events, first year of events, years with history of events but no events, subsequent years of events).</w:t>
            </w:r>
          </w:p>
        </w:tc>
      </w:tr>
      <w:tr w:rsidR="00E93CDA" w:rsidRPr="00FA1E86" w14:paraId="458209E0" w14:textId="77777777" w:rsidTr="0084191D">
        <w:tc>
          <w:tcPr>
            <w:tcW w:w="779" w:type="pct"/>
            <w:shd w:val="clear" w:color="auto" w:fill="auto"/>
            <w:vAlign w:val="center"/>
          </w:tcPr>
          <w:p w14:paraId="609EAC1A" w14:textId="77777777" w:rsidR="00E93CDA" w:rsidRPr="00FA1E86" w:rsidRDefault="00E93CDA" w:rsidP="007D219D">
            <w:pPr>
              <w:pStyle w:val="COMTabletext"/>
              <w:keepNext w:val="0"/>
              <w:rPr>
                <w:rFonts w:ascii="Times" w:eastAsia="Times New Roman" w:hAnsi="Times" w:cs="Times New Roman"/>
                <w:szCs w:val="20"/>
              </w:rPr>
            </w:pPr>
            <w:r w:rsidRPr="00FA1E86">
              <w:t>Cycle length</w:t>
            </w:r>
          </w:p>
        </w:tc>
        <w:tc>
          <w:tcPr>
            <w:tcW w:w="4221" w:type="pct"/>
            <w:shd w:val="clear" w:color="auto" w:fill="auto"/>
            <w:vAlign w:val="center"/>
          </w:tcPr>
          <w:p w14:paraId="423D5210" w14:textId="77777777" w:rsidR="00E93CDA" w:rsidRPr="00FA1E86" w:rsidRDefault="00E93CDA" w:rsidP="007D219D">
            <w:pPr>
              <w:pStyle w:val="COMTabletext"/>
              <w:keepNext w:val="0"/>
            </w:pPr>
            <w:r w:rsidRPr="00FA1E86">
              <w:t>1 year (no half cycle correction)</w:t>
            </w:r>
          </w:p>
        </w:tc>
      </w:tr>
      <w:tr w:rsidR="00E93CDA" w:rsidRPr="00FA1E86" w14:paraId="7CC2D2AB" w14:textId="77777777" w:rsidTr="0084191D">
        <w:tc>
          <w:tcPr>
            <w:tcW w:w="779" w:type="pct"/>
            <w:shd w:val="clear" w:color="auto" w:fill="auto"/>
            <w:vAlign w:val="center"/>
          </w:tcPr>
          <w:p w14:paraId="60472EA7" w14:textId="77777777" w:rsidR="00E93CDA" w:rsidRPr="00FA1E86" w:rsidRDefault="00E93CDA" w:rsidP="007D219D">
            <w:pPr>
              <w:pStyle w:val="TableText"/>
              <w:keepNext w:val="0"/>
              <w:widowControl w:val="0"/>
            </w:pPr>
            <w:r w:rsidRPr="00FA1E86">
              <w:t>Patient characteristics</w:t>
            </w:r>
          </w:p>
          <w:p w14:paraId="28595CD9" w14:textId="25D598E8" w:rsidR="00E93CDA" w:rsidRPr="00FA1E86" w:rsidRDefault="00E93CDA" w:rsidP="007D219D">
            <w:pPr>
              <w:pStyle w:val="COMTabletext"/>
              <w:keepNext w:val="0"/>
            </w:pPr>
            <w:r w:rsidRPr="00FA1E86">
              <w:t>and circumstances of use</w:t>
            </w:r>
          </w:p>
        </w:tc>
        <w:tc>
          <w:tcPr>
            <w:tcW w:w="4221" w:type="pct"/>
            <w:shd w:val="clear" w:color="auto" w:fill="auto"/>
            <w:vAlign w:val="center"/>
          </w:tcPr>
          <w:p w14:paraId="0E57C6C3" w14:textId="4054E0A6" w:rsidR="00E93CDA" w:rsidRPr="00FA1E86" w:rsidRDefault="00E93CDA" w:rsidP="00A67847">
            <w:pPr>
              <w:pStyle w:val="TableText"/>
              <w:keepNext w:val="0"/>
              <w:widowControl w:val="0"/>
              <w:spacing w:before="0" w:after="120"/>
            </w:pPr>
            <w:r w:rsidRPr="00FA1E86">
              <w:t>Baseline age, gender, race, smoking status, duration of diabetes, Hb</w:t>
            </w:r>
            <w:r w:rsidR="006C31AD" w:rsidRPr="00FA1E86">
              <w:t>A</w:t>
            </w:r>
            <w:r w:rsidRPr="00FA1E86">
              <w:t xml:space="preserve">1c, systolic blood pressure, LDL, HDL, BMI, eGFR, heart rate and prior history of complications (albuminuria, peripheral vascular disease, atrial fibrillation, congestive heart failure, ischaemic heart disease, myocardial infarction, stroke, blindness, ulcer, </w:t>
            </w:r>
            <w:proofErr w:type="gramStart"/>
            <w:r w:rsidRPr="00FA1E86">
              <w:t>amputation</w:t>
            </w:r>
            <w:proofErr w:type="gramEnd"/>
            <w:r w:rsidRPr="00FA1E86">
              <w:t xml:space="preserve"> and renal disease) were estimated based on the SURPASS-2 trial population. Baseline white blood cell </w:t>
            </w:r>
            <w:proofErr w:type="gramStart"/>
            <w:r w:rsidRPr="00FA1E86">
              <w:t>counts</w:t>
            </w:r>
            <w:proofErr w:type="gramEnd"/>
            <w:r w:rsidRPr="00FA1E86">
              <w:t xml:space="preserve"> and haemoglobin levels were estimated based on the derivation cohort of the UKPDS study (Hayes 2013).</w:t>
            </w:r>
          </w:p>
          <w:p w14:paraId="5870EF72" w14:textId="77777777" w:rsidR="00E93CDA" w:rsidRPr="00FA1E86" w:rsidRDefault="00E93CDA" w:rsidP="00A67847">
            <w:pPr>
              <w:pStyle w:val="TableText"/>
              <w:keepNext w:val="0"/>
              <w:widowControl w:val="0"/>
              <w:spacing w:before="0" w:after="120"/>
            </w:pPr>
            <w:r w:rsidRPr="00FA1E86">
              <w:t>The submission sampled the baseline characteristics of modelled patients assuming a normal distribution around mean values.</w:t>
            </w:r>
          </w:p>
          <w:p w14:paraId="074BA9EE" w14:textId="059A83E4" w:rsidR="00E93CDA" w:rsidRPr="00FA1E86" w:rsidRDefault="00E93CDA" w:rsidP="007D219D">
            <w:pPr>
              <w:pStyle w:val="COMTabletext"/>
              <w:keepNext w:val="0"/>
              <w:rPr>
                <w:szCs w:val="20"/>
              </w:rPr>
            </w:pPr>
            <w:r w:rsidRPr="00FA1E86">
              <w:t>The modelled circumstances of use assumed flat dosing of GLP-1 RA/GIP therapies, assumed that patients would not prematurely discontinue therapy, assumed patients would switch to insulin when HbA1c &gt; 7.5% and would intensify treatment if the same threshold was reached again, assumed GLP-1 RA/GIP therapy must be stopped with the initiation of insulin, assumed flat dosing of insulin therapies</w:t>
            </w:r>
            <w:r w:rsidR="004D58C3" w:rsidRPr="00FA1E86">
              <w:t>.</w:t>
            </w:r>
          </w:p>
        </w:tc>
      </w:tr>
      <w:tr w:rsidR="00E93CDA" w:rsidRPr="00FA1E86" w14:paraId="19A4E8DA" w14:textId="77777777" w:rsidTr="0084191D">
        <w:tc>
          <w:tcPr>
            <w:tcW w:w="779" w:type="pct"/>
            <w:shd w:val="clear" w:color="auto" w:fill="auto"/>
            <w:vAlign w:val="center"/>
          </w:tcPr>
          <w:p w14:paraId="28C1BCF4" w14:textId="77777777" w:rsidR="00E93CDA" w:rsidRPr="00FA1E86" w:rsidRDefault="00E93CDA" w:rsidP="007D219D">
            <w:pPr>
              <w:pStyle w:val="COMTabletext"/>
              <w:keepNext w:val="0"/>
            </w:pPr>
            <w:r w:rsidRPr="00FA1E86">
              <w:t xml:space="preserve">Transition probabilities </w:t>
            </w:r>
          </w:p>
        </w:tc>
        <w:tc>
          <w:tcPr>
            <w:tcW w:w="4221" w:type="pct"/>
            <w:shd w:val="clear" w:color="auto" w:fill="auto"/>
            <w:vAlign w:val="center"/>
          </w:tcPr>
          <w:p w14:paraId="1BCBD479" w14:textId="3FFA192A" w:rsidR="00E93CDA" w:rsidRPr="00FA1E86" w:rsidRDefault="00E93CDA" w:rsidP="00A67847">
            <w:pPr>
              <w:pStyle w:val="COMTabletext"/>
              <w:keepNext w:val="0"/>
              <w:spacing w:after="120"/>
              <w:rPr>
                <w:szCs w:val="20"/>
              </w:rPr>
            </w:pPr>
            <w:r w:rsidRPr="00FA1E86">
              <w:rPr>
                <w:szCs w:val="20"/>
              </w:rPr>
              <w:t>Treatment effects for GLP-1RA/GIP therapy were based on the SURPASS-2 trial. The submission sampled treatment effects for individual modelled patients assuming a normal distribution around mean values. Changes to biomarkers were assumed to remain constant over time while on therapy with the exception of HbA1c which was assumed to gradually increase over time based on the UKPDS OM2 risk equations. No modelled patients were allowed to discontinue prematurely.</w:t>
            </w:r>
          </w:p>
          <w:p w14:paraId="058A5155" w14:textId="1E964F7D" w:rsidR="00E93CDA" w:rsidRPr="00FA1E86" w:rsidRDefault="00E93CDA" w:rsidP="00A67847">
            <w:pPr>
              <w:pStyle w:val="COMTabletext"/>
              <w:keepNext w:val="0"/>
              <w:spacing w:after="120"/>
              <w:rPr>
                <w:szCs w:val="20"/>
              </w:rPr>
            </w:pPr>
            <w:r w:rsidRPr="00FA1E86">
              <w:rPr>
                <w:szCs w:val="20"/>
              </w:rPr>
              <w:t>Patients were assumed to intensify therapy with insulin when HbA1c &gt; 7.5%. Insulin intensification was assumed to revert all biomarkers (except HbA1c) to baseline values. Insulin treatment effects on HbA1c were estimated based on a systematic review of insulin studies (Willis 2017).</w:t>
            </w:r>
          </w:p>
          <w:p w14:paraId="224767BF" w14:textId="1256EF8A" w:rsidR="00E93CDA" w:rsidRPr="00FA1E86" w:rsidRDefault="00E93CDA" w:rsidP="00A67847">
            <w:pPr>
              <w:pStyle w:val="COMTabletext"/>
              <w:keepNext w:val="0"/>
              <w:spacing w:after="120"/>
              <w:rPr>
                <w:szCs w:val="20"/>
              </w:rPr>
            </w:pPr>
            <w:r w:rsidRPr="00FA1E86">
              <w:rPr>
                <w:szCs w:val="20"/>
              </w:rPr>
              <w:t>Adverse event risk for GLP-1RA/GIP therapy was estimated based on the SURPASS-2 trial. Adverse event risk for insulin was estimated based on the ReFLECT observational study (Fadini 2019).</w:t>
            </w:r>
          </w:p>
          <w:p w14:paraId="2863D9BD" w14:textId="77777777" w:rsidR="00E93CDA" w:rsidRPr="00FA1E86" w:rsidRDefault="00E93CDA" w:rsidP="007D219D">
            <w:pPr>
              <w:pStyle w:val="COMTabletext"/>
              <w:keepNext w:val="0"/>
            </w:pPr>
            <w:r w:rsidRPr="00FA1E86">
              <w:rPr>
                <w:szCs w:val="20"/>
              </w:rPr>
              <w:t>The risk of diabetes complications was based on the UKPDS OM2 risk equations. The risk of death was based on UKPDS OM2 risk equations for ‘</w:t>
            </w:r>
            <w:r w:rsidRPr="00FA1E86">
              <w:t>first year of events’ and ‘subsequent years of events’</w:t>
            </w:r>
            <w:r w:rsidRPr="00FA1E86">
              <w:rPr>
                <w:szCs w:val="20"/>
              </w:rPr>
              <w:t xml:space="preserve"> as </w:t>
            </w:r>
            <w:r w:rsidRPr="00FA1E86">
              <w:rPr>
                <w:szCs w:val="20"/>
              </w:rPr>
              <w:lastRenderedPageBreak/>
              <w:t>well as Australian life tables for ‘</w:t>
            </w:r>
            <w:r w:rsidRPr="00FA1E86">
              <w:t xml:space="preserve">years with no event history or events’ and ‘years with history of events but no </w:t>
            </w:r>
            <w:proofErr w:type="gramStart"/>
            <w:r w:rsidRPr="00FA1E86">
              <w:t>events’</w:t>
            </w:r>
            <w:proofErr w:type="gramEnd"/>
            <w:r w:rsidRPr="00FA1E86">
              <w:t>.</w:t>
            </w:r>
          </w:p>
        </w:tc>
      </w:tr>
      <w:tr w:rsidR="00E93CDA" w:rsidRPr="00FA1E86" w14:paraId="6111EFE6" w14:textId="77777777" w:rsidTr="0084191D">
        <w:tc>
          <w:tcPr>
            <w:tcW w:w="779" w:type="pct"/>
            <w:shd w:val="clear" w:color="auto" w:fill="auto"/>
            <w:vAlign w:val="center"/>
          </w:tcPr>
          <w:p w14:paraId="03A166C6" w14:textId="4D0D422E" w:rsidR="00E93CDA" w:rsidRPr="00FA1E86" w:rsidRDefault="00E93CDA" w:rsidP="007D219D">
            <w:pPr>
              <w:pStyle w:val="COMTabletext"/>
              <w:keepNext w:val="0"/>
            </w:pPr>
            <w:r w:rsidRPr="00FA1E86">
              <w:lastRenderedPageBreak/>
              <w:t>Utility values</w:t>
            </w:r>
          </w:p>
        </w:tc>
        <w:tc>
          <w:tcPr>
            <w:tcW w:w="4221" w:type="pct"/>
            <w:shd w:val="clear" w:color="auto" w:fill="auto"/>
            <w:vAlign w:val="center"/>
          </w:tcPr>
          <w:p w14:paraId="10B0C764" w14:textId="77777777" w:rsidR="00E93CDA" w:rsidRPr="0009575C" w:rsidRDefault="00E93CDA" w:rsidP="00A67847">
            <w:pPr>
              <w:pStyle w:val="Tabletext0"/>
              <w:widowControl w:val="0"/>
              <w:spacing w:after="120"/>
              <w:rPr>
                <w:rFonts w:eastAsia="Calibri"/>
              </w:rPr>
            </w:pPr>
            <w:r w:rsidRPr="0009575C">
              <w:rPr>
                <w:rFonts w:eastAsia="Calibri"/>
              </w:rPr>
              <w:t xml:space="preserve">The baseline utility values and disutility values for congestive heart failure, ischaemic heart disease, myocardial infarction, stroke, </w:t>
            </w:r>
            <w:proofErr w:type="gramStart"/>
            <w:r w:rsidRPr="0009575C">
              <w:rPr>
                <w:rFonts w:eastAsia="Calibri"/>
              </w:rPr>
              <w:t>amputation</w:t>
            </w:r>
            <w:proofErr w:type="gramEnd"/>
            <w:r w:rsidRPr="0009575C">
              <w:rPr>
                <w:rFonts w:eastAsia="Calibri"/>
              </w:rPr>
              <w:t xml:space="preserve"> and blindness were estimated based on the UKPDS study (Clarke 2002).</w:t>
            </w:r>
          </w:p>
          <w:p w14:paraId="68DDF149" w14:textId="1B707941" w:rsidR="00E93CDA" w:rsidRPr="0009575C" w:rsidRDefault="00E93CDA" w:rsidP="00A67847">
            <w:pPr>
              <w:pStyle w:val="Tabletext0"/>
              <w:widowControl w:val="0"/>
              <w:spacing w:after="120"/>
              <w:rPr>
                <w:rFonts w:eastAsia="Calibri"/>
              </w:rPr>
            </w:pPr>
            <w:r w:rsidRPr="0009575C">
              <w:rPr>
                <w:rFonts w:eastAsia="Calibri"/>
              </w:rPr>
              <w:t>The disutility values for ulcer and renal failure were estimated based on the CODE-2 study (Bagust &amp; Beale, 2005)</w:t>
            </w:r>
            <w:r w:rsidR="00831FE2" w:rsidRPr="0009575C">
              <w:rPr>
                <w:rFonts w:eastAsia="Calibri"/>
              </w:rPr>
              <w:t>.</w:t>
            </w:r>
          </w:p>
          <w:p w14:paraId="257E72EF" w14:textId="77777777" w:rsidR="00E93CDA" w:rsidRPr="0009575C" w:rsidRDefault="00E93CDA" w:rsidP="00A67847">
            <w:pPr>
              <w:pStyle w:val="Tabletext0"/>
              <w:widowControl w:val="0"/>
              <w:spacing w:after="120"/>
              <w:rPr>
                <w:rFonts w:eastAsia="Calibri"/>
              </w:rPr>
            </w:pPr>
            <w:r w:rsidRPr="0009575C">
              <w:rPr>
                <w:rFonts w:eastAsia="Calibri"/>
              </w:rPr>
              <w:t>Age based disutility values were estimated based on an Australian general population sample (Clemens 2014) and assumed to apply to all modelled patients 58 years or older.</w:t>
            </w:r>
          </w:p>
          <w:p w14:paraId="4078F609" w14:textId="77777777" w:rsidR="00EC2D33" w:rsidRPr="0009575C" w:rsidRDefault="00E93CDA" w:rsidP="00A67847">
            <w:pPr>
              <w:pStyle w:val="Tabletext0"/>
              <w:widowControl w:val="0"/>
              <w:spacing w:after="120"/>
              <w:rPr>
                <w:rFonts w:eastAsia="Calibri"/>
              </w:rPr>
            </w:pPr>
            <w:r w:rsidRPr="0009575C">
              <w:rPr>
                <w:rFonts w:eastAsia="Calibri"/>
              </w:rPr>
              <w:t>Hypoglycaemia disutility values (Evans 2013), nausea disutility values (Matza 2007) and first year weight loss utility values (Boye 2022) were estimated from published vignette studies.</w:t>
            </w:r>
          </w:p>
          <w:p w14:paraId="61F076FF" w14:textId="7F9634EA" w:rsidR="00E93CDA" w:rsidRPr="0009575C" w:rsidRDefault="00E93CDA" w:rsidP="007D219D">
            <w:pPr>
              <w:pStyle w:val="COMTabletext"/>
              <w:keepNext w:val="0"/>
              <w:rPr>
                <w:szCs w:val="20"/>
              </w:rPr>
            </w:pPr>
            <w:r w:rsidRPr="0009575C">
              <w:rPr>
                <w:rFonts w:eastAsia="Calibri"/>
              </w:rPr>
              <w:t>Weight disutility values in subsequent years were estimated based on the CODE-2 study (Bagust &amp; Beale, 2005) and applied to all patients with a BMI &gt; 25 kg/m</w:t>
            </w:r>
            <w:r w:rsidRPr="0009575C">
              <w:rPr>
                <w:rFonts w:eastAsia="Calibri"/>
                <w:vertAlign w:val="superscript"/>
              </w:rPr>
              <w:t>2</w:t>
            </w:r>
            <w:r w:rsidR="00A67847" w:rsidRPr="0009575C">
              <w:rPr>
                <w:rFonts w:eastAsia="Calibri"/>
              </w:rPr>
              <w:t>.</w:t>
            </w:r>
          </w:p>
        </w:tc>
      </w:tr>
      <w:tr w:rsidR="00E93CDA" w:rsidRPr="00FA1E86" w14:paraId="20A04EF7" w14:textId="77777777" w:rsidTr="0084191D">
        <w:tc>
          <w:tcPr>
            <w:tcW w:w="779" w:type="pct"/>
            <w:shd w:val="clear" w:color="auto" w:fill="auto"/>
            <w:vAlign w:val="center"/>
          </w:tcPr>
          <w:p w14:paraId="1BAF378D" w14:textId="78FB6ABB" w:rsidR="00E93CDA" w:rsidRPr="00FA1E86" w:rsidRDefault="00E93CDA" w:rsidP="007D219D">
            <w:pPr>
              <w:pStyle w:val="COMTabletext"/>
              <w:keepNext w:val="0"/>
            </w:pPr>
            <w:r w:rsidRPr="00FA1E86">
              <w:t>Costs</w:t>
            </w:r>
          </w:p>
        </w:tc>
        <w:tc>
          <w:tcPr>
            <w:tcW w:w="4221" w:type="pct"/>
            <w:shd w:val="clear" w:color="auto" w:fill="auto"/>
            <w:vAlign w:val="center"/>
          </w:tcPr>
          <w:p w14:paraId="603A77F3" w14:textId="15F180CF" w:rsidR="00E93CDA" w:rsidRPr="0009575C" w:rsidRDefault="00E93CDA" w:rsidP="007D219D">
            <w:pPr>
              <w:pStyle w:val="TableText"/>
              <w:keepNext w:val="0"/>
              <w:widowControl w:val="0"/>
              <w:spacing w:after="120"/>
            </w:pPr>
            <w:r w:rsidRPr="0009575C">
              <w:t>The cost of tirzepatide was based on fixed dosing at 5, 10 or 15 mg per week and the proposed flat effective DPMQ. The cost of semaglutide was based on fixed dosing of 1 mg per week and the effective DPMQ (as this was known to the sponsor). The cost</w:t>
            </w:r>
            <w:r w:rsidR="006C31AD" w:rsidRPr="0009575C">
              <w:t>s</w:t>
            </w:r>
            <w:r w:rsidRPr="0009575C">
              <w:t xml:space="preserve"> of metformin, insulin glargine and insulin aspart were based on WHO defined daily doses and published DPMQs (no special pricing arrangements apply).</w:t>
            </w:r>
          </w:p>
          <w:p w14:paraId="3E189465" w14:textId="0AB4C285" w:rsidR="00E93CDA" w:rsidRPr="0009575C" w:rsidRDefault="00E93CDA" w:rsidP="007D219D">
            <w:pPr>
              <w:pStyle w:val="TableText"/>
              <w:keepNext w:val="0"/>
              <w:widowControl w:val="0"/>
              <w:spacing w:after="120"/>
            </w:pPr>
            <w:r w:rsidRPr="0009575C">
              <w:t>The resubmission assumed that there were no additional costs associated with the management of nausea or hypoglycaemia.</w:t>
            </w:r>
          </w:p>
          <w:p w14:paraId="5001CED7" w14:textId="0025823D" w:rsidR="00E93CDA" w:rsidRPr="0009575C" w:rsidRDefault="00E93CDA" w:rsidP="007D219D">
            <w:pPr>
              <w:pStyle w:val="TableText"/>
              <w:keepNext w:val="0"/>
              <w:widowControl w:val="0"/>
              <w:spacing w:after="120"/>
            </w:pPr>
            <w:r w:rsidRPr="0009575C">
              <w:t>The submission estimated the cost of insulin administration based on the advertised price of consumables (blood glucose testing strips, injection needles and lancets) from the Diabetes Shop website (</w:t>
            </w:r>
            <w:hyperlink r:id="rId9" w:history="1">
              <w:r w:rsidRPr="0009575C">
                <w:rPr>
                  <w:rStyle w:val="Hyperlink"/>
                </w:rPr>
                <w:t>https://diabetesshop.com</w:t>
              </w:r>
            </w:hyperlink>
            <w:r w:rsidRPr="0009575C">
              <w:t>). The submission assumed that second-line therapy with basal insulin would require one injection and finger prick test per day while third-line therapy with basal and bolus insulin would require four injections and finger prick tests per day.</w:t>
            </w:r>
          </w:p>
          <w:p w14:paraId="2BF2E74D" w14:textId="023C9FA1" w:rsidR="00E93CDA" w:rsidRPr="0009575C" w:rsidRDefault="00E93CDA" w:rsidP="007D219D">
            <w:pPr>
              <w:pStyle w:val="COMTabletext"/>
              <w:keepNext w:val="0"/>
              <w:rPr>
                <w:szCs w:val="20"/>
              </w:rPr>
            </w:pPr>
            <w:r w:rsidRPr="0009575C">
              <w:t>Diabetes complications costs</w:t>
            </w:r>
            <w:r w:rsidR="006C31AD" w:rsidRPr="0009575C">
              <w:t xml:space="preserve"> were</w:t>
            </w:r>
            <w:r w:rsidRPr="0009575C">
              <w:t xml:space="preserve"> primarily based on panel data from Western Australia using linked administrative claims databases (Clarke 2008). The submission inflated costs using the CPI health index.</w:t>
            </w:r>
          </w:p>
        </w:tc>
      </w:tr>
      <w:tr w:rsidR="00E93CDA" w:rsidRPr="00FA1E86" w14:paraId="3EFF3064" w14:textId="77777777" w:rsidTr="0084191D">
        <w:tc>
          <w:tcPr>
            <w:tcW w:w="779" w:type="pct"/>
            <w:shd w:val="clear" w:color="auto" w:fill="auto"/>
            <w:vAlign w:val="center"/>
          </w:tcPr>
          <w:p w14:paraId="6685A7B8" w14:textId="77777777" w:rsidR="00E93CDA" w:rsidRPr="00FA1E86" w:rsidRDefault="00E93CDA" w:rsidP="007D219D">
            <w:pPr>
              <w:pStyle w:val="COMTabletext"/>
              <w:keepNext w:val="0"/>
            </w:pPr>
            <w:r w:rsidRPr="00FA1E86">
              <w:t>Discount rate</w:t>
            </w:r>
          </w:p>
        </w:tc>
        <w:tc>
          <w:tcPr>
            <w:tcW w:w="4221" w:type="pct"/>
            <w:shd w:val="clear" w:color="auto" w:fill="auto"/>
            <w:vAlign w:val="center"/>
          </w:tcPr>
          <w:p w14:paraId="30802459" w14:textId="77777777" w:rsidR="00E93CDA" w:rsidRPr="00FA1E86" w:rsidRDefault="00E93CDA" w:rsidP="007D219D">
            <w:pPr>
              <w:pStyle w:val="COMTabletext"/>
              <w:keepNext w:val="0"/>
            </w:pPr>
            <w:r w:rsidRPr="00FA1E86">
              <w:t>5% for costs and outcomes</w:t>
            </w:r>
          </w:p>
        </w:tc>
      </w:tr>
      <w:tr w:rsidR="00E93CDA" w:rsidRPr="00FA1E86" w14:paraId="57FD3AEE" w14:textId="77777777" w:rsidTr="0084191D">
        <w:tc>
          <w:tcPr>
            <w:tcW w:w="779" w:type="pct"/>
            <w:shd w:val="clear" w:color="auto" w:fill="auto"/>
            <w:vAlign w:val="center"/>
          </w:tcPr>
          <w:p w14:paraId="5EF03FCC" w14:textId="77777777" w:rsidR="00E93CDA" w:rsidRPr="00FA1E86" w:rsidRDefault="00E93CDA" w:rsidP="007D219D">
            <w:pPr>
              <w:pStyle w:val="COMTabletext"/>
              <w:keepNext w:val="0"/>
              <w:rPr>
                <w:rFonts w:ascii="Times" w:eastAsia="Times New Roman" w:hAnsi="Times" w:cs="Times New Roman"/>
                <w:szCs w:val="20"/>
              </w:rPr>
            </w:pPr>
            <w:r w:rsidRPr="00FA1E86">
              <w:t>Software package</w:t>
            </w:r>
          </w:p>
        </w:tc>
        <w:tc>
          <w:tcPr>
            <w:tcW w:w="4221" w:type="pct"/>
            <w:shd w:val="clear" w:color="auto" w:fill="auto"/>
            <w:vAlign w:val="center"/>
          </w:tcPr>
          <w:p w14:paraId="41CC5C49" w14:textId="77777777" w:rsidR="00E93CDA" w:rsidRPr="00FA1E86" w:rsidRDefault="00E93CDA" w:rsidP="007D219D">
            <w:pPr>
              <w:pStyle w:val="COMTabletext"/>
              <w:keepNext w:val="0"/>
            </w:pPr>
            <w:r w:rsidRPr="00FA1E86">
              <w:t>Microsoft Excel</w:t>
            </w:r>
          </w:p>
        </w:tc>
      </w:tr>
    </w:tbl>
    <w:p w14:paraId="6E16873D" w14:textId="77777777" w:rsidR="00E93CDA" w:rsidRPr="00FA1E86" w:rsidRDefault="00E93CDA" w:rsidP="00E93CDA">
      <w:pPr>
        <w:pStyle w:val="COMTablefooter"/>
      </w:pPr>
      <w:r w:rsidRPr="00FA1E86">
        <w:t>Source: Section 3.2-3.6, pp264-295 of the submission</w:t>
      </w:r>
    </w:p>
    <w:p w14:paraId="3430DA47" w14:textId="6F3EE1CF" w:rsidR="00E93CDA" w:rsidRPr="00FA1E86" w:rsidRDefault="00E93CDA" w:rsidP="00E93CDA">
      <w:pPr>
        <w:pStyle w:val="COMTablefooter"/>
      </w:pPr>
      <w:r w:rsidRPr="00FA1E86">
        <w:t>Abbreviations: BMI, body mass index; CPI, consumer price index; DPMQ, dispensed price per maximum quantity; eGFR, estimated glomerular filtration rate; GIP, glucose-dependent insulinotropic peptide; GLP-1 RA glucagon-like peptide-1 receptor agonists; HbA1c, Hb</w:t>
      </w:r>
      <w:r w:rsidR="006C31AD" w:rsidRPr="00FA1E86">
        <w:t>A</w:t>
      </w:r>
      <w:r w:rsidRPr="00FA1E86">
        <w:t>1c, glycated haemoglobin; HDL, high density lipoprotein cholesterol; LDL, low density lipoprotein cholesterol; UKPDS (OM2), United Kingdom Prospective Diabetes Study (Outcomes Model 2); WHO, World Health Organization</w:t>
      </w:r>
    </w:p>
    <w:p w14:paraId="002C3ED1" w14:textId="77777777" w:rsidR="00EC2D33" w:rsidRDefault="00E93CDA" w:rsidP="00E93CDA">
      <w:pPr>
        <w:pStyle w:val="COMexecsumnumberedpara"/>
      </w:pPr>
      <w:r w:rsidRPr="00FA1E86">
        <w:t>A set of baseline characteristics (demographics, biomarkers, history of complications) is individually generated for each modelled patient. Over the course of the model, all patients experience disease progression characterised by a gradual increase in HbA1c over time.</w:t>
      </w:r>
    </w:p>
    <w:p w14:paraId="47567169" w14:textId="7B838903" w:rsidR="00E93CDA" w:rsidRPr="00FA1E86" w:rsidRDefault="00E93CDA" w:rsidP="00E93CDA">
      <w:pPr>
        <w:pStyle w:val="COMexecsumnumberedpara"/>
      </w:pPr>
      <w:r w:rsidRPr="00FA1E86">
        <w:t>The model incorporates treatment effects for each therapy based on changes to HbA1c, systolic blood pressure, LDL cholesterol, HDL cholesterol, body mass index, estimated glomerular filtration rate and heart rate.</w:t>
      </w:r>
    </w:p>
    <w:p w14:paraId="0F04DAFF" w14:textId="77777777" w:rsidR="00EC2D33" w:rsidRDefault="00E93CDA" w:rsidP="00E93CDA">
      <w:pPr>
        <w:pStyle w:val="COMexecsumnumberedpara"/>
        <w:rPr>
          <w:i/>
          <w:iCs/>
        </w:rPr>
      </w:pPr>
      <w:bookmarkStart w:id="47" w:name="_Ref137480119"/>
      <w:r w:rsidRPr="00FA1E86">
        <w:t xml:space="preserve">Patients are initially treated with GLP-1 RA/GIP therapies until their HbA1c levels increase to 7.5% after which they discontinue GLP-1 RA/GIP therapy and switch to basal insulin. Patients are then assumed to remain on fixed dose insulin glargine until </w:t>
      </w:r>
      <w:r w:rsidRPr="00FA1E86">
        <w:lastRenderedPageBreak/>
        <w:t>their HbA1c levels again increase to 7.5% after which they switch to an insulin intensification regimen (basal with bolus insulin). While receiving treatment, patients are at risk of experiencing nausea (GLP-1 RA/GIP therapies for the first year only) and hypoglycaemia episodes.</w:t>
      </w:r>
      <w:bookmarkEnd w:id="47"/>
    </w:p>
    <w:p w14:paraId="6FC9B5FB" w14:textId="3C727BD1" w:rsidR="00E93CDA" w:rsidRPr="00FA1E86" w:rsidRDefault="00E93CDA" w:rsidP="00E93CDA">
      <w:pPr>
        <w:pStyle w:val="COMexecsumnumberedpara"/>
      </w:pPr>
      <w:r w:rsidRPr="00FA1E86">
        <w:t>During each cycle, patients may experience one or more diabetes complications (congestive heart failure, ischaemic heart disease, myocardial infarction, stroke, blindness, ulcer, amputation, renal failure) or remain event-free. Patients may experience death in any cycle.</w:t>
      </w:r>
    </w:p>
    <w:p w14:paraId="09E24BEF" w14:textId="52E5E08D" w:rsidR="00E93CDA" w:rsidRPr="00FA1E86" w:rsidRDefault="00E93CDA" w:rsidP="00E93CDA">
      <w:pPr>
        <w:pStyle w:val="COMexecsumnumberedpara"/>
      </w:pPr>
      <w:r w:rsidRPr="00FA1E86">
        <w:t xml:space="preserve">The risks of diabetes complications and mortality vary over time based on current biomarkers, demographic </w:t>
      </w:r>
      <w:proofErr w:type="gramStart"/>
      <w:r w:rsidRPr="00FA1E86">
        <w:t>characteristics</w:t>
      </w:r>
      <w:proofErr w:type="gramEnd"/>
      <w:r w:rsidRPr="00FA1E86">
        <w:t xml:space="preserve"> and prior event history.</w:t>
      </w:r>
    </w:p>
    <w:p w14:paraId="57E46FBE" w14:textId="5F86036E" w:rsidR="00801787" w:rsidRPr="00065852" w:rsidRDefault="00091018" w:rsidP="00E93CDA">
      <w:pPr>
        <w:pStyle w:val="COMexecsumnumberedpara"/>
      </w:pPr>
      <w:r w:rsidRPr="00065852">
        <w:t>During the evaluation, an error was noted in the calculation of both basal and bolus insulin costs as the submission incorrectly assumed 1,500 IU were dispensed per prescription (based on 5 pens) rather than 7,500 IU per prescription (based on 5 packs of 5 pens). This error was corrected during the evaluation.</w:t>
      </w:r>
    </w:p>
    <w:p w14:paraId="333E7857" w14:textId="7E6B206B" w:rsidR="00091018" w:rsidRPr="00D22D61" w:rsidRDefault="00091018" w:rsidP="00E93CDA">
      <w:pPr>
        <w:pStyle w:val="COMexecsumnumberedpara"/>
      </w:pPr>
      <w:r w:rsidRPr="00065852">
        <w:t xml:space="preserve">The price of insulin aspart </w:t>
      </w:r>
      <w:r w:rsidRPr="00D22D61">
        <w:t>was subject to a mandatory price reduction on 1 April 2023 which decreased the price from $211.62 per script (used in the submission) to $166.22 per script. The updated price was used during the evaluation.</w:t>
      </w:r>
    </w:p>
    <w:p w14:paraId="6EC7B2E3" w14:textId="7E707B60" w:rsidR="00105784" w:rsidRPr="005410BA" w:rsidRDefault="00105784" w:rsidP="00E93CDA">
      <w:pPr>
        <w:pStyle w:val="COMexecsumnumberedpara"/>
        <w:rPr>
          <w:i/>
          <w:iCs/>
        </w:rPr>
      </w:pPr>
      <w:r w:rsidRPr="00065852">
        <w:t xml:space="preserve">During the evaluation an inconsistency was noted in the application of treatment effects for eGFR with some parts of the submission stating that estimates revert to baseline in the </w:t>
      </w:r>
      <w:proofErr w:type="gramStart"/>
      <w:r w:rsidRPr="00065852">
        <w:t>second-line</w:t>
      </w:r>
      <w:proofErr w:type="gramEnd"/>
      <w:r w:rsidRPr="00065852">
        <w:t xml:space="preserve"> setting (model structure, risk factor progression, treatment effects) </w:t>
      </w:r>
      <w:r w:rsidRPr="005410BA">
        <w:t xml:space="preserve">while </w:t>
      </w:r>
      <w:r w:rsidR="00F87436">
        <w:t>alternatively</w:t>
      </w:r>
      <w:r w:rsidRPr="00065852">
        <w:t xml:space="preserve"> eGFR remained constant at the level observed with first line therapy (event simulation). Similar inconsistencies were also noted in model spreadsheet. During the evaluation, the base case analysis was respecified assuming eGFR reverts to baseline for all treatment arms to maintain consistency between analyses.</w:t>
      </w:r>
      <w:r w:rsidR="00CE329A">
        <w:t xml:space="preserve"> </w:t>
      </w:r>
      <w:r w:rsidR="00B63A8F" w:rsidRPr="00BC7837">
        <w:t xml:space="preserve">The </w:t>
      </w:r>
      <w:proofErr w:type="gramStart"/>
      <w:r w:rsidR="00B63A8F" w:rsidRPr="00BC7837">
        <w:t>PSCR  claimed</w:t>
      </w:r>
      <w:proofErr w:type="gramEnd"/>
      <w:r w:rsidR="00B63A8F" w:rsidRPr="00BC7837">
        <w:t xml:space="preserve"> that </w:t>
      </w:r>
      <w:r w:rsidR="00A56D2C" w:rsidRPr="00BC7837">
        <w:t xml:space="preserve">the assumption that </w:t>
      </w:r>
      <w:r w:rsidR="00B63A8F" w:rsidRPr="00BC7837">
        <w:t xml:space="preserve">eGFR </w:t>
      </w:r>
      <w:r w:rsidR="00A56D2C" w:rsidRPr="00BC7837">
        <w:t>remains unchanged upon insulin intensification was appropriate as increases on treatment discontinuation</w:t>
      </w:r>
      <w:r w:rsidR="003464E1" w:rsidRPr="00BC7837">
        <w:t xml:space="preserve"> would</w:t>
      </w:r>
      <w:r w:rsidR="00A56D2C" w:rsidRPr="00BC7837">
        <w:t xml:space="preserve"> impl</w:t>
      </w:r>
      <w:r w:rsidR="003464E1" w:rsidRPr="00BC7837">
        <w:t>y</w:t>
      </w:r>
      <w:r w:rsidR="00A56D2C" w:rsidRPr="00BC7837">
        <w:t xml:space="preserve"> that renal function is restored</w:t>
      </w:r>
      <w:r w:rsidR="00B63A8F" w:rsidRPr="00BC7837">
        <w:t xml:space="preserve">. The ESC </w:t>
      </w:r>
      <w:r w:rsidR="00A56D2C" w:rsidRPr="00BC7837">
        <w:t>acknowledged the PSCR argument and</w:t>
      </w:r>
      <w:r w:rsidR="00727D26" w:rsidRPr="00BC7837">
        <w:t xml:space="preserve"> noted the </w:t>
      </w:r>
      <w:r w:rsidR="00B63A8F" w:rsidRPr="00BC7837">
        <w:t xml:space="preserve">effect on the ICER </w:t>
      </w:r>
      <w:r w:rsidR="00A56D2C" w:rsidRPr="00BC7837">
        <w:t xml:space="preserve">of allowing first-line treatment effects for eGFR while receiving later lines of therapy </w:t>
      </w:r>
      <w:r w:rsidR="00B63A8F" w:rsidRPr="00BC7837">
        <w:t xml:space="preserve">was </w:t>
      </w:r>
      <w:r w:rsidR="003464E1" w:rsidRPr="00BC7837">
        <w:t>negligible</w:t>
      </w:r>
      <w:r w:rsidR="00B63A8F" w:rsidRPr="00BC7837">
        <w:t xml:space="preserve"> (see </w:t>
      </w:r>
      <w:r w:rsidR="00B63A8F" w:rsidRPr="00BC7837">
        <w:fldChar w:fldCharType="begin" w:fldLock="1"/>
      </w:r>
      <w:r w:rsidR="00B63A8F" w:rsidRPr="00BC7837">
        <w:instrText xml:space="preserve"> REF _Ref134181638 \h  \* MERGEFORMAT </w:instrText>
      </w:r>
      <w:r w:rsidR="00B63A8F" w:rsidRPr="00BC7837">
        <w:fldChar w:fldCharType="separate"/>
      </w:r>
      <w:r w:rsidR="00391E15" w:rsidRPr="00FA1E86">
        <w:t xml:space="preserve">Table </w:t>
      </w:r>
      <w:r w:rsidR="00391E15">
        <w:rPr>
          <w:noProof/>
        </w:rPr>
        <w:t>14</w:t>
      </w:r>
      <w:r w:rsidR="00B63A8F" w:rsidRPr="00BC7837">
        <w:fldChar w:fldCharType="end"/>
      </w:r>
      <w:r w:rsidR="00B63A8F" w:rsidRPr="00BC7837">
        <w:t>).</w:t>
      </w:r>
    </w:p>
    <w:p w14:paraId="6B71C329" w14:textId="1BB537B6" w:rsidR="00E93CDA" w:rsidRPr="00FA1E86" w:rsidRDefault="00E93CDA" w:rsidP="00E93CDA">
      <w:pPr>
        <w:pStyle w:val="COMexecsumnumberedpara"/>
      </w:pPr>
      <w:r w:rsidRPr="00FA1E86">
        <w:t xml:space="preserve">Key drivers of the economic model are summarised in </w:t>
      </w:r>
      <w:r w:rsidR="00BA0A67" w:rsidRPr="00FA1E86">
        <w:fldChar w:fldCharType="begin" w:fldLock="1"/>
      </w:r>
      <w:r w:rsidR="00BA0A67" w:rsidRPr="00FA1E86">
        <w:instrText xml:space="preserve"> REF _Ref104805122 \h </w:instrText>
      </w:r>
      <w:r w:rsidR="00BA0A67" w:rsidRPr="00FA1E86">
        <w:fldChar w:fldCharType="separate"/>
      </w:r>
      <w:r w:rsidR="00B71E27" w:rsidRPr="00FA1E86">
        <w:t xml:space="preserve">Table </w:t>
      </w:r>
      <w:r w:rsidR="00B71E27">
        <w:rPr>
          <w:noProof/>
        </w:rPr>
        <w:t>12</w:t>
      </w:r>
      <w:r w:rsidR="00BA0A67" w:rsidRPr="00FA1E86">
        <w:fldChar w:fldCharType="end"/>
      </w:r>
      <w:r w:rsidRPr="00FA1E86">
        <w:t>.</w:t>
      </w:r>
    </w:p>
    <w:p w14:paraId="774D46B7" w14:textId="18D908F0" w:rsidR="00D110BD" w:rsidRPr="00FA1E86" w:rsidRDefault="00EC6E59" w:rsidP="00E94884">
      <w:pPr>
        <w:pStyle w:val="COMtablefigcaption"/>
      </w:pPr>
      <w:bookmarkStart w:id="48" w:name="_Ref104805122"/>
      <w:r w:rsidRPr="00FA1E86">
        <w:t xml:space="preserve">Table </w:t>
      </w:r>
      <w:fldSimple w:instr=" SEQ Table \* ARABIC " w:fldLock="1">
        <w:r w:rsidR="00B71E27">
          <w:rPr>
            <w:noProof/>
          </w:rPr>
          <w:t>12</w:t>
        </w:r>
      </w:fldSimple>
      <w:bookmarkEnd w:id="48"/>
      <w:r w:rsidR="00E16AD8" w:rsidRPr="00FA1E86">
        <w:t>:</w:t>
      </w:r>
      <w:r w:rsidR="00D110BD" w:rsidRPr="00FA1E86">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13"/>
        <w:gridCol w:w="6195"/>
        <w:gridCol w:w="1509"/>
      </w:tblGrid>
      <w:tr w:rsidR="00537182" w:rsidRPr="00FA1E86" w14:paraId="4DD8026E" w14:textId="77777777" w:rsidTr="001825F4">
        <w:trPr>
          <w:tblHeader/>
        </w:trPr>
        <w:tc>
          <w:tcPr>
            <w:tcW w:w="728" w:type="pct"/>
            <w:shd w:val="clear" w:color="auto" w:fill="auto"/>
            <w:vAlign w:val="center"/>
          </w:tcPr>
          <w:p w14:paraId="6A9EC2DA" w14:textId="77777777" w:rsidR="00D110BD" w:rsidRPr="00FA1E86" w:rsidRDefault="00D110BD" w:rsidP="00043972">
            <w:pPr>
              <w:pStyle w:val="COMTableheadingrow"/>
              <w:keepNext w:val="0"/>
              <w:jc w:val="center"/>
              <w:rPr>
                <w:lang w:val="en-AU"/>
              </w:rPr>
            </w:pPr>
            <w:r w:rsidRPr="00FA1E86">
              <w:rPr>
                <w:lang w:val="en-AU"/>
              </w:rPr>
              <w:t>Description</w:t>
            </w:r>
          </w:p>
        </w:tc>
        <w:tc>
          <w:tcPr>
            <w:tcW w:w="3435" w:type="pct"/>
            <w:shd w:val="clear" w:color="auto" w:fill="auto"/>
            <w:vAlign w:val="center"/>
          </w:tcPr>
          <w:p w14:paraId="67A62672" w14:textId="77777777" w:rsidR="00D110BD" w:rsidRPr="00FA1E86" w:rsidRDefault="00D110BD" w:rsidP="00043972">
            <w:pPr>
              <w:pStyle w:val="COMTableheadingrow"/>
              <w:keepNext w:val="0"/>
              <w:jc w:val="center"/>
              <w:rPr>
                <w:lang w:val="en-AU"/>
              </w:rPr>
            </w:pPr>
            <w:r w:rsidRPr="00FA1E86">
              <w:rPr>
                <w:lang w:val="en-AU"/>
              </w:rPr>
              <w:t>Method/Value</w:t>
            </w:r>
          </w:p>
        </w:tc>
        <w:tc>
          <w:tcPr>
            <w:tcW w:w="837" w:type="pct"/>
            <w:shd w:val="clear" w:color="auto" w:fill="auto"/>
            <w:vAlign w:val="center"/>
          </w:tcPr>
          <w:p w14:paraId="6C1DC9EA" w14:textId="13EE474A" w:rsidR="00490B17" w:rsidRPr="00FA1E86" w:rsidRDefault="00D110BD" w:rsidP="00043972">
            <w:pPr>
              <w:pStyle w:val="COMTableheadingrow"/>
              <w:keepNext w:val="0"/>
              <w:jc w:val="center"/>
              <w:rPr>
                <w:lang w:val="en-AU"/>
              </w:rPr>
            </w:pPr>
            <w:r w:rsidRPr="00FA1E86">
              <w:rPr>
                <w:lang w:val="en-AU"/>
              </w:rPr>
              <w:t>Impact</w:t>
            </w:r>
          </w:p>
        </w:tc>
      </w:tr>
      <w:tr w:rsidR="00537182" w:rsidRPr="00FA1E86" w14:paraId="3DE22150" w14:textId="77777777" w:rsidTr="001825F4">
        <w:tc>
          <w:tcPr>
            <w:tcW w:w="728" w:type="pct"/>
            <w:shd w:val="clear" w:color="auto" w:fill="auto"/>
            <w:vAlign w:val="center"/>
          </w:tcPr>
          <w:p w14:paraId="72E20981" w14:textId="649B6FCA" w:rsidR="00D110BD" w:rsidRPr="00FA1E86" w:rsidRDefault="004F6B05" w:rsidP="00043972">
            <w:pPr>
              <w:pStyle w:val="COMTabletext"/>
              <w:keepNext w:val="0"/>
            </w:pPr>
            <w:r w:rsidRPr="00FA1E86">
              <w:t>Circumstances of use</w:t>
            </w:r>
          </w:p>
        </w:tc>
        <w:tc>
          <w:tcPr>
            <w:tcW w:w="3435" w:type="pct"/>
            <w:shd w:val="clear" w:color="auto" w:fill="auto"/>
            <w:vAlign w:val="center"/>
          </w:tcPr>
          <w:p w14:paraId="0B71772C" w14:textId="303973A3" w:rsidR="004F6B05" w:rsidRPr="00065852" w:rsidRDefault="004F6B05" w:rsidP="00043972">
            <w:pPr>
              <w:pStyle w:val="COMTabletext"/>
              <w:keepNext w:val="0"/>
              <w:spacing w:after="60"/>
            </w:pPr>
            <w:r w:rsidRPr="00065852">
              <w:t>The modelled circumstances of use were based on the following assumptions:</w:t>
            </w:r>
          </w:p>
          <w:p w14:paraId="1AF58590" w14:textId="1634D35B" w:rsidR="004F6B05" w:rsidRPr="00065852" w:rsidRDefault="004F6B05" w:rsidP="00422C04">
            <w:pPr>
              <w:pStyle w:val="COMTabletext"/>
              <w:keepNext w:val="0"/>
              <w:numPr>
                <w:ilvl w:val="0"/>
                <w:numId w:val="14"/>
              </w:numPr>
              <w:spacing w:after="60"/>
              <w:ind w:left="142" w:hanging="142"/>
            </w:pPr>
            <w:r w:rsidRPr="00065852">
              <w:t xml:space="preserve">Flat dosing of both tirzepatide (5 mg, 10 mg, 15 mg weekly) and semaglutide </w:t>
            </w:r>
            <w:r w:rsidR="006C31AD" w:rsidRPr="00065852">
              <w:br/>
            </w:r>
            <w:r w:rsidRPr="00065852">
              <w:t>(1 mg weekly). This assumption was consistent with the trial data but was unlikely to reflect use in clinical practice as</w:t>
            </w:r>
            <w:r w:rsidR="001825F4" w:rsidRPr="00065852">
              <w:t xml:space="preserve"> both P</w:t>
            </w:r>
            <w:r w:rsidR="00E67FBB">
              <w:t>I</w:t>
            </w:r>
            <w:r w:rsidR="001825F4" w:rsidRPr="00065852">
              <w:t>s</w:t>
            </w:r>
            <w:r w:rsidRPr="00065852">
              <w:t xml:space="preserve"> recommend flexible dose titration.</w:t>
            </w:r>
          </w:p>
          <w:p w14:paraId="5811B017" w14:textId="6DF5FE7D" w:rsidR="004F6B05" w:rsidRPr="00065852" w:rsidRDefault="004F6B05" w:rsidP="00422C04">
            <w:pPr>
              <w:pStyle w:val="COMTabletext"/>
              <w:keepNext w:val="0"/>
              <w:numPr>
                <w:ilvl w:val="0"/>
                <w:numId w:val="14"/>
              </w:numPr>
              <w:spacing w:after="60"/>
              <w:ind w:left="142" w:hanging="142"/>
            </w:pPr>
            <w:r w:rsidRPr="00065852">
              <w:t xml:space="preserve">Patients cannot prematurely discontinue therapy. This assumption was inconsistent with the SURPASS-2 trial data which indicated that 8.3% of tirzepatide 5 mg, 12.4% of tirzepatide 10 mg, 13.2% of tirzepatide 15 mg and 8.7% of semaglutide 1 mg patients discontinued therapy over the </w:t>
            </w:r>
            <w:r w:rsidR="007227FF" w:rsidRPr="00065852">
              <w:t>40-week</w:t>
            </w:r>
            <w:r w:rsidRPr="00065852">
              <w:t xml:space="preserve"> trial duration. In clinical practice, patients will discontinue therapy for a variety of reasons.</w:t>
            </w:r>
          </w:p>
          <w:p w14:paraId="0F5E299C" w14:textId="10FADB64" w:rsidR="00EC2D33" w:rsidRDefault="004F6B05" w:rsidP="00422C04">
            <w:pPr>
              <w:pStyle w:val="COMTabletext"/>
              <w:keepNext w:val="0"/>
              <w:numPr>
                <w:ilvl w:val="0"/>
                <w:numId w:val="14"/>
              </w:numPr>
              <w:spacing w:after="60"/>
              <w:ind w:left="142" w:hanging="142"/>
            </w:pPr>
            <w:r w:rsidRPr="00065852">
              <w:lastRenderedPageBreak/>
              <w:t>Patients would switch to insulin therapy if HbA1c levels exceed the treatment target of 7.5%. The submission assumed that insulin therapy would be intensified if patients reached the same threshold again. This assumption may not be appropriate as the ESC has previously advised the PBAC that HbA1c levels are often greater than 8% before switching to insulin in clinical practice (para 6.76, semaglutide P</w:t>
            </w:r>
            <w:r w:rsidR="001825F4" w:rsidRPr="00065852">
              <w:t>SD</w:t>
            </w:r>
            <w:r w:rsidRPr="00065852">
              <w:t>, November 2019 PBAC meeting).</w:t>
            </w:r>
            <w:r w:rsidR="008F4E97">
              <w:t xml:space="preserve"> </w:t>
            </w:r>
            <w:r w:rsidR="00CB6808" w:rsidRPr="00BC7837">
              <w:t xml:space="preserve">The </w:t>
            </w:r>
            <w:proofErr w:type="gramStart"/>
            <w:r w:rsidR="00380BDA" w:rsidRPr="00BC7837">
              <w:t>PSCR  argued</w:t>
            </w:r>
            <w:proofErr w:type="gramEnd"/>
            <w:r w:rsidR="00380BDA" w:rsidRPr="00BC7837">
              <w:t xml:space="preserve"> that a threshold of 7.5% is consistent with that outlined in the PBS restrictions for use of medicines in combination with insulin. The </w:t>
            </w:r>
            <w:r w:rsidR="00CB6808" w:rsidRPr="00BC7837">
              <w:t xml:space="preserve">ESC reaffirmed its previous advice that a HbA1c threshold of </w:t>
            </w:r>
            <w:r w:rsidR="00335817" w:rsidRPr="00BC7837">
              <w:t xml:space="preserve">at least </w:t>
            </w:r>
            <w:r w:rsidR="00CB6808" w:rsidRPr="00BC7837">
              <w:t>8% would be more reflective of current clinical practice.</w:t>
            </w:r>
          </w:p>
          <w:p w14:paraId="7EEE71C0" w14:textId="088D9B2D" w:rsidR="00EC2D33" w:rsidRDefault="004F6B05" w:rsidP="00422C04">
            <w:pPr>
              <w:pStyle w:val="COMTabletext"/>
              <w:keepNext w:val="0"/>
              <w:numPr>
                <w:ilvl w:val="0"/>
                <w:numId w:val="14"/>
              </w:numPr>
              <w:spacing w:after="60"/>
              <w:ind w:left="142" w:hanging="142"/>
            </w:pPr>
            <w:r w:rsidRPr="00065852">
              <w:t xml:space="preserve">Patients must stop tirzepatide and semaglutide before switching to insulin therapy. </w:t>
            </w:r>
            <w:r w:rsidR="00335817" w:rsidRPr="00BC7837">
              <w:t xml:space="preserve">The ESC agreed with the evaluation that this </w:t>
            </w:r>
            <w:r w:rsidRPr="00BC7837">
              <w:t>assumption was inappropriate for semaglutide given that both the current and draft PBS restriction for semaglutide allow concomitant therapy with insulin. In practice, it is likely that GLP-1 RA treatments would be continued in combination with insulin due to their established glycaemic control and weight loss benefits.</w:t>
            </w:r>
            <w:r w:rsidR="00335817" w:rsidRPr="00BC7837">
              <w:t xml:space="preserve"> The ESC also considered there would likely be continued use of tirzepatide alongside insulin given clinical data in this setting </w:t>
            </w:r>
            <w:r w:rsidR="00D1185E" w:rsidRPr="00BC7837">
              <w:t xml:space="preserve">(SURPASS-5) </w:t>
            </w:r>
            <w:r w:rsidR="00335817" w:rsidRPr="00BC7837">
              <w:t xml:space="preserve">and </w:t>
            </w:r>
            <w:r w:rsidR="00D1185E" w:rsidRPr="00BC7837">
              <w:t xml:space="preserve">potential </w:t>
            </w:r>
            <w:r w:rsidR="00335817" w:rsidRPr="00BC7837">
              <w:t xml:space="preserve">weight </w:t>
            </w:r>
            <w:r w:rsidR="00D1185E" w:rsidRPr="00BC7837">
              <w:t>gain</w:t>
            </w:r>
            <w:r w:rsidR="00335817" w:rsidRPr="00BC7837">
              <w:t xml:space="preserve"> with insulin</w:t>
            </w:r>
            <w:r w:rsidR="00BC2322">
              <w:t xml:space="preserve">. The pre-PBAC </w:t>
            </w:r>
            <w:proofErr w:type="gramStart"/>
            <w:r w:rsidR="00BC2322">
              <w:t>response  noted</w:t>
            </w:r>
            <w:proofErr w:type="gramEnd"/>
            <w:r w:rsidR="00BC2322">
              <w:t xml:space="preserve"> that SURPASS-5 was conducted in in patients who are insufficiently controlled on insulin glargine and subsequently have tirzepatide added to their treatment regimen. The pre-PBAC </w:t>
            </w:r>
            <w:proofErr w:type="gramStart"/>
            <w:r w:rsidR="00BC2322">
              <w:t>response  argued</w:t>
            </w:r>
            <w:proofErr w:type="gramEnd"/>
            <w:r w:rsidR="00BC2322">
              <w:t xml:space="preserve"> that inclusion of concomitant use of a GLP-1 RA</w:t>
            </w:r>
            <w:r w:rsidR="008169AA">
              <w:t>/GIP</w:t>
            </w:r>
            <w:r w:rsidR="00BC2322">
              <w:t xml:space="preserve"> and insulin</w:t>
            </w:r>
            <w:r w:rsidR="008169AA">
              <w:t xml:space="preserve"> therapies</w:t>
            </w:r>
            <w:r w:rsidR="00BC2322">
              <w:t xml:space="preserve"> in the economic model would require evidence on </w:t>
            </w:r>
            <w:r w:rsidR="008169AA">
              <w:t xml:space="preserve">a different treatment sequence, namely, </w:t>
            </w:r>
            <w:r w:rsidR="00BC2322">
              <w:t>patients inadequately controlled on tirzepatide or a GLP-1 RA having insulin added to their regimen</w:t>
            </w:r>
            <w:r w:rsidR="008169AA">
              <w:t xml:space="preserve">. The pre-PBAC </w:t>
            </w:r>
            <w:proofErr w:type="gramStart"/>
            <w:r w:rsidR="008169AA">
              <w:t>response  stated</w:t>
            </w:r>
            <w:proofErr w:type="gramEnd"/>
            <w:r w:rsidR="008169AA">
              <w:t xml:space="preserve"> that such evidence was not available.</w:t>
            </w:r>
          </w:p>
          <w:p w14:paraId="64938802" w14:textId="2A6EFD0C" w:rsidR="00106B80" w:rsidRPr="00065852" w:rsidRDefault="004F6B05" w:rsidP="00422C04">
            <w:pPr>
              <w:pStyle w:val="COMTabletext"/>
              <w:keepNext w:val="0"/>
              <w:numPr>
                <w:ilvl w:val="0"/>
                <w:numId w:val="14"/>
              </w:numPr>
              <w:ind w:left="142" w:hanging="142"/>
            </w:pPr>
            <w:r w:rsidRPr="00065852">
              <w:t>Flat dosing of insulin therapies (basal insulin 40 IU/day; basal with bolus insulin 80 IU/day). This assumption was not consistent with use of insulin in clinical practice as therapy i</w:t>
            </w:r>
            <w:r w:rsidR="006C31AD" w:rsidRPr="00065852">
              <w:t>s</w:t>
            </w:r>
            <w:r w:rsidRPr="00065852">
              <w:t xml:space="preserve"> typically titrated over time to maintain glycaemic control.</w:t>
            </w:r>
          </w:p>
        </w:tc>
        <w:tc>
          <w:tcPr>
            <w:tcW w:w="837" w:type="pct"/>
            <w:shd w:val="clear" w:color="auto" w:fill="auto"/>
            <w:vAlign w:val="center"/>
          </w:tcPr>
          <w:p w14:paraId="61331895" w14:textId="254E80CC" w:rsidR="004F6B05" w:rsidRPr="00065852" w:rsidRDefault="00D110BD" w:rsidP="00043972">
            <w:pPr>
              <w:pStyle w:val="COMTabletext"/>
              <w:keepNext w:val="0"/>
              <w:jc w:val="center"/>
            </w:pPr>
            <w:r w:rsidRPr="00065852">
              <w:lastRenderedPageBreak/>
              <w:t>High,</w:t>
            </w:r>
          </w:p>
          <w:p w14:paraId="0AD58F2B" w14:textId="0042FF73" w:rsidR="00490B17" w:rsidRPr="00065852" w:rsidRDefault="004F6B05" w:rsidP="00043972">
            <w:pPr>
              <w:pStyle w:val="COMTabletext"/>
              <w:keepNext w:val="0"/>
              <w:jc w:val="center"/>
            </w:pPr>
            <w:r w:rsidRPr="00065852">
              <w:t>direction unclear</w:t>
            </w:r>
          </w:p>
        </w:tc>
      </w:tr>
      <w:tr w:rsidR="00494DD9" w:rsidRPr="00FA1E86" w14:paraId="7D913755" w14:textId="77777777" w:rsidTr="001825F4">
        <w:tc>
          <w:tcPr>
            <w:tcW w:w="728" w:type="pct"/>
            <w:shd w:val="clear" w:color="auto" w:fill="auto"/>
            <w:vAlign w:val="center"/>
          </w:tcPr>
          <w:p w14:paraId="2DDE8B53" w14:textId="0F4550BE" w:rsidR="00494DD9" w:rsidRPr="00FA1E86" w:rsidRDefault="00494DD9" w:rsidP="00043972">
            <w:pPr>
              <w:pStyle w:val="COMTabletext"/>
              <w:keepNext w:val="0"/>
            </w:pPr>
            <w:r w:rsidRPr="00FA1E86">
              <w:t>Biomarker change over time</w:t>
            </w:r>
          </w:p>
        </w:tc>
        <w:tc>
          <w:tcPr>
            <w:tcW w:w="3435" w:type="pct"/>
            <w:shd w:val="clear" w:color="auto" w:fill="auto"/>
            <w:vAlign w:val="center"/>
          </w:tcPr>
          <w:p w14:paraId="2AD013F6" w14:textId="77777777" w:rsidR="00EC2D33" w:rsidRDefault="00494DD9" w:rsidP="00043972">
            <w:pPr>
              <w:pStyle w:val="COMTabletext"/>
              <w:keepNext w:val="0"/>
              <w:spacing w:after="120"/>
            </w:pPr>
            <w:r w:rsidRPr="00065852">
              <w:t xml:space="preserve">The submission estimated the drift in HbA1c values over time based on the United Kingdom Prospective Diabetes Study Outcome Model 2 (UKPDS OM2) risk equation. This equation used data from a trial comparing intensive and conventional therapies for </w:t>
            </w:r>
            <w:r w:rsidR="006C31AD" w:rsidRPr="00065852">
              <w:t>t</w:t>
            </w:r>
            <w:r w:rsidRPr="00065852">
              <w:t xml:space="preserve">ype 2 diabetes conducted in the UK between 1977 and 1997 with 10 years of additional post-trial follow-up (Leal 2021). The applicability of this equation to current Australian clinical practice was unclear given that the publication acknowledged that ‘the data used to estimate the equation are increasingly historical and may in some cases reflect values or trajectories that are less commonly seen in contemporary </w:t>
            </w:r>
            <w:proofErr w:type="gramStart"/>
            <w:r w:rsidRPr="00065852">
              <w:t>populations’</w:t>
            </w:r>
            <w:proofErr w:type="gramEnd"/>
            <w:r w:rsidRPr="00065852">
              <w:t>. Given this limitation, it may be appropriate to calibrate the equation against more contemporary datasets (such as GLP-1 RA cardiovascular outcome studies).</w:t>
            </w:r>
          </w:p>
          <w:p w14:paraId="4D93AE3E" w14:textId="79A4B37A" w:rsidR="00494DD9" w:rsidRPr="00065852" w:rsidRDefault="00494DD9" w:rsidP="00043972">
            <w:pPr>
              <w:pStyle w:val="COMTabletext"/>
              <w:keepNext w:val="0"/>
            </w:pPr>
            <w:r w:rsidRPr="00065852">
              <w:t>The submission assumed no drift for other biomarkers (</w:t>
            </w:r>
            <w:proofErr w:type="gramStart"/>
            <w:r w:rsidRPr="00065852">
              <w:t>e.g.</w:t>
            </w:r>
            <w:proofErr w:type="gramEnd"/>
            <w:r w:rsidRPr="00065852">
              <w:t xml:space="preserve"> systolic blood pressure, LDL cholesterol, HDL cholesterol, body mass index, estimated glomerular filtration rate, heart rate, white blood cell counts, haemoglobin). The submission claimed that this assumption was likely to be conservative given that tirzepatide was generally associated with more favo</w:t>
            </w:r>
            <w:r w:rsidR="006C31AD" w:rsidRPr="00065852">
              <w:t>u</w:t>
            </w:r>
            <w:r w:rsidRPr="00065852">
              <w:t>rable treatment effects on these biomarkers compared to semaglutide</w:t>
            </w:r>
            <w:r w:rsidRPr="00BC7837">
              <w:t>. Th</w:t>
            </w:r>
            <w:r w:rsidR="00CB6808" w:rsidRPr="00BC7837">
              <w:t xml:space="preserve">e ESC </w:t>
            </w:r>
            <w:r w:rsidR="00D1185E" w:rsidRPr="00BC7837">
              <w:t xml:space="preserve">considered this assumption was not clinically appropriate and </w:t>
            </w:r>
            <w:r w:rsidR="00CB6808" w:rsidRPr="00BC7837">
              <w:t>agreed with the evaluation that this</w:t>
            </w:r>
            <w:r w:rsidRPr="00BC7837">
              <w:t xml:space="preserve"> claim</w:t>
            </w:r>
            <w:r w:rsidRPr="00065852">
              <w:t xml:space="preserve"> was not adequately supported given that sensitivity analyses conducted during the evaluation indicated that incorporating drift in other biomarkers into the model substantially worsened the estimated cost-effectiveness of tirzepatide compared to semaglutide.</w:t>
            </w:r>
            <w:r w:rsidR="006E09FC">
              <w:t xml:space="preserve"> The pre-PBAC </w:t>
            </w:r>
            <w:proofErr w:type="gramStart"/>
            <w:r w:rsidR="006E09FC">
              <w:t>response  stated</w:t>
            </w:r>
            <w:proofErr w:type="gramEnd"/>
            <w:r w:rsidR="006E09FC">
              <w:t xml:space="preserve"> that b</w:t>
            </w:r>
            <w:r w:rsidR="006E09FC" w:rsidRPr="00B94A01">
              <w:t>y only considering Hb</w:t>
            </w:r>
            <w:r w:rsidR="006E09FC">
              <w:t>A</w:t>
            </w:r>
            <w:r w:rsidR="006E09FC" w:rsidRPr="00B94A01">
              <w:t xml:space="preserve">1c progression over time the long-term treatment effect of both </w:t>
            </w:r>
            <w:r w:rsidR="006E09FC">
              <w:t>tirzepatide</w:t>
            </w:r>
            <w:r w:rsidR="006E09FC" w:rsidRPr="00B94A01">
              <w:t xml:space="preserve"> and semaglutide </w:t>
            </w:r>
            <w:r w:rsidR="006E09FC">
              <w:t>wa</w:t>
            </w:r>
            <w:r w:rsidR="006E09FC" w:rsidRPr="00B94A01">
              <w:t>s isolated</w:t>
            </w:r>
            <w:r w:rsidR="006E09FC">
              <w:t xml:space="preserve">. The pre-PBAC </w:t>
            </w:r>
            <w:proofErr w:type="gramStart"/>
            <w:r w:rsidR="006E09FC">
              <w:t>response  argued</w:t>
            </w:r>
            <w:proofErr w:type="gramEnd"/>
            <w:r w:rsidR="006E09FC">
              <w:t xml:space="preserve"> this provided </w:t>
            </w:r>
            <w:r w:rsidR="006E09FC" w:rsidRPr="00B94A01">
              <w:t xml:space="preserve">a more relevant comparative assessment of the clinical and </w:t>
            </w:r>
            <w:r w:rsidR="006E09FC" w:rsidRPr="00B94A01">
              <w:lastRenderedPageBreak/>
              <w:t>economic impacts of improved glycaemic control on micro- and macrovascular complications</w:t>
            </w:r>
            <w:r w:rsidR="00255937">
              <w:t xml:space="preserve">. </w:t>
            </w:r>
          </w:p>
        </w:tc>
        <w:tc>
          <w:tcPr>
            <w:tcW w:w="837" w:type="pct"/>
            <w:shd w:val="clear" w:color="auto" w:fill="auto"/>
            <w:vAlign w:val="center"/>
          </w:tcPr>
          <w:p w14:paraId="1D83C2E8" w14:textId="77777777" w:rsidR="00494DD9" w:rsidRPr="00065852" w:rsidRDefault="00494DD9" w:rsidP="00043972">
            <w:pPr>
              <w:pStyle w:val="COMTabletext"/>
              <w:keepNext w:val="0"/>
              <w:jc w:val="center"/>
            </w:pPr>
            <w:r w:rsidRPr="00065852">
              <w:lastRenderedPageBreak/>
              <w:t>High,</w:t>
            </w:r>
          </w:p>
          <w:p w14:paraId="3590581E" w14:textId="62D90756" w:rsidR="00494DD9" w:rsidRPr="00065852" w:rsidRDefault="00494DD9" w:rsidP="00043972">
            <w:pPr>
              <w:pStyle w:val="COMTabletext"/>
              <w:keepNext w:val="0"/>
              <w:jc w:val="center"/>
            </w:pPr>
            <w:r w:rsidRPr="00065852">
              <w:t>favours tirzepatide</w:t>
            </w:r>
          </w:p>
        </w:tc>
      </w:tr>
      <w:tr w:rsidR="00494DD9" w:rsidRPr="00FA1E86" w14:paraId="04EA65E3" w14:textId="77777777" w:rsidTr="001825F4">
        <w:tc>
          <w:tcPr>
            <w:tcW w:w="728" w:type="pct"/>
            <w:shd w:val="clear" w:color="auto" w:fill="auto"/>
            <w:vAlign w:val="center"/>
          </w:tcPr>
          <w:p w14:paraId="70DC7BCC" w14:textId="3AFB4BE7" w:rsidR="00494DD9" w:rsidRPr="00FA1E86" w:rsidRDefault="00494DD9" w:rsidP="00043972">
            <w:pPr>
              <w:pStyle w:val="COMTabletext"/>
              <w:keepNext w:val="0"/>
            </w:pPr>
            <w:r w:rsidRPr="00FA1E86">
              <w:t>GLP-1 RA/GIP treatment effects</w:t>
            </w:r>
          </w:p>
        </w:tc>
        <w:tc>
          <w:tcPr>
            <w:tcW w:w="3435" w:type="pct"/>
            <w:shd w:val="clear" w:color="auto" w:fill="auto"/>
            <w:vAlign w:val="center"/>
          </w:tcPr>
          <w:p w14:paraId="559BB8B4" w14:textId="77777777" w:rsidR="00494DD9" w:rsidRPr="00065852" w:rsidRDefault="00494DD9" w:rsidP="00043972">
            <w:pPr>
              <w:pStyle w:val="COMTabletext"/>
              <w:keepNext w:val="0"/>
              <w:spacing w:after="120"/>
            </w:pPr>
            <w:r w:rsidRPr="00065852">
              <w:t>The submission estimated the treatment effects for both tirzepatide and semaglutide based on the SURPASS-2 trial. The estimates used in the model were primarily based on results using the efficacy estimand. The submission did not adequately justify the use of the efficacy estimand versus the treatment-regimen estimand in the economic analysis. Sensitivity analyses indicated that the relative cost-effectiveness of tirzepatide 5 mg compared to semaglutide 1 mg substantially improved while the cost-effectiveness of tirzepatide 10 mg and 15 worsened when treatment-regimen estimand data was used in the model.</w:t>
            </w:r>
          </w:p>
          <w:p w14:paraId="558636E5" w14:textId="5209BEC9" w:rsidR="00494DD9" w:rsidRPr="00065852" w:rsidRDefault="00494DD9" w:rsidP="00043972">
            <w:pPr>
              <w:pStyle w:val="COMTabletext"/>
              <w:keepNext w:val="0"/>
            </w:pPr>
            <w:r w:rsidRPr="00065852">
              <w:t>With the exception of HbA1c, the submission assumed all other treatment effects associated with GLP-1 RA/GIP therapy will cease when patients switch to insulin and discontinue their initial therapy. The submission did not adequately justify the assumption that HbA1c levels would remain unaffected by patients stopping GLP-1 RA/GIP therapy.</w:t>
            </w:r>
          </w:p>
        </w:tc>
        <w:tc>
          <w:tcPr>
            <w:tcW w:w="837" w:type="pct"/>
            <w:shd w:val="clear" w:color="auto" w:fill="auto"/>
            <w:vAlign w:val="center"/>
          </w:tcPr>
          <w:p w14:paraId="45F08636" w14:textId="77777777" w:rsidR="00EC2D33" w:rsidRDefault="00494DD9" w:rsidP="00043972">
            <w:pPr>
              <w:pStyle w:val="COMTabletext"/>
              <w:keepNext w:val="0"/>
              <w:jc w:val="center"/>
            </w:pPr>
            <w:r w:rsidRPr="00065852">
              <w:t>High,</w:t>
            </w:r>
          </w:p>
          <w:p w14:paraId="18F4DDB7" w14:textId="0B9A9FC9" w:rsidR="00494DD9" w:rsidRPr="00065852" w:rsidRDefault="00494DD9" w:rsidP="00043972">
            <w:pPr>
              <w:pStyle w:val="COMTabletext"/>
              <w:keepNext w:val="0"/>
              <w:jc w:val="center"/>
            </w:pPr>
            <w:r w:rsidRPr="00065852">
              <w:t>direction unclear</w:t>
            </w:r>
          </w:p>
        </w:tc>
      </w:tr>
      <w:tr w:rsidR="00494DD9" w:rsidRPr="00FA1E86" w14:paraId="3483847F" w14:textId="77777777" w:rsidTr="001825F4">
        <w:tc>
          <w:tcPr>
            <w:tcW w:w="728" w:type="pct"/>
            <w:shd w:val="clear" w:color="auto" w:fill="auto"/>
            <w:vAlign w:val="center"/>
          </w:tcPr>
          <w:p w14:paraId="2724D8D9" w14:textId="6F8A0538" w:rsidR="00494DD9" w:rsidRPr="00FA1E86" w:rsidRDefault="00494DD9" w:rsidP="00043972">
            <w:pPr>
              <w:pStyle w:val="COMTabletext"/>
              <w:keepNext w:val="0"/>
            </w:pPr>
            <w:r w:rsidRPr="00FA1E86">
              <w:t>Weight-related disutility/utility values</w:t>
            </w:r>
          </w:p>
        </w:tc>
        <w:tc>
          <w:tcPr>
            <w:tcW w:w="3435" w:type="pct"/>
            <w:shd w:val="clear" w:color="auto" w:fill="auto"/>
            <w:vAlign w:val="center"/>
          </w:tcPr>
          <w:p w14:paraId="02BD4EE6" w14:textId="77777777" w:rsidR="00EC2D33" w:rsidRDefault="00494DD9" w:rsidP="00043972">
            <w:pPr>
              <w:pStyle w:val="COMTabletext"/>
              <w:keepNext w:val="0"/>
              <w:spacing w:after="120"/>
            </w:pPr>
            <w:r w:rsidRPr="00065852">
              <w:t xml:space="preserve">The submission estimated first year utility gains associated with weight loss based on a vignette study using </w:t>
            </w:r>
            <w:bookmarkStart w:id="49" w:name="_Hlk137483806"/>
            <w:r w:rsidRPr="00065852">
              <w:t xml:space="preserve">time trade-off </w:t>
            </w:r>
            <w:bookmarkEnd w:id="49"/>
            <w:r w:rsidRPr="00065852">
              <w:t>valuation of hypothetical health states to assess the impact of weight loss in obese patients with or without type 2 diabetes in the United Kingdom (Boye 2022). The estimates used in the submission were based on the reported values for obese patients with type 2 diabetes. The submission used these values to calculate an average utility gain for each modelled treatment arm based on the mean change in BMI reported in the SURPASS-2 trial. The submission did not justify applying utility estimates to population-level data rather than modelled individual estimates of weight change. Additionally, the model did not include any disutility for weight gain during the first year. The approach used in the submission resulted in implausible scenarios such as patients with modelled weight gain also accruing the utility benefits associated with substantial weight loss.</w:t>
            </w:r>
          </w:p>
          <w:p w14:paraId="6A61263E" w14:textId="37599531" w:rsidR="00494DD9" w:rsidRPr="00065852" w:rsidRDefault="00494DD9" w:rsidP="00043972">
            <w:pPr>
              <w:pStyle w:val="COMTabletext"/>
              <w:keepNext w:val="0"/>
              <w:spacing w:after="120"/>
            </w:pPr>
            <w:r w:rsidRPr="00065852">
              <w:t xml:space="preserve">The submission estimated the disutility associated with weight in subsequent years based on a cross-sectional survey of 4,641 type 2 diabetes patients recruited from European centres in 1998 using the EQ-5D-3L questionnaire (CODE-2 study; Bagust &amp; Beale, 2005). This source was not adequately justified, given the submission acknowledged that there are a substantial number of other utility/disutility values in the published literature based on absolute (per unit change in kg or BMI), categorical (normal weight, overweight, obese, morbidly obese) or relative measures (percentage change). Based on the literature search presented in the submission the disutility associated with a 1 unit increase in BMI can range from -0.001 (Soltoft 2009) to -0.0472 (Lane 2014). Given the substantial uncertainty associated with published estimates, validation of these estimates with additional analyses of the SURPASS-2 </w:t>
            </w:r>
            <w:proofErr w:type="gramStart"/>
            <w:r w:rsidRPr="00065852">
              <w:t>trial</w:t>
            </w:r>
            <w:proofErr w:type="gramEnd"/>
            <w:r w:rsidRPr="00065852">
              <w:t xml:space="preserve"> assessing the relationship between change in BMI and change in utility values would be informative.</w:t>
            </w:r>
          </w:p>
          <w:p w14:paraId="48F6AD1E" w14:textId="77777777" w:rsidR="00494DD9" w:rsidRDefault="00494DD9" w:rsidP="00043972">
            <w:pPr>
              <w:pStyle w:val="COMTabletext"/>
              <w:keepNext w:val="0"/>
            </w:pPr>
            <w:r w:rsidRPr="00065852">
              <w:t>The submission implemented the weight-related disutility in subsequent years as an additional utility loss for all patients with a BMI &gt; 25 kg/m</w:t>
            </w:r>
            <w:r w:rsidRPr="00065852">
              <w:rPr>
                <w:vertAlign w:val="superscript"/>
              </w:rPr>
              <w:t>2</w:t>
            </w:r>
            <w:r w:rsidRPr="00065852">
              <w:t xml:space="preserve"> regardless of baseline weight. This approach double-counts the utility impact of patients being overweight or obese as the baseline utility values of patients would already include any detriments associated with baseline weight.</w:t>
            </w:r>
          </w:p>
          <w:p w14:paraId="4B9FCE0E" w14:textId="6D566BA3" w:rsidR="00AD367A" w:rsidRPr="00BC7837" w:rsidRDefault="00AD367A" w:rsidP="00043972">
            <w:pPr>
              <w:pStyle w:val="COMTabletext"/>
              <w:keepNext w:val="0"/>
            </w:pPr>
            <w:r w:rsidRPr="00BC7837">
              <w:t xml:space="preserve">The ESC considered the disutility associated with weight gain was overestimated (see paragraphs </w:t>
            </w:r>
            <w:r w:rsidRPr="00BC7837">
              <w:fldChar w:fldCharType="begin" w:fldLock="1"/>
            </w:r>
            <w:r w:rsidRPr="00BC7837">
              <w:instrText xml:space="preserve"> REF _Ref137649200 \r \h </w:instrText>
            </w:r>
            <w:r w:rsidR="00BC7837">
              <w:instrText xml:space="preserve"> \* MERGEFORMAT </w:instrText>
            </w:r>
            <w:r w:rsidRPr="00BC7837">
              <w:fldChar w:fldCharType="separate"/>
            </w:r>
            <w:r w:rsidR="00391E15">
              <w:t>6.70</w:t>
            </w:r>
            <w:r w:rsidRPr="00BC7837">
              <w:fldChar w:fldCharType="end"/>
            </w:r>
            <w:r w:rsidRPr="00BC7837">
              <w:t xml:space="preserve"> to </w:t>
            </w:r>
            <w:r w:rsidRPr="00BC7837">
              <w:fldChar w:fldCharType="begin" w:fldLock="1"/>
            </w:r>
            <w:r w:rsidRPr="00BC7837">
              <w:instrText xml:space="preserve"> REF _Ref137628695 \r \h </w:instrText>
            </w:r>
            <w:r w:rsidR="00BC7837">
              <w:instrText xml:space="preserve"> \* MERGEFORMAT </w:instrText>
            </w:r>
            <w:r w:rsidRPr="00BC7837">
              <w:fldChar w:fldCharType="separate"/>
            </w:r>
            <w:r w:rsidR="00391E15">
              <w:t>6.72</w:t>
            </w:r>
            <w:r w:rsidRPr="00BC7837">
              <w:fldChar w:fldCharType="end"/>
            </w:r>
            <w:r w:rsidRPr="00BC7837">
              <w:t>)</w:t>
            </w:r>
            <w:r w:rsidR="00BC7837">
              <w:t>.</w:t>
            </w:r>
          </w:p>
        </w:tc>
        <w:tc>
          <w:tcPr>
            <w:tcW w:w="837" w:type="pct"/>
            <w:shd w:val="clear" w:color="auto" w:fill="auto"/>
            <w:vAlign w:val="center"/>
          </w:tcPr>
          <w:p w14:paraId="33738AA5" w14:textId="729AB960" w:rsidR="00494DD9" w:rsidRPr="00065852" w:rsidRDefault="00494DD9" w:rsidP="00043972">
            <w:pPr>
              <w:pStyle w:val="COMTabletext"/>
              <w:keepNext w:val="0"/>
              <w:jc w:val="center"/>
            </w:pPr>
            <w:r w:rsidRPr="00065852">
              <w:t>High,</w:t>
            </w:r>
          </w:p>
          <w:p w14:paraId="4CB0C507" w14:textId="7A5BEBD7" w:rsidR="00494DD9" w:rsidRPr="00065852" w:rsidRDefault="00494DD9" w:rsidP="00043972">
            <w:pPr>
              <w:pStyle w:val="COMTabletext"/>
              <w:keepNext w:val="0"/>
              <w:jc w:val="center"/>
            </w:pPr>
            <w:r w:rsidRPr="00065852">
              <w:t>direction unclear</w:t>
            </w:r>
          </w:p>
        </w:tc>
      </w:tr>
      <w:tr w:rsidR="00494DD9" w:rsidRPr="00FA1E86" w14:paraId="39E46D5B" w14:textId="77777777" w:rsidTr="001825F4">
        <w:tc>
          <w:tcPr>
            <w:tcW w:w="728" w:type="pct"/>
            <w:shd w:val="clear" w:color="auto" w:fill="auto"/>
            <w:vAlign w:val="center"/>
          </w:tcPr>
          <w:p w14:paraId="347EC5A4" w14:textId="16CCD053" w:rsidR="00494DD9" w:rsidRPr="00FA1E86" w:rsidRDefault="00494DD9" w:rsidP="00043972">
            <w:pPr>
              <w:pStyle w:val="COMTabletext"/>
              <w:keepNext w:val="0"/>
            </w:pPr>
            <w:r w:rsidRPr="00FA1E86">
              <w:t>Hypoglycaemia event rates</w:t>
            </w:r>
          </w:p>
        </w:tc>
        <w:tc>
          <w:tcPr>
            <w:tcW w:w="3435" w:type="pct"/>
            <w:shd w:val="clear" w:color="auto" w:fill="auto"/>
            <w:vAlign w:val="center"/>
          </w:tcPr>
          <w:p w14:paraId="443485CC" w14:textId="0839254F" w:rsidR="00494DD9" w:rsidRPr="00065852" w:rsidRDefault="00494DD9" w:rsidP="00043972">
            <w:pPr>
              <w:pStyle w:val="COMTabletext"/>
              <w:keepNext w:val="0"/>
              <w:spacing w:after="120"/>
            </w:pPr>
            <w:r w:rsidRPr="00065852">
              <w:t>Hypoglycaemia event rates for tirzepatide and semaglutide</w:t>
            </w:r>
            <w:r w:rsidR="006C31AD" w:rsidRPr="00065852">
              <w:t xml:space="preserve"> were</w:t>
            </w:r>
            <w:r w:rsidRPr="00065852">
              <w:t xml:space="preserve"> based on the reported event rates for clinically significant hypoglycaemia in the SURPASS-2 trial.</w:t>
            </w:r>
          </w:p>
          <w:p w14:paraId="1518D51D" w14:textId="77777777" w:rsidR="00EC2D33" w:rsidRDefault="00494DD9" w:rsidP="00043972">
            <w:pPr>
              <w:pStyle w:val="COMTabletext"/>
              <w:keepNext w:val="0"/>
              <w:spacing w:after="120"/>
            </w:pPr>
            <w:r w:rsidRPr="00065852">
              <w:t xml:space="preserve">The submission estimated hypoglycaemia event rates associated with insulin treatment (both second and third-line therapy) based on a multinational, observational study of diabetes patients switching from existing insulin therapies to </w:t>
            </w:r>
            <w:r w:rsidRPr="00065852">
              <w:lastRenderedPageBreak/>
              <w:t>insulin degludec between March 2015 and March 2018 (Fadini 2019). The applicability of this study to the modelled population was unclear as the publication acknowledged that the inclusion criteria limited enrolment to patients with a pre-planned switch to insulin degludec</w:t>
            </w:r>
            <w:r w:rsidR="006C31AD" w:rsidRPr="00065852">
              <w:t>,</w:t>
            </w:r>
            <w:r w:rsidRPr="00065852">
              <w:t xml:space="preserve"> which may have selected a population with frequent hypoglycaemia (56.6% of the type 2 diabetes population in the study were classified as hypoglycaemia-prone patients).</w:t>
            </w:r>
          </w:p>
          <w:p w14:paraId="7E7105AF" w14:textId="3B73BD3C" w:rsidR="00494DD9" w:rsidRPr="00400438" w:rsidRDefault="00494DD9" w:rsidP="00043972">
            <w:pPr>
              <w:pStyle w:val="COMTabletext"/>
              <w:keepNext w:val="0"/>
              <w:rPr>
                <w:i/>
                <w:iCs/>
              </w:rPr>
            </w:pPr>
            <w:r w:rsidRPr="00065852">
              <w:t>The definition of hypoglycaemia for insulin (an event with or without symptoms which was either confirmed or assumed to be caused by blood glucose &lt; 3.9 mmol/L) was inconsistent with the definition used to inform event rates for tirzepatide and semaglutide (a severe event requiring assistance or an event with or without symptoms which was confirmed to be caused by blood glucose &lt; 3.0 mmol/L). This difference in definition is likely to substantially overestimate the relative hypoglycaemia event rate with insulin compared to tirzepatide and semaglutide (1,400 versus 0.47-2.12 per 100 patient years).</w:t>
            </w:r>
            <w:r w:rsidR="00DC6CA6">
              <w:t xml:space="preserve"> </w:t>
            </w:r>
            <w:r w:rsidR="00DC6CA6" w:rsidRPr="00BC7837">
              <w:t xml:space="preserve">The </w:t>
            </w:r>
            <w:proofErr w:type="gramStart"/>
            <w:r w:rsidR="00DC6CA6" w:rsidRPr="00BC7837">
              <w:t>PSCR  acknowledged</w:t>
            </w:r>
            <w:proofErr w:type="gramEnd"/>
            <w:r w:rsidR="00DC6CA6" w:rsidRPr="00BC7837">
              <w:t xml:space="preserve"> that the difference in definitions will lead to a higher event rate for </w:t>
            </w:r>
            <w:r w:rsidR="00684140" w:rsidRPr="00BC7837">
              <w:t>insulin but</w:t>
            </w:r>
            <w:r w:rsidR="00DC6CA6" w:rsidRPr="00BC7837">
              <w:t xml:space="preserve"> argued </w:t>
            </w:r>
            <w:r w:rsidR="004E3AC5" w:rsidRPr="00BC7837">
              <w:t xml:space="preserve">that the impact was likely to be relatively minor as once patients have had insulin intensified in both arms, event rates are equivalent. The ESC considered the assumption of 14 hypoglycaemic episodes per year for insulin treatment was </w:t>
            </w:r>
            <w:r w:rsidR="001A2EBC" w:rsidRPr="00BC7837">
              <w:t>not</w:t>
            </w:r>
            <w:r w:rsidR="004E3AC5" w:rsidRPr="00BC7837">
              <w:t xml:space="preserve"> clinically plausible.</w:t>
            </w:r>
            <w:r w:rsidR="00450468" w:rsidRPr="00BC7837">
              <w:t xml:space="preserve"> The ESC noted that lower hypoglycaemia rates were reported in the SURPASS-4 trial </w:t>
            </w:r>
            <w:r w:rsidR="00282516" w:rsidRPr="00BC7837">
              <w:t>(</w:t>
            </w:r>
            <w:r w:rsidR="00450468" w:rsidRPr="00BC7837">
              <w:t>which used the same definitions as the SURPASS-2 trial</w:t>
            </w:r>
            <w:r w:rsidR="00282516" w:rsidRPr="00BC7837">
              <w:t xml:space="preserve">) with the impact on the ICER explored in a sensitivity analysis (see </w:t>
            </w:r>
            <w:r w:rsidR="00282516" w:rsidRPr="00BC7837">
              <w:fldChar w:fldCharType="begin" w:fldLock="1"/>
            </w:r>
            <w:r w:rsidR="00282516" w:rsidRPr="00BC7837">
              <w:instrText xml:space="preserve"> REF _Ref134181638 \h  \* MERGEFORMAT </w:instrText>
            </w:r>
            <w:r w:rsidR="00282516" w:rsidRPr="00BC7837">
              <w:fldChar w:fldCharType="separate"/>
            </w:r>
            <w:r w:rsidR="00B71E27" w:rsidRPr="00FA1E86">
              <w:t xml:space="preserve">Table </w:t>
            </w:r>
            <w:r w:rsidR="00B71E27">
              <w:rPr>
                <w:noProof/>
              </w:rPr>
              <w:t>14</w:t>
            </w:r>
            <w:r w:rsidR="00282516" w:rsidRPr="00BC7837">
              <w:fldChar w:fldCharType="end"/>
            </w:r>
            <w:r w:rsidR="00282516" w:rsidRPr="00BC7837">
              <w:t>).</w:t>
            </w:r>
          </w:p>
        </w:tc>
        <w:tc>
          <w:tcPr>
            <w:tcW w:w="837" w:type="pct"/>
            <w:shd w:val="clear" w:color="auto" w:fill="auto"/>
            <w:vAlign w:val="center"/>
          </w:tcPr>
          <w:p w14:paraId="47AD2A6F" w14:textId="77777777" w:rsidR="00EC2D33" w:rsidRDefault="00494DD9" w:rsidP="00043972">
            <w:pPr>
              <w:pStyle w:val="COMTabletext"/>
              <w:keepNext w:val="0"/>
              <w:jc w:val="center"/>
            </w:pPr>
            <w:r w:rsidRPr="00065852">
              <w:lastRenderedPageBreak/>
              <w:t>High,</w:t>
            </w:r>
          </w:p>
          <w:p w14:paraId="50F3F3FF" w14:textId="74B465AA" w:rsidR="00494DD9" w:rsidRPr="00065852" w:rsidRDefault="00494DD9" w:rsidP="00043972">
            <w:pPr>
              <w:pStyle w:val="COMTabletext"/>
              <w:keepNext w:val="0"/>
              <w:jc w:val="center"/>
            </w:pPr>
            <w:r w:rsidRPr="00065852">
              <w:t>favours tirzepatide</w:t>
            </w:r>
          </w:p>
        </w:tc>
      </w:tr>
    </w:tbl>
    <w:p w14:paraId="0FE17107" w14:textId="493ED450" w:rsidR="006414C1" w:rsidRPr="00FA1E86" w:rsidRDefault="004F6B05" w:rsidP="009E7B1F">
      <w:pPr>
        <w:pStyle w:val="COMTablefooter"/>
      </w:pPr>
      <w:r w:rsidRPr="00FA1E86">
        <w:t>Source: Constructed during the evaluation</w:t>
      </w:r>
    </w:p>
    <w:p w14:paraId="1FC43ACF" w14:textId="77777777" w:rsidR="0005714B" w:rsidRPr="00FA1E86" w:rsidRDefault="00EC6E59" w:rsidP="0005714B">
      <w:pPr>
        <w:pStyle w:val="COMTablefooter"/>
      </w:pPr>
      <w:r w:rsidRPr="00FA1E86">
        <w:t xml:space="preserve">Abbreviations: BMI, </w:t>
      </w:r>
      <w:r w:rsidR="00DA317D" w:rsidRPr="00FA1E86">
        <w:t xml:space="preserve">body mass index; </w:t>
      </w:r>
      <w:r w:rsidRPr="00FA1E86">
        <w:t>GIP, glucose-dependent insulinotropic peptide; GLP-1 RA glucagon-like peptide-1 receptor agonists; Hb</w:t>
      </w:r>
      <w:r w:rsidR="006C31AD" w:rsidRPr="00FA1E86">
        <w:t>A</w:t>
      </w:r>
      <w:r w:rsidRPr="00FA1E86">
        <w:t>1c, glycated haemoglobin;</w:t>
      </w:r>
      <w:r w:rsidR="00DA317D" w:rsidRPr="00FA1E86">
        <w:t xml:space="preserve"> IU, international units; PBAC, Pharmaceutical Benefits Advisory Committee;</w:t>
      </w:r>
      <w:r w:rsidR="006C31AD" w:rsidRPr="00FA1E86">
        <w:t xml:space="preserve"> PI, product information;</w:t>
      </w:r>
      <w:r w:rsidR="00DA317D" w:rsidRPr="00FA1E86">
        <w:t xml:space="preserve"> PSD, Public Summary document;</w:t>
      </w:r>
      <w:r w:rsidRPr="00FA1E86">
        <w:t xml:space="preserve"> UKPDS (OM2), United Kingdom Prospective Diabetes Study (Outcomes Model 2)</w:t>
      </w:r>
    </w:p>
    <w:p w14:paraId="47A74021" w14:textId="5083C5A2" w:rsidR="00A83098" w:rsidRDefault="00A83098" w:rsidP="006414C1">
      <w:pPr>
        <w:pStyle w:val="COMexecsumnumberedpara"/>
      </w:pPr>
      <w:bookmarkStart w:id="50" w:name="_Ref137649200"/>
      <w:r>
        <w:t xml:space="preserve">A Markov trace of the </w:t>
      </w:r>
      <w:r w:rsidRPr="00A83098">
        <w:t>average QALYs over time</w:t>
      </w:r>
      <w:r>
        <w:t xml:space="preserve"> in the model is shown in </w:t>
      </w:r>
      <w:r>
        <w:fldChar w:fldCharType="begin" w:fldLock="1"/>
      </w:r>
      <w:r>
        <w:instrText xml:space="preserve"> REF _Ref135036286 \h  \* MERGEFORMAT </w:instrText>
      </w:r>
      <w:r>
        <w:fldChar w:fldCharType="separate"/>
      </w:r>
      <w:r w:rsidR="00B71E27" w:rsidRPr="00B71E27">
        <w:t>Figure 1</w:t>
      </w:r>
      <w:r>
        <w:fldChar w:fldCharType="end"/>
      </w:r>
      <w:r w:rsidRPr="00A83098">
        <w:t>.</w:t>
      </w:r>
      <w:bookmarkEnd w:id="50"/>
    </w:p>
    <w:p w14:paraId="591AC0B2" w14:textId="4DF62697" w:rsidR="00A83098" w:rsidRPr="00FA1E86" w:rsidRDefault="00A83098" w:rsidP="001921CA">
      <w:pPr>
        <w:pStyle w:val="Caption"/>
        <w:keepNext/>
        <w:keepLines/>
        <w:jc w:val="left"/>
        <w:rPr>
          <w:color w:val="3366FF"/>
        </w:rPr>
      </w:pPr>
      <w:bookmarkStart w:id="51" w:name="_Ref135036286"/>
      <w:r w:rsidRPr="00895078">
        <w:rPr>
          <w:rStyle w:val="COMtablefigcaptionChar"/>
          <w:i w:val="0"/>
          <w:iCs w:val="0"/>
          <w:color w:val="000000" w:themeColor="text1"/>
          <w:sz w:val="20"/>
          <w:szCs w:val="20"/>
        </w:rPr>
        <w:lastRenderedPageBreak/>
        <w:t xml:space="preserve">Figure </w:t>
      </w:r>
      <w:r w:rsidRPr="00895078">
        <w:rPr>
          <w:rStyle w:val="COMtablefigcaptionChar"/>
          <w:i w:val="0"/>
          <w:iCs w:val="0"/>
          <w:color w:val="000000" w:themeColor="text1"/>
          <w:sz w:val="20"/>
          <w:szCs w:val="20"/>
        </w:rPr>
        <w:fldChar w:fldCharType="begin" w:fldLock="1"/>
      </w:r>
      <w:r w:rsidRPr="00895078">
        <w:rPr>
          <w:rStyle w:val="COMtablefigcaptionChar"/>
          <w:i w:val="0"/>
          <w:iCs w:val="0"/>
          <w:color w:val="000000" w:themeColor="text1"/>
          <w:sz w:val="20"/>
          <w:szCs w:val="20"/>
        </w:rPr>
        <w:instrText xml:space="preserve"> SEQ Figure \* ARABIC </w:instrText>
      </w:r>
      <w:r w:rsidRPr="00895078">
        <w:rPr>
          <w:rStyle w:val="COMtablefigcaptionChar"/>
          <w:i w:val="0"/>
          <w:iCs w:val="0"/>
          <w:color w:val="000000" w:themeColor="text1"/>
          <w:sz w:val="20"/>
          <w:szCs w:val="20"/>
        </w:rPr>
        <w:fldChar w:fldCharType="separate"/>
      </w:r>
      <w:r w:rsidR="00B71E27">
        <w:rPr>
          <w:rStyle w:val="COMtablefigcaptionChar"/>
          <w:i w:val="0"/>
          <w:iCs w:val="0"/>
          <w:noProof/>
          <w:color w:val="000000" w:themeColor="text1"/>
          <w:sz w:val="20"/>
          <w:szCs w:val="20"/>
        </w:rPr>
        <w:t>1</w:t>
      </w:r>
      <w:r w:rsidRPr="00895078">
        <w:rPr>
          <w:rStyle w:val="COMtablefigcaptionChar"/>
          <w:i w:val="0"/>
          <w:iCs w:val="0"/>
          <w:color w:val="000000" w:themeColor="text1"/>
          <w:sz w:val="20"/>
          <w:szCs w:val="20"/>
        </w:rPr>
        <w:fldChar w:fldCharType="end"/>
      </w:r>
      <w:bookmarkEnd w:id="51"/>
      <w:r w:rsidRPr="00895078">
        <w:rPr>
          <w:rStyle w:val="COMtablefigcaptionChar"/>
          <w:i w:val="0"/>
          <w:iCs w:val="0"/>
          <w:color w:val="000000" w:themeColor="text1"/>
          <w:sz w:val="20"/>
          <w:szCs w:val="20"/>
        </w:rPr>
        <w:t>: Markov trace of average undiscounted QALYs over time</w:t>
      </w:r>
      <w:r w:rsidR="008904CF">
        <w:rPr>
          <w:rStyle w:val="COMtablefigcaptionChar"/>
          <w:i w:val="0"/>
          <w:iCs w:val="0"/>
          <w:noProof/>
          <w:color w:val="000000" w:themeColor="text1"/>
          <w:sz w:val="20"/>
          <w:szCs w:val="20"/>
        </w:rPr>
        <w:drawing>
          <wp:inline distT="0" distB="0" distL="0" distR="0" wp14:anchorId="7FF3E3FF" wp14:editId="1539BD34">
            <wp:extent cx="5730875" cy="3731260"/>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3731260"/>
                    </a:xfrm>
                    <a:prstGeom prst="rect">
                      <a:avLst/>
                    </a:prstGeom>
                    <a:noFill/>
                  </pic:spPr>
                </pic:pic>
              </a:graphicData>
            </a:graphic>
          </wp:inline>
        </w:drawing>
      </w:r>
    </w:p>
    <w:p w14:paraId="725F570F" w14:textId="77777777" w:rsidR="00A83098" w:rsidRPr="00FA1E86" w:rsidRDefault="00A83098" w:rsidP="001921CA">
      <w:pPr>
        <w:pStyle w:val="COMTablefooter"/>
        <w:keepNext/>
        <w:keepLines/>
      </w:pPr>
      <w:r w:rsidRPr="00FA1E86">
        <w:t>Source: Constructed during the evaluation based on tirzepatide Section 3 model Excel spreadsheet</w:t>
      </w:r>
    </w:p>
    <w:p w14:paraId="4E9BD7F4" w14:textId="77777777" w:rsidR="00A83098" w:rsidRPr="00FA1E86" w:rsidRDefault="00A83098" w:rsidP="001921CA">
      <w:pPr>
        <w:pStyle w:val="COMTablefooter"/>
        <w:keepNext/>
        <w:keepLines/>
      </w:pPr>
      <w:r w:rsidRPr="00FA1E86">
        <w:t>Abbreviations: QALY, quality adjusted life year</w:t>
      </w:r>
    </w:p>
    <w:p w14:paraId="1634AEBB" w14:textId="63450D4B" w:rsidR="00A83098" w:rsidRDefault="00A83098" w:rsidP="009E3985">
      <w:pPr>
        <w:pStyle w:val="COMTablefooter"/>
      </w:pPr>
      <w:r w:rsidRPr="00FA1E86">
        <w:t>Note: Markov trace was truncated to 20 years</w:t>
      </w:r>
      <w:r>
        <w:t>.</w:t>
      </w:r>
    </w:p>
    <w:p w14:paraId="14C8F42F" w14:textId="6A79FC9D" w:rsidR="00A83098" w:rsidRPr="00065852" w:rsidRDefault="00A83098" w:rsidP="00A83098">
      <w:pPr>
        <w:pStyle w:val="COMexecsumnumberedpara"/>
      </w:pPr>
      <w:bookmarkStart w:id="52" w:name="_Ref137649169"/>
      <w:r w:rsidRPr="00065852">
        <w:t>The modelled changes in average QALYs after one year of treatment (tirzepatide 5 mg: +0.005, 10</w:t>
      </w:r>
      <w:r w:rsidR="00911B78" w:rsidRPr="00065852">
        <w:t xml:space="preserve"> </w:t>
      </w:r>
      <w:r w:rsidRPr="00065852">
        <w:t>mg: +0.013; 15</w:t>
      </w:r>
      <w:r w:rsidR="00911B78" w:rsidRPr="00065852">
        <w:t xml:space="preserve"> </w:t>
      </w:r>
      <w:r w:rsidRPr="00065852">
        <w:t>mg: +0.017; semaglutide 1 mg: -0.001) were inconsistent with the available utility data from the SURPASS-2 trial (all treatment arms: +0.04). The submission did not address the lack of internal consistency between modelled and observed utility data.</w:t>
      </w:r>
      <w:bookmarkEnd w:id="52"/>
    </w:p>
    <w:p w14:paraId="4D2000CA" w14:textId="5B32A018" w:rsidR="00EC2D33" w:rsidRDefault="00A83098" w:rsidP="00D07287">
      <w:pPr>
        <w:pStyle w:val="COMexecsumnumberedpara"/>
        <w:rPr>
          <w:i/>
          <w:iCs/>
        </w:rPr>
      </w:pPr>
      <w:bookmarkStart w:id="53" w:name="_Ref137628695"/>
      <w:bookmarkStart w:id="54" w:name="_Hlk140852329"/>
      <w:r w:rsidRPr="00065852">
        <w:t>The model predicted a major decline in quality</w:t>
      </w:r>
      <w:r w:rsidR="00FE71BE" w:rsidRPr="00065852">
        <w:t xml:space="preserve"> </w:t>
      </w:r>
      <w:r w:rsidRPr="00065852">
        <w:t>of</w:t>
      </w:r>
      <w:r w:rsidR="00FE71BE" w:rsidRPr="00065852">
        <w:t xml:space="preserve"> </w:t>
      </w:r>
      <w:r w:rsidRPr="00065852">
        <w:t>life between Year 1 and Year 2 which appeared implausible given the minimal changes in biomarkers and outcomes over this period. This decline appeared to be primarily due to the misapplication of weight-based disutility values to all patients with a BMI &gt; 25 kg/m</w:t>
      </w:r>
      <w:r w:rsidRPr="00065852">
        <w:rPr>
          <w:vertAlign w:val="superscript"/>
        </w:rPr>
        <w:t>2</w:t>
      </w:r>
      <w:r w:rsidRPr="00065852">
        <w:t xml:space="preserve"> from the second year onwards regardless of their baseline weight. This approach double-counts the utility impact of patients being overweight or obese as the baseline utility values of patients would already include any detriments associated with baseline weight.</w:t>
      </w:r>
      <w:r w:rsidR="00640DFD">
        <w:t xml:space="preserve"> </w:t>
      </w:r>
      <w:r w:rsidR="006954AC" w:rsidRPr="00BC7837">
        <w:t xml:space="preserve">The PSCR stated that a weight change utility was applied in the first year and a BMI level utility was applied in all subsequent years when body weight was assumed to be stable. As such, the PSCR claimed there was no double-counting of utility impacts given the utilities were applied at different times and to different aspects of body weight, </w:t>
      </w:r>
      <w:proofErr w:type="gramStart"/>
      <w:r w:rsidR="006954AC" w:rsidRPr="00BC7837">
        <w:t>i.e.</w:t>
      </w:r>
      <w:proofErr w:type="gramEnd"/>
      <w:r w:rsidR="006954AC" w:rsidRPr="00BC7837">
        <w:t xml:space="preserve"> year 1 change in body weight; subsequent years living with a BMI ≥ 25 kg/m</w:t>
      </w:r>
      <w:r w:rsidR="006954AC" w:rsidRPr="00BC7837">
        <w:rPr>
          <w:vertAlign w:val="superscript"/>
        </w:rPr>
        <w:t>2</w:t>
      </w:r>
      <w:r w:rsidR="006954AC" w:rsidRPr="00BC7837">
        <w:t>.</w:t>
      </w:r>
      <w:r w:rsidR="005A4605" w:rsidRPr="00BC7837">
        <w:t xml:space="preserve"> </w:t>
      </w:r>
      <w:r w:rsidR="00D07287" w:rsidRPr="00BC7837">
        <w:t xml:space="preserve">The ESC </w:t>
      </w:r>
      <w:r w:rsidR="00AD367A" w:rsidRPr="00BC7837">
        <w:t xml:space="preserve">advised that whilst it was reasonable to </w:t>
      </w:r>
      <w:r w:rsidR="00572CD5" w:rsidRPr="00BC7837">
        <w:t xml:space="preserve">have utility changes based on weight alone, the approach taken by the submission was flawed. Firstly, the decrement from year 2 </w:t>
      </w:r>
      <w:r w:rsidR="00572CD5" w:rsidRPr="00BC7837">
        <w:lastRenderedPageBreak/>
        <w:t>onwards for a BMI ≥ 25 kg/m</w:t>
      </w:r>
      <w:r w:rsidR="00572CD5" w:rsidRPr="00BC7837">
        <w:rPr>
          <w:vertAlign w:val="superscript"/>
        </w:rPr>
        <w:t>2</w:t>
      </w:r>
      <w:r w:rsidR="00D07287" w:rsidRPr="00BC7837">
        <w:t xml:space="preserve"> </w:t>
      </w:r>
      <w:r w:rsidR="00572CD5" w:rsidRPr="00BC7837">
        <w:t>does not account for the potential improvement in utility for patients having significant weight loss from baseline</w:t>
      </w:r>
      <w:r w:rsidR="00371F98" w:rsidRPr="00BC7837">
        <w:t>, even if BMI remains over 25 kg/m</w:t>
      </w:r>
      <w:r w:rsidR="00371F98" w:rsidRPr="00BC7837">
        <w:rPr>
          <w:vertAlign w:val="superscript"/>
        </w:rPr>
        <w:t>2</w:t>
      </w:r>
      <w:r w:rsidR="00572CD5" w:rsidRPr="00BC7837">
        <w:t xml:space="preserve">. Secondly, </w:t>
      </w:r>
      <w:proofErr w:type="gramStart"/>
      <w:r w:rsidR="008C4464" w:rsidRPr="00BC7837">
        <w:t>double-counting</w:t>
      </w:r>
      <w:proofErr w:type="gramEnd"/>
      <w:r w:rsidR="00DE772D">
        <w:t xml:space="preserve"> </w:t>
      </w:r>
      <w:r w:rsidR="008C4464" w:rsidRPr="00BC7837">
        <w:t>occurs with the use of utility inputs from Boye et al 2022 and separate addition of decrements for diabetes complications</w:t>
      </w:r>
      <w:r w:rsidR="00D07287" w:rsidRPr="00BC7837">
        <w:t xml:space="preserve">. </w:t>
      </w:r>
      <w:r w:rsidR="00500D04" w:rsidRPr="00BC7837">
        <w:t xml:space="preserve">The ESC advised that the source of the year 1 change in body weight utilities (time trade-off data from Boye et al 2022) doesn’t control for diabetes complications and hence does not isolate the weight loss effect. The </w:t>
      </w:r>
      <w:r w:rsidR="00640DFD" w:rsidRPr="00BC7837">
        <w:t>ESC observed that the Bagust and Beale 2005 study used as the basis for weight-related disutility in subsequent years did control for diabetes complications</w:t>
      </w:r>
      <w:r w:rsidR="00371F98" w:rsidRPr="00BC7837">
        <w:t xml:space="preserve">, however given the first issue identified above, altering the </w:t>
      </w:r>
      <w:r w:rsidR="00684140" w:rsidRPr="00BC7837">
        <w:t>first-year</w:t>
      </w:r>
      <w:r w:rsidR="00371F98" w:rsidRPr="00BC7837">
        <w:t xml:space="preserve"> utilities </w:t>
      </w:r>
      <w:r w:rsidR="00D81A5F" w:rsidRPr="00BC7837">
        <w:t>would</w:t>
      </w:r>
      <w:r w:rsidR="00371F98" w:rsidRPr="00BC7837">
        <w:t xml:space="preserve"> not address </w:t>
      </w:r>
      <w:r w:rsidR="00A22815" w:rsidRPr="00BC7837">
        <w:t>lack of internal consistency between modelled and observed utilities</w:t>
      </w:r>
      <w:r w:rsidR="00D81A5F" w:rsidRPr="00BC7837">
        <w:t xml:space="preserve"> as the model results in substantial QALY losses in all arms </w:t>
      </w:r>
      <w:r w:rsidR="00F96C80">
        <w:t>after</w:t>
      </w:r>
      <w:r w:rsidR="00F96C80" w:rsidRPr="00BC7837">
        <w:t xml:space="preserve"> </w:t>
      </w:r>
      <w:r w:rsidR="00D81A5F" w:rsidRPr="00BC7837">
        <w:t>the first year of treatment despite the substantial weight loss observed in all arms</w:t>
      </w:r>
      <w:r w:rsidR="00F60CAB" w:rsidRPr="00BC7837">
        <w:t>.</w:t>
      </w:r>
      <w:r w:rsidR="005E4E72" w:rsidRPr="00BC7837">
        <w:t xml:space="preserve"> In addition, the ESC noted that Bagust and Beale 2005 reported decrements for complications lower than those based on Clarke 2002</w:t>
      </w:r>
      <w:r w:rsidR="00B3117C" w:rsidRPr="00BC7837">
        <w:t>, which was used as the source of baseline utility and disutility values (</w:t>
      </w:r>
      <w:r w:rsidR="00B3117C" w:rsidRPr="00BC7837">
        <w:fldChar w:fldCharType="begin" w:fldLock="1"/>
      </w:r>
      <w:r w:rsidR="00B3117C" w:rsidRPr="00BC7837">
        <w:instrText xml:space="preserve"> REF _Ref137244153 \h  \* MERGEFORMAT </w:instrText>
      </w:r>
      <w:r w:rsidR="00B3117C" w:rsidRPr="00BC7837">
        <w:fldChar w:fldCharType="separate"/>
      </w:r>
      <w:r w:rsidR="00391E15" w:rsidRPr="00FA1E86">
        <w:t xml:space="preserve">Table </w:t>
      </w:r>
      <w:r w:rsidR="00391E15">
        <w:rPr>
          <w:noProof/>
        </w:rPr>
        <w:t>11</w:t>
      </w:r>
      <w:r w:rsidR="00B3117C" w:rsidRPr="00BC7837">
        <w:fldChar w:fldCharType="end"/>
      </w:r>
      <w:r w:rsidR="00B3117C" w:rsidRPr="00BC7837">
        <w:t>).</w:t>
      </w:r>
      <w:bookmarkEnd w:id="53"/>
    </w:p>
    <w:p w14:paraId="0C5777F4" w14:textId="2CC220BA" w:rsidR="00EC2D33" w:rsidRDefault="003906A8" w:rsidP="00CA21F0">
      <w:pPr>
        <w:pStyle w:val="COMexecsumnumberedpara"/>
      </w:pPr>
      <w:bookmarkStart w:id="55" w:name="_Ref141200160"/>
      <w:r w:rsidRPr="00BC7837">
        <w:t xml:space="preserve">The ESC noted that </w:t>
      </w:r>
      <w:r w:rsidR="00185750" w:rsidRPr="00BC7837">
        <w:t>a flat rate disutility value of 0.005 sourced from Evans 2013 was applied</w:t>
      </w:r>
      <w:r w:rsidRPr="00BC7837">
        <w:t xml:space="preserve"> per non-severe daytime hypoglycaemic episode</w:t>
      </w:r>
      <w:r w:rsidR="00185750" w:rsidRPr="00BC7837">
        <w:t xml:space="preserve">. The ESC </w:t>
      </w:r>
      <w:r w:rsidR="00DC6CA6" w:rsidRPr="00BC7837">
        <w:t>advised</w:t>
      </w:r>
      <w:r w:rsidR="00185750" w:rsidRPr="00BC7837">
        <w:t xml:space="preserve"> that this</w:t>
      </w:r>
      <w:r w:rsidRPr="00BC7837">
        <w:t xml:space="preserve"> lacked face validity as the Evans 2013 data show</w:t>
      </w:r>
      <w:r w:rsidR="00185750" w:rsidRPr="00BC7837">
        <w:t>ed</w:t>
      </w:r>
      <w:r w:rsidRPr="00BC7837">
        <w:t xml:space="preserve"> </w:t>
      </w:r>
      <w:r w:rsidR="001A2EBC" w:rsidRPr="00BC7837">
        <w:t>a diminishing disutility per event as the number of events increases</w:t>
      </w:r>
      <w:r w:rsidRPr="00BC7837">
        <w:t xml:space="preserve">. </w:t>
      </w:r>
      <w:bookmarkStart w:id="56" w:name="_Ref137544022"/>
      <w:r w:rsidR="00CA21F0" w:rsidRPr="00BC7837">
        <w:t xml:space="preserve">The use of the flat rate for the decrement in utility associated with hypoglycaemia </w:t>
      </w:r>
      <w:r w:rsidR="001E4C2A" w:rsidRPr="00BC7837">
        <w:t xml:space="preserve">was </w:t>
      </w:r>
      <w:r w:rsidR="00CA21F0" w:rsidRPr="00BC7837">
        <w:t>significant</w:t>
      </w:r>
      <w:r w:rsidR="001E4C2A" w:rsidRPr="00BC7837">
        <w:t xml:space="preserve"> because once patients move onto insulin treatment, they were assumed to experience 14 hypoglycaemic episodes per year. </w:t>
      </w:r>
      <w:r w:rsidR="00CA21F0" w:rsidRPr="00BC7837">
        <w:t>T</w:t>
      </w:r>
      <w:r w:rsidR="007E2601" w:rsidRPr="00BC7837">
        <w:t>he s</w:t>
      </w:r>
      <w:r w:rsidR="001E4C2A" w:rsidRPr="00BC7837">
        <w:t xml:space="preserve">ensitivity analysis showed that the model was sensitive to </w:t>
      </w:r>
      <w:r w:rsidR="00EB7BE7" w:rsidRPr="00BC7837">
        <w:t xml:space="preserve">the disutility applied for hypoglycaemia, with the ICER per QALY changing close to 50% with removal of the hypoglycaemia disutility (see </w:t>
      </w:r>
      <w:r w:rsidR="00EB7BE7" w:rsidRPr="00BC7837">
        <w:fldChar w:fldCharType="begin" w:fldLock="1"/>
      </w:r>
      <w:r w:rsidR="00EB7BE7" w:rsidRPr="00BC7837">
        <w:instrText xml:space="preserve"> REF _Ref134181638 \h  \* MERGEFORMAT </w:instrText>
      </w:r>
      <w:r w:rsidR="00EB7BE7" w:rsidRPr="00BC7837">
        <w:fldChar w:fldCharType="separate"/>
      </w:r>
      <w:r w:rsidR="00B71E27" w:rsidRPr="00FA1E86">
        <w:t xml:space="preserve">Table </w:t>
      </w:r>
      <w:r w:rsidR="00B71E27">
        <w:rPr>
          <w:noProof/>
        </w:rPr>
        <w:t>14</w:t>
      </w:r>
      <w:r w:rsidR="00EB7BE7" w:rsidRPr="00BC7837">
        <w:fldChar w:fldCharType="end"/>
      </w:r>
      <w:r w:rsidR="00EB7BE7" w:rsidRPr="00BC7837">
        <w:t>).</w:t>
      </w:r>
      <w:r w:rsidR="007E2601" w:rsidRPr="00BC7837">
        <w:t xml:space="preserve"> The ESC noted that the Evans 2013 data suggests monthly events leads to a reduction </w:t>
      </w:r>
      <w:r w:rsidR="00CA21F0" w:rsidRPr="00BC7837">
        <w:t xml:space="preserve">in utility </w:t>
      </w:r>
      <w:r w:rsidR="007E2601" w:rsidRPr="00BC7837">
        <w:t>of 0.003</w:t>
      </w:r>
      <w:r w:rsidR="00CA21F0" w:rsidRPr="00BC7837">
        <w:t xml:space="preserve"> </w:t>
      </w:r>
      <w:r w:rsidR="007E2601" w:rsidRPr="00BC7837">
        <w:t xml:space="preserve">per </w:t>
      </w:r>
      <w:r w:rsidR="00684140" w:rsidRPr="00BC7837">
        <w:t>event and</w:t>
      </w:r>
      <w:r w:rsidR="007E2601" w:rsidRPr="00BC7837">
        <w:t xml:space="preserve"> considered this may be a better estimate than the 0.005 used by the submission.</w:t>
      </w:r>
      <w:bookmarkEnd w:id="56"/>
      <w:r w:rsidR="00CA21F0" w:rsidRPr="00BC7837">
        <w:t xml:space="preserve"> The ESC did not consider this number of hypoglycaemic events once on insulin treatment was clinically plausible.</w:t>
      </w:r>
      <w:bookmarkEnd w:id="55"/>
    </w:p>
    <w:bookmarkEnd w:id="54"/>
    <w:p w14:paraId="17B09499" w14:textId="5FCB10FC" w:rsidR="00A83098" w:rsidRPr="00065852" w:rsidRDefault="00A83098" w:rsidP="00A83098">
      <w:pPr>
        <w:pStyle w:val="COMexecsumnumberedpara"/>
      </w:pPr>
      <w:r w:rsidRPr="00065852">
        <w:t>Beyond year 2, modelled estimates of qualify of life declined in all treatment arms due to age, diabetes complications and initiation of insulin therapy (which reverted baseline weight reductions and increased the frequency of hypoglycaemia episodes). There were no apparent differences between treatment arms beyond 7 years.</w:t>
      </w:r>
    </w:p>
    <w:p w14:paraId="444897CE" w14:textId="7790A1EB" w:rsidR="006414C1" w:rsidRPr="00FA1E86" w:rsidRDefault="006414C1" w:rsidP="006414C1">
      <w:pPr>
        <w:pStyle w:val="COMexecsumnumberedpara"/>
      </w:pPr>
      <w:r w:rsidRPr="00FA1E86">
        <w:t xml:space="preserve">The results of the modelled economic evaluation using effective prices are summarised in </w:t>
      </w:r>
      <w:r w:rsidR="00BA0A67" w:rsidRPr="00FA1E86">
        <w:fldChar w:fldCharType="begin" w:fldLock="1"/>
      </w:r>
      <w:r w:rsidR="00BA0A67" w:rsidRPr="00FA1E86">
        <w:instrText xml:space="preserve"> REF _Ref134096244 \h </w:instrText>
      </w:r>
      <w:r w:rsidR="00BA0A67" w:rsidRPr="00FA1E86">
        <w:fldChar w:fldCharType="separate"/>
      </w:r>
      <w:r w:rsidR="00B71E27" w:rsidRPr="00FA1E86">
        <w:t xml:space="preserve">Table </w:t>
      </w:r>
      <w:r w:rsidR="00B71E27">
        <w:rPr>
          <w:noProof/>
        </w:rPr>
        <w:t>13</w:t>
      </w:r>
      <w:r w:rsidR="00BA0A67" w:rsidRPr="00FA1E86">
        <w:fldChar w:fldCharType="end"/>
      </w:r>
      <w:r w:rsidRPr="00FA1E86">
        <w:t>.</w:t>
      </w:r>
    </w:p>
    <w:p w14:paraId="3976741B" w14:textId="54AF8F38" w:rsidR="00507C4C" w:rsidRPr="00FA1E86" w:rsidRDefault="00EC6E59" w:rsidP="00E94884">
      <w:pPr>
        <w:pStyle w:val="COMtablefigcaption"/>
      </w:pPr>
      <w:bookmarkStart w:id="57" w:name="_Ref134096244"/>
      <w:r w:rsidRPr="00FA1E86">
        <w:lastRenderedPageBreak/>
        <w:t xml:space="preserve">Table </w:t>
      </w:r>
      <w:fldSimple w:instr=" SEQ Table \* ARABIC " w:fldLock="1">
        <w:r w:rsidR="00B71E27">
          <w:rPr>
            <w:noProof/>
          </w:rPr>
          <w:t>13</w:t>
        </w:r>
      </w:fldSimple>
      <w:bookmarkEnd w:id="57"/>
      <w:r w:rsidR="00507C4C" w:rsidRPr="00FA1E86">
        <w:t>: Results of the modelled economic evaluation</w:t>
      </w:r>
    </w:p>
    <w:tbl>
      <w:tblPr>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33"/>
        <w:gridCol w:w="1944"/>
        <w:gridCol w:w="1946"/>
        <w:gridCol w:w="2585"/>
      </w:tblGrid>
      <w:tr w:rsidR="00507C4C" w:rsidRPr="00FA1E86" w14:paraId="1B335ABE" w14:textId="77777777" w:rsidTr="00253C04">
        <w:trPr>
          <w:trHeight w:val="469"/>
        </w:trPr>
        <w:tc>
          <w:tcPr>
            <w:tcW w:w="1406" w:type="pct"/>
            <w:vAlign w:val="center"/>
          </w:tcPr>
          <w:p w14:paraId="1050FB31" w14:textId="77777777" w:rsidR="00507C4C" w:rsidRPr="00FA1E86" w:rsidRDefault="00507C4C" w:rsidP="00253C04">
            <w:pPr>
              <w:pStyle w:val="COMTableheadingrow"/>
              <w:rPr>
                <w:lang w:val="en-AU"/>
              </w:rPr>
            </w:pPr>
            <w:r w:rsidRPr="00FA1E86">
              <w:rPr>
                <w:lang w:val="en-AU"/>
              </w:rPr>
              <w:t>Type of resource item</w:t>
            </w:r>
          </w:p>
        </w:tc>
        <w:tc>
          <w:tcPr>
            <w:tcW w:w="1079" w:type="pct"/>
            <w:vAlign w:val="center"/>
          </w:tcPr>
          <w:p w14:paraId="0DC12FF1" w14:textId="77777777" w:rsidR="00507C4C" w:rsidRPr="00FA1E86" w:rsidRDefault="00507C4C" w:rsidP="00253C04">
            <w:pPr>
              <w:pStyle w:val="COMTableheadingrow"/>
              <w:jc w:val="center"/>
              <w:rPr>
                <w:lang w:val="en-AU"/>
              </w:rPr>
            </w:pPr>
            <w:r w:rsidRPr="00FA1E86">
              <w:rPr>
                <w:lang w:val="en-AU"/>
              </w:rPr>
              <w:t>Tirzepatide</w:t>
            </w:r>
          </w:p>
        </w:tc>
        <w:tc>
          <w:tcPr>
            <w:tcW w:w="1080" w:type="pct"/>
            <w:vAlign w:val="center"/>
          </w:tcPr>
          <w:p w14:paraId="4758D950" w14:textId="77777777" w:rsidR="00507C4C" w:rsidRPr="00FA1E86" w:rsidRDefault="00507C4C" w:rsidP="00253C04">
            <w:pPr>
              <w:pStyle w:val="COMTableheadingrow"/>
              <w:jc w:val="center"/>
              <w:rPr>
                <w:lang w:val="en-AU"/>
              </w:rPr>
            </w:pPr>
            <w:r w:rsidRPr="00FA1E86">
              <w:rPr>
                <w:lang w:val="en-AU"/>
              </w:rPr>
              <w:t>Semaglutide</w:t>
            </w:r>
          </w:p>
        </w:tc>
        <w:tc>
          <w:tcPr>
            <w:tcW w:w="1435" w:type="pct"/>
          </w:tcPr>
          <w:p w14:paraId="3695A4B6" w14:textId="77777777" w:rsidR="00507C4C" w:rsidRPr="00FA1E86" w:rsidRDefault="00507C4C" w:rsidP="00253C04">
            <w:pPr>
              <w:pStyle w:val="COMTableheadingrow"/>
              <w:jc w:val="center"/>
              <w:rPr>
                <w:lang w:val="en-AU"/>
              </w:rPr>
            </w:pPr>
            <w:r w:rsidRPr="00FA1E86">
              <w:rPr>
                <w:lang w:val="en-AU"/>
              </w:rPr>
              <w:t>Incremental</w:t>
            </w:r>
          </w:p>
          <w:p w14:paraId="25DC9B02" w14:textId="77777777" w:rsidR="00507C4C" w:rsidRPr="00FA1E86" w:rsidRDefault="00507C4C" w:rsidP="00253C04">
            <w:pPr>
              <w:pStyle w:val="COMTableheadingrow"/>
              <w:jc w:val="center"/>
              <w:rPr>
                <w:lang w:val="en-AU"/>
              </w:rPr>
            </w:pPr>
            <w:r w:rsidRPr="00FA1E86">
              <w:rPr>
                <w:lang w:val="en-AU"/>
              </w:rPr>
              <w:t>difference</w:t>
            </w:r>
          </w:p>
        </w:tc>
      </w:tr>
      <w:tr w:rsidR="00507C4C" w:rsidRPr="00065852" w14:paraId="04BED3DE" w14:textId="77777777" w:rsidTr="00253C04">
        <w:tc>
          <w:tcPr>
            <w:tcW w:w="5000" w:type="pct"/>
            <w:gridSpan w:val="4"/>
          </w:tcPr>
          <w:p w14:paraId="1C2CFBA6" w14:textId="77777777" w:rsidR="00507C4C" w:rsidRPr="00065852" w:rsidRDefault="00507C4C" w:rsidP="00253C04">
            <w:pPr>
              <w:pStyle w:val="COMTableheadingrow"/>
              <w:rPr>
                <w:lang w:val="en-AU"/>
              </w:rPr>
            </w:pPr>
            <w:r w:rsidRPr="00065852">
              <w:rPr>
                <w:lang w:val="en-AU"/>
              </w:rPr>
              <w:t>Comparison of tirzepatide 5 mg versus semaglutide 1 mg</w:t>
            </w:r>
          </w:p>
        </w:tc>
      </w:tr>
      <w:tr w:rsidR="00507C4C" w:rsidRPr="00065852" w14:paraId="0004BED5" w14:textId="77777777" w:rsidTr="00253C04">
        <w:tc>
          <w:tcPr>
            <w:tcW w:w="1406" w:type="pct"/>
          </w:tcPr>
          <w:p w14:paraId="27D2A6D8" w14:textId="77777777" w:rsidR="00507C4C" w:rsidRPr="00065852" w:rsidRDefault="00507C4C" w:rsidP="00253C04">
            <w:pPr>
              <w:pStyle w:val="COMTabletext"/>
              <w:rPr>
                <w:vertAlign w:val="superscript"/>
              </w:rPr>
            </w:pPr>
            <w:r w:rsidRPr="00065852">
              <w:t>Costs</w:t>
            </w:r>
          </w:p>
        </w:tc>
        <w:tc>
          <w:tcPr>
            <w:tcW w:w="1079" w:type="pct"/>
            <w:vAlign w:val="bottom"/>
          </w:tcPr>
          <w:p w14:paraId="575772FA" w14:textId="57F97CC0" w:rsidR="00507C4C" w:rsidRPr="00D22D61" w:rsidRDefault="00507C4C" w:rsidP="00253C04">
            <w:pPr>
              <w:pStyle w:val="COMTabletext"/>
              <w:jc w:val="center"/>
            </w:pPr>
            <w:r w:rsidRPr="00D22D61">
              <w:t>$</w:t>
            </w:r>
            <w:r w:rsidR="001F207D" w:rsidRPr="001F207D">
              <w:rPr>
                <w:color w:val="000000"/>
                <w:shd w:val="solid" w:color="000000" w:fill="000000"/>
                <w14:textFill>
                  <w14:solidFill>
                    <w14:srgbClr w14:val="000000">
                      <w14:alpha w14:val="100000"/>
                    </w14:srgbClr>
                  </w14:solidFill>
                </w14:textFill>
              </w:rPr>
              <w:t>|</w:t>
            </w:r>
          </w:p>
        </w:tc>
        <w:tc>
          <w:tcPr>
            <w:tcW w:w="1080" w:type="pct"/>
            <w:vAlign w:val="bottom"/>
          </w:tcPr>
          <w:p w14:paraId="50E2B7BD" w14:textId="2DE503F0" w:rsidR="00507C4C" w:rsidRPr="00D22D61" w:rsidRDefault="00507C4C" w:rsidP="00253C04">
            <w:pPr>
              <w:pStyle w:val="COMTabletext"/>
              <w:jc w:val="center"/>
            </w:pPr>
            <w:r w:rsidRPr="0009575C">
              <w:t>$</w:t>
            </w:r>
            <w:r w:rsidR="00D01FBB" w:rsidRPr="00D01FBB">
              <w:rPr>
                <w:color w:val="000000"/>
                <w:shd w:val="solid" w:color="000000" w:fill="000000"/>
                <w14:textFill>
                  <w14:solidFill>
                    <w14:srgbClr w14:val="000000">
                      <w14:alpha w14:val="100000"/>
                    </w14:srgbClr>
                  </w14:solidFill>
                </w14:textFill>
              </w:rPr>
              <w:t>|</w:t>
            </w:r>
          </w:p>
        </w:tc>
        <w:tc>
          <w:tcPr>
            <w:tcW w:w="1435" w:type="pct"/>
            <w:vAlign w:val="center"/>
          </w:tcPr>
          <w:p w14:paraId="24AF9C1D" w14:textId="1D4C8912" w:rsidR="00507C4C" w:rsidRPr="00D22D61" w:rsidRDefault="00507C4C" w:rsidP="00253C04">
            <w:pPr>
              <w:pStyle w:val="COMTabletext"/>
              <w:jc w:val="center"/>
            </w:pPr>
            <w:r w:rsidRPr="00D22D61">
              <w:t>$</w:t>
            </w:r>
            <w:r w:rsidR="001F207D" w:rsidRPr="001F207D">
              <w:rPr>
                <w:color w:val="000000"/>
                <w:shd w:val="solid" w:color="000000" w:fill="000000"/>
                <w14:textFill>
                  <w14:solidFill>
                    <w14:srgbClr w14:val="000000">
                      <w14:alpha w14:val="100000"/>
                    </w14:srgbClr>
                  </w14:solidFill>
                </w14:textFill>
              </w:rPr>
              <w:t>|</w:t>
            </w:r>
          </w:p>
        </w:tc>
      </w:tr>
      <w:tr w:rsidR="00507C4C" w:rsidRPr="00065852" w14:paraId="1B22D20B" w14:textId="77777777" w:rsidTr="00253C04">
        <w:tc>
          <w:tcPr>
            <w:tcW w:w="1406" w:type="pct"/>
          </w:tcPr>
          <w:p w14:paraId="5119B0FE" w14:textId="62552AF8" w:rsidR="00507C4C" w:rsidRPr="00065852" w:rsidRDefault="00507C4C" w:rsidP="00253C04">
            <w:pPr>
              <w:pStyle w:val="COMTabletext"/>
            </w:pPr>
            <w:r w:rsidRPr="00065852">
              <w:t>L</w:t>
            </w:r>
            <w:r w:rsidR="0016283E">
              <w:t>Y</w:t>
            </w:r>
            <w:r w:rsidRPr="00065852">
              <w:t>s</w:t>
            </w:r>
          </w:p>
        </w:tc>
        <w:tc>
          <w:tcPr>
            <w:tcW w:w="1079" w:type="pct"/>
            <w:vAlign w:val="center"/>
          </w:tcPr>
          <w:p w14:paraId="61A7E248" w14:textId="77777777" w:rsidR="00507C4C" w:rsidRPr="00D22D61" w:rsidRDefault="00507C4C" w:rsidP="00253C04">
            <w:pPr>
              <w:pStyle w:val="COMTabletext"/>
              <w:jc w:val="center"/>
            </w:pPr>
            <w:r w:rsidRPr="00D22D61">
              <w:t>13.2404</w:t>
            </w:r>
          </w:p>
        </w:tc>
        <w:tc>
          <w:tcPr>
            <w:tcW w:w="1080" w:type="pct"/>
            <w:vAlign w:val="center"/>
          </w:tcPr>
          <w:p w14:paraId="00A0BBFA" w14:textId="77777777" w:rsidR="00507C4C" w:rsidRPr="00D22D61" w:rsidRDefault="00507C4C" w:rsidP="00253C04">
            <w:pPr>
              <w:pStyle w:val="COMTabletext"/>
              <w:jc w:val="center"/>
            </w:pPr>
            <w:r w:rsidRPr="00D22D61">
              <w:t>13.2283</w:t>
            </w:r>
          </w:p>
        </w:tc>
        <w:tc>
          <w:tcPr>
            <w:tcW w:w="1435" w:type="pct"/>
            <w:vAlign w:val="center"/>
          </w:tcPr>
          <w:p w14:paraId="315814CD" w14:textId="77777777" w:rsidR="00507C4C" w:rsidRPr="00D22D61" w:rsidRDefault="00507C4C" w:rsidP="00253C04">
            <w:pPr>
              <w:pStyle w:val="COMTabletext"/>
              <w:jc w:val="center"/>
            </w:pPr>
            <w:r w:rsidRPr="00D22D61">
              <w:t>0.0121</w:t>
            </w:r>
          </w:p>
        </w:tc>
      </w:tr>
      <w:tr w:rsidR="00507C4C" w:rsidRPr="00065852" w14:paraId="670CCA79" w14:textId="77777777" w:rsidTr="00253C04">
        <w:tc>
          <w:tcPr>
            <w:tcW w:w="1406" w:type="pct"/>
          </w:tcPr>
          <w:p w14:paraId="21E0BF9C" w14:textId="77777777" w:rsidR="00507C4C" w:rsidRPr="00065852" w:rsidRDefault="00507C4C" w:rsidP="00253C04">
            <w:pPr>
              <w:pStyle w:val="COMTabletext"/>
            </w:pPr>
            <w:r w:rsidRPr="00065852">
              <w:t>QALYs</w:t>
            </w:r>
          </w:p>
        </w:tc>
        <w:tc>
          <w:tcPr>
            <w:tcW w:w="1079" w:type="pct"/>
            <w:vAlign w:val="center"/>
          </w:tcPr>
          <w:p w14:paraId="46238A11" w14:textId="77777777" w:rsidR="00507C4C" w:rsidRPr="00D22D61" w:rsidRDefault="00507C4C" w:rsidP="00253C04">
            <w:pPr>
              <w:pStyle w:val="COMTabletext"/>
              <w:jc w:val="center"/>
            </w:pPr>
            <w:r w:rsidRPr="00D22D61">
              <w:t>8.4517</w:t>
            </w:r>
          </w:p>
        </w:tc>
        <w:tc>
          <w:tcPr>
            <w:tcW w:w="1080" w:type="pct"/>
            <w:vAlign w:val="center"/>
          </w:tcPr>
          <w:p w14:paraId="5C748DD2" w14:textId="77777777" w:rsidR="00507C4C" w:rsidRPr="00D22D61" w:rsidRDefault="00507C4C" w:rsidP="00253C04">
            <w:pPr>
              <w:pStyle w:val="COMTabletext"/>
              <w:jc w:val="center"/>
            </w:pPr>
            <w:r w:rsidRPr="00D22D61">
              <w:t>8.4121</w:t>
            </w:r>
          </w:p>
        </w:tc>
        <w:tc>
          <w:tcPr>
            <w:tcW w:w="1435" w:type="pct"/>
            <w:vAlign w:val="center"/>
          </w:tcPr>
          <w:p w14:paraId="7E719923" w14:textId="77777777" w:rsidR="00507C4C" w:rsidRPr="00D22D61" w:rsidRDefault="00507C4C" w:rsidP="00253C04">
            <w:pPr>
              <w:pStyle w:val="COMTabletext"/>
              <w:jc w:val="center"/>
            </w:pPr>
            <w:r w:rsidRPr="00D22D61">
              <w:t>0.0396</w:t>
            </w:r>
          </w:p>
        </w:tc>
      </w:tr>
      <w:tr w:rsidR="00507C4C" w:rsidRPr="00065852" w14:paraId="5C64E788" w14:textId="77777777" w:rsidTr="00253C04">
        <w:tc>
          <w:tcPr>
            <w:tcW w:w="3565" w:type="pct"/>
            <w:gridSpan w:val="3"/>
          </w:tcPr>
          <w:p w14:paraId="70C08069" w14:textId="77777777" w:rsidR="00507C4C" w:rsidRPr="00D22D61" w:rsidRDefault="00507C4C" w:rsidP="00253C04">
            <w:pPr>
              <w:pStyle w:val="COMTabletext"/>
              <w:rPr>
                <w:b/>
              </w:rPr>
            </w:pPr>
            <w:r w:rsidRPr="00D22D61">
              <w:rPr>
                <w:b/>
              </w:rPr>
              <w:t xml:space="preserve">Incremental cost per LY gained </w:t>
            </w:r>
          </w:p>
        </w:tc>
        <w:tc>
          <w:tcPr>
            <w:tcW w:w="1435" w:type="pct"/>
            <w:vAlign w:val="center"/>
          </w:tcPr>
          <w:p w14:paraId="240B3109" w14:textId="7331A103" w:rsidR="00507C4C" w:rsidRPr="00D22D61" w:rsidRDefault="00507C4C" w:rsidP="00253C04">
            <w:pPr>
              <w:pStyle w:val="COMTabletext"/>
              <w:jc w:val="center"/>
            </w:pPr>
            <w:r w:rsidRPr="00D22D61">
              <w:t>$</w:t>
            </w:r>
            <w:r w:rsidR="001F207D" w:rsidRPr="001F207D">
              <w:rPr>
                <w:color w:val="000000"/>
                <w:shd w:val="solid" w:color="000000" w:fill="000000"/>
                <w14:textFill>
                  <w14:solidFill>
                    <w14:srgbClr w14:val="000000">
                      <w14:alpha w14:val="100000"/>
                    </w14:srgbClr>
                  </w14:solidFill>
                </w14:textFill>
              </w:rPr>
              <w:t>|</w:t>
            </w:r>
            <w:r w:rsidR="00944D87" w:rsidRPr="003D56F7">
              <w:rPr>
                <w:sz w:val="18"/>
                <w:szCs w:val="18"/>
                <w:vertAlign w:val="superscript"/>
              </w:rPr>
              <w:t>1</w:t>
            </w:r>
          </w:p>
        </w:tc>
      </w:tr>
      <w:tr w:rsidR="00507C4C" w:rsidRPr="00065852" w14:paraId="398959A4" w14:textId="77777777" w:rsidTr="00253C04">
        <w:tc>
          <w:tcPr>
            <w:tcW w:w="3565" w:type="pct"/>
            <w:gridSpan w:val="3"/>
          </w:tcPr>
          <w:p w14:paraId="26132E44" w14:textId="77777777" w:rsidR="00507C4C" w:rsidRPr="00D22D61" w:rsidRDefault="00507C4C" w:rsidP="00253C04">
            <w:pPr>
              <w:pStyle w:val="COMTabletext"/>
              <w:rPr>
                <w:b/>
              </w:rPr>
            </w:pPr>
            <w:r w:rsidRPr="00D22D61">
              <w:rPr>
                <w:b/>
              </w:rPr>
              <w:t>Incremental cost per QALY gained</w:t>
            </w:r>
          </w:p>
        </w:tc>
        <w:tc>
          <w:tcPr>
            <w:tcW w:w="1435" w:type="pct"/>
            <w:vAlign w:val="center"/>
          </w:tcPr>
          <w:p w14:paraId="48E2A2B8" w14:textId="21336D36" w:rsidR="00507C4C" w:rsidRPr="00D22D61" w:rsidRDefault="00507C4C" w:rsidP="00253C04">
            <w:pPr>
              <w:pStyle w:val="COMTabletext"/>
              <w:jc w:val="center"/>
            </w:pPr>
            <w:r w:rsidRPr="00D22D61">
              <w:t>$</w:t>
            </w:r>
            <w:r w:rsidR="001F207D" w:rsidRPr="001F207D">
              <w:rPr>
                <w:color w:val="000000"/>
                <w:shd w:val="solid" w:color="000000" w:fill="000000"/>
                <w14:textFill>
                  <w14:solidFill>
                    <w14:srgbClr w14:val="000000">
                      <w14:alpha w14:val="100000"/>
                    </w14:srgbClr>
                  </w14:solidFill>
                </w14:textFill>
              </w:rPr>
              <w:t>|</w:t>
            </w:r>
            <w:r w:rsidR="00944D87" w:rsidRPr="003D56F7">
              <w:rPr>
                <w:sz w:val="18"/>
                <w:szCs w:val="18"/>
                <w:vertAlign w:val="superscript"/>
              </w:rPr>
              <w:t>2</w:t>
            </w:r>
          </w:p>
        </w:tc>
      </w:tr>
      <w:tr w:rsidR="00507C4C" w:rsidRPr="00065852" w14:paraId="7EF3E59C" w14:textId="77777777" w:rsidTr="00253C04">
        <w:tc>
          <w:tcPr>
            <w:tcW w:w="5000" w:type="pct"/>
            <w:gridSpan w:val="4"/>
          </w:tcPr>
          <w:p w14:paraId="6540B886" w14:textId="77777777" w:rsidR="00507C4C" w:rsidRPr="00D22D61" w:rsidRDefault="00507C4C" w:rsidP="00253C04">
            <w:pPr>
              <w:pStyle w:val="COMTableheadingrow"/>
              <w:rPr>
                <w:lang w:val="en-AU"/>
              </w:rPr>
            </w:pPr>
            <w:r w:rsidRPr="00D22D61">
              <w:rPr>
                <w:lang w:val="en-AU"/>
              </w:rPr>
              <w:t>Comparison of tirzepatide 10 mg versus semaglutide 1 mg</w:t>
            </w:r>
          </w:p>
        </w:tc>
      </w:tr>
      <w:tr w:rsidR="00507C4C" w:rsidRPr="00065852" w14:paraId="6D967A58" w14:textId="77777777" w:rsidTr="00253C04">
        <w:tc>
          <w:tcPr>
            <w:tcW w:w="1406" w:type="pct"/>
          </w:tcPr>
          <w:p w14:paraId="6DBC9851" w14:textId="77777777" w:rsidR="00507C4C" w:rsidRPr="00065852" w:rsidRDefault="00507C4C" w:rsidP="00253C04">
            <w:pPr>
              <w:pStyle w:val="COMTabletext"/>
              <w:rPr>
                <w:vertAlign w:val="superscript"/>
              </w:rPr>
            </w:pPr>
            <w:r w:rsidRPr="00065852">
              <w:t>Costs</w:t>
            </w:r>
          </w:p>
        </w:tc>
        <w:tc>
          <w:tcPr>
            <w:tcW w:w="1079" w:type="pct"/>
            <w:vAlign w:val="bottom"/>
          </w:tcPr>
          <w:p w14:paraId="772C44FF" w14:textId="5BB1D2CF" w:rsidR="00507C4C" w:rsidRPr="00D22D61" w:rsidRDefault="00507C4C" w:rsidP="00253C04">
            <w:pPr>
              <w:pStyle w:val="COMTabletext"/>
              <w:jc w:val="center"/>
            </w:pPr>
            <w:r w:rsidRPr="00D22D61">
              <w:t>$</w:t>
            </w:r>
            <w:r w:rsidR="001F207D" w:rsidRPr="001F207D">
              <w:rPr>
                <w:color w:val="000000"/>
                <w:shd w:val="solid" w:color="000000" w:fill="000000"/>
                <w14:textFill>
                  <w14:solidFill>
                    <w14:srgbClr w14:val="000000">
                      <w14:alpha w14:val="100000"/>
                    </w14:srgbClr>
                  </w14:solidFill>
                </w14:textFill>
              </w:rPr>
              <w:t>|</w:t>
            </w:r>
          </w:p>
        </w:tc>
        <w:tc>
          <w:tcPr>
            <w:tcW w:w="1080" w:type="pct"/>
            <w:vAlign w:val="bottom"/>
          </w:tcPr>
          <w:p w14:paraId="785FE84A" w14:textId="439D3604" w:rsidR="00507C4C" w:rsidRPr="00D22D61" w:rsidRDefault="00507C4C" w:rsidP="00253C04">
            <w:pPr>
              <w:pStyle w:val="COMTabletext"/>
              <w:jc w:val="center"/>
            </w:pPr>
            <w:r w:rsidRPr="0009575C">
              <w:t>$</w:t>
            </w:r>
            <w:r w:rsidR="00D01FBB" w:rsidRPr="00D01FBB">
              <w:rPr>
                <w:color w:val="000000"/>
                <w:shd w:val="solid" w:color="000000" w:fill="000000"/>
                <w14:textFill>
                  <w14:solidFill>
                    <w14:srgbClr w14:val="000000">
                      <w14:alpha w14:val="100000"/>
                    </w14:srgbClr>
                  </w14:solidFill>
                </w14:textFill>
              </w:rPr>
              <w:t>|</w:t>
            </w:r>
          </w:p>
        </w:tc>
        <w:tc>
          <w:tcPr>
            <w:tcW w:w="1435" w:type="pct"/>
            <w:vAlign w:val="center"/>
          </w:tcPr>
          <w:p w14:paraId="125F5041" w14:textId="1B7EA895" w:rsidR="00507C4C" w:rsidRPr="00D22D61" w:rsidRDefault="00507C4C" w:rsidP="00253C04">
            <w:pPr>
              <w:pStyle w:val="COMTabletext"/>
              <w:jc w:val="center"/>
            </w:pPr>
            <w:r w:rsidRPr="00D22D61">
              <w:t>$</w:t>
            </w:r>
            <w:r w:rsidR="001F207D" w:rsidRPr="001F207D">
              <w:rPr>
                <w:color w:val="000000"/>
                <w:shd w:val="solid" w:color="000000" w:fill="000000"/>
                <w14:textFill>
                  <w14:solidFill>
                    <w14:srgbClr w14:val="000000">
                      <w14:alpha w14:val="100000"/>
                    </w14:srgbClr>
                  </w14:solidFill>
                </w14:textFill>
              </w:rPr>
              <w:t>|</w:t>
            </w:r>
          </w:p>
        </w:tc>
      </w:tr>
      <w:tr w:rsidR="00507C4C" w:rsidRPr="00065852" w14:paraId="79329575" w14:textId="77777777" w:rsidTr="00253C04">
        <w:tc>
          <w:tcPr>
            <w:tcW w:w="1406" w:type="pct"/>
          </w:tcPr>
          <w:p w14:paraId="40E06CAB" w14:textId="53F59043" w:rsidR="00507C4C" w:rsidRPr="00065852" w:rsidRDefault="00507C4C" w:rsidP="00253C04">
            <w:pPr>
              <w:pStyle w:val="COMTabletext"/>
            </w:pPr>
            <w:r w:rsidRPr="00065852">
              <w:t>L</w:t>
            </w:r>
            <w:r w:rsidR="0016283E">
              <w:t>Y</w:t>
            </w:r>
            <w:r w:rsidRPr="00065852">
              <w:t>s</w:t>
            </w:r>
          </w:p>
        </w:tc>
        <w:tc>
          <w:tcPr>
            <w:tcW w:w="1079" w:type="pct"/>
            <w:vAlign w:val="bottom"/>
          </w:tcPr>
          <w:p w14:paraId="7CB5A8C5" w14:textId="77777777" w:rsidR="00507C4C" w:rsidRPr="00D22D61" w:rsidRDefault="00507C4C" w:rsidP="00253C04">
            <w:pPr>
              <w:pStyle w:val="COMTabletext"/>
              <w:jc w:val="center"/>
            </w:pPr>
            <w:r w:rsidRPr="00D22D61">
              <w:t>13.2494</w:t>
            </w:r>
          </w:p>
        </w:tc>
        <w:tc>
          <w:tcPr>
            <w:tcW w:w="1080" w:type="pct"/>
            <w:vAlign w:val="center"/>
          </w:tcPr>
          <w:p w14:paraId="601886CC" w14:textId="77777777" w:rsidR="00507C4C" w:rsidRPr="00D22D61" w:rsidRDefault="00507C4C" w:rsidP="00253C04">
            <w:pPr>
              <w:pStyle w:val="COMTabletext"/>
              <w:jc w:val="center"/>
            </w:pPr>
            <w:r w:rsidRPr="00D22D61">
              <w:t>13.2283</w:t>
            </w:r>
          </w:p>
        </w:tc>
        <w:tc>
          <w:tcPr>
            <w:tcW w:w="1435" w:type="pct"/>
            <w:vAlign w:val="center"/>
          </w:tcPr>
          <w:p w14:paraId="27F83C6B" w14:textId="77777777" w:rsidR="00507C4C" w:rsidRPr="00D22D61" w:rsidRDefault="00507C4C" w:rsidP="00253C04">
            <w:pPr>
              <w:pStyle w:val="COMTabletext"/>
              <w:jc w:val="center"/>
            </w:pPr>
            <w:r w:rsidRPr="00D22D61">
              <w:t>0.0211</w:t>
            </w:r>
          </w:p>
        </w:tc>
      </w:tr>
      <w:tr w:rsidR="00507C4C" w:rsidRPr="00065852" w14:paraId="73F7984D" w14:textId="77777777" w:rsidTr="00253C04">
        <w:tc>
          <w:tcPr>
            <w:tcW w:w="1406" w:type="pct"/>
          </w:tcPr>
          <w:p w14:paraId="249C9960" w14:textId="77777777" w:rsidR="00507C4C" w:rsidRPr="00065852" w:rsidRDefault="00507C4C" w:rsidP="00253C04">
            <w:pPr>
              <w:pStyle w:val="COMTabletext"/>
            </w:pPr>
            <w:r w:rsidRPr="00065852">
              <w:t>QALYs</w:t>
            </w:r>
          </w:p>
        </w:tc>
        <w:tc>
          <w:tcPr>
            <w:tcW w:w="1079" w:type="pct"/>
            <w:vAlign w:val="bottom"/>
          </w:tcPr>
          <w:p w14:paraId="26B4B2B2" w14:textId="77777777" w:rsidR="00507C4C" w:rsidRPr="00D22D61" w:rsidRDefault="00507C4C" w:rsidP="00253C04">
            <w:pPr>
              <w:pStyle w:val="COMTabletext"/>
              <w:jc w:val="center"/>
            </w:pPr>
            <w:r w:rsidRPr="00D22D61">
              <w:t>8.4987</w:t>
            </w:r>
          </w:p>
        </w:tc>
        <w:tc>
          <w:tcPr>
            <w:tcW w:w="1080" w:type="pct"/>
            <w:vAlign w:val="center"/>
          </w:tcPr>
          <w:p w14:paraId="7D3820B1" w14:textId="77777777" w:rsidR="00507C4C" w:rsidRPr="00D22D61" w:rsidRDefault="00507C4C" w:rsidP="00253C04">
            <w:pPr>
              <w:pStyle w:val="COMTabletext"/>
              <w:jc w:val="center"/>
            </w:pPr>
            <w:r w:rsidRPr="00D22D61">
              <w:t>8.4121</w:t>
            </w:r>
          </w:p>
        </w:tc>
        <w:tc>
          <w:tcPr>
            <w:tcW w:w="1435" w:type="pct"/>
            <w:vAlign w:val="center"/>
          </w:tcPr>
          <w:p w14:paraId="6D4B11D2" w14:textId="77777777" w:rsidR="00507C4C" w:rsidRPr="00D22D61" w:rsidRDefault="00507C4C" w:rsidP="00253C04">
            <w:pPr>
              <w:pStyle w:val="COMTabletext"/>
              <w:jc w:val="center"/>
            </w:pPr>
            <w:r w:rsidRPr="00D22D61">
              <w:t>0.0866</w:t>
            </w:r>
          </w:p>
        </w:tc>
      </w:tr>
      <w:tr w:rsidR="00507C4C" w:rsidRPr="00065852" w14:paraId="0BFA0D37" w14:textId="77777777" w:rsidTr="00253C04">
        <w:tc>
          <w:tcPr>
            <w:tcW w:w="3565" w:type="pct"/>
            <w:gridSpan w:val="3"/>
          </w:tcPr>
          <w:p w14:paraId="7C9ABB47" w14:textId="77777777" w:rsidR="00507C4C" w:rsidRPr="00D22D61" w:rsidRDefault="00507C4C" w:rsidP="00253C04">
            <w:pPr>
              <w:pStyle w:val="COMTabletext"/>
              <w:rPr>
                <w:b/>
              </w:rPr>
            </w:pPr>
            <w:r w:rsidRPr="00D22D61">
              <w:rPr>
                <w:b/>
              </w:rPr>
              <w:t xml:space="preserve">Incremental cost per LY gained </w:t>
            </w:r>
          </w:p>
        </w:tc>
        <w:tc>
          <w:tcPr>
            <w:tcW w:w="1435" w:type="pct"/>
            <w:vAlign w:val="center"/>
          </w:tcPr>
          <w:p w14:paraId="570F95FE" w14:textId="021F40F8" w:rsidR="00507C4C" w:rsidRPr="00D22D61" w:rsidRDefault="00507C4C" w:rsidP="00253C04">
            <w:pPr>
              <w:pStyle w:val="COMTabletext"/>
              <w:jc w:val="center"/>
            </w:pPr>
            <w:r w:rsidRPr="00D22D61">
              <w:t>$</w:t>
            </w:r>
            <w:r w:rsidR="001F207D" w:rsidRPr="001F207D">
              <w:rPr>
                <w:color w:val="000000"/>
                <w:shd w:val="solid" w:color="000000" w:fill="000000"/>
                <w14:textFill>
                  <w14:solidFill>
                    <w14:srgbClr w14:val="000000">
                      <w14:alpha w14:val="100000"/>
                    </w14:srgbClr>
                  </w14:solidFill>
                </w14:textFill>
              </w:rPr>
              <w:t>|</w:t>
            </w:r>
            <w:r w:rsidR="00944D87" w:rsidRPr="003D56F7">
              <w:rPr>
                <w:sz w:val="18"/>
                <w:szCs w:val="18"/>
                <w:vertAlign w:val="superscript"/>
              </w:rPr>
              <w:t>3</w:t>
            </w:r>
          </w:p>
        </w:tc>
      </w:tr>
      <w:tr w:rsidR="00507C4C" w:rsidRPr="00065852" w14:paraId="4BFDE0D8" w14:textId="77777777" w:rsidTr="00253C04">
        <w:tc>
          <w:tcPr>
            <w:tcW w:w="3565" w:type="pct"/>
            <w:gridSpan w:val="3"/>
          </w:tcPr>
          <w:p w14:paraId="12D9A597" w14:textId="77777777" w:rsidR="00507C4C" w:rsidRPr="00D22D61" w:rsidRDefault="00507C4C" w:rsidP="00253C04">
            <w:pPr>
              <w:pStyle w:val="COMTabletext"/>
              <w:rPr>
                <w:b/>
              </w:rPr>
            </w:pPr>
            <w:r w:rsidRPr="00D22D61">
              <w:rPr>
                <w:b/>
              </w:rPr>
              <w:t>Incremental cost per QALY gained</w:t>
            </w:r>
          </w:p>
        </w:tc>
        <w:tc>
          <w:tcPr>
            <w:tcW w:w="1435" w:type="pct"/>
            <w:vAlign w:val="center"/>
          </w:tcPr>
          <w:p w14:paraId="42B24495" w14:textId="105A32C9" w:rsidR="00507C4C" w:rsidRPr="00D22D61" w:rsidRDefault="00507C4C" w:rsidP="00253C04">
            <w:pPr>
              <w:pStyle w:val="COMTabletext"/>
              <w:jc w:val="center"/>
            </w:pPr>
            <w:r w:rsidRPr="00D22D61">
              <w:t>$</w:t>
            </w:r>
            <w:r w:rsidR="001F207D" w:rsidRPr="001F207D">
              <w:rPr>
                <w:color w:val="000000"/>
                <w:shd w:val="solid" w:color="000000" w:fill="000000"/>
                <w14:textFill>
                  <w14:solidFill>
                    <w14:srgbClr w14:val="000000">
                      <w14:alpha w14:val="100000"/>
                    </w14:srgbClr>
                  </w14:solidFill>
                </w14:textFill>
              </w:rPr>
              <w:t>|</w:t>
            </w:r>
            <w:r w:rsidR="00944D87" w:rsidRPr="003D56F7">
              <w:rPr>
                <w:sz w:val="18"/>
                <w:szCs w:val="18"/>
                <w:vertAlign w:val="superscript"/>
              </w:rPr>
              <w:t>4</w:t>
            </w:r>
          </w:p>
        </w:tc>
      </w:tr>
      <w:tr w:rsidR="00507C4C" w:rsidRPr="00065852" w14:paraId="69E6DC3B" w14:textId="77777777" w:rsidTr="00253C04">
        <w:tc>
          <w:tcPr>
            <w:tcW w:w="5000" w:type="pct"/>
            <w:gridSpan w:val="4"/>
          </w:tcPr>
          <w:p w14:paraId="65A79AB4" w14:textId="77777777" w:rsidR="00507C4C" w:rsidRPr="00D22D61" w:rsidRDefault="00507C4C" w:rsidP="00253C04">
            <w:pPr>
              <w:pStyle w:val="COMTableheadingrow"/>
              <w:rPr>
                <w:lang w:val="en-AU"/>
              </w:rPr>
            </w:pPr>
            <w:r w:rsidRPr="00D22D61">
              <w:rPr>
                <w:lang w:val="en-AU"/>
              </w:rPr>
              <w:t>Comparison of tirzepatide 15 mg versus semaglutide 1 mg</w:t>
            </w:r>
          </w:p>
        </w:tc>
      </w:tr>
      <w:tr w:rsidR="00507C4C" w:rsidRPr="00065852" w14:paraId="3C941D0E" w14:textId="77777777" w:rsidTr="00253C04">
        <w:tc>
          <w:tcPr>
            <w:tcW w:w="1406" w:type="pct"/>
          </w:tcPr>
          <w:p w14:paraId="589BB267" w14:textId="77777777" w:rsidR="00507C4C" w:rsidRPr="00065852" w:rsidRDefault="00507C4C" w:rsidP="00253C04">
            <w:pPr>
              <w:pStyle w:val="COMTabletext"/>
              <w:rPr>
                <w:vertAlign w:val="superscript"/>
              </w:rPr>
            </w:pPr>
            <w:r w:rsidRPr="00065852">
              <w:t>Costs</w:t>
            </w:r>
          </w:p>
        </w:tc>
        <w:tc>
          <w:tcPr>
            <w:tcW w:w="1079" w:type="pct"/>
            <w:vAlign w:val="bottom"/>
          </w:tcPr>
          <w:p w14:paraId="6817F3A1" w14:textId="52308D74" w:rsidR="00507C4C" w:rsidRPr="00D22D61" w:rsidRDefault="00507C4C" w:rsidP="00253C04">
            <w:pPr>
              <w:pStyle w:val="COMTabletext"/>
              <w:jc w:val="center"/>
            </w:pPr>
            <w:r w:rsidRPr="00D22D61">
              <w:t>$</w:t>
            </w:r>
            <w:r w:rsidR="001F207D" w:rsidRPr="001F207D">
              <w:rPr>
                <w:color w:val="000000"/>
                <w:shd w:val="solid" w:color="000000" w:fill="000000"/>
                <w14:textFill>
                  <w14:solidFill>
                    <w14:srgbClr w14:val="000000">
                      <w14:alpha w14:val="100000"/>
                    </w14:srgbClr>
                  </w14:solidFill>
                </w14:textFill>
              </w:rPr>
              <w:t>|</w:t>
            </w:r>
          </w:p>
        </w:tc>
        <w:tc>
          <w:tcPr>
            <w:tcW w:w="1080" w:type="pct"/>
            <w:vAlign w:val="bottom"/>
          </w:tcPr>
          <w:p w14:paraId="79EA5C00" w14:textId="6D3F914B" w:rsidR="00507C4C" w:rsidRPr="00D22D61" w:rsidRDefault="00507C4C" w:rsidP="00253C04">
            <w:pPr>
              <w:pStyle w:val="COMTabletext"/>
              <w:jc w:val="center"/>
            </w:pPr>
            <w:r w:rsidRPr="0009575C">
              <w:t>$</w:t>
            </w:r>
            <w:r w:rsidR="00D01FBB" w:rsidRPr="00D01FBB">
              <w:rPr>
                <w:color w:val="000000"/>
                <w:shd w:val="solid" w:color="000000" w:fill="000000"/>
                <w14:textFill>
                  <w14:solidFill>
                    <w14:srgbClr w14:val="000000">
                      <w14:alpha w14:val="100000"/>
                    </w14:srgbClr>
                  </w14:solidFill>
                </w14:textFill>
              </w:rPr>
              <w:t>|</w:t>
            </w:r>
          </w:p>
        </w:tc>
        <w:tc>
          <w:tcPr>
            <w:tcW w:w="1435" w:type="pct"/>
            <w:vAlign w:val="center"/>
          </w:tcPr>
          <w:p w14:paraId="2ED85726" w14:textId="3FC8206B" w:rsidR="00507C4C" w:rsidRPr="00D22D61" w:rsidRDefault="00507C4C" w:rsidP="00253C04">
            <w:pPr>
              <w:pStyle w:val="COMTabletext"/>
              <w:jc w:val="center"/>
            </w:pPr>
            <w:r w:rsidRPr="00D22D61">
              <w:t>$</w:t>
            </w:r>
            <w:r w:rsidR="001F207D" w:rsidRPr="001F207D">
              <w:rPr>
                <w:color w:val="000000"/>
                <w:shd w:val="solid" w:color="000000" w:fill="000000"/>
                <w14:textFill>
                  <w14:solidFill>
                    <w14:srgbClr w14:val="000000">
                      <w14:alpha w14:val="100000"/>
                    </w14:srgbClr>
                  </w14:solidFill>
                </w14:textFill>
              </w:rPr>
              <w:t>|</w:t>
            </w:r>
          </w:p>
        </w:tc>
      </w:tr>
      <w:tr w:rsidR="00507C4C" w:rsidRPr="00065852" w14:paraId="34E973BC" w14:textId="77777777" w:rsidTr="00253C04">
        <w:tc>
          <w:tcPr>
            <w:tcW w:w="1406" w:type="pct"/>
          </w:tcPr>
          <w:p w14:paraId="192B6A2B" w14:textId="011B0636" w:rsidR="00507C4C" w:rsidRPr="00065852" w:rsidRDefault="00507C4C" w:rsidP="00253C04">
            <w:pPr>
              <w:pStyle w:val="COMTabletext"/>
            </w:pPr>
            <w:r w:rsidRPr="00065852">
              <w:t>L</w:t>
            </w:r>
            <w:r w:rsidR="0016283E">
              <w:t>Y</w:t>
            </w:r>
            <w:r w:rsidRPr="00065852">
              <w:t>s</w:t>
            </w:r>
          </w:p>
        </w:tc>
        <w:tc>
          <w:tcPr>
            <w:tcW w:w="1079" w:type="pct"/>
            <w:vAlign w:val="bottom"/>
          </w:tcPr>
          <w:p w14:paraId="3194C36C" w14:textId="77777777" w:rsidR="00507C4C" w:rsidRPr="00D22D61" w:rsidRDefault="00507C4C" w:rsidP="00253C04">
            <w:pPr>
              <w:pStyle w:val="COMTabletext"/>
              <w:jc w:val="center"/>
            </w:pPr>
            <w:r w:rsidRPr="00D22D61">
              <w:t>13.2566</w:t>
            </w:r>
          </w:p>
        </w:tc>
        <w:tc>
          <w:tcPr>
            <w:tcW w:w="1080" w:type="pct"/>
            <w:vAlign w:val="center"/>
          </w:tcPr>
          <w:p w14:paraId="3319CADF" w14:textId="77777777" w:rsidR="00507C4C" w:rsidRPr="00D22D61" w:rsidRDefault="00507C4C" w:rsidP="00253C04">
            <w:pPr>
              <w:pStyle w:val="COMTabletext"/>
              <w:jc w:val="center"/>
            </w:pPr>
            <w:r w:rsidRPr="00D22D61">
              <w:t>13.2283</w:t>
            </w:r>
          </w:p>
        </w:tc>
        <w:tc>
          <w:tcPr>
            <w:tcW w:w="1435" w:type="pct"/>
            <w:vAlign w:val="center"/>
          </w:tcPr>
          <w:p w14:paraId="7F888F2B" w14:textId="77777777" w:rsidR="00507C4C" w:rsidRPr="00D22D61" w:rsidRDefault="00507C4C" w:rsidP="00253C04">
            <w:pPr>
              <w:pStyle w:val="COMTabletext"/>
              <w:jc w:val="center"/>
            </w:pPr>
            <w:r w:rsidRPr="00D22D61">
              <w:t>0.0283</w:t>
            </w:r>
          </w:p>
        </w:tc>
      </w:tr>
      <w:tr w:rsidR="00507C4C" w:rsidRPr="00065852" w14:paraId="0B2FC540" w14:textId="77777777" w:rsidTr="00253C04">
        <w:tc>
          <w:tcPr>
            <w:tcW w:w="1406" w:type="pct"/>
          </w:tcPr>
          <w:p w14:paraId="7B09CABC" w14:textId="77777777" w:rsidR="00507C4C" w:rsidRPr="00065852" w:rsidRDefault="00507C4C" w:rsidP="00253C04">
            <w:pPr>
              <w:pStyle w:val="COMTabletext"/>
            </w:pPr>
            <w:r w:rsidRPr="00065852">
              <w:t>QALYs</w:t>
            </w:r>
          </w:p>
        </w:tc>
        <w:tc>
          <w:tcPr>
            <w:tcW w:w="1079" w:type="pct"/>
            <w:vAlign w:val="bottom"/>
          </w:tcPr>
          <w:p w14:paraId="41B38D86" w14:textId="77777777" w:rsidR="00507C4C" w:rsidRPr="00D22D61" w:rsidRDefault="00507C4C" w:rsidP="00253C04">
            <w:pPr>
              <w:pStyle w:val="COMTabletext"/>
              <w:jc w:val="center"/>
            </w:pPr>
            <w:r w:rsidRPr="00D22D61">
              <w:t>8.5264</w:t>
            </w:r>
          </w:p>
        </w:tc>
        <w:tc>
          <w:tcPr>
            <w:tcW w:w="1080" w:type="pct"/>
            <w:vAlign w:val="center"/>
          </w:tcPr>
          <w:p w14:paraId="20493801" w14:textId="77777777" w:rsidR="00507C4C" w:rsidRPr="00D22D61" w:rsidRDefault="00507C4C" w:rsidP="00253C04">
            <w:pPr>
              <w:pStyle w:val="COMTabletext"/>
              <w:jc w:val="center"/>
            </w:pPr>
            <w:r w:rsidRPr="00D22D61">
              <w:t>8.4121</w:t>
            </w:r>
          </w:p>
        </w:tc>
        <w:tc>
          <w:tcPr>
            <w:tcW w:w="1435" w:type="pct"/>
            <w:vAlign w:val="center"/>
          </w:tcPr>
          <w:p w14:paraId="33F64E8A" w14:textId="77777777" w:rsidR="00507C4C" w:rsidRPr="00D22D61" w:rsidRDefault="00507C4C" w:rsidP="00253C04">
            <w:pPr>
              <w:pStyle w:val="COMTabletext"/>
              <w:jc w:val="center"/>
            </w:pPr>
            <w:r w:rsidRPr="00D22D61">
              <w:t>0.1143</w:t>
            </w:r>
          </w:p>
        </w:tc>
      </w:tr>
      <w:tr w:rsidR="00507C4C" w:rsidRPr="00065852" w14:paraId="5362B68D" w14:textId="77777777" w:rsidTr="00253C04">
        <w:tc>
          <w:tcPr>
            <w:tcW w:w="3565" w:type="pct"/>
            <w:gridSpan w:val="3"/>
          </w:tcPr>
          <w:p w14:paraId="42AED5CE" w14:textId="77777777" w:rsidR="00507C4C" w:rsidRPr="00D22D61" w:rsidRDefault="00507C4C" w:rsidP="00253C04">
            <w:pPr>
              <w:pStyle w:val="COMTabletext"/>
              <w:rPr>
                <w:b/>
              </w:rPr>
            </w:pPr>
            <w:r w:rsidRPr="00D22D61">
              <w:rPr>
                <w:b/>
              </w:rPr>
              <w:t xml:space="preserve">Incremental cost per LY gained </w:t>
            </w:r>
          </w:p>
        </w:tc>
        <w:tc>
          <w:tcPr>
            <w:tcW w:w="1435" w:type="pct"/>
            <w:vAlign w:val="center"/>
          </w:tcPr>
          <w:p w14:paraId="484D2A75" w14:textId="66E13D96" w:rsidR="00507C4C" w:rsidRPr="00D22D61" w:rsidRDefault="00507C4C" w:rsidP="00253C04">
            <w:pPr>
              <w:pStyle w:val="COMTabletext"/>
              <w:jc w:val="center"/>
            </w:pPr>
            <w:r w:rsidRPr="00D22D61">
              <w:t>$</w:t>
            </w:r>
            <w:r w:rsidR="001F207D" w:rsidRPr="001F207D">
              <w:rPr>
                <w:color w:val="000000"/>
                <w:shd w:val="solid" w:color="000000" w:fill="000000"/>
                <w14:textFill>
                  <w14:solidFill>
                    <w14:srgbClr w14:val="000000">
                      <w14:alpha w14:val="100000"/>
                    </w14:srgbClr>
                  </w14:solidFill>
                </w14:textFill>
              </w:rPr>
              <w:t>|</w:t>
            </w:r>
            <w:r w:rsidR="00944D87" w:rsidRPr="003D56F7">
              <w:rPr>
                <w:sz w:val="18"/>
                <w:szCs w:val="18"/>
                <w:vertAlign w:val="superscript"/>
              </w:rPr>
              <w:t>5</w:t>
            </w:r>
          </w:p>
        </w:tc>
      </w:tr>
      <w:tr w:rsidR="00507C4C" w:rsidRPr="00065852" w14:paraId="3D775297" w14:textId="77777777" w:rsidTr="00253C04">
        <w:tc>
          <w:tcPr>
            <w:tcW w:w="3565" w:type="pct"/>
            <w:gridSpan w:val="3"/>
          </w:tcPr>
          <w:p w14:paraId="0D021638" w14:textId="77777777" w:rsidR="00507C4C" w:rsidRPr="00D22D61" w:rsidRDefault="00507C4C" w:rsidP="00253C04">
            <w:pPr>
              <w:pStyle w:val="COMTabletext"/>
              <w:rPr>
                <w:b/>
              </w:rPr>
            </w:pPr>
            <w:r w:rsidRPr="00D22D61">
              <w:rPr>
                <w:b/>
              </w:rPr>
              <w:t>Incremental cost per QALY gained</w:t>
            </w:r>
          </w:p>
        </w:tc>
        <w:tc>
          <w:tcPr>
            <w:tcW w:w="1435" w:type="pct"/>
            <w:vAlign w:val="center"/>
          </w:tcPr>
          <w:p w14:paraId="241B1167" w14:textId="7C5A3767" w:rsidR="00507C4C" w:rsidRPr="00D22D61" w:rsidRDefault="00507C4C" w:rsidP="00253C04">
            <w:pPr>
              <w:pStyle w:val="COMTabletext"/>
              <w:jc w:val="center"/>
            </w:pPr>
            <w:r w:rsidRPr="00D22D61">
              <w:t>$</w:t>
            </w:r>
            <w:r w:rsidR="001F207D" w:rsidRPr="001F207D">
              <w:rPr>
                <w:color w:val="000000"/>
                <w:shd w:val="solid" w:color="000000" w:fill="000000"/>
                <w14:textFill>
                  <w14:solidFill>
                    <w14:srgbClr w14:val="000000">
                      <w14:alpha w14:val="100000"/>
                    </w14:srgbClr>
                  </w14:solidFill>
                </w14:textFill>
              </w:rPr>
              <w:t>|</w:t>
            </w:r>
            <w:r w:rsidR="00092B3C" w:rsidRPr="003D56F7">
              <w:rPr>
                <w:sz w:val="18"/>
                <w:szCs w:val="18"/>
                <w:vertAlign w:val="superscript"/>
              </w:rPr>
              <w:t>6</w:t>
            </w:r>
          </w:p>
        </w:tc>
      </w:tr>
    </w:tbl>
    <w:p w14:paraId="25A85136" w14:textId="77777777" w:rsidR="00507C4C" w:rsidRPr="00065852" w:rsidRDefault="00507C4C" w:rsidP="00507C4C">
      <w:pPr>
        <w:pStyle w:val="COMTablefooter"/>
      </w:pPr>
      <w:r w:rsidRPr="00065852">
        <w:t>Source: Table 3.8-2, p300 of the submission</w:t>
      </w:r>
    </w:p>
    <w:p w14:paraId="45403CBD" w14:textId="77777777" w:rsidR="00507C4C" w:rsidRPr="00065852" w:rsidRDefault="00507C4C" w:rsidP="00507C4C">
      <w:pPr>
        <w:pStyle w:val="COMTablefooter"/>
      </w:pPr>
      <w:r w:rsidRPr="00065852">
        <w:t>Abbreviations: LY, life year; QALY, quality-adjusted life year</w:t>
      </w:r>
    </w:p>
    <w:p w14:paraId="4C66FA5F" w14:textId="77777777" w:rsidR="00507C4C" w:rsidRPr="00065852" w:rsidRDefault="00507C4C" w:rsidP="00507C4C">
      <w:pPr>
        <w:pStyle w:val="COMTablefooter"/>
      </w:pPr>
      <w:r w:rsidRPr="00065852">
        <w:t>Note: The submission incorrectly estimated insulin drug costs based on 1500 IU per script rather than 7500 IU per script. This error was corrected during the evaluation.</w:t>
      </w:r>
    </w:p>
    <w:p w14:paraId="259FF4F1" w14:textId="77777777" w:rsidR="00507C4C" w:rsidRPr="00065852" w:rsidRDefault="00507C4C" w:rsidP="00507C4C">
      <w:pPr>
        <w:pStyle w:val="COMTablefooter"/>
      </w:pPr>
      <w:r w:rsidRPr="00065852">
        <w:t xml:space="preserve">Note: The price of insulin aspart was subject to a mandatory price reduction on 1 April 2023 which decreased the price </w:t>
      </w:r>
      <w:r w:rsidRPr="00D22D61">
        <w:t>from $211.62 per script (used in the submission) to $166.22 per script (used in the evaluation).</w:t>
      </w:r>
    </w:p>
    <w:p w14:paraId="50973B5D" w14:textId="5C616354" w:rsidR="00507C4C" w:rsidRDefault="00507C4C" w:rsidP="003D56F7">
      <w:pPr>
        <w:pStyle w:val="COMTablefooter"/>
        <w:spacing w:after="0"/>
      </w:pPr>
      <w:r w:rsidRPr="00065852">
        <w:t>Note: During the evaluation an inconsistency was noted in the estimation of treatment effects for eGFR with insulin intensification. In order to address the inconsistency, the base case analyses were respecified during the evaluation by assuming that eGFR reverts to baseline for all treatment arms</w:t>
      </w:r>
      <w:r w:rsidR="00182CD3">
        <w:t>.</w:t>
      </w:r>
    </w:p>
    <w:p w14:paraId="6CFAA652" w14:textId="77777777" w:rsidR="00944D87" w:rsidRPr="009868C4" w:rsidRDefault="00944D87" w:rsidP="00944D87">
      <w:pPr>
        <w:pStyle w:val="TableFigureFooter"/>
        <w:spacing w:after="0"/>
        <w:contextualSpacing w:val="0"/>
      </w:pPr>
      <w:r w:rsidRPr="009868C4">
        <w:rPr>
          <w:i/>
        </w:rPr>
        <w:t>The redacted values correspond to the following ranges</w:t>
      </w:r>
      <w:r>
        <w:rPr>
          <w:i/>
        </w:rPr>
        <w:t xml:space="preserve">: </w:t>
      </w:r>
    </w:p>
    <w:p w14:paraId="00A99DF8" w14:textId="6B0345E1" w:rsidR="00944D87" w:rsidRDefault="00944D87" w:rsidP="00944D87">
      <w:pPr>
        <w:rPr>
          <w:rFonts w:ascii="Arial Narrow" w:hAnsi="Arial Narrow"/>
          <w:i/>
          <w:sz w:val="18"/>
          <w:szCs w:val="18"/>
        </w:rPr>
      </w:pPr>
      <w:r w:rsidRPr="009868C4">
        <w:rPr>
          <w:rFonts w:ascii="Arial Narrow" w:hAnsi="Arial Narrow"/>
          <w:i/>
          <w:sz w:val="18"/>
          <w:szCs w:val="18"/>
          <w:vertAlign w:val="superscript"/>
        </w:rPr>
        <w:t>1</w:t>
      </w:r>
      <w:r w:rsidRPr="009868C4">
        <w:rPr>
          <w:rFonts w:ascii="Arial Narrow" w:hAnsi="Arial Narrow"/>
          <w:i/>
          <w:sz w:val="18"/>
          <w:szCs w:val="18"/>
        </w:rPr>
        <w:t xml:space="preserve"> </w:t>
      </w:r>
      <w:r w:rsidRPr="00944D87">
        <w:rPr>
          <w:rFonts w:ascii="Arial Narrow" w:hAnsi="Arial Narrow"/>
          <w:i/>
          <w:sz w:val="18"/>
          <w:szCs w:val="18"/>
        </w:rPr>
        <w:t>$355,000</w:t>
      </w:r>
      <w:r>
        <w:rPr>
          <w:rFonts w:ascii="Arial Narrow" w:hAnsi="Arial Narrow"/>
          <w:i/>
          <w:sz w:val="18"/>
          <w:szCs w:val="18"/>
        </w:rPr>
        <w:t> </w:t>
      </w:r>
      <w:r w:rsidRPr="00944D87">
        <w:rPr>
          <w:rFonts w:ascii="Arial Narrow" w:hAnsi="Arial Narrow"/>
          <w:i/>
          <w:sz w:val="18"/>
          <w:szCs w:val="18"/>
        </w:rPr>
        <w:t>to</w:t>
      </w:r>
      <w:r>
        <w:rPr>
          <w:rFonts w:ascii="Arial Narrow" w:hAnsi="Arial Narrow"/>
          <w:i/>
          <w:sz w:val="18"/>
          <w:szCs w:val="18"/>
        </w:rPr>
        <w:t> </w:t>
      </w:r>
      <w:r w:rsidRPr="00944D87">
        <w:rPr>
          <w:rFonts w:ascii="Arial Narrow" w:hAnsi="Arial Narrow"/>
          <w:i/>
          <w:sz w:val="18"/>
          <w:szCs w:val="18"/>
        </w:rPr>
        <w:t>&lt;</w:t>
      </w:r>
      <w:r>
        <w:rPr>
          <w:rFonts w:ascii="Arial Narrow" w:hAnsi="Arial Narrow"/>
          <w:i/>
          <w:sz w:val="18"/>
          <w:szCs w:val="18"/>
        </w:rPr>
        <w:t> </w:t>
      </w:r>
      <w:r w:rsidRPr="00944D87">
        <w:rPr>
          <w:rFonts w:ascii="Arial Narrow" w:hAnsi="Arial Narrow"/>
          <w:i/>
          <w:sz w:val="18"/>
          <w:szCs w:val="18"/>
        </w:rPr>
        <w:t>$455,000</w:t>
      </w:r>
    </w:p>
    <w:p w14:paraId="57852A2F" w14:textId="0762F62C" w:rsidR="00092B3C" w:rsidRDefault="00092B3C" w:rsidP="00944D87">
      <w:pPr>
        <w:rPr>
          <w:rFonts w:ascii="Arial Narrow" w:hAnsi="Arial Narrow"/>
          <w:i/>
          <w:sz w:val="18"/>
          <w:szCs w:val="18"/>
        </w:rPr>
      </w:pPr>
      <w:r>
        <w:rPr>
          <w:rFonts w:ascii="Arial Narrow" w:hAnsi="Arial Narrow"/>
          <w:i/>
          <w:sz w:val="18"/>
          <w:szCs w:val="18"/>
          <w:vertAlign w:val="superscript"/>
        </w:rPr>
        <w:t xml:space="preserve">2 </w:t>
      </w:r>
      <w:r w:rsidRPr="00092B3C">
        <w:rPr>
          <w:rFonts w:ascii="Arial Narrow" w:hAnsi="Arial Narrow"/>
          <w:i/>
          <w:sz w:val="18"/>
          <w:szCs w:val="18"/>
        </w:rPr>
        <w:t>$115,000 to &lt; $135,000</w:t>
      </w:r>
    </w:p>
    <w:p w14:paraId="43990CDB" w14:textId="1EC00756" w:rsidR="00092B3C" w:rsidRDefault="00092B3C" w:rsidP="00944D87">
      <w:pPr>
        <w:rPr>
          <w:rFonts w:ascii="Arial Narrow" w:hAnsi="Arial Narrow"/>
          <w:i/>
          <w:sz w:val="18"/>
          <w:szCs w:val="18"/>
        </w:rPr>
      </w:pPr>
      <w:r>
        <w:rPr>
          <w:rFonts w:ascii="Arial Narrow" w:hAnsi="Arial Narrow"/>
          <w:i/>
          <w:sz w:val="18"/>
          <w:szCs w:val="18"/>
          <w:vertAlign w:val="superscript"/>
        </w:rPr>
        <w:t xml:space="preserve">3 </w:t>
      </w:r>
      <w:r w:rsidRPr="00092B3C">
        <w:rPr>
          <w:rFonts w:ascii="Arial Narrow" w:hAnsi="Arial Narrow"/>
          <w:i/>
          <w:sz w:val="18"/>
          <w:szCs w:val="18"/>
        </w:rPr>
        <w:t>$255,000 to &lt; $355,000</w:t>
      </w:r>
    </w:p>
    <w:p w14:paraId="66CB8123" w14:textId="1A75AF99" w:rsidR="00944D87" w:rsidRPr="009868C4" w:rsidRDefault="00092B3C" w:rsidP="00944D87">
      <w:pPr>
        <w:rPr>
          <w:rFonts w:ascii="Arial Narrow" w:hAnsi="Arial Narrow"/>
          <w:i/>
          <w:sz w:val="18"/>
          <w:szCs w:val="18"/>
        </w:rPr>
      </w:pPr>
      <w:r>
        <w:rPr>
          <w:rFonts w:ascii="Arial Narrow" w:hAnsi="Arial Narrow"/>
          <w:i/>
          <w:sz w:val="18"/>
          <w:szCs w:val="18"/>
          <w:vertAlign w:val="superscript"/>
        </w:rPr>
        <w:t xml:space="preserve">4 </w:t>
      </w:r>
      <w:r w:rsidR="00492ACB" w:rsidRPr="00492ACB">
        <w:rPr>
          <w:rFonts w:ascii="Arial Narrow" w:hAnsi="Arial Narrow"/>
          <w:i/>
          <w:sz w:val="18"/>
          <w:szCs w:val="18"/>
        </w:rPr>
        <w:t>$55,000 to &lt; $75,000</w:t>
      </w:r>
    </w:p>
    <w:p w14:paraId="2826048B" w14:textId="51510C7A" w:rsidR="00944D87" w:rsidRDefault="00092B3C" w:rsidP="00944D87">
      <w:pPr>
        <w:rPr>
          <w:rFonts w:ascii="Arial Narrow" w:hAnsi="Arial Narrow"/>
          <w:i/>
          <w:sz w:val="18"/>
          <w:szCs w:val="18"/>
        </w:rPr>
      </w:pPr>
      <w:r>
        <w:rPr>
          <w:rFonts w:ascii="Arial Narrow" w:hAnsi="Arial Narrow"/>
          <w:i/>
          <w:sz w:val="18"/>
          <w:szCs w:val="18"/>
          <w:vertAlign w:val="superscript"/>
        </w:rPr>
        <w:t>5</w:t>
      </w:r>
      <w:r w:rsidR="00944D87" w:rsidRPr="009868C4">
        <w:rPr>
          <w:rFonts w:ascii="Arial Narrow" w:hAnsi="Arial Narrow"/>
          <w:i/>
          <w:sz w:val="18"/>
          <w:szCs w:val="18"/>
        </w:rPr>
        <w:t xml:space="preserve"> </w:t>
      </w:r>
      <w:r w:rsidR="00492ACB" w:rsidRPr="00492ACB">
        <w:rPr>
          <w:rFonts w:ascii="Arial Narrow" w:hAnsi="Arial Narrow"/>
          <w:i/>
          <w:sz w:val="18"/>
          <w:szCs w:val="18"/>
        </w:rPr>
        <w:t>$155,000 to &lt; $255,000</w:t>
      </w:r>
    </w:p>
    <w:p w14:paraId="0B73B417" w14:textId="229361A8" w:rsidR="00492ACB" w:rsidRPr="009868C4" w:rsidRDefault="00492ACB" w:rsidP="001921CA">
      <w:pPr>
        <w:spacing w:after="120"/>
        <w:rPr>
          <w:rFonts w:ascii="Arial Narrow" w:hAnsi="Arial Narrow"/>
          <w:i/>
          <w:sz w:val="18"/>
          <w:szCs w:val="18"/>
        </w:rPr>
      </w:pPr>
      <w:r>
        <w:rPr>
          <w:rFonts w:ascii="Arial Narrow" w:hAnsi="Arial Narrow"/>
          <w:i/>
          <w:sz w:val="18"/>
          <w:szCs w:val="18"/>
          <w:vertAlign w:val="superscript"/>
        </w:rPr>
        <w:t>6</w:t>
      </w:r>
      <w:r w:rsidRPr="009868C4">
        <w:rPr>
          <w:rFonts w:ascii="Arial Narrow" w:hAnsi="Arial Narrow"/>
          <w:i/>
          <w:sz w:val="18"/>
          <w:szCs w:val="18"/>
        </w:rPr>
        <w:t xml:space="preserve"> $</w:t>
      </w:r>
      <w:r w:rsidRPr="00492ACB">
        <w:rPr>
          <w:rFonts w:ascii="Arial Narrow" w:hAnsi="Arial Narrow"/>
          <w:i/>
          <w:sz w:val="18"/>
          <w:szCs w:val="18"/>
        </w:rPr>
        <w:t>45,000 to &lt; $55,000</w:t>
      </w:r>
    </w:p>
    <w:p w14:paraId="0871F1E8" w14:textId="7FD1A0DD" w:rsidR="00507C4C" w:rsidRPr="00FA1E86" w:rsidRDefault="00507C4C" w:rsidP="00507C4C">
      <w:pPr>
        <w:pStyle w:val="COMexecsumnumberedpara"/>
      </w:pPr>
      <w:r w:rsidRPr="00FA1E86">
        <w:t xml:space="preserve">Based on the economic model, treatment with tirzepatide was associated with an incremental cost per QALY gained of </w:t>
      </w:r>
      <w:r w:rsidR="009961BE" w:rsidRPr="009961BE">
        <w:t>$115,000</w:t>
      </w:r>
      <w:r w:rsidR="009961BE">
        <w:t> </w:t>
      </w:r>
      <w:r w:rsidR="009961BE" w:rsidRPr="009961BE">
        <w:t>to</w:t>
      </w:r>
      <w:r w:rsidR="009961BE">
        <w:t> </w:t>
      </w:r>
      <w:r w:rsidR="009961BE" w:rsidRPr="009961BE">
        <w:t>&lt;</w:t>
      </w:r>
      <w:r w:rsidR="009961BE">
        <w:t> </w:t>
      </w:r>
      <w:r w:rsidR="009961BE" w:rsidRPr="009961BE">
        <w:t>$135,000</w:t>
      </w:r>
      <w:r w:rsidR="00D22D61">
        <w:t xml:space="preserve"> </w:t>
      </w:r>
      <w:r w:rsidRPr="00FA1E86">
        <w:t>for the 5</w:t>
      </w:r>
      <w:r w:rsidR="009961BE">
        <w:t> </w:t>
      </w:r>
      <w:r w:rsidRPr="00FA1E86">
        <w:t xml:space="preserve">mg dose, </w:t>
      </w:r>
      <w:r w:rsidR="009961BE" w:rsidRPr="009961BE">
        <w:t>$55,000</w:t>
      </w:r>
      <w:r w:rsidR="009961BE">
        <w:t> </w:t>
      </w:r>
      <w:r w:rsidR="009961BE" w:rsidRPr="009961BE">
        <w:t>to</w:t>
      </w:r>
      <w:r w:rsidR="009961BE">
        <w:t> </w:t>
      </w:r>
      <w:r w:rsidR="009961BE" w:rsidRPr="009961BE">
        <w:t>&lt;</w:t>
      </w:r>
      <w:r w:rsidR="009961BE">
        <w:t> </w:t>
      </w:r>
      <w:r w:rsidR="009961BE" w:rsidRPr="009961BE">
        <w:t xml:space="preserve">$75,000 </w:t>
      </w:r>
      <w:r w:rsidRPr="00FA1E86">
        <w:t>for the 10</w:t>
      </w:r>
      <w:r w:rsidR="0071696A" w:rsidRPr="00FA1E86">
        <w:t> </w:t>
      </w:r>
      <w:r w:rsidRPr="00FA1E86">
        <w:t xml:space="preserve">mg dose (uncorrected estimate: </w:t>
      </w:r>
      <w:r w:rsidR="009961BE" w:rsidRPr="009961BE">
        <w:t>$35,000</w:t>
      </w:r>
      <w:r w:rsidR="009961BE">
        <w:t> </w:t>
      </w:r>
      <w:r w:rsidR="009961BE" w:rsidRPr="009961BE">
        <w:t>to</w:t>
      </w:r>
      <w:r w:rsidR="009961BE">
        <w:t> </w:t>
      </w:r>
      <w:r w:rsidR="009961BE" w:rsidRPr="009961BE">
        <w:t>&lt;</w:t>
      </w:r>
      <w:r w:rsidR="009961BE">
        <w:t> </w:t>
      </w:r>
      <w:r w:rsidR="009961BE" w:rsidRPr="009961BE">
        <w:t>$45,000</w:t>
      </w:r>
      <w:r w:rsidRPr="00FA1E86">
        <w:t xml:space="preserve">) and </w:t>
      </w:r>
      <w:r w:rsidR="009961BE" w:rsidRPr="009961BE">
        <w:t>$45,000</w:t>
      </w:r>
      <w:r w:rsidR="009961BE">
        <w:t> </w:t>
      </w:r>
      <w:r w:rsidR="009961BE" w:rsidRPr="009961BE">
        <w:t>to</w:t>
      </w:r>
      <w:r w:rsidR="009961BE">
        <w:t> </w:t>
      </w:r>
      <w:r w:rsidR="009961BE" w:rsidRPr="009961BE">
        <w:t>&lt;</w:t>
      </w:r>
      <w:r w:rsidR="009961BE">
        <w:t> </w:t>
      </w:r>
      <w:r w:rsidR="009961BE" w:rsidRPr="009961BE">
        <w:t>$55,000</w:t>
      </w:r>
      <w:r w:rsidR="00D22D61">
        <w:t xml:space="preserve"> </w:t>
      </w:r>
      <w:r w:rsidRPr="00FA1E86">
        <w:t>for the 15</w:t>
      </w:r>
      <w:r w:rsidR="009961BE">
        <w:t> </w:t>
      </w:r>
      <w:r w:rsidRPr="00FA1E86">
        <w:t xml:space="preserve">mg dose (uncorrected estimate: </w:t>
      </w:r>
      <w:r w:rsidR="009961BE" w:rsidRPr="009961BE">
        <w:t>$25,000</w:t>
      </w:r>
      <w:r w:rsidR="009961BE">
        <w:t> </w:t>
      </w:r>
      <w:r w:rsidR="009961BE" w:rsidRPr="009961BE">
        <w:t>to</w:t>
      </w:r>
      <w:r w:rsidR="009961BE">
        <w:t> </w:t>
      </w:r>
      <w:r w:rsidR="009961BE" w:rsidRPr="009961BE">
        <w:t>&lt;</w:t>
      </w:r>
      <w:r w:rsidR="009961BE">
        <w:t> </w:t>
      </w:r>
      <w:r w:rsidR="009961BE" w:rsidRPr="009961BE">
        <w:t>$35,000</w:t>
      </w:r>
      <w:r w:rsidRPr="00FA1E86">
        <w:t>) compared to semaglutide 1 mg weekly.</w:t>
      </w:r>
      <w:r w:rsidR="00CE329A">
        <w:t xml:space="preserve"> </w:t>
      </w:r>
      <w:r w:rsidR="007828C7" w:rsidRPr="00BC7837">
        <w:t xml:space="preserve">The ESC considered that the ICERs per QALY were high, particularly for those based on lower doses, and all ICERs were likely under-estimated due to optimistic assumptions, particularly around </w:t>
      </w:r>
      <w:r w:rsidR="00F87436" w:rsidRPr="00BC7837">
        <w:t xml:space="preserve">utility weights and insulin intensification (see </w:t>
      </w:r>
      <w:r w:rsidR="00F87436" w:rsidRPr="00BC7837">
        <w:fldChar w:fldCharType="begin" w:fldLock="1"/>
      </w:r>
      <w:r w:rsidR="00F87436" w:rsidRPr="00BC7837">
        <w:instrText xml:space="preserve"> REF _Ref104805122 \h  \* MERGEFORMAT </w:instrText>
      </w:r>
      <w:r w:rsidR="00F87436" w:rsidRPr="00BC7837">
        <w:fldChar w:fldCharType="separate"/>
      </w:r>
      <w:r w:rsidR="00A656E0" w:rsidRPr="00FA1E86">
        <w:t xml:space="preserve">Table </w:t>
      </w:r>
      <w:r w:rsidR="00A656E0">
        <w:rPr>
          <w:noProof/>
        </w:rPr>
        <w:t>12</w:t>
      </w:r>
      <w:r w:rsidR="00F87436" w:rsidRPr="00BC7837">
        <w:fldChar w:fldCharType="end"/>
      </w:r>
      <w:r w:rsidR="00F87436" w:rsidRPr="00BC7837">
        <w:t xml:space="preserve"> for the values used).</w:t>
      </w:r>
      <w:r w:rsidR="005B3A4B" w:rsidRPr="00BC7837">
        <w:t xml:space="preserve"> In addition, the ESC considered the large variation between the ICER for the 5 mg </w:t>
      </w:r>
      <w:r w:rsidR="003D51CD" w:rsidRPr="00BC7837">
        <w:t xml:space="preserve">dose and the ICERs reported for the higher doses of tirzepatide </w:t>
      </w:r>
      <w:r w:rsidR="003D51CD" w:rsidRPr="0009575C">
        <w:t>indicates that a flat pricing structure (</w:t>
      </w:r>
      <w:r w:rsidR="005B3A4B" w:rsidRPr="0009575C">
        <w:t>which</w:t>
      </w:r>
      <w:r w:rsidR="005B3A4B" w:rsidRPr="00BC7837">
        <w:t xml:space="preserve"> results in a higher price for tirzepatide 5 mg weekly compared to semaglutide 1 mg weekly</w:t>
      </w:r>
      <w:r w:rsidR="003D51CD" w:rsidRPr="00BC7837">
        <w:t>) may not be appropriate</w:t>
      </w:r>
      <w:r w:rsidR="005B3A4B" w:rsidRPr="00BC7837">
        <w:t>.</w:t>
      </w:r>
    </w:p>
    <w:p w14:paraId="5B3DC777" w14:textId="3AB5D94A" w:rsidR="00EC2D33" w:rsidRDefault="00507C4C" w:rsidP="00507C4C">
      <w:pPr>
        <w:pStyle w:val="COMexecsumnumberedpara"/>
      </w:pPr>
      <w:r w:rsidRPr="00FA1E86">
        <w:t xml:space="preserve">Scenario analyses indicated that treatment with tirzepatide 5 mg compared to semaglutide </w:t>
      </w:r>
      <w:r w:rsidR="00F14AD9">
        <w:t>0.5</w:t>
      </w:r>
      <w:r w:rsidR="00F14AD9" w:rsidRPr="00FA1E86">
        <w:t xml:space="preserve"> </w:t>
      </w:r>
      <w:r w:rsidRPr="00FA1E86">
        <w:t>mg weekly was associated with an incremental cost</w:t>
      </w:r>
      <w:r w:rsidR="006C31AD" w:rsidRPr="00FA1E86">
        <w:t xml:space="preserve"> per QALY gained</w:t>
      </w:r>
      <w:r w:rsidRPr="00FA1E86">
        <w:t xml:space="preserve"> </w:t>
      </w:r>
      <w:r w:rsidRPr="00FA1E86">
        <w:lastRenderedPageBreak/>
        <w:t xml:space="preserve">of </w:t>
      </w:r>
      <w:r w:rsidR="006549D6" w:rsidRPr="006549D6">
        <w:t>$55,000</w:t>
      </w:r>
      <w:r w:rsidR="003D56F7">
        <w:t> </w:t>
      </w:r>
      <w:r w:rsidR="006549D6" w:rsidRPr="006549D6">
        <w:t>to</w:t>
      </w:r>
      <w:r w:rsidR="003D56F7">
        <w:t> </w:t>
      </w:r>
      <w:r w:rsidR="006549D6" w:rsidRPr="006549D6">
        <w:t>&lt;</w:t>
      </w:r>
      <w:r w:rsidR="003D56F7">
        <w:t> </w:t>
      </w:r>
      <w:r w:rsidR="006549D6" w:rsidRPr="006549D6">
        <w:t>$75,000</w:t>
      </w:r>
      <w:r w:rsidR="006549D6" w:rsidRPr="006549D6" w:rsidDel="006549D6">
        <w:t xml:space="preserve"> </w:t>
      </w:r>
      <w:r w:rsidRPr="00FA1E86">
        <w:t xml:space="preserve">(uncorrected estimate: </w:t>
      </w:r>
      <w:r w:rsidR="006549D6" w:rsidRPr="009961BE">
        <w:t>$45,000</w:t>
      </w:r>
      <w:r w:rsidR="006549D6">
        <w:t> </w:t>
      </w:r>
      <w:r w:rsidR="006549D6" w:rsidRPr="009961BE">
        <w:t>to</w:t>
      </w:r>
      <w:r w:rsidR="006549D6">
        <w:t> </w:t>
      </w:r>
      <w:r w:rsidR="006549D6" w:rsidRPr="009961BE">
        <w:t>&lt;</w:t>
      </w:r>
      <w:r w:rsidR="006549D6">
        <w:t> </w:t>
      </w:r>
      <w:r w:rsidR="006549D6" w:rsidRPr="009961BE">
        <w:t>$55,000</w:t>
      </w:r>
      <w:r w:rsidRPr="00FA1E86">
        <w:t xml:space="preserve">). Scenario analyses also indicated that treatment with tirzepatide was associated with an incremental cost per QALY gained of </w:t>
      </w:r>
      <w:r w:rsidR="00255F1A" w:rsidRPr="009961BE">
        <w:t>$35,000</w:t>
      </w:r>
      <w:r w:rsidR="00255F1A">
        <w:t> </w:t>
      </w:r>
      <w:r w:rsidR="00255F1A" w:rsidRPr="009961BE">
        <w:t>to</w:t>
      </w:r>
      <w:r w:rsidR="00255F1A">
        <w:t> </w:t>
      </w:r>
      <w:r w:rsidR="00255F1A" w:rsidRPr="009961BE">
        <w:t>&lt;</w:t>
      </w:r>
      <w:r w:rsidR="00255F1A">
        <w:t> </w:t>
      </w:r>
      <w:r w:rsidR="00255F1A" w:rsidRPr="009961BE">
        <w:t>$45,000</w:t>
      </w:r>
      <w:r w:rsidR="00F2167D">
        <w:t xml:space="preserve"> </w:t>
      </w:r>
      <w:r w:rsidRPr="00FA1E86">
        <w:t>for the 5</w:t>
      </w:r>
      <w:r w:rsidR="00255F1A">
        <w:t> </w:t>
      </w:r>
      <w:r w:rsidRPr="00FA1E86">
        <w:t xml:space="preserve">mg dose (uncorrected estimate: </w:t>
      </w:r>
      <w:r w:rsidR="00255F1A" w:rsidRPr="009961BE">
        <w:t>$25,000</w:t>
      </w:r>
      <w:r w:rsidR="00255F1A">
        <w:t> </w:t>
      </w:r>
      <w:r w:rsidR="00255F1A" w:rsidRPr="009961BE">
        <w:t>to</w:t>
      </w:r>
      <w:r w:rsidR="00255F1A">
        <w:t> </w:t>
      </w:r>
      <w:r w:rsidR="00255F1A" w:rsidRPr="009961BE">
        <w:t>&lt;</w:t>
      </w:r>
      <w:r w:rsidR="00255F1A">
        <w:t> </w:t>
      </w:r>
      <w:r w:rsidR="00255F1A" w:rsidRPr="009961BE">
        <w:t>$35,000</w:t>
      </w:r>
      <w:r w:rsidRPr="00FA1E86">
        <w:t xml:space="preserve">), </w:t>
      </w:r>
      <w:r w:rsidR="00255F1A" w:rsidRPr="009961BE">
        <w:t>$25,000</w:t>
      </w:r>
      <w:r w:rsidR="00255F1A">
        <w:t> </w:t>
      </w:r>
      <w:r w:rsidR="00255F1A" w:rsidRPr="009961BE">
        <w:t>to</w:t>
      </w:r>
      <w:r w:rsidR="00255F1A">
        <w:t> </w:t>
      </w:r>
      <w:r w:rsidR="00255F1A" w:rsidRPr="009961BE">
        <w:t>&lt;</w:t>
      </w:r>
      <w:r w:rsidR="00255F1A">
        <w:t> </w:t>
      </w:r>
      <w:r w:rsidR="00255F1A" w:rsidRPr="009961BE">
        <w:t>$35,000</w:t>
      </w:r>
      <w:r w:rsidR="00D01FBB">
        <w:t xml:space="preserve"> </w:t>
      </w:r>
      <w:r w:rsidRPr="00FA1E86">
        <w:t>for the 10</w:t>
      </w:r>
      <w:r w:rsidR="00255F1A">
        <w:t> </w:t>
      </w:r>
      <w:r w:rsidRPr="00FA1E86">
        <w:t xml:space="preserve">mg dose (uncorrected estimate: </w:t>
      </w:r>
      <w:r w:rsidR="00255F1A" w:rsidRPr="00255F1A">
        <w:t>$15,000 to &lt; $25,000</w:t>
      </w:r>
      <w:r w:rsidRPr="00FA1E86">
        <w:t xml:space="preserve">) and </w:t>
      </w:r>
      <w:r w:rsidR="00255F1A" w:rsidRPr="009961BE">
        <w:t>$25,000</w:t>
      </w:r>
      <w:r w:rsidR="00255F1A">
        <w:t> </w:t>
      </w:r>
      <w:r w:rsidR="00255F1A" w:rsidRPr="009961BE">
        <w:t>to</w:t>
      </w:r>
      <w:r w:rsidR="00255F1A">
        <w:t> </w:t>
      </w:r>
      <w:r w:rsidR="00255F1A" w:rsidRPr="009961BE">
        <w:t>&lt;</w:t>
      </w:r>
      <w:r w:rsidR="00255F1A">
        <w:t> </w:t>
      </w:r>
      <w:r w:rsidR="00255F1A" w:rsidRPr="009961BE">
        <w:t>$35,000</w:t>
      </w:r>
      <w:r w:rsidR="00255F1A" w:rsidRPr="00FA1E86" w:rsidDel="00255F1A">
        <w:t xml:space="preserve"> </w:t>
      </w:r>
      <w:r w:rsidRPr="00FA1E86">
        <w:t xml:space="preserve">(uncorrected estimate: </w:t>
      </w:r>
      <w:r w:rsidR="00255F1A" w:rsidRPr="00255F1A">
        <w:t>$5,000</w:t>
      </w:r>
      <w:r w:rsidR="00255F1A">
        <w:t> </w:t>
      </w:r>
      <w:r w:rsidR="00255F1A" w:rsidRPr="00255F1A">
        <w:t>to</w:t>
      </w:r>
      <w:r w:rsidR="00255F1A">
        <w:t> </w:t>
      </w:r>
      <w:r w:rsidR="00255F1A" w:rsidRPr="00255F1A">
        <w:t>&lt; $15,000</w:t>
      </w:r>
      <w:r w:rsidRPr="00FA1E86">
        <w:t>) for the 15</w:t>
      </w:r>
      <w:r w:rsidR="00255F1A">
        <w:t> </w:t>
      </w:r>
      <w:r w:rsidRPr="00FA1E86">
        <w:t>mg dose compared to dulaglutide 1.5 mg weekly.</w:t>
      </w:r>
    </w:p>
    <w:p w14:paraId="3BFFF1AF" w14:textId="0E203232" w:rsidR="00EC2D33" w:rsidRDefault="00507C4C" w:rsidP="00507C4C">
      <w:pPr>
        <w:pStyle w:val="COMexecsumnumberedpara"/>
        <w:rPr>
          <w:iCs/>
        </w:rPr>
      </w:pPr>
      <w:r w:rsidRPr="00FA1E86">
        <w:t xml:space="preserve">The submission </w:t>
      </w:r>
      <w:r w:rsidR="00114F13">
        <w:t>identified the tirzep</w:t>
      </w:r>
      <w:r w:rsidR="00895078">
        <w:t>a</w:t>
      </w:r>
      <w:r w:rsidR="00114F13">
        <w:t xml:space="preserve">tide 15 mg </w:t>
      </w:r>
      <w:r w:rsidR="00114F13" w:rsidRPr="00065852">
        <w:t>dose uncorrected ICER</w:t>
      </w:r>
      <w:r w:rsidR="00114F13">
        <w:t xml:space="preserve"> of </w:t>
      </w:r>
      <w:r w:rsidR="00255F1A" w:rsidRPr="009961BE">
        <w:t>$25,000</w:t>
      </w:r>
      <w:r w:rsidR="00255F1A">
        <w:t> </w:t>
      </w:r>
      <w:r w:rsidR="00255F1A" w:rsidRPr="009961BE">
        <w:t>to</w:t>
      </w:r>
      <w:r w:rsidR="00255F1A">
        <w:t> </w:t>
      </w:r>
      <w:r w:rsidR="00255F1A" w:rsidRPr="009961BE">
        <w:t>&lt;</w:t>
      </w:r>
      <w:r w:rsidR="00255F1A">
        <w:t> </w:t>
      </w:r>
      <w:r w:rsidR="00255F1A" w:rsidRPr="009961BE">
        <w:t>$35,000</w:t>
      </w:r>
      <w:r w:rsidR="00D22D61">
        <w:t xml:space="preserve"> </w:t>
      </w:r>
      <w:r w:rsidR="00114F13">
        <w:t xml:space="preserve">as the base case and </w:t>
      </w:r>
      <w:r w:rsidRPr="00FA1E86">
        <w:t xml:space="preserve">claimed that the PBAC has previously accepted an ICER </w:t>
      </w:r>
      <w:r w:rsidRPr="00246E44">
        <w:t>range of $25,000 to $35,000 per</w:t>
      </w:r>
      <w:r w:rsidRPr="00FA1E86">
        <w:t xml:space="preserve"> QALY gained as cost-effective for diabetes treatments </w:t>
      </w:r>
      <w:r w:rsidRPr="0009575C">
        <w:t xml:space="preserve">(DUSC report 2023, PBS restrictions for type 2 diabetes mellitus medicines, Paragraph 2.4). </w:t>
      </w:r>
      <w:r w:rsidRPr="0009575C">
        <w:rPr>
          <w:iCs/>
        </w:rPr>
        <w:t>The referenced</w:t>
      </w:r>
      <w:r w:rsidRPr="00065852">
        <w:rPr>
          <w:iCs/>
        </w:rPr>
        <w:t xml:space="preserve"> statement was noting the ICER range from the SGLT2 inhibitor report and did not indicate that the PBAC had accepted this range as cost-effective. </w:t>
      </w:r>
      <w:r w:rsidR="00245059">
        <w:rPr>
          <w:iCs/>
        </w:rPr>
        <w:t>At that time, t</w:t>
      </w:r>
      <w:r w:rsidRPr="00065852">
        <w:rPr>
          <w:iCs/>
        </w:rPr>
        <w:t>he PBAC recommended a further price reduction for SGLT2 inhibitors based on forecast total expenditure (DUSC report 2023, PBS restrictions for type 2 diabetes mellitus medicines, Paragraph 2.5).</w:t>
      </w:r>
    </w:p>
    <w:p w14:paraId="55753378" w14:textId="6C19FCB1" w:rsidR="00624C8E" w:rsidRPr="00065852" w:rsidRDefault="00624C8E" w:rsidP="00E118F3">
      <w:pPr>
        <w:pStyle w:val="COMexecsumnumberedpara"/>
        <w:spacing w:after="60"/>
        <w:rPr>
          <w:iCs/>
        </w:rPr>
      </w:pPr>
      <w:r w:rsidRPr="00065852">
        <w:rPr>
          <w:iCs/>
        </w:rPr>
        <w:t>For every 10,000 patients treated with tirzepatide 5 mg versus semaglutide 1 mg weekly and followed up for 50 years, the economic evaluation (based on undiscounted values) estimated that there would be:</w:t>
      </w:r>
    </w:p>
    <w:p w14:paraId="0C4456E4" w14:textId="54BF2780" w:rsidR="00624C8E" w:rsidRPr="00065852" w:rsidRDefault="00624C8E" w:rsidP="00422C04">
      <w:pPr>
        <w:pStyle w:val="COMexecsumnumberedpara"/>
        <w:numPr>
          <w:ilvl w:val="0"/>
          <w:numId w:val="11"/>
        </w:numPr>
        <w:spacing w:after="60"/>
        <w:rPr>
          <w:iCs/>
        </w:rPr>
      </w:pPr>
      <w:r w:rsidRPr="00065852">
        <w:rPr>
          <w:iCs/>
        </w:rPr>
        <w:t>Decreased incidence of diabetes complications (24 fewer non-fatal events) and</w:t>
      </w:r>
      <w:r w:rsidR="006C31AD" w:rsidRPr="00065852">
        <w:rPr>
          <w:iCs/>
        </w:rPr>
        <w:t xml:space="preserve"> an</w:t>
      </w:r>
      <w:r w:rsidRPr="00065852">
        <w:rPr>
          <w:iCs/>
        </w:rPr>
        <w:t xml:space="preserve"> increase in survival (average gain of 9 days per patient).</w:t>
      </w:r>
    </w:p>
    <w:p w14:paraId="34C62991" w14:textId="77777777" w:rsidR="00624C8E" w:rsidRPr="00065852" w:rsidRDefault="00624C8E" w:rsidP="00422C04">
      <w:pPr>
        <w:pStyle w:val="COMexecsumnumberedpara"/>
        <w:numPr>
          <w:ilvl w:val="0"/>
          <w:numId w:val="11"/>
        </w:numPr>
        <w:spacing w:after="60"/>
        <w:rPr>
          <w:iCs/>
        </w:rPr>
      </w:pPr>
      <w:r w:rsidRPr="00065852">
        <w:rPr>
          <w:iCs/>
        </w:rPr>
        <w:t>Decreased incidence of patients with nausea in the first year (50 fewer patients).</w:t>
      </w:r>
    </w:p>
    <w:p w14:paraId="3135771E" w14:textId="77777777" w:rsidR="00624C8E" w:rsidRPr="00065852" w:rsidRDefault="00624C8E" w:rsidP="00422C04">
      <w:pPr>
        <w:pStyle w:val="COMexecsumnumberedpara"/>
        <w:numPr>
          <w:ilvl w:val="0"/>
          <w:numId w:val="11"/>
        </w:numPr>
        <w:spacing w:after="60"/>
        <w:rPr>
          <w:iCs/>
        </w:rPr>
      </w:pPr>
      <w:r w:rsidRPr="00065852">
        <w:rPr>
          <w:iCs/>
        </w:rPr>
        <w:t>Improved quality of life associated with a temporary reduction in weight (average increase of 0.0153 quality-adjusted life years).</w:t>
      </w:r>
    </w:p>
    <w:p w14:paraId="6B2792C3" w14:textId="77777777" w:rsidR="00624C8E" w:rsidRPr="00065852" w:rsidRDefault="00624C8E" w:rsidP="00422C04">
      <w:pPr>
        <w:pStyle w:val="COMexecsumnumberedpara"/>
        <w:numPr>
          <w:ilvl w:val="0"/>
          <w:numId w:val="11"/>
        </w:numPr>
        <w:spacing w:after="60"/>
        <w:rPr>
          <w:iCs/>
        </w:rPr>
      </w:pPr>
      <w:r w:rsidRPr="00065852">
        <w:rPr>
          <w:iCs/>
        </w:rPr>
        <w:t>Delayed time to insulin therapy (average 2.64 months per patient) with a reduced incidence of hypoglycaemia events (27,220 fewer events).</w:t>
      </w:r>
    </w:p>
    <w:p w14:paraId="68362D03" w14:textId="69B4A8BD" w:rsidR="00624C8E" w:rsidRPr="00065852" w:rsidRDefault="00624C8E" w:rsidP="00422C04">
      <w:pPr>
        <w:pStyle w:val="COMexecsumnumberedpara"/>
        <w:numPr>
          <w:ilvl w:val="0"/>
          <w:numId w:val="11"/>
        </w:numPr>
        <w:rPr>
          <w:iCs/>
        </w:rPr>
      </w:pPr>
      <w:r w:rsidRPr="00065852">
        <w:rPr>
          <w:iCs/>
        </w:rPr>
        <w:t xml:space="preserve">Additional drug and </w:t>
      </w:r>
      <w:r w:rsidRPr="00182CD3">
        <w:rPr>
          <w:iCs/>
        </w:rPr>
        <w:t>administration c</w:t>
      </w:r>
      <w:r w:rsidRPr="0009575C">
        <w:rPr>
          <w:iCs/>
        </w:rPr>
        <w:t>osts of $</w:t>
      </w:r>
      <w:proofErr w:type="gramStart"/>
      <w:r w:rsidR="001F207D" w:rsidRPr="00C06886">
        <w:rPr>
          <w:iCs/>
          <w:color w:val="000000"/>
          <w:w w:val="15"/>
          <w:shd w:val="solid" w:color="000000" w:fill="000000"/>
          <w:fitText w:val="-20" w:id="-1168382455"/>
          <w14:textFill>
            <w14:solidFill>
              <w14:srgbClr w14:val="000000">
                <w14:alpha w14:val="100000"/>
              </w14:srgbClr>
            </w14:solidFill>
          </w14:textFill>
        </w:rPr>
        <w:t xml:space="preserve">|  </w:t>
      </w:r>
      <w:r w:rsidR="001F207D" w:rsidRPr="00C06886">
        <w:rPr>
          <w:iCs/>
          <w:color w:val="000000"/>
          <w:spacing w:val="-69"/>
          <w:w w:val="15"/>
          <w:shd w:val="solid" w:color="000000" w:fill="000000"/>
          <w:fitText w:val="-20" w:id="-1168382455"/>
          <w14:textFill>
            <w14:solidFill>
              <w14:srgbClr w14:val="000000">
                <w14:alpha w14:val="100000"/>
              </w14:srgbClr>
            </w14:solidFill>
          </w14:textFill>
        </w:rPr>
        <w:t>|</w:t>
      </w:r>
      <w:proofErr w:type="gramEnd"/>
      <w:r w:rsidRPr="0009575C">
        <w:rPr>
          <w:iCs/>
        </w:rPr>
        <w:t xml:space="preserve"> million but decreased diabetes complication costs of $0.2 million.</w:t>
      </w:r>
    </w:p>
    <w:p w14:paraId="4F489387" w14:textId="6D537D5A" w:rsidR="00624C8E" w:rsidRPr="00065852" w:rsidRDefault="00624C8E" w:rsidP="00E118F3">
      <w:pPr>
        <w:pStyle w:val="COMexecsumnumberedpara"/>
        <w:spacing w:after="60"/>
        <w:rPr>
          <w:iCs/>
        </w:rPr>
      </w:pPr>
      <w:r w:rsidRPr="00065852">
        <w:rPr>
          <w:iCs/>
        </w:rPr>
        <w:t>For every 10,000 patients treated with tirzepatide 10 mg versus semaglutide 1</w:t>
      </w:r>
      <w:r w:rsidR="000A7A80">
        <w:rPr>
          <w:iCs/>
        </w:rPr>
        <w:t> </w:t>
      </w:r>
      <w:r w:rsidRPr="00065852">
        <w:rPr>
          <w:iCs/>
        </w:rPr>
        <w:t>mg weekly and followed up for 50 years, the economic evaluation (based on undiscounted values) estimated that there would be:</w:t>
      </w:r>
    </w:p>
    <w:p w14:paraId="2E507118" w14:textId="2D50824C" w:rsidR="00624C8E" w:rsidRPr="00065852" w:rsidRDefault="00624C8E" w:rsidP="00422C04">
      <w:pPr>
        <w:pStyle w:val="COMexecsumnumberedpara"/>
        <w:numPr>
          <w:ilvl w:val="0"/>
          <w:numId w:val="12"/>
        </w:numPr>
        <w:spacing w:after="60"/>
        <w:rPr>
          <w:iCs/>
        </w:rPr>
      </w:pPr>
      <w:r w:rsidRPr="00065852">
        <w:rPr>
          <w:iCs/>
        </w:rPr>
        <w:t>Decreased incidence of diabetes complications (54 fewer non-fatal events) and</w:t>
      </w:r>
      <w:r w:rsidR="006C31AD" w:rsidRPr="00065852">
        <w:rPr>
          <w:iCs/>
        </w:rPr>
        <w:t xml:space="preserve"> an</w:t>
      </w:r>
      <w:r w:rsidRPr="00065852">
        <w:rPr>
          <w:iCs/>
        </w:rPr>
        <w:t xml:space="preserve"> increase in survival (average gain of 17 days per patient).</w:t>
      </w:r>
    </w:p>
    <w:p w14:paraId="5F0F7CDC" w14:textId="77777777" w:rsidR="00624C8E" w:rsidRPr="00065852" w:rsidRDefault="00624C8E" w:rsidP="00422C04">
      <w:pPr>
        <w:pStyle w:val="COMexecsumnumberedpara"/>
        <w:numPr>
          <w:ilvl w:val="0"/>
          <w:numId w:val="12"/>
        </w:numPr>
        <w:spacing w:after="60"/>
        <w:rPr>
          <w:iCs/>
        </w:rPr>
      </w:pPr>
      <w:r w:rsidRPr="00065852">
        <w:rPr>
          <w:iCs/>
        </w:rPr>
        <w:t>Increased incidence of patients with nausea in the first year (130 additional patients).</w:t>
      </w:r>
    </w:p>
    <w:p w14:paraId="7035E746" w14:textId="77777777" w:rsidR="00624C8E" w:rsidRPr="00065852" w:rsidRDefault="00624C8E" w:rsidP="00422C04">
      <w:pPr>
        <w:pStyle w:val="COMexecsumnumberedpara"/>
        <w:numPr>
          <w:ilvl w:val="0"/>
          <w:numId w:val="12"/>
        </w:numPr>
        <w:spacing w:after="60"/>
        <w:rPr>
          <w:iCs/>
        </w:rPr>
      </w:pPr>
      <w:r w:rsidRPr="00065852">
        <w:rPr>
          <w:iCs/>
        </w:rPr>
        <w:t>Improved quality of life associated with a temporary reduction in weight (average increase of 0.0402 quality-adjusted life years).</w:t>
      </w:r>
    </w:p>
    <w:p w14:paraId="5EF66316" w14:textId="77777777" w:rsidR="00624C8E" w:rsidRPr="00065852" w:rsidRDefault="00624C8E" w:rsidP="00422C04">
      <w:pPr>
        <w:pStyle w:val="COMexecsumnumberedpara"/>
        <w:numPr>
          <w:ilvl w:val="0"/>
          <w:numId w:val="12"/>
        </w:numPr>
        <w:spacing w:after="60"/>
        <w:rPr>
          <w:iCs/>
        </w:rPr>
      </w:pPr>
      <w:r w:rsidRPr="00065852">
        <w:rPr>
          <w:iCs/>
        </w:rPr>
        <w:t>Delayed time to insulin therapy (average 5.88 months per patient) with a reduced incidence of hypoglycaemia events (61,273 fewer events).</w:t>
      </w:r>
    </w:p>
    <w:p w14:paraId="2D442A2B" w14:textId="1975D13F" w:rsidR="00624C8E" w:rsidRPr="00182CD3" w:rsidRDefault="00624C8E" w:rsidP="00422C04">
      <w:pPr>
        <w:pStyle w:val="COMexecsumnumberedpara"/>
        <w:numPr>
          <w:ilvl w:val="0"/>
          <w:numId w:val="12"/>
        </w:numPr>
        <w:rPr>
          <w:iCs/>
        </w:rPr>
      </w:pPr>
      <w:r w:rsidRPr="00065852">
        <w:rPr>
          <w:iCs/>
        </w:rPr>
        <w:lastRenderedPageBreak/>
        <w:t xml:space="preserve">Additional drug and administration </w:t>
      </w:r>
      <w:r w:rsidRPr="0009575C">
        <w:rPr>
          <w:iCs/>
        </w:rPr>
        <w:t>costs of $</w:t>
      </w:r>
      <w:proofErr w:type="gramStart"/>
      <w:r w:rsidR="001F207D" w:rsidRPr="00C06886">
        <w:rPr>
          <w:iCs/>
          <w:color w:val="000000"/>
          <w:w w:val="15"/>
          <w:shd w:val="solid" w:color="000000" w:fill="000000"/>
          <w:fitText w:val="-20" w:id="-1168382454"/>
          <w14:textFill>
            <w14:solidFill>
              <w14:srgbClr w14:val="000000">
                <w14:alpha w14:val="100000"/>
              </w14:srgbClr>
            </w14:solidFill>
          </w14:textFill>
        </w:rPr>
        <w:t xml:space="preserve">|  </w:t>
      </w:r>
      <w:r w:rsidR="001F207D" w:rsidRPr="00C06886">
        <w:rPr>
          <w:iCs/>
          <w:color w:val="000000"/>
          <w:spacing w:val="-69"/>
          <w:w w:val="15"/>
          <w:shd w:val="solid" w:color="000000" w:fill="000000"/>
          <w:fitText w:val="-20" w:id="-1168382454"/>
          <w14:textFill>
            <w14:solidFill>
              <w14:srgbClr w14:val="000000">
                <w14:alpha w14:val="100000"/>
              </w14:srgbClr>
            </w14:solidFill>
          </w14:textFill>
        </w:rPr>
        <w:t>|</w:t>
      </w:r>
      <w:proofErr w:type="gramEnd"/>
      <w:r w:rsidRPr="0009575C">
        <w:rPr>
          <w:iCs/>
        </w:rPr>
        <w:t xml:space="preserve"> million but decreased diabetes complication costs of $0.5 million.</w:t>
      </w:r>
    </w:p>
    <w:p w14:paraId="027911A7" w14:textId="13E8887B" w:rsidR="00624C8E" w:rsidRPr="00065852" w:rsidRDefault="00624C8E" w:rsidP="00E118F3">
      <w:pPr>
        <w:pStyle w:val="COMexecsumnumberedpara"/>
        <w:spacing w:after="60"/>
        <w:rPr>
          <w:iCs/>
        </w:rPr>
      </w:pPr>
      <w:r w:rsidRPr="00065852">
        <w:rPr>
          <w:iCs/>
        </w:rPr>
        <w:t>For every 10,000 patients treated with tirzepatide 15 mg versus semaglutide 1</w:t>
      </w:r>
      <w:r w:rsidR="000A7A80">
        <w:rPr>
          <w:iCs/>
        </w:rPr>
        <w:t> </w:t>
      </w:r>
      <w:r w:rsidRPr="00065852">
        <w:rPr>
          <w:iCs/>
        </w:rPr>
        <w:t>mg weekly and followed up for 50 years, the economic evaluation (based on undiscounted values)</w:t>
      </w:r>
      <w:r w:rsidR="003D653B" w:rsidRPr="00065852">
        <w:rPr>
          <w:iCs/>
        </w:rPr>
        <w:t xml:space="preserve"> estimated that there would be:</w:t>
      </w:r>
    </w:p>
    <w:p w14:paraId="79A6F7D9" w14:textId="661E9908" w:rsidR="00624C8E" w:rsidRPr="00065852" w:rsidRDefault="00624C8E" w:rsidP="00422C04">
      <w:pPr>
        <w:pStyle w:val="COMexecsumnumberedpara"/>
        <w:numPr>
          <w:ilvl w:val="0"/>
          <w:numId w:val="13"/>
        </w:numPr>
        <w:spacing w:after="60"/>
        <w:rPr>
          <w:iCs/>
        </w:rPr>
      </w:pPr>
      <w:r w:rsidRPr="00065852">
        <w:rPr>
          <w:iCs/>
        </w:rPr>
        <w:t>Decreased incidence of diabetes complications (77 fewer non-fatal events) and</w:t>
      </w:r>
      <w:r w:rsidR="006C31AD" w:rsidRPr="00065852">
        <w:rPr>
          <w:iCs/>
        </w:rPr>
        <w:t xml:space="preserve"> an</w:t>
      </w:r>
      <w:r w:rsidRPr="00065852">
        <w:rPr>
          <w:iCs/>
        </w:rPr>
        <w:t xml:space="preserve"> increase in survival (average gain of 23 days per patient).</w:t>
      </w:r>
    </w:p>
    <w:p w14:paraId="157F4B47" w14:textId="77777777" w:rsidR="00624C8E" w:rsidRPr="00065852" w:rsidRDefault="00624C8E" w:rsidP="00422C04">
      <w:pPr>
        <w:pStyle w:val="COMexecsumnumberedpara"/>
        <w:numPr>
          <w:ilvl w:val="0"/>
          <w:numId w:val="13"/>
        </w:numPr>
        <w:spacing w:after="60"/>
        <w:rPr>
          <w:iCs/>
        </w:rPr>
      </w:pPr>
      <w:r w:rsidRPr="00065852">
        <w:rPr>
          <w:iCs/>
        </w:rPr>
        <w:t>Increased incidence of patients with nausea in the first year (420 additional patients).</w:t>
      </w:r>
    </w:p>
    <w:p w14:paraId="4F77AE8B" w14:textId="77777777" w:rsidR="00624C8E" w:rsidRPr="00065852" w:rsidRDefault="00624C8E" w:rsidP="00422C04">
      <w:pPr>
        <w:pStyle w:val="COMexecsumnumberedpara"/>
        <w:numPr>
          <w:ilvl w:val="0"/>
          <w:numId w:val="13"/>
        </w:numPr>
        <w:spacing w:after="60"/>
        <w:rPr>
          <w:iCs/>
        </w:rPr>
      </w:pPr>
      <w:r w:rsidRPr="00065852">
        <w:rPr>
          <w:iCs/>
        </w:rPr>
        <w:t>Improved quality of life associated with a temporary reduction in weight (average increase of 0.0570 quality-adjusted life years).</w:t>
      </w:r>
    </w:p>
    <w:p w14:paraId="3D6FFCD6" w14:textId="77777777" w:rsidR="00624C8E" w:rsidRPr="00182CD3" w:rsidRDefault="00624C8E" w:rsidP="00422C04">
      <w:pPr>
        <w:pStyle w:val="COMexecsumnumberedpara"/>
        <w:numPr>
          <w:ilvl w:val="0"/>
          <w:numId w:val="13"/>
        </w:numPr>
        <w:spacing w:after="60"/>
        <w:rPr>
          <w:iCs/>
        </w:rPr>
      </w:pPr>
      <w:r w:rsidRPr="00065852">
        <w:rPr>
          <w:iCs/>
        </w:rPr>
        <w:t>Delayed time to insulin therapy (average 6.84 months per patient) with a reduced incidence of hypoglycaemia events (</w:t>
      </w:r>
      <w:r w:rsidRPr="00182CD3">
        <w:rPr>
          <w:iCs/>
        </w:rPr>
        <w:t>70,502 fewer events).</w:t>
      </w:r>
    </w:p>
    <w:p w14:paraId="5379C18C" w14:textId="1DB13EC5" w:rsidR="003D653B" w:rsidRPr="00182CD3" w:rsidRDefault="00624C8E" w:rsidP="00422C04">
      <w:pPr>
        <w:pStyle w:val="COMexecsumnumberedpara"/>
        <w:numPr>
          <w:ilvl w:val="0"/>
          <w:numId w:val="13"/>
        </w:numPr>
        <w:rPr>
          <w:iCs/>
        </w:rPr>
      </w:pPr>
      <w:r w:rsidRPr="00182CD3">
        <w:rPr>
          <w:iCs/>
        </w:rPr>
        <w:t xml:space="preserve">Additional drug and administration costs of </w:t>
      </w:r>
      <w:r w:rsidRPr="0009575C">
        <w:rPr>
          <w:iCs/>
        </w:rPr>
        <w:t>$</w:t>
      </w:r>
      <w:proofErr w:type="gramStart"/>
      <w:r w:rsidR="001F207D" w:rsidRPr="00C06886">
        <w:rPr>
          <w:iCs/>
          <w:color w:val="000000"/>
          <w:w w:val="15"/>
          <w:shd w:val="solid" w:color="000000" w:fill="000000"/>
          <w:fitText w:val="-20" w:id="-1168382453"/>
          <w14:textFill>
            <w14:solidFill>
              <w14:srgbClr w14:val="000000">
                <w14:alpha w14:val="100000"/>
              </w14:srgbClr>
            </w14:solidFill>
          </w14:textFill>
        </w:rPr>
        <w:t xml:space="preserve">|  </w:t>
      </w:r>
      <w:r w:rsidR="001F207D" w:rsidRPr="00C06886">
        <w:rPr>
          <w:iCs/>
          <w:color w:val="000000"/>
          <w:spacing w:val="-69"/>
          <w:w w:val="15"/>
          <w:shd w:val="solid" w:color="000000" w:fill="000000"/>
          <w:fitText w:val="-20" w:id="-1168382453"/>
          <w14:textFill>
            <w14:solidFill>
              <w14:srgbClr w14:val="000000">
                <w14:alpha w14:val="100000"/>
              </w14:srgbClr>
            </w14:solidFill>
          </w14:textFill>
        </w:rPr>
        <w:t>|</w:t>
      </w:r>
      <w:proofErr w:type="gramEnd"/>
      <w:r w:rsidRPr="0009575C">
        <w:rPr>
          <w:iCs/>
        </w:rPr>
        <w:t xml:space="preserve"> million but decreased diabetes complication costs of $2.2 million.</w:t>
      </w:r>
    </w:p>
    <w:p w14:paraId="1D9CD736" w14:textId="2FE9FC94" w:rsidR="006C31AD" w:rsidRPr="00FA1E86" w:rsidRDefault="006C31AD" w:rsidP="000008EE">
      <w:pPr>
        <w:pStyle w:val="COMexecsumnumberedpara"/>
        <w:rPr>
          <w:iCs/>
        </w:rPr>
      </w:pPr>
      <w:r w:rsidRPr="00FA1E86">
        <w:rPr>
          <w:iCs/>
        </w:rPr>
        <w:t xml:space="preserve">The results of key sensitivity analyses are summarised in </w:t>
      </w:r>
      <w:r w:rsidRPr="00FA1E86">
        <w:rPr>
          <w:iCs/>
        </w:rPr>
        <w:fldChar w:fldCharType="begin" w:fldLock="1"/>
      </w:r>
      <w:r w:rsidRPr="00FA1E86">
        <w:rPr>
          <w:iCs/>
        </w:rPr>
        <w:instrText xml:space="preserve"> REF _Ref134181638 \h </w:instrText>
      </w:r>
      <w:r w:rsidR="007E5945" w:rsidRPr="00FA1E86">
        <w:rPr>
          <w:iCs/>
        </w:rPr>
        <w:instrText xml:space="preserve"> \* MERGEFORMAT </w:instrText>
      </w:r>
      <w:r w:rsidRPr="00FA1E86">
        <w:rPr>
          <w:iCs/>
        </w:rPr>
      </w:r>
      <w:r w:rsidRPr="00FA1E86">
        <w:rPr>
          <w:iCs/>
        </w:rPr>
        <w:fldChar w:fldCharType="separate"/>
      </w:r>
      <w:r w:rsidR="00B71E27" w:rsidRPr="00B71E27">
        <w:rPr>
          <w:iCs/>
        </w:rPr>
        <w:t xml:space="preserve">Table </w:t>
      </w:r>
      <w:r w:rsidR="00B71E27" w:rsidRPr="00B71E27">
        <w:rPr>
          <w:iCs/>
          <w:noProof/>
        </w:rPr>
        <w:t>14</w:t>
      </w:r>
      <w:r w:rsidRPr="00FA1E86">
        <w:rPr>
          <w:iCs/>
        </w:rPr>
        <w:fldChar w:fldCharType="end"/>
      </w:r>
      <w:r w:rsidR="007E5945" w:rsidRPr="00FA1E86">
        <w:rPr>
          <w:iCs/>
        </w:rPr>
        <w:t>.</w:t>
      </w:r>
    </w:p>
    <w:p w14:paraId="0F3D83D4" w14:textId="318AB926" w:rsidR="003D653B" w:rsidRPr="00FA1E86" w:rsidRDefault="00EC6E59" w:rsidP="00E94884">
      <w:pPr>
        <w:pStyle w:val="COMtablefigcaption"/>
        <w:rPr>
          <w:rStyle w:val="CommentReference"/>
          <w:sz w:val="20"/>
          <w:szCs w:val="22"/>
        </w:rPr>
      </w:pPr>
      <w:bookmarkStart w:id="58" w:name="_Ref134181638"/>
      <w:r w:rsidRPr="00FA1E86">
        <w:t xml:space="preserve">Table </w:t>
      </w:r>
      <w:fldSimple w:instr=" SEQ Table \* ARABIC " w:fldLock="1">
        <w:r w:rsidR="00B71E27">
          <w:rPr>
            <w:noProof/>
          </w:rPr>
          <w:t>14</w:t>
        </w:r>
      </w:fldSimple>
      <w:bookmarkEnd w:id="58"/>
      <w:r w:rsidR="003D653B" w:rsidRPr="00FA1E86">
        <w:rPr>
          <w:rStyle w:val="CommentReference"/>
          <w:sz w:val="20"/>
          <w:szCs w:val="22"/>
        </w:rPr>
        <w:t xml:space="preserve">: Results of </w:t>
      </w:r>
      <w:r w:rsidR="006C31AD" w:rsidRPr="00FA1E86">
        <w:rPr>
          <w:rStyle w:val="CommentReference"/>
          <w:sz w:val="20"/>
          <w:szCs w:val="22"/>
        </w:rPr>
        <w:t xml:space="preserve">key </w:t>
      </w:r>
      <w:r w:rsidR="003D653B" w:rsidRPr="00FA1E86">
        <w:rPr>
          <w:rStyle w:val="CommentReference"/>
          <w:sz w:val="20"/>
          <w:szCs w:val="22"/>
        </w:rPr>
        <w:t xml:space="preserve">sensitivity analyses </w:t>
      </w:r>
    </w:p>
    <w:tbl>
      <w:tblPr>
        <w:tblW w:w="9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9"/>
        <w:gridCol w:w="2215"/>
        <w:gridCol w:w="18"/>
        <w:gridCol w:w="1815"/>
        <w:gridCol w:w="23"/>
        <w:gridCol w:w="1839"/>
      </w:tblGrid>
      <w:tr w:rsidR="003D653B" w:rsidRPr="00D22D61" w14:paraId="4C395EAC" w14:textId="77777777" w:rsidTr="004A0601">
        <w:trPr>
          <w:tblHeader/>
        </w:trPr>
        <w:tc>
          <w:tcPr>
            <w:tcW w:w="3119" w:type="dxa"/>
            <w:vMerge w:val="restart"/>
            <w:tcMar>
              <w:top w:w="0" w:type="dxa"/>
              <w:left w:w="108" w:type="dxa"/>
              <w:bottom w:w="0" w:type="dxa"/>
              <w:right w:w="108" w:type="dxa"/>
            </w:tcMar>
            <w:vAlign w:val="center"/>
          </w:tcPr>
          <w:p w14:paraId="5F2F0C27" w14:textId="5C3F2033" w:rsidR="003D653B" w:rsidRPr="00D22D61" w:rsidRDefault="003D653B" w:rsidP="00253C04">
            <w:pPr>
              <w:pStyle w:val="Tabletext0"/>
              <w:rPr>
                <w:b/>
                <w:bCs/>
                <w:szCs w:val="20"/>
              </w:rPr>
            </w:pPr>
            <w:r w:rsidRPr="00D22D61">
              <w:rPr>
                <w:b/>
                <w:bCs/>
                <w:szCs w:val="20"/>
              </w:rPr>
              <w:t>Analyses</w:t>
            </w:r>
          </w:p>
        </w:tc>
        <w:tc>
          <w:tcPr>
            <w:tcW w:w="5910" w:type="dxa"/>
            <w:gridSpan w:val="5"/>
            <w:tcMar>
              <w:top w:w="0" w:type="dxa"/>
              <w:left w:w="108" w:type="dxa"/>
              <w:bottom w:w="0" w:type="dxa"/>
              <w:right w:w="108" w:type="dxa"/>
            </w:tcMar>
            <w:vAlign w:val="center"/>
          </w:tcPr>
          <w:p w14:paraId="68818788" w14:textId="6F20FECB" w:rsidR="003D653B" w:rsidRPr="00D22D61" w:rsidRDefault="003D653B" w:rsidP="00253C04">
            <w:pPr>
              <w:pStyle w:val="Tabletext0"/>
              <w:jc w:val="center"/>
              <w:rPr>
                <w:b/>
                <w:bCs/>
                <w:szCs w:val="20"/>
              </w:rPr>
            </w:pPr>
            <w:r w:rsidRPr="00D22D61">
              <w:rPr>
                <w:b/>
                <w:bCs/>
                <w:szCs w:val="20"/>
              </w:rPr>
              <w:t>ICER (% change from base</w:t>
            </w:r>
            <w:r w:rsidR="006C31AD" w:rsidRPr="00D22D61">
              <w:rPr>
                <w:b/>
                <w:bCs/>
                <w:szCs w:val="20"/>
              </w:rPr>
              <w:t xml:space="preserve"> </w:t>
            </w:r>
            <w:r w:rsidRPr="00D22D61">
              <w:rPr>
                <w:b/>
                <w:bCs/>
                <w:szCs w:val="20"/>
              </w:rPr>
              <w:t>case)</w:t>
            </w:r>
          </w:p>
        </w:tc>
      </w:tr>
      <w:tr w:rsidR="003D653B" w:rsidRPr="00D22D61" w14:paraId="2AFE9DD7" w14:textId="77777777" w:rsidTr="004A0601">
        <w:trPr>
          <w:tblHeader/>
        </w:trPr>
        <w:tc>
          <w:tcPr>
            <w:tcW w:w="3119" w:type="dxa"/>
            <w:vMerge/>
            <w:tcMar>
              <w:top w:w="0" w:type="dxa"/>
              <w:left w:w="108" w:type="dxa"/>
              <w:bottom w:w="0" w:type="dxa"/>
              <w:right w:w="108" w:type="dxa"/>
            </w:tcMar>
            <w:vAlign w:val="center"/>
            <w:hideMark/>
          </w:tcPr>
          <w:p w14:paraId="45F70287" w14:textId="4543FC9E" w:rsidR="003D653B" w:rsidRPr="00D22D61" w:rsidRDefault="003D653B" w:rsidP="00253C04">
            <w:pPr>
              <w:pStyle w:val="Tabletext0"/>
              <w:rPr>
                <w:szCs w:val="20"/>
              </w:rPr>
            </w:pPr>
          </w:p>
        </w:tc>
        <w:tc>
          <w:tcPr>
            <w:tcW w:w="2233" w:type="dxa"/>
            <w:gridSpan w:val="2"/>
            <w:tcMar>
              <w:top w:w="0" w:type="dxa"/>
              <w:left w:w="108" w:type="dxa"/>
              <w:bottom w:w="0" w:type="dxa"/>
              <w:right w:w="108" w:type="dxa"/>
            </w:tcMar>
            <w:vAlign w:val="center"/>
            <w:hideMark/>
          </w:tcPr>
          <w:p w14:paraId="3028DCD2" w14:textId="15BC8A46" w:rsidR="003D653B" w:rsidRPr="00D22D61" w:rsidRDefault="003D653B" w:rsidP="003D653B">
            <w:pPr>
              <w:pStyle w:val="Tabletext0"/>
              <w:jc w:val="center"/>
              <w:rPr>
                <w:b/>
                <w:bCs/>
                <w:szCs w:val="20"/>
              </w:rPr>
            </w:pPr>
            <w:r w:rsidRPr="00D22D61">
              <w:rPr>
                <w:b/>
                <w:bCs/>
                <w:szCs w:val="20"/>
              </w:rPr>
              <w:t xml:space="preserve">Tirzepatide 5 mg vs semaglutide 1 mg </w:t>
            </w:r>
          </w:p>
        </w:tc>
        <w:tc>
          <w:tcPr>
            <w:tcW w:w="1838" w:type="dxa"/>
            <w:gridSpan w:val="2"/>
            <w:tcMar>
              <w:top w:w="0" w:type="dxa"/>
              <w:left w:w="108" w:type="dxa"/>
              <w:bottom w:w="0" w:type="dxa"/>
              <w:right w:w="108" w:type="dxa"/>
            </w:tcMar>
            <w:vAlign w:val="center"/>
          </w:tcPr>
          <w:p w14:paraId="2AAC2DB8" w14:textId="432D200C" w:rsidR="003D653B" w:rsidRPr="00D22D61" w:rsidRDefault="008E5B13" w:rsidP="003D653B">
            <w:pPr>
              <w:pStyle w:val="Tabletext0"/>
              <w:jc w:val="center"/>
              <w:rPr>
                <w:b/>
                <w:bCs/>
                <w:szCs w:val="20"/>
              </w:rPr>
            </w:pPr>
            <w:r w:rsidRPr="00D22D61">
              <w:rPr>
                <w:b/>
                <w:bCs/>
                <w:szCs w:val="20"/>
              </w:rPr>
              <w:t>Tirzepatide 10</w:t>
            </w:r>
            <w:r w:rsidR="003D653B" w:rsidRPr="00D22D61">
              <w:rPr>
                <w:b/>
                <w:bCs/>
                <w:szCs w:val="20"/>
              </w:rPr>
              <w:t xml:space="preserve"> mg vs semaglutide 1 mg </w:t>
            </w:r>
          </w:p>
        </w:tc>
        <w:tc>
          <w:tcPr>
            <w:tcW w:w="1839" w:type="dxa"/>
            <w:tcMar>
              <w:top w:w="0" w:type="dxa"/>
              <w:left w:w="108" w:type="dxa"/>
              <w:bottom w:w="0" w:type="dxa"/>
              <w:right w:w="108" w:type="dxa"/>
            </w:tcMar>
            <w:vAlign w:val="center"/>
          </w:tcPr>
          <w:p w14:paraId="2A521BBB" w14:textId="32FAEC8B" w:rsidR="003D653B" w:rsidRPr="00D22D61" w:rsidRDefault="003D653B" w:rsidP="003D653B">
            <w:pPr>
              <w:pStyle w:val="Tabletext0"/>
              <w:jc w:val="center"/>
              <w:rPr>
                <w:b/>
                <w:bCs/>
                <w:szCs w:val="20"/>
              </w:rPr>
            </w:pPr>
            <w:r w:rsidRPr="00D22D61">
              <w:rPr>
                <w:b/>
                <w:bCs/>
                <w:szCs w:val="20"/>
              </w:rPr>
              <w:t xml:space="preserve">Tirzepatide </w:t>
            </w:r>
            <w:r w:rsidR="008E5B13" w:rsidRPr="00D22D61">
              <w:rPr>
                <w:b/>
                <w:bCs/>
                <w:szCs w:val="20"/>
              </w:rPr>
              <w:t>1</w:t>
            </w:r>
            <w:r w:rsidRPr="00D22D61">
              <w:rPr>
                <w:b/>
                <w:bCs/>
                <w:szCs w:val="20"/>
              </w:rPr>
              <w:t>5 mg vs semaglutide 1 mg</w:t>
            </w:r>
          </w:p>
        </w:tc>
      </w:tr>
      <w:tr w:rsidR="003D653B" w:rsidRPr="00D22D61" w14:paraId="393F56AD" w14:textId="77777777" w:rsidTr="004A0601">
        <w:trPr>
          <w:tblHeader/>
        </w:trPr>
        <w:tc>
          <w:tcPr>
            <w:tcW w:w="3119" w:type="dxa"/>
            <w:tcMar>
              <w:top w:w="0" w:type="dxa"/>
              <w:left w:w="108" w:type="dxa"/>
              <w:bottom w:w="0" w:type="dxa"/>
              <w:right w:w="108" w:type="dxa"/>
            </w:tcMar>
            <w:hideMark/>
          </w:tcPr>
          <w:p w14:paraId="04FA10D5" w14:textId="77777777" w:rsidR="003D653B" w:rsidRPr="00D22D61" w:rsidRDefault="003D653B" w:rsidP="00253C04">
            <w:pPr>
              <w:pStyle w:val="Tabletext0"/>
              <w:rPr>
                <w:b/>
                <w:bCs/>
                <w:szCs w:val="20"/>
                <w:vertAlign w:val="superscript"/>
              </w:rPr>
            </w:pPr>
            <w:r w:rsidRPr="00D22D61">
              <w:rPr>
                <w:b/>
                <w:bCs/>
                <w:szCs w:val="20"/>
              </w:rPr>
              <w:t>Base case</w:t>
            </w:r>
          </w:p>
        </w:tc>
        <w:tc>
          <w:tcPr>
            <w:tcW w:w="2233" w:type="dxa"/>
            <w:gridSpan w:val="2"/>
            <w:tcMar>
              <w:top w:w="0" w:type="dxa"/>
              <w:left w:w="108" w:type="dxa"/>
              <w:bottom w:w="0" w:type="dxa"/>
              <w:right w:w="108" w:type="dxa"/>
            </w:tcMar>
          </w:tcPr>
          <w:p w14:paraId="0864790C" w14:textId="31ABC03B" w:rsidR="003D653B" w:rsidRPr="00D22D61" w:rsidRDefault="008E5B13" w:rsidP="00253C04">
            <w:pPr>
              <w:pStyle w:val="Tabletext0"/>
              <w:jc w:val="center"/>
              <w:rPr>
                <w:b/>
                <w:bCs/>
                <w:szCs w:val="20"/>
              </w:rPr>
            </w:pPr>
            <w:r w:rsidRPr="00D22D61">
              <w:rPr>
                <w:b/>
                <w:bCs/>
                <w:szCs w:val="20"/>
              </w:rPr>
              <w:t>$</w:t>
            </w:r>
            <w:r w:rsidR="001F207D" w:rsidRPr="001F207D">
              <w:rPr>
                <w:b/>
                <w:bCs/>
                <w:color w:val="000000"/>
                <w:szCs w:val="20"/>
                <w:shd w:val="solid" w:color="000000" w:fill="000000"/>
                <w14:textFill>
                  <w14:solidFill>
                    <w14:srgbClr w14:val="000000">
                      <w14:alpha w14:val="100000"/>
                    </w14:srgbClr>
                  </w14:solidFill>
                </w14:textFill>
              </w:rPr>
              <w:t>|</w:t>
            </w:r>
            <w:r w:rsidR="002C796C" w:rsidRPr="004A0601">
              <w:rPr>
                <w:rFonts w:cs="Arial Narrow"/>
                <w:sz w:val="18"/>
                <w:szCs w:val="18"/>
                <w:vertAlign w:val="superscript"/>
              </w:rPr>
              <w:t>1</w:t>
            </w:r>
          </w:p>
        </w:tc>
        <w:tc>
          <w:tcPr>
            <w:tcW w:w="1838" w:type="dxa"/>
            <w:gridSpan w:val="2"/>
            <w:tcMar>
              <w:top w:w="0" w:type="dxa"/>
              <w:left w:w="108" w:type="dxa"/>
              <w:bottom w:w="0" w:type="dxa"/>
              <w:right w:w="108" w:type="dxa"/>
            </w:tcMar>
          </w:tcPr>
          <w:p w14:paraId="118487A5" w14:textId="313DA6C2" w:rsidR="003D653B" w:rsidRPr="00D22D61" w:rsidRDefault="00666E9A" w:rsidP="00253C04">
            <w:pPr>
              <w:pStyle w:val="Tabletext0"/>
              <w:jc w:val="center"/>
              <w:rPr>
                <w:b/>
                <w:bCs/>
                <w:szCs w:val="20"/>
              </w:rPr>
            </w:pPr>
            <w:r w:rsidRPr="00D22D61">
              <w:rPr>
                <w:b/>
                <w:bCs/>
                <w:szCs w:val="20"/>
              </w:rPr>
              <w:t>$</w:t>
            </w:r>
            <w:r w:rsidR="001F207D" w:rsidRPr="001F207D">
              <w:rPr>
                <w:b/>
                <w:bCs/>
                <w:color w:val="000000"/>
                <w:szCs w:val="20"/>
                <w:shd w:val="solid" w:color="000000" w:fill="000000"/>
                <w14:textFill>
                  <w14:solidFill>
                    <w14:srgbClr w14:val="000000">
                      <w14:alpha w14:val="100000"/>
                    </w14:srgbClr>
                  </w14:solidFill>
                </w14:textFill>
              </w:rPr>
              <w:t>|</w:t>
            </w:r>
            <w:r w:rsidR="005A2C04" w:rsidRPr="004A0601">
              <w:rPr>
                <w:rFonts w:cs="Arial Narrow"/>
                <w:sz w:val="18"/>
                <w:szCs w:val="18"/>
                <w:vertAlign w:val="superscript"/>
              </w:rPr>
              <w:t>6</w:t>
            </w:r>
          </w:p>
        </w:tc>
        <w:tc>
          <w:tcPr>
            <w:tcW w:w="1839" w:type="dxa"/>
            <w:tcMar>
              <w:top w:w="0" w:type="dxa"/>
              <w:left w:w="108" w:type="dxa"/>
              <w:bottom w:w="0" w:type="dxa"/>
              <w:right w:w="108" w:type="dxa"/>
            </w:tcMar>
          </w:tcPr>
          <w:p w14:paraId="59CA1974" w14:textId="7C699A58" w:rsidR="003D653B" w:rsidRPr="00D22D61" w:rsidRDefault="002C054E" w:rsidP="00253C04">
            <w:pPr>
              <w:pStyle w:val="Tabletext0"/>
              <w:jc w:val="center"/>
              <w:rPr>
                <w:b/>
                <w:bCs/>
                <w:szCs w:val="20"/>
              </w:rPr>
            </w:pPr>
            <w:r w:rsidRPr="00D22D61">
              <w:rPr>
                <w:b/>
                <w:bCs/>
                <w:szCs w:val="20"/>
              </w:rPr>
              <w:t>$</w:t>
            </w:r>
            <w:r w:rsidR="001F207D" w:rsidRPr="001F207D">
              <w:rPr>
                <w:b/>
                <w:bCs/>
                <w:color w:val="000000"/>
                <w:szCs w:val="20"/>
                <w:shd w:val="solid" w:color="000000" w:fill="000000"/>
                <w14:textFill>
                  <w14:solidFill>
                    <w14:srgbClr w14:val="000000">
                      <w14:alpha w14:val="100000"/>
                    </w14:srgbClr>
                  </w14:solidFill>
                </w14:textFill>
              </w:rPr>
              <w:t>|</w:t>
            </w:r>
            <w:r w:rsidR="005A2C04" w:rsidRPr="004A0601">
              <w:rPr>
                <w:rFonts w:cs="Arial Narrow"/>
                <w:sz w:val="18"/>
                <w:szCs w:val="18"/>
                <w:vertAlign w:val="superscript"/>
              </w:rPr>
              <w:t>7</w:t>
            </w:r>
          </w:p>
        </w:tc>
      </w:tr>
      <w:tr w:rsidR="003D653B" w:rsidRPr="00D22D61" w14:paraId="1680E0A4" w14:textId="77777777" w:rsidTr="00253C04">
        <w:tc>
          <w:tcPr>
            <w:tcW w:w="9029" w:type="dxa"/>
            <w:gridSpan w:val="6"/>
            <w:tcMar>
              <w:top w:w="0" w:type="dxa"/>
              <w:left w:w="108" w:type="dxa"/>
              <w:bottom w:w="0" w:type="dxa"/>
              <w:right w:w="108" w:type="dxa"/>
            </w:tcMar>
            <w:hideMark/>
          </w:tcPr>
          <w:p w14:paraId="4DECF507" w14:textId="77777777" w:rsidR="003D653B" w:rsidRPr="00D22D61" w:rsidRDefault="003D653B" w:rsidP="00253C04">
            <w:pPr>
              <w:pStyle w:val="Tabletext0"/>
              <w:rPr>
                <w:szCs w:val="20"/>
              </w:rPr>
            </w:pPr>
            <w:r w:rsidRPr="00D22D61">
              <w:rPr>
                <w:b/>
                <w:bCs/>
                <w:szCs w:val="20"/>
              </w:rPr>
              <w:t>Discount rate (base case: 5% for benefits and costs)</w:t>
            </w:r>
          </w:p>
        </w:tc>
      </w:tr>
      <w:tr w:rsidR="003D653B" w:rsidRPr="00D22D61" w14:paraId="7F9486B1" w14:textId="77777777" w:rsidTr="004A0601">
        <w:tc>
          <w:tcPr>
            <w:tcW w:w="3119" w:type="dxa"/>
            <w:tcMar>
              <w:top w:w="0" w:type="dxa"/>
              <w:left w:w="108" w:type="dxa"/>
              <w:bottom w:w="0" w:type="dxa"/>
              <w:right w:w="108" w:type="dxa"/>
            </w:tcMar>
          </w:tcPr>
          <w:p w14:paraId="6936B7E9" w14:textId="77777777" w:rsidR="003D653B" w:rsidRPr="00D22D61" w:rsidRDefault="003D653B" w:rsidP="00253C04">
            <w:pPr>
              <w:pStyle w:val="Tabletext0"/>
              <w:rPr>
                <w:szCs w:val="20"/>
              </w:rPr>
            </w:pPr>
            <w:r w:rsidRPr="00D22D61">
              <w:rPr>
                <w:szCs w:val="20"/>
              </w:rPr>
              <w:t>3.5% discount rate</w:t>
            </w:r>
          </w:p>
        </w:tc>
        <w:tc>
          <w:tcPr>
            <w:tcW w:w="2215" w:type="dxa"/>
            <w:tcMar>
              <w:top w:w="0" w:type="dxa"/>
              <w:left w:w="108" w:type="dxa"/>
              <w:bottom w:w="0" w:type="dxa"/>
              <w:right w:w="108" w:type="dxa"/>
            </w:tcMar>
            <w:vAlign w:val="center"/>
          </w:tcPr>
          <w:p w14:paraId="733A58A8" w14:textId="0DE45E19" w:rsidR="003D653B" w:rsidRPr="00D22D61" w:rsidRDefault="008E5B13" w:rsidP="00F2167D">
            <w:pPr>
              <w:pStyle w:val="Tabletext0"/>
              <w:jc w:val="center"/>
              <w:rPr>
                <w:szCs w:val="20"/>
              </w:rPr>
            </w:pPr>
            <w:r w:rsidRPr="00D22D61">
              <w:rPr>
                <w:szCs w:val="20"/>
              </w:rPr>
              <w:t>$</w:t>
            </w:r>
            <w:r w:rsidR="001F207D" w:rsidRPr="001F207D">
              <w:rPr>
                <w:color w:val="000000"/>
                <w:szCs w:val="20"/>
                <w:shd w:val="solid" w:color="000000" w:fill="000000"/>
                <w14:textFill>
                  <w14:solidFill>
                    <w14:srgbClr w14:val="000000">
                      <w14:alpha w14:val="100000"/>
                    </w14:srgbClr>
                  </w14:solidFill>
                </w14:textFill>
              </w:rPr>
              <w:t>|</w:t>
            </w:r>
            <w:r w:rsidR="00384449" w:rsidRPr="004A0601">
              <w:rPr>
                <w:rFonts w:cs="Arial Narrow"/>
                <w:sz w:val="18"/>
                <w:szCs w:val="18"/>
                <w:vertAlign w:val="superscript"/>
              </w:rPr>
              <w:t>1</w:t>
            </w:r>
            <w:r w:rsidR="00401DB2">
              <w:rPr>
                <w:rFonts w:cs="Arial Narrow"/>
                <w:sz w:val="18"/>
                <w:szCs w:val="18"/>
                <w:vertAlign w:val="superscript"/>
              </w:rPr>
              <w:t xml:space="preserve"> </w:t>
            </w:r>
            <w:r w:rsidRPr="00D22D61">
              <w:rPr>
                <w:szCs w:val="20"/>
              </w:rPr>
              <w:t>(-4%)</w:t>
            </w:r>
          </w:p>
        </w:tc>
        <w:tc>
          <w:tcPr>
            <w:tcW w:w="1833" w:type="dxa"/>
            <w:gridSpan w:val="2"/>
            <w:tcMar>
              <w:top w:w="0" w:type="dxa"/>
              <w:left w:w="108" w:type="dxa"/>
              <w:bottom w:w="0" w:type="dxa"/>
              <w:right w:w="108" w:type="dxa"/>
            </w:tcMar>
            <w:vAlign w:val="center"/>
          </w:tcPr>
          <w:p w14:paraId="20681E44" w14:textId="346663FC" w:rsidR="003D653B" w:rsidRPr="00D22D61" w:rsidRDefault="00666E9A" w:rsidP="00F2167D">
            <w:pPr>
              <w:pStyle w:val="Tabletext0"/>
              <w:jc w:val="center"/>
              <w:rPr>
                <w:szCs w:val="20"/>
              </w:rPr>
            </w:pPr>
            <w:r w:rsidRPr="00D22D61">
              <w:rPr>
                <w:szCs w:val="20"/>
              </w:rPr>
              <w:t>$</w:t>
            </w:r>
            <w:r w:rsidR="001F207D" w:rsidRPr="001F207D">
              <w:rPr>
                <w:rFonts w:hint="eastAsia"/>
                <w:color w:val="000000"/>
                <w:w w:val="15"/>
                <w:szCs w:val="20"/>
                <w:shd w:val="solid" w:color="000000" w:fill="000000"/>
                <w:fitText w:val="30" w:id="-1168382452"/>
                <w14:textFill>
                  <w14:solidFill>
                    <w14:srgbClr w14:val="000000">
                      <w14:alpha w14:val="100000"/>
                    </w14:srgbClr>
                  </w14:solidFill>
                </w14:textFill>
              </w:rPr>
              <w:t xml:space="preserve">　</w:t>
            </w:r>
            <w:r w:rsidR="001F207D" w:rsidRPr="001F207D">
              <w:rPr>
                <w:color w:val="000000"/>
                <w:w w:val="15"/>
                <w:szCs w:val="20"/>
                <w:shd w:val="solid" w:color="000000" w:fill="000000"/>
                <w:fitText w:val="30" w:id="-1168382452"/>
                <w14:textFill>
                  <w14:solidFill>
                    <w14:srgbClr w14:val="000000">
                      <w14:alpha w14:val="100000"/>
                    </w14:srgbClr>
                  </w14:solidFill>
                </w14:textFill>
              </w:rPr>
              <w:t>|</w:t>
            </w:r>
            <w:r w:rsidR="001F207D" w:rsidRPr="001F207D">
              <w:rPr>
                <w:rFonts w:hint="eastAsia"/>
                <w:color w:val="000000"/>
                <w:spacing w:val="-45"/>
                <w:w w:val="15"/>
                <w:szCs w:val="20"/>
                <w:shd w:val="solid" w:color="000000" w:fill="000000"/>
                <w:fitText w:val="30" w:id="-1168382452"/>
                <w14:textFill>
                  <w14:solidFill>
                    <w14:srgbClr w14:val="000000">
                      <w14:alpha w14:val="100000"/>
                    </w14:srgbClr>
                  </w14:solidFill>
                </w14:textFill>
              </w:rPr>
              <w:t xml:space="preserve">　</w:t>
            </w:r>
            <w:r w:rsidR="005A2C04" w:rsidRPr="004A0601">
              <w:rPr>
                <w:rFonts w:cs="Arial Narrow"/>
                <w:sz w:val="18"/>
                <w:szCs w:val="18"/>
                <w:vertAlign w:val="superscript"/>
              </w:rPr>
              <w:t>6</w:t>
            </w:r>
            <w:r w:rsidRPr="00D22D61">
              <w:rPr>
                <w:szCs w:val="20"/>
              </w:rPr>
              <w:t xml:space="preserve"> (-4%)</w:t>
            </w:r>
          </w:p>
        </w:tc>
        <w:tc>
          <w:tcPr>
            <w:tcW w:w="1862" w:type="dxa"/>
            <w:gridSpan w:val="2"/>
            <w:tcMar>
              <w:top w:w="0" w:type="dxa"/>
              <w:left w:w="108" w:type="dxa"/>
              <w:bottom w:w="0" w:type="dxa"/>
              <w:right w:w="108" w:type="dxa"/>
            </w:tcMar>
            <w:vAlign w:val="center"/>
          </w:tcPr>
          <w:p w14:paraId="0F4C5CE5" w14:textId="7B5302D3" w:rsidR="003D653B" w:rsidRPr="00D22D61" w:rsidRDefault="002C054E" w:rsidP="00F2167D">
            <w:pPr>
              <w:pStyle w:val="Tabletext0"/>
              <w:jc w:val="center"/>
              <w:rPr>
                <w:szCs w:val="20"/>
              </w:rPr>
            </w:pPr>
            <w:r w:rsidRPr="00D22D61">
              <w:rPr>
                <w:szCs w:val="20"/>
              </w:rPr>
              <w:t>$</w:t>
            </w:r>
            <w:r w:rsidR="001F207D" w:rsidRPr="00C06886">
              <w:rPr>
                <w:rFonts w:hint="eastAsia"/>
                <w:color w:val="000000"/>
                <w:w w:val="15"/>
                <w:szCs w:val="20"/>
                <w:shd w:val="solid" w:color="000000" w:fill="000000"/>
                <w:fitText w:val="15" w:id="-1168382451"/>
                <w14:textFill>
                  <w14:solidFill>
                    <w14:srgbClr w14:val="000000">
                      <w14:alpha w14:val="100000"/>
                    </w14:srgbClr>
                  </w14:solidFill>
                </w14:textFill>
              </w:rPr>
              <w:t xml:space="preserve">　</w:t>
            </w:r>
            <w:r w:rsidR="001F207D" w:rsidRPr="00C06886">
              <w:rPr>
                <w:color w:val="000000"/>
                <w:w w:val="15"/>
                <w:szCs w:val="20"/>
                <w:shd w:val="solid" w:color="000000" w:fill="000000"/>
                <w:fitText w:val="15" w:id="-1168382451"/>
                <w14:textFill>
                  <w14:solidFill>
                    <w14:srgbClr w14:val="000000">
                      <w14:alpha w14:val="100000"/>
                    </w14:srgbClr>
                  </w14:solidFill>
                </w14:textFill>
              </w:rPr>
              <w:t>|</w:t>
            </w:r>
            <w:r w:rsidR="001F207D" w:rsidRPr="00C06886">
              <w:rPr>
                <w:rFonts w:hint="eastAsia"/>
                <w:color w:val="000000"/>
                <w:spacing w:val="-50"/>
                <w:w w:val="15"/>
                <w:szCs w:val="20"/>
                <w:shd w:val="solid" w:color="000000" w:fill="000000"/>
                <w:fitText w:val="15" w:id="-1168382451"/>
                <w14:textFill>
                  <w14:solidFill>
                    <w14:srgbClr w14:val="000000">
                      <w14:alpha w14:val="100000"/>
                    </w14:srgbClr>
                  </w14:solidFill>
                </w14:textFill>
              </w:rPr>
              <w:t xml:space="preserve">　</w:t>
            </w:r>
            <w:r w:rsidR="005A2C04" w:rsidRPr="004A0601">
              <w:rPr>
                <w:rFonts w:cs="Arial Narrow"/>
                <w:sz w:val="18"/>
                <w:szCs w:val="18"/>
                <w:vertAlign w:val="superscript"/>
              </w:rPr>
              <w:t>7</w:t>
            </w:r>
            <w:r w:rsidRPr="00D22D61">
              <w:rPr>
                <w:szCs w:val="20"/>
              </w:rPr>
              <w:t xml:space="preserve"> (-4%)</w:t>
            </w:r>
          </w:p>
        </w:tc>
      </w:tr>
      <w:tr w:rsidR="003D653B" w:rsidRPr="00D22D61" w14:paraId="2627A21C" w14:textId="77777777" w:rsidTr="004A0601">
        <w:tc>
          <w:tcPr>
            <w:tcW w:w="3119" w:type="dxa"/>
            <w:tcMar>
              <w:top w:w="0" w:type="dxa"/>
              <w:left w:w="108" w:type="dxa"/>
              <w:bottom w:w="0" w:type="dxa"/>
              <w:right w:w="108" w:type="dxa"/>
            </w:tcMar>
            <w:hideMark/>
          </w:tcPr>
          <w:p w14:paraId="00003BC6" w14:textId="77777777" w:rsidR="003D653B" w:rsidRPr="00D22D61" w:rsidRDefault="003D653B" w:rsidP="00253C04">
            <w:pPr>
              <w:pStyle w:val="Tabletext0"/>
              <w:rPr>
                <w:szCs w:val="20"/>
              </w:rPr>
            </w:pPr>
            <w:r w:rsidRPr="00D22D61">
              <w:rPr>
                <w:szCs w:val="20"/>
              </w:rPr>
              <w:t>0% discount rate</w:t>
            </w:r>
          </w:p>
        </w:tc>
        <w:tc>
          <w:tcPr>
            <w:tcW w:w="2215" w:type="dxa"/>
            <w:tcMar>
              <w:top w:w="0" w:type="dxa"/>
              <w:left w:w="108" w:type="dxa"/>
              <w:bottom w:w="0" w:type="dxa"/>
              <w:right w:w="108" w:type="dxa"/>
            </w:tcMar>
            <w:vAlign w:val="center"/>
          </w:tcPr>
          <w:p w14:paraId="2401DDFE" w14:textId="5E088366" w:rsidR="003D653B" w:rsidRPr="00D22D61" w:rsidRDefault="008E5B13" w:rsidP="00F2167D">
            <w:pPr>
              <w:pStyle w:val="Tabletext0"/>
              <w:jc w:val="center"/>
              <w:rPr>
                <w:szCs w:val="20"/>
              </w:rPr>
            </w:pPr>
            <w:r w:rsidRPr="00D22D61">
              <w:rPr>
                <w:szCs w:val="20"/>
              </w:rPr>
              <w:t>$</w:t>
            </w:r>
            <w:r w:rsidR="001F207D" w:rsidRPr="001F207D">
              <w:rPr>
                <w:color w:val="000000"/>
                <w:szCs w:val="20"/>
                <w:shd w:val="solid" w:color="000000" w:fill="000000"/>
                <w14:textFill>
                  <w14:solidFill>
                    <w14:srgbClr w14:val="000000">
                      <w14:alpha w14:val="100000"/>
                    </w14:srgbClr>
                  </w14:solidFill>
                </w14:textFill>
              </w:rPr>
              <w:t>|</w:t>
            </w:r>
            <w:r w:rsidR="00384449" w:rsidRPr="004A0601">
              <w:rPr>
                <w:rFonts w:cs="Arial Narrow"/>
                <w:sz w:val="18"/>
                <w:szCs w:val="18"/>
                <w:vertAlign w:val="superscript"/>
              </w:rPr>
              <w:t>2</w:t>
            </w:r>
            <w:r w:rsidR="00401DB2">
              <w:rPr>
                <w:rFonts w:cs="Arial Narrow"/>
                <w:sz w:val="18"/>
                <w:szCs w:val="18"/>
                <w:vertAlign w:val="superscript"/>
              </w:rPr>
              <w:t xml:space="preserve"> </w:t>
            </w:r>
            <w:r w:rsidRPr="00D22D61">
              <w:rPr>
                <w:szCs w:val="20"/>
              </w:rPr>
              <w:t>(-15%)</w:t>
            </w:r>
          </w:p>
        </w:tc>
        <w:tc>
          <w:tcPr>
            <w:tcW w:w="1833" w:type="dxa"/>
            <w:gridSpan w:val="2"/>
            <w:tcMar>
              <w:top w:w="0" w:type="dxa"/>
              <w:left w:w="108" w:type="dxa"/>
              <w:bottom w:w="0" w:type="dxa"/>
              <w:right w:w="108" w:type="dxa"/>
            </w:tcMar>
            <w:vAlign w:val="center"/>
          </w:tcPr>
          <w:p w14:paraId="76AE228D" w14:textId="33A690AA" w:rsidR="003D653B" w:rsidRPr="00D22D61" w:rsidRDefault="00666E9A" w:rsidP="00F2167D">
            <w:pPr>
              <w:pStyle w:val="Tabletext0"/>
              <w:jc w:val="center"/>
              <w:rPr>
                <w:szCs w:val="20"/>
              </w:rPr>
            </w:pPr>
            <w:r w:rsidRPr="00D22D61">
              <w:rPr>
                <w:szCs w:val="20"/>
              </w:rPr>
              <w:t>$</w:t>
            </w:r>
            <w:r w:rsidR="001F207D" w:rsidRPr="001F207D">
              <w:rPr>
                <w:rFonts w:hint="eastAsia"/>
                <w:color w:val="000000"/>
                <w:w w:val="16"/>
                <w:szCs w:val="20"/>
                <w:shd w:val="solid" w:color="000000" w:fill="000000"/>
                <w:fitText w:val="75" w:id="-1168382450"/>
                <w14:textFill>
                  <w14:solidFill>
                    <w14:srgbClr w14:val="000000">
                      <w14:alpha w14:val="100000"/>
                    </w14:srgbClr>
                  </w14:solidFill>
                </w14:textFill>
              </w:rPr>
              <w:t xml:space="preserve">　</w:t>
            </w:r>
            <w:r w:rsidR="001F207D" w:rsidRPr="001F207D">
              <w:rPr>
                <w:color w:val="000000"/>
                <w:w w:val="16"/>
                <w:szCs w:val="20"/>
                <w:shd w:val="solid" w:color="000000" w:fill="000000"/>
                <w:fitText w:val="75" w:id="-1168382450"/>
                <w14:textFill>
                  <w14:solidFill>
                    <w14:srgbClr w14:val="000000">
                      <w14:alpha w14:val="100000"/>
                    </w14:srgbClr>
                  </w14:solidFill>
                </w14:textFill>
              </w:rPr>
              <w:t>|</w:t>
            </w:r>
            <w:r w:rsidR="001F207D" w:rsidRPr="001F207D">
              <w:rPr>
                <w:rFonts w:hint="eastAsia"/>
                <w:color w:val="000000"/>
                <w:spacing w:val="5"/>
                <w:w w:val="16"/>
                <w:szCs w:val="20"/>
                <w:shd w:val="solid" w:color="000000" w:fill="000000"/>
                <w:fitText w:val="75" w:id="-1168382450"/>
                <w14:textFill>
                  <w14:solidFill>
                    <w14:srgbClr w14:val="000000">
                      <w14:alpha w14:val="100000"/>
                    </w14:srgbClr>
                  </w14:solidFill>
                </w14:textFill>
              </w:rPr>
              <w:t xml:space="preserve">　</w:t>
            </w:r>
            <w:r w:rsidR="005A2C04" w:rsidRPr="004A0601">
              <w:rPr>
                <w:rFonts w:cs="Arial Narrow"/>
                <w:sz w:val="18"/>
                <w:szCs w:val="18"/>
                <w:vertAlign w:val="superscript"/>
              </w:rPr>
              <w:t>7</w:t>
            </w:r>
            <w:r w:rsidRPr="00D22D61">
              <w:rPr>
                <w:szCs w:val="20"/>
              </w:rPr>
              <w:t xml:space="preserve"> (-15%)</w:t>
            </w:r>
          </w:p>
        </w:tc>
        <w:tc>
          <w:tcPr>
            <w:tcW w:w="1862" w:type="dxa"/>
            <w:gridSpan w:val="2"/>
            <w:tcMar>
              <w:top w:w="0" w:type="dxa"/>
              <w:left w:w="108" w:type="dxa"/>
              <w:bottom w:w="0" w:type="dxa"/>
              <w:right w:w="108" w:type="dxa"/>
            </w:tcMar>
            <w:vAlign w:val="center"/>
          </w:tcPr>
          <w:p w14:paraId="23419616" w14:textId="4F870FF3" w:rsidR="003D653B" w:rsidRPr="00D22D61" w:rsidRDefault="002C054E" w:rsidP="00F2167D">
            <w:pPr>
              <w:pStyle w:val="Tabletext0"/>
              <w:jc w:val="center"/>
              <w:rPr>
                <w:szCs w:val="20"/>
              </w:rPr>
            </w:pPr>
            <w:r w:rsidRPr="00D22D61">
              <w:rPr>
                <w:szCs w:val="20"/>
              </w:rPr>
              <w:t>$</w:t>
            </w:r>
            <w:r w:rsidR="001F207D" w:rsidRPr="001F207D">
              <w:rPr>
                <w:rFonts w:hint="eastAsia"/>
                <w:color w:val="000000"/>
                <w:w w:val="20"/>
                <w:szCs w:val="20"/>
                <w:shd w:val="solid" w:color="000000" w:fill="000000"/>
                <w:fitText w:val="90" w:id="-1168382449"/>
                <w14:textFill>
                  <w14:solidFill>
                    <w14:srgbClr w14:val="000000">
                      <w14:alpha w14:val="100000"/>
                    </w14:srgbClr>
                  </w14:solidFill>
                </w14:textFill>
              </w:rPr>
              <w:t xml:space="preserve">　</w:t>
            </w:r>
            <w:r w:rsidR="001F207D" w:rsidRPr="001F207D">
              <w:rPr>
                <w:color w:val="000000"/>
                <w:w w:val="20"/>
                <w:szCs w:val="20"/>
                <w:shd w:val="solid" w:color="000000" w:fill="000000"/>
                <w:fitText w:val="90" w:id="-1168382449"/>
                <w14:textFill>
                  <w14:solidFill>
                    <w14:srgbClr w14:val="000000">
                      <w14:alpha w14:val="100000"/>
                    </w14:srgbClr>
                  </w14:solidFill>
                </w14:textFill>
              </w:rPr>
              <w:t>|</w:t>
            </w:r>
            <w:r w:rsidR="001F207D" w:rsidRPr="001F207D">
              <w:rPr>
                <w:rFonts w:hint="eastAsia"/>
                <w:color w:val="000000"/>
                <w:spacing w:val="3"/>
                <w:w w:val="20"/>
                <w:szCs w:val="20"/>
                <w:shd w:val="solid" w:color="000000" w:fill="000000"/>
                <w:fitText w:val="90" w:id="-1168382449"/>
                <w14:textFill>
                  <w14:solidFill>
                    <w14:srgbClr w14:val="000000">
                      <w14:alpha w14:val="100000"/>
                    </w14:srgbClr>
                  </w14:solidFill>
                </w14:textFill>
              </w:rPr>
              <w:t xml:space="preserve">　</w:t>
            </w:r>
            <w:r w:rsidR="005A2C04" w:rsidRPr="004A0601">
              <w:rPr>
                <w:rFonts w:cs="Arial Narrow"/>
                <w:sz w:val="18"/>
                <w:szCs w:val="18"/>
                <w:vertAlign w:val="superscript"/>
              </w:rPr>
              <w:t>11</w:t>
            </w:r>
            <w:r w:rsidRPr="00D22D61">
              <w:rPr>
                <w:szCs w:val="20"/>
              </w:rPr>
              <w:t xml:space="preserve"> (-17%)</w:t>
            </w:r>
          </w:p>
        </w:tc>
      </w:tr>
      <w:tr w:rsidR="003D653B" w:rsidRPr="00D22D61" w14:paraId="54A3BAC4" w14:textId="77777777" w:rsidTr="00253C04">
        <w:tc>
          <w:tcPr>
            <w:tcW w:w="9029" w:type="dxa"/>
            <w:gridSpan w:val="6"/>
            <w:tcMar>
              <w:top w:w="0" w:type="dxa"/>
              <w:left w:w="108" w:type="dxa"/>
              <w:bottom w:w="0" w:type="dxa"/>
              <w:right w:w="108" w:type="dxa"/>
            </w:tcMar>
          </w:tcPr>
          <w:p w14:paraId="37ABCB51" w14:textId="77777777" w:rsidR="003D653B" w:rsidRPr="00D22D61" w:rsidRDefault="003D653B" w:rsidP="00253C04">
            <w:pPr>
              <w:pStyle w:val="Tabletext0"/>
              <w:rPr>
                <w:szCs w:val="20"/>
              </w:rPr>
            </w:pPr>
            <w:r w:rsidRPr="00D22D61">
              <w:rPr>
                <w:b/>
                <w:szCs w:val="20"/>
              </w:rPr>
              <w:t>Biomarker drift (base case: HbA1c drift based on UKPDS OM2 equation; no drift for other biomarkers)</w:t>
            </w:r>
          </w:p>
        </w:tc>
      </w:tr>
      <w:tr w:rsidR="008E5B13" w:rsidRPr="00D22D61" w14:paraId="5A7CBECC" w14:textId="77777777" w:rsidTr="004A0601">
        <w:tc>
          <w:tcPr>
            <w:tcW w:w="3119" w:type="dxa"/>
            <w:tcMar>
              <w:top w:w="0" w:type="dxa"/>
              <w:left w:w="108" w:type="dxa"/>
              <w:bottom w:w="0" w:type="dxa"/>
              <w:right w:w="108" w:type="dxa"/>
            </w:tcMar>
          </w:tcPr>
          <w:p w14:paraId="2840D0F7" w14:textId="77777777" w:rsidR="008E5B13" w:rsidRPr="00D22D61" w:rsidRDefault="008E5B13" w:rsidP="00253C04">
            <w:pPr>
              <w:pStyle w:val="Tabletext0"/>
              <w:rPr>
                <w:szCs w:val="20"/>
              </w:rPr>
            </w:pPr>
            <w:r w:rsidRPr="00D22D61">
              <w:rPr>
                <w:szCs w:val="20"/>
              </w:rPr>
              <w:t>No drift for any biomarker</w:t>
            </w:r>
          </w:p>
        </w:tc>
        <w:tc>
          <w:tcPr>
            <w:tcW w:w="2215" w:type="dxa"/>
            <w:tcMar>
              <w:top w:w="0" w:type="dxa"/>
              <w:left w:w="108" w:type="dxa"/>
              <w:bottom w:w="0" w:type="dxa"/>
              <w:right w:w="108" w:type="dxa"/>
            </w:tcMar>
          </w:tcPr>
          <w:p w14:paraId="599D4C73" w14:textId="41053E42" w:rsidR="008E5B13" w:rsidRPr="00D22D61" w:rsidRDefault="00B910D1" w:rsidP="00253C04">
            <w:pPr>
              <w:pStyle w:val="Tabletext0"/>
              <w:jc w:val="center"/>
              <w:rPr>
                <w:szCs w:val="20"/>
              </w:rPr>
            </w:pPr>
            <w:r w:rsidRPr="00D22D61">
              <w:rPr>
                <w:szCs w:val="20"/>
              </w:rPr>
              <w:t>$</w:t>
            </w:r>
            <w:r w:rsidR="001F207D" w:rsidRPr="001F207D">
              <w:rPr>
                <w:color w:val="000000"/>
                <w:szCs w:val="20"/>
                <w:shd w:val="solid" w:color="000000" w:fill="000000"/>
                <w14:textFill>
                  <w14:solidFill>
                    <w14:srgbClr w14:val="000000">
                      <w14:alpha w14:val="100000"/>
                    </w14:srgbClr>
                  </w14:solidFill>
                </w14:textFill>
              </w:rPr>
              <w:t>|</w:t>
            </w:r>
            <w:r w:rsidR="00384449" w:rsidRPr="004A0601">
              <w:rPr>
                <w:rFonts w:cs="Arial Narrow"/>
                <w:sz w:val="18"/>
                <w:szCs w:val="18"/>
                <w:vertAlign w:val="superscript"/>
              </w:rPr>
              <w:t>3</w:t>
            </w:r>
            <w:r w:rsidR="00401DB2">
              <w:rPr>
                <w:rFonts w:cs="Arial Narrow"/>
                <w:sz w:val="18"/>
                <w:szCs w:val="18"/>
                <w:vertAlign w:val="superscript"/>
              </w:rPr>
              <w:t xml:space="preserve"> </w:t>
            </w:r>
            <w:r w:rsidRPr="00D22D61">
              <w:rPr>
                <w:szCs w:val="20"/>
              </w:rPr>
              <w:t>(+15%)</w:t>
            </w:r>
          </w:p>
        </w:tc>
        <w:tc>
          <w:tcPr>
            <w:tcW w:w="1833" w:type="dxa"/>
            <w:gridSpan w:val="2"/>
            <w:tcMar>
              <w:top w:w="0" w:type="dxa"/>
              <w:left w:w="108" w:type="dxa"/>
              <w:bottom w:w="0" w:type="dxa"/>
              <w:right w:w="108" w:type="dxa"/>
            </w:tcMar>
          </w:tcPr>
          <w:p w14:paraId="028AC4E1" w14:textId="0BEF03FA" w:rsidR="008E5B13" w:rsidRPr="00D22D61" w:rsidRDefault="00666E9A" w:rsidP="00253C04">
            <w:pPr>
              <w:pStyle w:val="Tabletext0"/>
              <w:jc w:val="center"/>
              <w:rPr>
                <w:szCs w:val="20"/>
              </w:rPr>
            </w:pPr>
            <w:r w:rsidRPr="00D22D61">
              <w:rPr>
                <w:szCs w:val="20"/>
              </w:rPr>
              <w:t>$</w:t>
            </w:r>
            <w:r w:rsidR="001F207D" w:rsidRPr="001F207D">
              <w:rPr>
                <w:rFonts w:hint="eastAsia"/>
                <w:color w:val="000000"/>
                <w:w w:val="20"/>
                <w:szCs w:val="20"/>
                <w:shd w:val="solid" w:color="000000" w:fill="000000"/>
                <w:fitText w:val="90" w:id="-1168382448"/>
                <w14:textFill>
                  <w14:solidFill>
                    <w14:srgbClr w14:val="000000">
                      <w14:alpha w14:val="100000"/>
                    </w14:srgbClr>
                  </w14:solidFill>
                </w14:textFill>
              </w:rPr>
              <w:t xml:space="preserve">　</w:t>
            </w:r>
            <w:r w:rsidR="001F207D" w:rsidRPr="001F207D">
              <w:rPr>
                <w:color w:val="000000"/>
                <w:w w:val="20"/>
                <w:szCs w:val="20"/>
                <w:shd w:val="solid" w:color="000000" w:fill="000000"/>
                <w:fitText w:val="90" w:id="-1168382448"/>
                <w14:textFill>
                  <w14:solidFill>
                    <w14:srgbClr w14:val="000000">
                      <w14:alpha w14:val="100000"/>
                    </w14:srgbClr>
                  </w14:solidFill>
                </w14:textFill>
              </w:rPr>
              <w:t>|</w:t>
            </w:r>
            <w:r w:rsidR="001F207D" w:rsidRPr="001F207D">
              <w:rPr>
                <w:rFonts w:hint="eastAsia"/>
                <w:color w:val="000000"/>
                <w:spacing w:val="3"/>
                <w:w w:val="20"/>
                <w:szCs w:val="20"/>
                <w:shd w:val="solid" w:color="000000" w:fill="000000"/>
                <w:fitText w:val="90" w:id="-1168382448"/>
                <w14:textFill>
                  <w14:solidFill>
                    <w14:srgbClr w14:val="000000">
                      <w14:alpha w14:val="100000"/>
                    </w14:srgbClr>
                  </w14:solidFill>
                </w14:textFill>
              </w:rPr>
              <w:t xml:space="preserve">　</w:t>
            </w:r>
            <w:r w:rsidR="00384449" w:rsidRPr="004A0601">
              <w:rPr>
                <w:rFonts w:cs="Arial Narrow"/>
                <w:sz w:val="18"/>
                <w:szCs w:val="18"/>
                <w:vertAlign w:val="superscript"/>
              </w:rPr>
              <w:t>5</w:t>
            </w:r>
            <w:r w:rsidRPr="00D22D61">
              <w:rPr>
                <w:szCs w:val="20"/>
              </w:rPr>
              <w:t xml:space="preserve"> (+23%)</w:t>
            </w:r>
          </w:p>
        </w:tc>
        <w:tc>
          <w:tcPr>
            <w:tcW w:w="1862" w:type="dxa"/>
            <w:gridSpan w:val="2"/>
            <w:tcMar>
              <w:top w:w="0" w:type="dxa"/>
              <w:left w:w="108" w:type="dxa"/>
              <w:bottom w:w="0" w:type="dxa"/>
              <w:right w:w="108" w:type="dxa"/>
            </w:tcMar>
          </w:tcPr>
          <w:p w14:paraId="096DF5D6" w14:textId="0305068A" w:rsidR="008E5B13" w:rsidRPr="00D22D61" w:rsidRDefault="002C054E" w:rsidP="00253C04">
            <w:pPr>
              <w:pStyle w:val="Tabletext0"/>
              <w:jc w:val="center"/>
              <w:rPr>
                <w:szCs w:val="20"/>
              </w:rPr>
            </w:pPr>
            <w:r w:rsidRPr="00D22D61">
              <w:rPr>
                <w:szCs w:val="20"/>
              </w:rPr>
              <w:t>$</w:t>
            </w:r>
            <w:r w:rsidR="001F207D" w:rsidRPr="001F207D">
              <w:rPr>
                <w:rFonts w:hint="eastAsia"/>
                <w:color w:val="000000"/>
                <w:w w:val="20"/>
                <w:szCs w:val="20"/>
                <w:shd w:val="solid" w:color="000000" w:fill="000000"/>
                <w:fitText w:val="90" w:id="-1168382464"/>
                <w14:textFill>
                  <w14:solidFill>
                    <w14:srgbClr w14:val="000000">
                      <w14:alpha w14:val="100000"/>
                    </w14:srgbClr>
                  </w14:solidFill>
                </w14:textFill>
              </w:rPr>
              <w:t xml:space="preserve">　</w:t>
            </w:r>
            <w:r w:rsidR="001F207D" w:rsidRPr="001F207D">
              <w:rPr>
                <w:color w:val="000000"/>
                <w:w w:val="20"/>
                <w:szCs w:val="20"/>
                <w:shd w:val="solid" w:color="000000" w:fill="000000"/>
                <w:fitText w:val="90" w:id="-1168382464"/>
                <w14:textFill>
                  <w14:solidFill>
                    <w14:srgbClr w14:val="000000">
                      <w14:alpha w14:val="100000"/>
                    </w14:srgbClr>
                  </w14:solidFill>
                </w14:textFill>
              </w:rPr>
              <w:t>|</w:t>
            </w:r>
            <w:r w:rsidR="001F207D" w:rsidRPr="001F207D">
              <w:rPr>
                <w:rFonts w:hint="eastAsia"/>
                <w:color w:val="000000"/>
                <w:spacing w:val="3"/>
                <w:w w:val="20"/>
                <w:szCs w:val="20"/>
                <w:shd w:val="solid" w:color="000000" w:fill="000000"/>
                <w:fitText w:val="90" w:id="-1168382464"/>
                <w14:textFill>
                  <w14:solidFill>
                    <w14:srgbClr w14:val="000000">
                      <w14:alpha w14:val="100000"/>
                    </w14:srgbClr>
                  </w14:solidFill>
                </w14:textFill>
              </w:rPr>
              <w:t xml:space="preserve">　</w:t>
            </w:r>
            <w:r w:rsidR="005A2C04" w:rsidRPr="004A0601">
              <w:rPr>
                <w:rFonts w:cs="Arial Narrow"/>
                <w:sz w:val="18"/>
                <w:szCs w:val="18"/>
                <w:vertAlign w:val="superscript"/>
              </w:rPr>
              <w:t>6</w:t>
            </w:r>
            <w:r w:rsidRPr="00D22D61">
              <w:rPr>
                <w:szCs w:val="20"/>
              </w:rPr>
              <w:t xml:space="preserve"> (+28%)</w:t>
            </w:r>
          </w:p>
        </w:tc>
      </w:tr>
      <w:tr w:rsidR="008E5B13" w:rsidRPr="00D22D61" w14:paraId="6BBA34D4" w14:textId="77777777" w:rsidTr="004A0601">
        <w:tc>
          <w:tcPr>
            <w:tcW w:w="3119" w:type="dxa"/>
            <w:tcMar>
              <w:top w:w="0" w:type="dxa"/>
              <w:left w:w="108" w:type="dxa"/>
              <w:bottom w:w="0" w:type="dxa"/>
              <w:right w:w="108" w:type="dxa"/>
            </w:tcMar>
          </w:tcPr>
          <w:p w14:paraId="7EB090D1" w14:textId="77777777" w:rsidR="008E5B13" w:rsidRPr="00D22D61" w:rsidRDefault="008E5B13" w:rsidP="00253C04">
            <w:pPr>
              <w:pStyle w:val="Tabletext0"/>
              <w:rPr>
                <w:szCs w:val="20"/>
              </w:rPr>
            </w:pPr>
            <w:r w:rsidRPr="00D22D61">
              <w:rPr>
                <w:szCs w:val="20"/>
              </w:rPr>
              <w:t>UKPDS drift for all biomarkers</w:t>
            </w:r>
          </w:p>
        </w:tc>
        <w:tc>
          <w:tcPr>
            <w:tcW w:w="2215" w:type="dxa"/>
            <w:tcMar>
              <w:top w:w="0" w:type="dxa"/>
              <w:left w:w="108" w:type="dxa"/>
              <w:bottom w:w="0" w:type="dxa"/>
              <w:right w:w="108" w:type="dxa"/>
            </w:tcMar>
          </w:tcPr>
          <w:p w14:paraId="56B093AA" w14:textId="5BB64211" w:rsidR="008E5B13" w:rsidRPr="00D22D61" w:rsidRDefault="00B910D1" w:rsidP="00253C04">
            <w:pPr>
              <w:pStyle w:val="Tabletext0"/>
              <w:jc w:val="center"/>
              <w:rPr>
                <w:szCs w:val="20"/>
              </w:rPr>
            </w:pPr>
            <w:r w:rsidRPr="00D22D61">
              <w:rPr>
                <w:szCs w:val="20"/>
              </w:rPr>
              <w:t>$</w:t>
            </w:r>
            <w:r w:rsidR="001F207D" w:rsidRPr="001F207D">
              <w:rPr>
                <w:color w:val="000000"/>
                <w:szCs w:val="20"/>
                <w:shd w:val="solid" w:color="000000" w:fill="000000"/>
                <w14:textFill>
                  <w14:solidFill>
                    <w14:srgbClr w14:val="000000">
                      <w14:alpha w14:val="100000"/>
                    </w14:srgbClr>
                  </w14:solidFill>
                </w14:textFill>
              </w:rPr>
              <w:t>|</w:t>
            </w:r>
            <w:r w:rsidR="00384449" w:rsidRPr="004A0601">
              <w:rPr>
                <w:rFonts w:cs="Arial Narrow"/>
                <w:sz w:val="18"/>
                <w:szCs w:val="18"/>
                <w:vertAlign w:val="superscript"/>
              </w:rPr>
              <w:t>4</w:t>
            </w:r>
            <w:r w:rsidR="00401DB2">
              <w:rPr>
                <w:rFonts w:cs="Arial Narrow"/>
                <w:sz w:val="18"/>
                <w:szCs w:val="18"/>
                <w:vertAlign w:val="superscript"/>
              </w:rPr>
              <w:t xml:space="preserve"> </w:t>
            </w:r>
            <w:r w:rsidRPr="00D22D61">
              <w:rPr>
                <w:szCs w:val="20"/>
              </w:rPr>
              <w:t>(+22%)</w:t>
            </w:r>
          </w:p>
        </w:tc>
        <w:tc>
          <w:tcPr>
            <w:tcW w:w="1833" w:type="dxa"/>
            <w:gridSpan w:val="2"/>
            <w:tcMar>
              <w:top w:w="0" w:type="dxa"/>
              <w:left w:w="108" w:type="dxa"/>
              <w:bottom w:w="0" w:type="dxa"/>
              <w:right w:w="108" w:type="dxa"/>
            </w:tcMar>
          </w:tcPr>
          <w:p w14:paraId="4F1DD6C5" w14:textId="046C8E8A" w:rsidR="008E5B13" w:rsidRPr="00D22D61" w:rsidRDefault="00666E9A" w:rsidP="00253C04">
            <w:pPr>
              <w:pStyle w:val="Tabletext0"/>
              <w:jc w:val="center"/>
              <w:rPr>
                <w:szCs w:val="20"/>
              </w:rPr>
            </w:pPr>
            <w:r w:rsidRPr="00D22D61">
              <w:rPr>
                <w:szCs w:val="20"/>
              </w:rPr>
              <w:t>$</w:t>
            </w:r>
            <w:r w:rsidR="001F207D" w:rsidRPr="001F207D">
              <w:rPr>
                <w:rFonts w:hint="eastAsia"/>
                <w:color w:val="000000"/>
                <w:w w:val="20"/>
                <w:szCs w:val="20"/>
                <w:shd w:val="solid" w:color="000000" w:fill="000000"/>
                <w:fitText w:val="90" w:id="-1168382463"/>
                <w14:textFill>
                  <w14:solidFill>
                    <w14:srgbClr w14:val="000000">
                      <w14:alpha w14:val="100000"/>
                    </w14:srgbClr>
                  </w14:solidFill>
                </w14:textFill>
              </w:rPr>
              <w:t xml:space="preserve">　</w:t>
            </w:r>
            <w:r w:rsidR="001F207D" w:rsidRPr="001F207D">
              <w:rPr>
                <w:color w:val="000000"/>
                <w:w w:val="20"/>
                <w:szCs w:val="20"/>
                <w:shd w:val="solid" w:color="000000" w:fill="000000"/>
                <w:fitText w:val="90" w:id="-1168382463"/>
                <w14:textFill>
                  <w14:solidFill>
                    <w14:srgbClr w14:val="000000">
                      <w14:alpha w14:val="100000"/>
                    </w14:srgbClr>
                  </w14:solidFill>
                </w14:textFill>
              </w:rPr>
              <w:t>|</w:t>
            </w:r>
            <w:r w:rsidR="001F207D" w:rsidRPr="001F207D">
              <w:rPr>
                <w:rFonts w:hint="eastAsia"/>
                <w:color w:val="000000"/>
                <w:spacing w:val="3"/>
                <w:w w:val="20"/>
                <w:szCs w:val="20"/>
                <w:shd w:val="solid" w:color="000000" w:fill="000000"/>
                <w:fitText w:val="90" w:id="-1168382463"/>
                <w14:textFill>
                  <w14:solidFill>
                    <w14:srgbClr w14:val="000000">
                      <w14:alpha w14:val="100000"/>
                    </w14:srgbClr>
                  </w14:solidFill>
                </w14:textFill>
              </w:rPr>
              <w:t xml:space="preserve">　</w:t>
            </w:r>
            <w:r w:rsidR="00384449" w:rsidRPr="004A0601">
              <w:rPr>
                <w:rFonts w:cs="Arial Narrow"/>
                <w:sz w:val="18"/>
                <w:szCs w:val="18"/>
                <w:vertAlign w:val="superscript"/>
              </w:rPr>
              <w:t>5</w:t>
            </w:r>
            <w:r w:rsidRPr="00D22D61">
              <w:rPr>
                <w:szCs w:val="20"/>
              </w:rPr>
              <w:t xml:space="preserve"> (+27%)</w:t>
            </w:r>
          </w:p>
        </w:tc>
        <w:tc>
          <w:tcPr>
            <w:tcW w:w="1862" w:type="dxa"/>
            <w:gridSpan w:val="2"/>
            <w:tcMar>
              <w:top w:w="0" w:type="dxa"/>
              <w:left w:w="108" w:type="dxa"/>
              <w:bottom w:w="0" w:type="dxa"/>
              <w:right w:w="108" w:type="dxa"/>
            </w:tcMar>
          </w:tcPr>
          <w:p w14:paraId="13818AE5" w14:textId="5A81443F" w:rsidR="008E5B13" w:rsidRPr="00D22D61" w:rsidRDefault="002C054E" w:rsidP="00253C04">
            <w:pPr>
              <w:pStyle w:val="Tabletext0"/>
              <w:jc w:val="center"/>
              <w:rPr>
                <w:szCs w:val="20"/>
              </w:rPr>
            </w:pPr>
            <w:r w:rsidRPr="00D22D61">
              <w:rPr>
                <w:szCs w:val="20"/>
              </w:rPr>
              <w:t>$</w:t>
            </w:r>
            <w:r w:rsidR="001F207D" w:rsidRPr="001F207D">
              <w:rPr>
                <w:rFonts w:hint="eastAsia"/>
                <w:color w:val="000000"/>
                <w:w w:val="20"/>
                <w:szCs w:val="20"/>
                <w:shd w:val="solid" w:color="000000" w:fill="000000"/>
                <w:fitText w:val="90" w:id="-1168382462"/>
                <w14:textFill>
                  <w14:solidFill>
                    <w14:srgbClr w14:val="000000">
                      <w14:alpha w14:val="100000"/>
                    </w14:srgbClr>
                  </w14:solidFill>
                </w14:textFill>
              </w:rPr>
              <w:t xml:space="preserve">　</w:t>
            </w:r>
            <w:r w:rsidR="001F207D" w:rsidRPr="001F207D">
              <w:rPr>
                <w:color w:val="000000"/>
                <w:w w:val="20"/>
                <w:szCs w:val="20"/>
                <w:shd w:val="solid" w:color="000000" w:fill="000000"/>
                <w:fitText w:val="90" w:id="-1168382462"/>
                <w14:textFill>
                  <w14:solidFill>
                    <w14:srgbClr w14:val="000000">
                      <w14:alpha w14:val="100000"/>
                    </w14:srgbClr>
                  </w14:solidFill>
                </w14:textFill>
              </w:rPr>
              <w:t>|</w:t>
            </w:r>
            <w:r w:rsidR="001F207D" w:rsidRPr="001F207D">
              <w:rPr>
                <w:rFonts w:hint="eastAsia"/>
                <w:color w:val="000000"/>
                <w:spacing w:val="3"/>
                <w:w w:val="20"/>
                <w:szCs w:val="20"/>
                <w:shd w:val="solid" w:color="000000" w:fill="000000"/>
                <w:fitText w:val="90" w:id="-1168382462"/>
                <w14:textFill>
                  <w14:solidFill>
                    <w14:srgbClr w14:val="000000">
                      <w14:alpha w14:val="100000"/>
                    </w14:srgbClr>
                  </w14:solidFill>
                </w14:textFill>
              </w:rPr>
              <w:t xml:space="preserve">　</w:t>
            </w:r>
            <w:r w:rsidR="005A2C04" w:rsidRPr="004A0601">
              <w:rPr>
                <w:rFonts w:cs="Arial Narrow"/>
                <w:sz w:val="18"/>
                <w:szCs w:val="18"/>
                <w:vertAlign w:val="superscript"/>
              </w:rPr>
              <w:t>6</w:t>
            </w:r>
            <w:r w:rsidRPr="00D22D61">
              <w:rPr>
                <w:szCs w:val="20"/>
              </w:rPr>
              <w:t xml:space="preserve"> (+32%)</w:t>
            </w:r>
          </w:p>
        </w:tc>
      </w:tr>
      <w:tr w:rsidR="003D653B" w:rsidRPr="00D22D61" w14:paraId="741A558B" w14:textId="77777777" w:rsidTr="00253C04">
        <w:tc>
          <w:tcPr>
            <w:tcW w:w="9029" w:type="dxa"/>
            <w:gridSpan w:val="6"/>
            <w:tcMar>
              <w:top w:w="0" w:type="dxa"/>
              <w:left w:w="108" w:type="dxa"/>
              <w:bottom w:w="0" w:type="dxa"/>
              <w:right w:w="108" w:type="dxa"/>
            </w:tcMar>
          </w:tcPr>
          <w:p w14:paraId="61898759" w14:textId="2854175C" w:rsidR="003D653B" w:rsidRPr="00D22D61" w:rsidRDefault="003D653B" w:rsidP="00253C04">
            <w:pPr>
              <w:pStyle w:val="Tabletext0"/>
              <w:rPr>
                <w:b/>
                <w:bCs/>
                <w:szCs w:val="20"/>
              </w:rPr>
            </w:pPr>
            <w:r w:rsidRPr="00D22D61">
              <w:rPr>
                <w:b/>
                <w:bCs/>
                <w:szCs w:val="20"/>
              </w:rPr>
              <w:t>GLP1-RA/GIP treatment effects (base case: tirzepatide and semaglutide treatments effects based on efficacy estimands with standard deviations back</w:t>
            </w:r>
            <w:r w:rsidR="006C31AD" w:rsidRPr="00D22D61">
              <w:rPr>
                <w:b/>
                <w:bCs/>
                <w:szCs w:val="20"/>
              </w:rPr>
              <w:t>-</w:t>
            </w:r>
            <w:r w:rsidRPr="00D22D61">
              <w:rPr>
                <w:b/>
                <w:bCs/>
                <w:szCs w:val="20"/>
              </w:rPr>
              <w:t xml:space="preserve">calculated from the SURPASS 2 trial) </w:t>
            </w:r>
          </w:p>
        </w:tc>
      </w:tr>
      <w:tr w:rsidR="008E5B13" w:rsidRPr="00D22D61" w14:paraId="46AC284D" w14:textId="77777777" w:rsidTr="001B035F">
        <w:trPr>
          <w:trHeight w:val="121"/>
        </w:trPr>
        <w:tc>
          <w:tcPr>
            <w:tcW w:w="3119" w:type="dxa"/>
            <w:tcMar>
              <w:top w:w="0" w:type="dxa"/>
              <w:left w:w="108" w:type="dxa"/>
              <w:bottom w:w="0" w:type="dxa"/>
              <w:right w:w="108" w:type="dxa"/>
            </w:tcMar>
          </w:tcPr>
          <w:p w14:paraId="3150AB22" w14:textId="292C25C6" w:rsidR="008E5B13" w:rsidRPr="00D22D61" w:rsidRDefault="008E5B13" w:rsidP="00253C04">
            <w:pPr>
              <w:pStyle w:val="Tabletext0"/>
              <w:rPr>
                <w:szCs w:val="20"/>
              </w:rPr>
            </w:pPr>
            <w:r w:rsidRPr="00D22D61">
              <w:rPr>
                <w:szCs w:val="20"/>
              </w:rPr>
              <w:t>Remove HbA1c treatment effects for both arms but retain all other treatment effects</w:t>
            </w:r>
          </w:p>
        </w:tc>
        <w:tc>
          <w:tcPr>
            <w:tcW w:w="2215" w:type="dxa"/>
            <w:tcMar>
              <w:top w:w="0" w:type="dxa"/>
              <w:left w:w="108" w:type="dxa"/>
              <w:bottom w:w="0" w:type="dxa"/>
              <w:right w:w="108" w:type="dxa"/>
            </w:tcMar>
            <w:vAlign w:val="center"/>
          </w:tcPr>
          <w:p w14:paraId="7EC21815" w14:textId="3A7CD639" w:rsidR="008E5B13" w:rsidRPr="00D22D61" w:rsidRDefault="00E77FEF" w:rsidP="00E77FEF">
            <w:pPr>
              <w:pStyle w:val="Tabletext0"/>
              <w:jc w:val="center"/>
              <w:rPr>
                <w:szCs w:val="20"/>
              </w:rPr>
            </w:pPr>
            <w:r w:rsidRPr="00D22D61">
              <w:rPr>
                <w:szCs w:val="20"/>
              </w:rPr>
              <w:t>$</w:t>
            </w:r>
            <w:r w:rsidR="001F207D" w:rsidRPr="001F207D">
              <w:rPr>
                <w:color w:val="000000"/>
                <w:szCs w:val="20"/>
                <w:shd w:val="solid" w:color="000000" w:fill="000000"/>
                <w14:textFill>
                  <w14:solidFill>
                    <w14:srgbClr w14:val="000000">
                      <w14:alpha w14:val="100000"/>
                    </w14:srgbClr>
                  </w14:solidFill>
                </w14:textFill>
              </w:rPr>
              <w:t>|</w:t>
            </w:r>
            <w:r w:rsidR="00384449" w:rsidRPr="001B035F">
              <w:rPr>
                <w:rFonts w:cs="Arial Narrow"/>
                <w:sz w:val="18"/>
                <w:szCs w:val="18"/>
                <w:vertAlign w:val="superscript"/>
              </w:rPr>
              <w:t>4</w:t>
            </w:r>
            <w:r w:rsidR="004A0601">
              <w:rPr>
                <w:rFonts w:cs="Arial Narrow"/>
                <w:sz w:val="18"/>
                <w:szCs w:val="18"/>
                <w:vertAlign w:val="superscript"/>
              </w:rPr>
              <w:t xml:space="preserve"> </w:t>
            </w:r>
            <w:r w:rsidRPr="00D22D61">
              <w:rPr>
                <w:szCs w:val="20"/>
              </w:rPr>
              <w:t>(+79%)</w:t>
            </w:r>
          </w:p>
        </w:tc>
        <w:tc>
          <w:tcPr>
            <w:tcW w:w="1833" w:type="dxa"/>
            <w:gridSpan w:val="2"/>
            <w:tcMar>
              <w:top w:w="0" w:type="dxa"/>
              <w:left w:w="108" w:type="dxa"/>
              <w:bottom w:w="0" w:type="dxa"/>
              <w:right w:w="108" w:type="dxa"/>
            </w:tcMar>
            <w:vAlign w:val="center"/>
          </w:tcPr>
          <w:p w14:paraId="7722CA92" w14:textId="5C48850B" w:rsidR="008E5B13" w:rsidRPr="00D22D61" w:rsidRDefault="0012699C" w:rsidP="00E77FEF">
            <w:pPr>
              <w:pStyle w:val="Tabletext0"/>
              <w:jc w:val="center"/>
              <w:rPr>
                <w:szCs w:val="20"/>
              </w:rPr>
            </w:pPr>
            <w:r w:rsidRPr="00D22D61">
              <w:rPr>
                <w:szCs w:val="20"/>
              </w:rPr>
              <w:t>$</w:t>
            </w:r>
            <w:r w:rsidR="001F207D" w:rsidRPr="001F207D">
              <w:rPr>
                <w:rFonts w:hint="eastAsia"/>
                <w:color w:val="000000"/>
                <w:w w:val="20"/>
                <w:szCs w:val="20"/>
                <w:shd w:val="solid" w:color="000000" w:fill="000000"/>
                <w:fitText w:val="90" w:id="-1168382461"/>
                <w14:textFill>
                  <w14:solidFill>
                    <w14:srgbClr w14:val="000000">
                      <w14:alpha w14:val="100000"/>
                    </w14:srgbClr>
                  </w14:solidFill>
                </w14:textFill>
              </w:rPr>
              <w:t xml:space="preserve">　</w:t>
            </w:r>
            <w:r w:rsidR="001F207D" w:rsidRPr="001F207D">
              <w:rPr>
                <w:color w:val="000000"/>
                <w:w w:val="20"/>
                <w:szCs w:val="20"/>
                <w:shd w:val="solid" w:color="000000" w:fill="000000"/>
                <w:fitText w:val="90" w:id="-1168382461"/>
                <w14:textFill>
                  <w14:solidFill>
                    <w14:srgbClr w14:val="000000">
                      <w14:alpha w14:val="100000"/>
                    </w14:srgbClr>
                  </w14:solidFill>
                </w14:textFill>
              </w:rPr>
              <w:t>|</w:t>
            </w:r>
            <w:r w:rsidR="001F207D" w:rsidRPr="001F207D">
              <w:rPr>
                <w:rFonts w:hint="eastAsia"/>
                <w:color w:val="000000"/>
                <w:spacing w:val="3"/>
                <w:w w:val="20"/>
                <w:szCs w:val="20"/>
                <w:shd w:val="solid" w:color="000000" w:fill="000000"/>
                <w:fitText w:val="90" w:id="-1168382461"/>
                <w14:textFill>
                  <w14:solidFill>
                    <w14:srgbClr w14:val="000000">
                      <w14:alpha w14:val="100000"/>
                    </w14:srgbClr>
                  </w14:solidFill>
                </w14:textFill>
              </w:rPr>
              <w:t xml:space="preserve">　</w:t>
            </w:r>
            <w:r w:rsidR="00384449" w:rsidRPr="001B035F">
              <w:rPr>
                <w:rFonts w:cs="Arial Narrow"/>
                <w:sz w:val="18"/>
                <w:szCs w:val="18"/>
                <w:vertAlign w:val="superscript"/>
              </w:rPr>
              <w:t>1</w:t>
            </w:r>
            <w:r w:rsidR="004A0601">
              <w:rPr>
                <w:rFonts w:cs="Arial Narrow"/>
                <w:sz w:val="18"/>
                <w:szCs w:val="18"/>
                <w:vertAlign w:val="superscript"/>
              </w:rPr>
              <w:t xml:space="preserve"> </w:t>
            </w:r>
            <w:r w:rsidRPr="00D22D61">
              <w:rPr>
                <w:szCs w:val="20"/>
              </w:rPr>
              <w:t>(+89%)</w:t>
            </w:r>
          </w:p>
        </w:tc>
        <w:tc>
          <w:tcPr>
            <w:tcW w:w="1862" w:type="dxa"/>
            <w:gridSpan w:val="2"/>
            <w:tcMar>
              <w:top w:w="0" w:type="dxa"/>
              <w:left w:w="108" w:type="dxa"/>
              <w:bottom w:w="0" w:type="dxa"/>
              <w:right w:w="108" w:type="dxa"/>
            </w:tcMar>
            <w:vAlign w:val="center"/>
          </w:tcPr>
          <w:p w14:paraId="143B6C08" w14:textId="6BA3FC3D" w:rsidR="008E5B13" w:rsidRPr="00D22D61" w:rsidRDefault="0020366B" w:rsidP="00E77FEF">
            <w:pPr>
              <w:pStyle w:val="Tabletext0"/>
              <w:jc w:val="center"/>
              <w:rPr>
                <w:szCs w:val="20"/>
              </w:rPr>
            </w:pPr>
            <w:r w:rsidRPr="00D22D61">
              <w:rPr>
                <w:szCs w:val="20"/>
              </w:rPr>
              <w:t>$</w:t>
            </w:r>
            <w:r w:rsidR="001F207D" w:rsidRPr="001F207D">
              <w:rPr>
                <w:rFonts w:hint="eastAsia"/>
                <w:color w:val="000000"/>
                <w:w w:val="20"/>
                <w:szCs w:val="20"/>
                <w:shd w:val="solid" w:color="000000" w:fill="000000"/>
                <w:fitText w:val="90" w:id="-1168382460"/>
                <w14:textFill>
                  <w14:solidFill>
                    <w14:srgbClr w14:val="000000">
                      <w14:alpha w14:val="100000"/>
                    </w14:srgbClr>
                  </w14:solidFill>
                </w14:textFill>
              </w:rPr>
              <w:t xml:space="preserve">　</w:t>
            </w:r>
            <w:r w:rsidR="001F207D" w:rsidRPr="001F207D">
              <w:rPr>
                <w:color w:val="000000"/>
                <w:w w:val="20"/>
                <w:szCs w:val="20"/>
                <w:shd w:val="solid" w:color="000000" w:fill="000000"/>
                <w:fitText w:val="90" w:id="-1168382460"/>
                <w14:textFill>
                  <w14:solidFill>
                    <w14:srgbClr w14:val="000000">
                      <w14:alpha w14:val="100000"/>
                    </w14:srgbClr>
                  </w14:solidFill>
                </w14:textFill>
              </w:rPr>
              <w:t>|</w:t>
            </w:r>
            <w:r w:rsidR="001F207D" w:rsidRPr="001F207D">
              <w:rPr>
                <w:rFonts w:hint="eastAsia"/>
                <w:color w:val="000000"/>
                <w:spacing w:val="3"/>
                <w:w w:val="20"/>
                <w:szCs w:val="20"/>
                <w:shd w:val="solid" w:color="000000" w:fill="000000"/>
                <w:fitText w:val="90" w:id="-1168382460"/>
                <w14:textFill>
                  <w14:solidFill>
                    <w14:srgbClr w14:val="000000">
                      <w14:alpha w14:val="100000"/>
                    </w14:srgbClr>
                  </w14:solidFill>
                </w14:textFill>
              </w:rPr>
              <w:t xml:space="preserve">　</w:t>
            </w:r>
            <w:r w:rsidR="00384449" w:rsidRPr="001B035F">
              <w:rPr>
                <w:rFonts w:cs="Arial Narrow"/>
                <w:sz w:val="18"/>
                <w:szCs w:val="18"/>
                <w:vertAlign w:val="superscript"/>
              </w:rPr>
              <w:t>5</w:t>
            </w:r>
            <w:r w:rsidRPr="00D22D61">
              <w:rPr>
                <w:szCs w:val="20"/>
              </w:rPr>
              <w:t xml:space="preserve"> (+97%)</w:t>
            </w:r>
          </w:p>
        </w:tc>
      </w:tr>
      <w:tr w:rsidR="008E5B13" w:rsidRPr="00D22D61" w14:paraId="4890B595" w14:textId="77777777" w:rsidTr="001B035F">
        <w:tc>
          <w:tcPr>
            <w:tcW w:w="3119" w:type="dxa"/>
            <w:tcMar>
              <w:top w:w="0" w:type="dxa"/>
              <w:left w:w="108" w:type="dxa"/>
              <w:bottom w:w="0" w:type="dxa"/>
              <w:right w:w="108" w:type="dxa"/>
            </w:tcMar>
          </w:tcPr>
          <w:p w14:paraId="6C77650B" w14:textId="0C08AB02" w:rsidR="008E5B13" w:rsidRPr="00D22D61" w:rsidRDefault="008E5B13" w:rsidP="008E5B13">
            <w:pPr>
              <w:pStyle w:val="Tabletext0"/>
              <w:rPr>
                <w:szCs w:val="20"/>
              </w:rPr>
            </w:pPr>
            <w:r w:rsidRPr="00D22D61">
              <w:rPr>
                <w:szCs w:val="20"/>
              </w:rPr>
              <w:t>Use lower CI for mean difference in Hb</w:t>
            </w:r>
            <w:r w:rsidR="00363E6D" w:rsidRPr="00D22D61">
              <w:rPr>
                <w:szCs w:val="20"/>
              </w:rPr>
              <w:t>A</w:t>
            </w:r>
            <w:r w:rsidRPr="00D22D61">
              <w:rPr>
                <w:szCs w:val="20"/>
              </w:rPr>
              <w:t xml:space="preserve">1c </w:t>
            </w:r>
          </w:p>
        </w:tc>
        <w:tc>
          <w:tcPr>
            <w:tcW w:w="2215" w:type="dxa"/>
            <w:tcMar>
              <w:top w:w="0" w:type="dxa"/>
              <w:left w:w="108" w:type="dxa"/>
              <w:bottom w:w="0" w:type="dxa"/>
              <w:right w:w="108" w:type="dxa"/>
            </w:tcMar>
            <w:vAlign w:val="center"/>
          </w:tcPr>
          <w:p w14:paraId="3B6C399A" w14:textId="10B55F2D" w:rsidR="008E5B13" w:rsidRPr="00D22D61" w:rsidRDefault="00E77FEF" w:rsidP="00E77FEF">
            <w:pPr>
              <w:pStyle w:val="Tabletext0"/>
              <w:jc w:val="center"/>
              <w:rPr>
                <w:szCs w:val="20"/>
              </w:rPr>
            </w:pPr>
            <w:r w:rsidRPr="00D22D61">
              <w:rPr>
                <w:szCs w:val="20"/>
              </w:rPr>
              <w:t>$</w:t>
            </w:r>
            <w:r w:rsidR="001F207D" w:rsidRPr="001F207D">
              <w:rPr>
                <w:color w:val="000000"/>
                <w:szCs w:val="20"/>
                <w:shd w:val="solid" w:color="000000" w:fill="000000"/>
                <w14:textFill>
                  <w14:solidFill>
                    <w14:srgbClr w14:val="000000">
                      <w14:alpha w14:val="100000"/>
                    </w14:srgbClr>
                  </w14:solidFill>
                </w14:textFill>
              </w:rPr>
              <w:t>|</w:t>
            </w:r>
            <w:r w:rsidR="00384449" w:rsidRPr="001B035F">
              <w:rPr>
                <w:rFonts w:cs="Arial Narrow"/>
                <w:sz w:val="18"/>
                <w:szCs w:val="18"/>
                <w:vertAlign w:val="superscript"/>
              </w:rPr>
              <w:t>2</w:t>
            </w:r>
            <w:r w:rsidR="004A0601">
              <w:rPr>
                <w:rFonts w:cs="Arial Narrow"/>
                <w:sz w:val="18"/>
                <w:szCs w:val="18"/>
                <w:vertAlign w:val="superscript"/>
              </w:rPr>
              <w:t xml:space="preserve"> </w:t>
            </w:r>
            <w:r w:rsidRPr="00D22D61">
              <w:rPr>
                <w:szCs w:val="20"/>
              </w:rPr>
              <w:t>(-22%)</w:t>
            </w:r>
          </w:p>
        </w:tc>
        <w:tc>
          <w:tcPr>
            <w:tcW w:w="1833" w:type="dxa"/>
            <w:gridSpan w:val="2"/>
            <w:tcMar>
              <w:top w:w="0" w:type="dxa"/>
              <w:left w:w="108" w:type="dxa"/>
              <w:bottom w:w="0" w:type="dxa"/>
              <w:right w:w="108" w:type="dxa"/>
            </w:tcMar>
            <w:vAlign w:val="center"/>
          </w:tcPr>
          <w:p w14:paraId="41EAA448" w14:textId="350C0046" w:rsidR="008E5B13" w:rsidRPr="00D22D61" w:rsidRDefault="0012699C" w:rsidP="00E77FEF">
            <w:pPr>
              <w:pStyle w:val="Tabletext0"/>
              <w:jc w:val="center"/>
              <w:rPr>
                <w:szCs w:val="20"/>
              </w:rPr>
            </w:pPr>
            <w:r w:rsidRPr="00D22D61">
              <w:rPr>
                <w:szCs w:val="20"/>
              </w:rPr>
              <w:t>$</w:t>
            </w:r>
            <w:r w:rsidR="001F207D" w:rsidRPr="001F207D">
              <w:rPr>
                <w:rFonts w:hint="eastAsia"/>
                <w:color w:val="000000"/>
                <w:w w:val="16"/>
                <w:szCs w:val="20"/>
                <w:shd w:val="solid" w:color="000000" w:fill="000000"/>
                <w:fitText w:val="75" w:id="-1168382459"/>
                <w14:textFill>
                  <w14:solidFill>
                    <w14:srgbClr w14:val="000000">
                      <w14:alpha w14:val="100000"/>
                    </w14:srgbClr>
                  </w14:solidFill>
                </w14:textFill>
              </w:rPr>
              <w:t xml:space="preserve">　</w:t>
            </w:r>
            <w:r w:rsidR="001F207D" w:rsidRPr="001F207D">
              <w:rPr>
                <w:color w:val="000000"/>
                <w:w w:val="16"/>
                <w:szCs w:val="20"/>
                <w:shd w:val="solid" w:color="000000" w:fill="000000"/>
                <w:fitText w:val="75" w:id="-1168382459"/>
                <w14:textFill>
                  <w14:solidFill>
                    <w14:srgbClr w14:val="000000">
                      <w14:alpha w14:val="100000"/>
                    </w14:srgbClr>
                  </w14:solidFill>
                </w14:textFill>
              </w:rPr>
              <w:t>|</w:t>
            </w:r>
            <w:r w:rsidR="001F207D" w:rsidRPr="001F207D">
              <w:rPr>
                <w:rFonts w:hint="eastAsia"/>
                <w:color w:val="000000"/>
                <w:spacing w:val="5"/>
                <w:w w:val="16"/>
                <w:szCs w:val="20"/>
                <w:shd w:val="solid" w:color="000000" w:fill="000000"/>
                <w:fitText w:val="75" w:id="-1168382459"/>
                <w14:textFill>
                  <w14:solidFill>
                    <w14:srgbClr w14:val="000000">
                      <w14:alpha w14:val="100000"/>
                    </w14:srgbClr>
                  </w14:solidFill>
                </w14:textFill>
              </w:rPr>
              <w:t xml:space="preserve">　</w:t>
            </w:r>
            <w:r w:rsidR="005A2C04" w:rsidRPr="001B035F">
              <w:rPr>
                <w:rFonts w:cs="Arial Narrow"/>
                <w:sz w:val="18"/>
                <w:szCs w:val="18"/>
                <w:vertAlign w:val="superscript"/>
              </w:rPr>
              <w:t>6</w:t>
            </w:r>
            <w:r w:rsidRPr="00D22D61">
              <w:rPr>
                <w:szCs w:val="20"/>
              </w:rPr>
              <w:t xml:space="preserve"> (-11%)</w:t>
            </w:r>
          </w:p>
        </w:tc>
        <w:tc>
          <w:tcPr>
            <w:tcW w:w="1862" w:type="dxa"/>
            <w:gridSpan w:val="2"/>
            <w:tcMar>
              <w:top w:w="0" w:type="dxa"/>
              <w:left w:w="108" w:type="dxa"/>
              <w:bottom w:w="0" w:type="dxa"/>
              <w:right w:w="108" w:type="dxa"/>
            </w:tcMar>
            <w:vAlign w:val="center"/>
          </w:tcPr>
          <w:p w14:paraId="4FB40781" w14:textId="762CB384" w:rsidR="008E5B13" w:rsidRPr="00D22D61" w:rsidRDefault="0020366B" w:rsidP="00E77FEF">
            <w:pPr>
              <w:pStyle w:val="Tabletext0"/>
              <w:jc w:val="center"/>
              <w:rPr>
                <w:szCs w:val="20"/>
              </w:rPr>
            </w:pPr>
            <w:r w:rsidRPr="00D22D61">
              <w:rPr>
                <w:szCs w:val="20"/>
              </w:rPr>
              <w:t>$</w:t>
            </w:r>
            <w:r w:rsidR="001F207D" w:rsidRPr="001F207D">
              <w:rPr>
                <w:rFonts w:hint="eastAsia"/>
                <w:color w:val="000000"/>
                <w:w w:val="15"/>
                <w:szCs w:val="20"/>
                <w:shd w:val="solid" w:color="000000" w:fill="000000"/>
                <w:fitText w:val="45" w:id="-1168382458"/>
                <w14:textFill>
                  <w14:solidFill>
                    <w14:srgbClr w14:val="000000">
                      <w14:alpha w14:val="100000"/>
                    </w14:srgbClr>
                  </w14:solidFill>
                </w14:textFill>
              </w:rPr>
              <w:t xml:space="preserve">　</w:t>
            </w:r>
            <w:r w:rsidR="001F207D" w:rsidRPr="001F207D">
              <w:rPr>
                <w:color w:val="000000"/>
                <w:w w:val="15"/>
                <w:szCs w:val="20"/>
                <w:shd w:val="solid" w:color="000000" w:fill="000000"/>
                <w:fitText w:val="45" w:id="-1168382458"/>
                <w14:textFill>
                  <w14:solidFill>
                    <w14:srgbClr w14:val="000000">
                      <w14:alpha w14:val="100000"/>
                    </w14:srgbClr>
                  </w14:solidFill>
                </w14:textFill>
              </w:rPr>
              <w:t>|</w:t>
            </w:r>
            <w:r w:rsidR="001F207D" w:rsidRPr="001F207D">
              <w:rPr>
                <w:rFonts w:hint="eastAsia"/>
                <w:color w:val="000000"/>
                <w:spacing w:val="-30"/>
                <w:w w:val="15"/>
                <w:szCs w:val="20"/>
                <w:shd w:val="solid" w:color="000000" w:fill="000000"/>
                <w:fitText w:val="45" w:id="-1168382458"/>
                <w14:textFill>
                  <w14:solidFill>
                    <w14:srgbClr w14:val="000000">
                      <w14:alpha w14:val="100000"/>
                    </w14:srgbClr>
                  </w14:solidFill>
                </w14:textFill>
              </w:rPr>
              <w:t xml:space="preserve">　</w:t>
            </w:r>
            <w:r w:rsidR="005A2C04" w:rsidRPr="001B035F">
              <w:rPr>
                <w:rFonts w:cs="Arial Narrow"/>
                <w:sz w:val="18"/>
                <w:szCs w:val="18"/>
                <w:vertAlign w:val="superscript"/>
              </w:rPr>
              <w:t>11</w:t>
            </w:r>
            <w:r w:rsidRPr="00D22D61">
              <w:rPr>
                <w:szCs w:val="20"/>
              </w:rPr>
              <w:t xml:space="preserve"> (-7%)</w:t>
            </w:r>
          </w:p>
        </w:tc>
      </w:tr>
      <w:tr w:rsidR="008E5B13" w:rsidRPr="00D22D61" w14:paraId="53485560" w14:textId="77777777" w:rsidTr="001B035F">
        <w:tc>
          <w:tcPr>
            <w:tcW w:w="3119" w:type="dxa"/>
            <w:tcMar>
              <w:top w:w="0" w:type="dxa"/>
              <w:left w:w="108" w:type="dxa"/>
              <w:bottom w:w="0" w:type="dxa"/>
              <w:right w:w="108" w:type="dxa"/>
            </w:tcMar>
          </w:tcPr>
          <w:p w14:paraId="73C06FCE" w14:textId="43951C21" w:rsidR="008E5B13" w:rsidRPr="00D22D61" w:rsidRDefault="008E5B13" w:rsidP="008E5B13">
            <w:pPr>
              <w:pStyle w:val="Tabletext0"/>
              <w:rPr>
                <w:szCs w:val="20"/>
              </w:rPr>
            </w:pPr>
            <w:r w:rsidRPr="00D22D61">
              <w:rPr>
                <w:szCs w:val="20"/>
              </w:rPr>
              <w:t>Use upper CI for mean difference in Hb</w:t>
            </w:r>
            <w:r w:rsidR="00363E6D" w:rsidRPr="00D22D61">
              <w:rPr>
                <w:szCs w:val="20"/>
              </w:rPr>
              <w:t>A</w:t>
            </w:r>
            <w:r w:rsidRPr="00D22D61">
              <w:rPr>
                <w:szCs w:val="20"/>
              </w:rPr>
              <w:t xml:space="preserve">1c </w:t>
            </w:r>
          </w:p>
        </w:tc>
        <w:tc>
          <w:tcPr>
            <w:tcW w:w="2215" w:type="dxa"/>
            <w:tcMar>
              <w:top w:w="0" w:type="dxa"/>
              <w:left w:w="108" w:type="dxa"/>
              <w:bottom w:w="0" w:type="dxa"/>
              <w:right w:w="108" w:type="dxa"/>
            </w:tcMar>
            <w:vAlign w:val="center"/>
          </w:tcPr>
          <w:p w14:paraId="388E3244" w14:textId="74DAAC2A" w:rsidR="008E5B13" w:rsidRPr="00D22D61" w:rsidRDefault="00E77FEF" w:rsidP="00E77FEF">
            <w:pPr>
              <w:pStyle w:val="Tabletext0"/>
              <w:jc w:val="center"/>
              <w:rPr>
                <w:szCs w:val="20"/>
              </w:rPr>
            </w:pPr>
            <w:r w:rsidRPr="00D22D61">
              <w:rPr>
                <w:szCs w:val="20"/>
              </w:rPr>
              <w:t>$</w:t>
            </w:r>
            <w:r w:rsidR="001F207D" w:rsidRPr="001F207D">
              <w:rPr>
                <w:color w:val="000000"/>
                <w:szCs w:val="20"/>
                <w:shd w:val="solid" w:color="000000" w:fill="000000"/>
                <w14:textFill>
                  <w14:solidFill>
                    <w14:srgbClr w14:val="000000">
                      <w14:alpha w14:val="100000"/>
                    </w14:srgbClr>
                  </w14:solidFill>
                </w14:textFill>
              </w:rPr>
              <w:t>|</w:t>
            </w:r>
            <w:r w:rsidR="00384449" w:rsidRPr="001B035F">
              <w:rPr>
                <w:rFonts w:cs="Arial Narrow"/>
                <w:sz w:val="18"/>
                <w:szCs w:val="18"/>
                <w:vertAlign w:val="superscript"/>
              </w:rPr>
              <w:t>4</w:t>
            </w:r>
            <w:r w:rsidR="004A0601">
              <w:rPr>
                <w:rFonts w:cs="Arial Narrow"/>
                <w:sz w:val="18"/>
                <w:szCs w:val="18"/>
                <w:vertAlign w:val="superscript"/>
              </w:rPr>
              <w:t xml:space="preserve"> </w:t>
            </w:r>
            <w:r w:rsidRPr="00D22D61">
              <w:rPr>
                <w:szCs w:val="20"/>
              </w:rPr>
              <w:t>(+49%)</w:t>
            </w:r>
          </w:p>
        </w:tc>
        <w:tc>
          <w:tcPr>
            <w:tcW w:w="1833" w:type="dxa"/>
            <w:gridSpan w:val="2"/>
            <w:tcMar>
              <w:top w:w="0" w:type="dxa"/>
              <w:left w:w="108" w:type="dxa"/>
              <w:bottom w:w="0" w:type="dxa"/>
              <w:right w:w="108" w:type="dxa"/>
            </w:tcMar>
            <w:vAlign w:val="center"/>
          </w:tcPr>
          <w:p w14:paraId="422B1B11" w14:textId="6F16E1C7" w:rsidR="008E5B13" w:rsidRPr="00D22D61" w:rsidRDefault="0012699C" w:rsidP="00E77FEF">
            <w:pPr>
              <w:pStyle w:val="Tabletext0"/>
              <w:jc w:val="center"/>
              <w:rPr>
                <w:szCs w:val="20"/>
              </w:rPr>
            </w:pPr>
            <w:r w:rsidRPr="00D22D61">
              <w:rPr>
                <w:szCs w:val="20"/>
              </w:rPr>
              <w:t>$</w:t>
            </w:r>
            <w:r w:rsidR="001F207D" w:rsidRPr="001F207D">
              <w:rPr>
                <w:rFonts w:hint="eastAsia"/>
                <w:color w:val="000000"/>
                <w:w w:val="20"/>
                <w:szCs w:val="20"/>
                <w:shd w:val="solid" w:color="000000" w:fill="000000"/>
                <w:fitText w:val="90" w:id="-1168382457"/>
                <w14:textFill>
                  <w14:solidFill>
                    <w14:srgbClr w14:val="000000">
                      <w14:alpha w14:val="100000"/>
                    </w14:srgbClr>
                  </w14:solidFill>
                </w14:textFill>
              </w:rPr>
              <w:t xml:space="preserve">　</w:t>
            </w:r>
            <w:r w:rsidR="001F207D" w:rsidRPr="001F207D">
              <w:rPr>
                <w:color w:val="000000"/>
                <w:w w:val="20"/>
                <w:szCs w:val="20"/>
                <w:shd w:val="solid" w:color="000000" w:fill="000000"/>
                <w:fitText w:val="90" w:id="-1168382457"/>
                <w14:textFill>
                  <w14:solidFill>
                    <w14:srgbClr w14:val="000000">
                      <w14:alpha w14:val="100000"/>
                    </w14:srgbClr>
                  </w14:solidFill>
                </w14:textFill>
              </w:rPr>
              <w:t>|</w:t>
            </w:r>
            <w:r w:rsidR="001F207D" w:rsidRPr="001F207D">
              <w:rPr>
                <w:rFonts w:hint="eastAsia"/>
                <w:color w:val="000000"/>
                <w:spacing w:val="3"/>
                <w:w w:val="20"/>
                <w:szCs w:val="20"/>
                <w:shd w:val="solid" w:color="000000" w:fill="000000"/>
                <w:fitText w:val="90" w:id="-1168382457"/>
                <w14:textFill>
                  <w14:solidFill>
                    <w14:srgbClr w14:val="000000">
                      <w14:alpha w14:val="100000"/>
                    </w14:srgbClr>
                  </w14:solidFill>
                </w14:textFill>
              </w:rPr>
              <w:t xml:space="preserve">　</w:t>
            </w:r>
            <w:r w:rsidR="005A2C04" w:rsidRPr="001B035F">
              <w:rPr>
                <w:rFonts w:cs="Arial Narrow"/>
                <w:sz w:val="18"/>
                <w:szCs w:val="18"/>
                <w:vertAlign w:val="superscript"/>
              </w:rPr>
              <w:t>6</w:t>
            </w:r>
            <w:r w:rsidRPr="00D22D61">
              <w:rPr>
                <w:szCs w:val="20"/>
              </w:rPr>
              <w:t xml:space="preserve"> (+14%)</w:t>
            </w:r>
          </w:p>
        </w:tc>
        <w:tc>
          <w:tcPr>
            <w:tcW w:w="1862" w:type="dxa"/>
            <w:gridSpan w:val="2"/>
            <w:tcMar>
              <w:top w:w="0" w:type="dxa"/>
              <w:left w:w="108" w:type="dxa"/>
              <w:bottom w:w="0" w:type="dxa"/>
              <w:right w:w="108" w:type="dxa"/>
            </w:tcMar>
            <w:vAlign w:val="center"/>
          </w:tcPr>
          <w:p w14:paraId="24BBCA30" w14:textId="023BB91B" w:rsidR="008E5B13" w:rsidRPr="00D22D61" w:rsidRDefault="0020366B" w:rsidP="00E77FEF">
            <w:pPr>
              <w:pStyle w:val="Tabletext0"/>
              <w:jc w:val="center"/>
              <w:rPr>
                <w:szCs w:val="20"/>
              </w:rPr>
            </w:pPr>
            <w:r w:rsidRPr="00D22D61">
              <w:rPr>
                <w:szCs w:val="20"/>
              </w:rPr>
              <w:t>$</w:t>
            </w:r>
            <w:r w:rsidR="001F207D" w:rsidRPr="001F207D">
              <w:rPr>
                <w:rFonts w:hint="eastAsia"/>
                <w:color w:val="000000"/>
                <w:w w:val="20"/>
                <w:szCs w:val="20"/>
                <w:shd w:val="solid" w:color="000000" w:fill="000000"/>
                <w:fitText w:val="90" w:id="-1168382456"/>
                <w14:textFill>
                  <w14:solidFill>
                    <w14:srgbClr w14:val="000000">
                      <w14:alpha w14:val="100000"/>
                    </w14:srgbClr>
                  </w14:solidFill>
                </w14:textFill>
              </w:rPr>
              <w:t xml:space="preserve">　</w:t>
            </w:r>
            <w:r w:rsidR="001F207D" w:rsidRPr="001F207D">
              <w:rPr>
                <w:color w:val="000000"/>
                <w:w w:val="20"/>
                <w:szCs w:val="20"/>
                <w:shd w:val="solid" w:color="000000" w:fill="000000"/>
                <w:fitText w:val="90" w:id="-1168382456"/>
                <w14:textFill>
                  <w14:solidFill>
                    <w14:srgbClr w14:val="000000">
                      <w14:alpha w14:val="100000"/>
                    </w14:srgbClr>
                  </w14:solidFill>
                </w14:textFill>
              </w:rPr>
              <w:t>|</w:t>
            </w:r>
            <w:r w:rsidR="001F207D" w:rsidRPr="001F207D">
              <w:rPr>
                <w:rFonts w:hint="eastAsia"/>
                <w:color w:val="000000"/>
                <w:spacing w:val="3"/>
                <w:w w:val="20"/>
                <w:szCs w:val="20"/>
                <w:shd w:val="solid" w:color="000000" w:fill="000000"/>
                <w:fitText w:val="90" w:id="-1168382456"/>
                <w14:textFill>
                  <w14:solidFill>
                    <w14:srgbClr w14:val="000000">
                      <w14:alpha w14:val="100000"/>
                    </w14:srgbClr>
                  </w14:solidFill>
                </w14:textFill>
              </w:rPr>
              <w:t xml:space="preserve">　</w:t>
            </w:r>
            <w:r w:rsidR="00746B1E" w:rsidRPr="001B035F">
              <w:rPr>
                <w:rFonts w:cs="Arial Narrow"/>
                <w:sz w:val="18"/>
                <w:szCs w:val="18"/>
                <w:vertAlign w:val="superscript"/>
              </w:rPr>
              <w:t>7</w:t>
            </w:r>
            <w:r w:rsidRPr="00D22D61">
              <w:rPr>
                <w:szCs w:val="20"/>
              </w:rPr>
              <w:t xml:space="preserve"> (+12%)</w:t>
            </w:r>
          </w:p>
        </w:tc>
      </w:tr>
      <w:tr w:rsidR="00AA18B5" w:rsidRPr="00D22D61" w14:paraId="29DC7692" w14:textId="77777777" w:rsidTr="001B035F">
        <w:tc>
          <w:tcPr>
            <w:tcW w:w="3119" w:type="dxa"/>
            <w:tcMar>
              <w:top w:w="0" w:type="dxa"/>
              <w:left w:w="108" w:type="dxa"/>
              <w:bottom w:w="0" w:type="dxa"/>
              <w:right w:w="108" w:type="dxa"/>
            </w:tcMar>
          </w:tcPr>
          <w:p w14:paraId="2ACAB258" w14:textId="69B99720" w:rsidR="00AA18B5" w:rsidRPr="00D22D61" w:rsidRDefault="00AA18B5" w:rsidP="00762E80">
            <w:pPr>
              <w:pStyle w:val="Tabletext0"/>
              <w:jc w:val="center"/>
            </w:pPr>
            <w:r w:rsidRPr="00D22D61">
              <w:t>Allow constant first-line treatment effects for eGFR while receiving later lines of therapy</w:t>
            </w:r>
          </w:p>
        </w:tc>
        <w:tc>
          <w:tcPr>
            <w:tcW w:w="2215" w:type="dxa"/>
            <w:tcMar>
              <w:top w:w="0" w:type="dxa"/>
              <w:left w:w="108" w:type="dxa"/>
              <w:bottom w:w="0" w:type="dxa"/>
              <w:right w:w="108" w:type="dxa"/>
            </w:tcMar>
            <w:vAlign w:val="center"/>
          </w:tcPr>
          <w:p w14:paraId="3D289C22" w14:textId="60C09039" w:rsidR="00AA18B5" w:rsidRPr="00D22D61" w:rsidRDefault="00AA18B5" w:rsidP="00762E80">
            <w:pPr>
              <w:pStyle w:val="Tabletext0"/>
              <w:jc w:val="center"/>
            </w:pPr>
            <w:r w:rsidRPr="00D22D61">
              <w:t>$</w:t>
            </w:r>
            <w:r w:rsidR="001F207D" w:rsidRPr="001F207D">
              <w:rPr>
                <w:color w:val="000000"/>
                <w:shd w:val="solid" w:color="000000" w:fill="000000"/>
                <w14:textFill>
                  <w14:solidFill>
                    <w14:srgbClr w14:val="000000">
                      <w14:alpha w14:val="100000"/>
                    </w14:srgbClr>
                  </w14:solidFill>
                </w14:textFill>
              </w:rPr>
              <w:t>|</w:t>
            </w:r>
            <w:r w:rsidR="00384449" w:rsidRPr="001B035F">
              <w:rPr>
                <w:rFonts w:cs="Arial Narrow"/>
                <w:sz w:val="18"/>
                <w:szCs w:val="18"/>
                <w:vertAlign w:val="superscript"/>
              </w:rPr>
              <w:t>1</w:t>
            </w:r>
            <w:r w:rsidR="004A0601">
              <w:rPr>
                <w:rFonts w:cs="Arial Narrow"/>
                <w:sz w:val="18"/>
                <w:vertAlign w:val="superscript"/>
              </w:rPr>
              <w:t xml:space="preserve"> </w:t>
            </w:r>
            <w:r w:rsidRPr="00D22D61">
              <w:t>(-3%)</w:t>
            </w:r>
          </w:p>
        </w:tc>
        <w:tc>
          <w:tcPr>
            <w:tcW w:w="1833" w:type="dxa"/>
            <w:gridSpan w:val="2"/>
            <w:tcMar>
              <w:top w:w="0" w:type="dxa"/>
              <w:left w:w="108" w:type="dxa"/>
              <w:bottom w:w="0" w:type="dxa"/>
              <w:right w:w="108" w:type="dxa"/>
            </w:tcMar>
            <w:vAlign w:val="center"/>
          </w:tcPr>
          <w:p w14:paraId="59FA86BD" w14:textId="149E29CB" w:rsidR="00AA18B5" w:rsidRPr="00D22D61" w:rsidRDefault="00AA18B5" w:rsidP="00762E80">
            <w:pPr>
              <w:pStyle w:val="Tabletext0"/>
              <w:jc w:val="center"/>
            </w:pPr>
            <w:r w:rsidRPr="00D22D61">
              <w:t>$</w:t>
            </w:r>
            <w:r w:rsidR="001F207D" w:rsidRPr="001F207D">
              <w:rPr>
                <w:rFonts w:hint="eastAsia"/>
                <w:color w:val="000000"/>
                <w:w w:val="16"/>
                <w:shd w:val="solid" w:color="000000" w:fill="000000"/>
                <w:fitText w:val="75" w:id="-1168382455"/>
                <w14:textFill>
                  <w14:solidFill>
                    <w14:srgbClr w14:val="000000">
                      <w14:alpha w14:val="100000"/>
                    </w14:srgbClr>
                  </w14:solidFill>
                </w14:textFill>
              </w:rPr>
              <w:t xml:space="preserve">　</w:t>
            </w:r>
            <w:r w:rsidR="001F207D" w:rsidRPr="001F207D">
              <w:rPr>
                <w:color w:val="000000"/>
                <w:w w:val="16"/>
                <w:shd w:val="solid" w:color="000000" w:fill="000000"/>
                <w:fitText w:val="75" w:id="-1168382455"/>
                <w14:textFill>
                  <w14:solidFill>
                    <w14:srgbClr w14:val="000000">
                      <w14:alpha w14:val="100000"/>
                    </w14:srgbClr>
                  </w14:solidFill>
                </w14:textFill>
              </w:rPr>
              <w:t>|</w:t>
            </w:r>
            <w:r w:rsidR="001F207D" w:rsidRPr="001F207D">
              <w:rPr>
                <w:rFonts w:hint="eastAsia"/>
                <w:color w:val="000000"/>
                <w:spacing w:val="5"/>
                <w:w w:val="16"/>
                <w:shd w:val="solid" w:color="000000" w:fill="000000"/>
                <w:fitText w:val="75" w:id="-1168382455"/>
                <w14:textFill>
                  <w14:solidFill>
                    <w14:srgbClr w14:val="000000">
                      <w14:alpha w14:val="100000"/>
                    </w14:srgbClr>
                  </w14:solidFill>
                </w14:textFill>
              </w:rPr>
              <w:t xml:space="preserve">　</w:t>
            </w:r>
            <w:r w:rsidR="00746B1E" w:rsidRPr="001B035F">
              <w:rPr>
                <w:rFonts w:cs="Arial Narrow"/>
                <w:sz w:val="18"/>
                <w:szCs w:val="18"/>
                <w:vertAlign w:val="superscript"/>
              </w:rPr>
              <w:t>6</w:t>
            </w:r>
            <w:r w:rsidR="001F207D">
              <w:rPr>
                <w:rFonts w:cs="Arial Narrow"/>
                <w:sz w:val="18"/>
                <w:szCs w:val="18"/>
                <w:vertAlign w:val="superscript"/>
              </w:rPr>
              <w:t xml:space="preserve"> </w:t>
            </w:r>
            <w:r w:rsidRPr="00D22D61">
              <w:t>(-2%)</w:t>
            </w:r>
          </w:p>
        </w:tc>
        <w:tc>
          <w:tcPr>
            <w:tcW w:w="1862" w:type="dxa"/>
            <w:gridSpan w:val="2"/>
            <w:tcMar>
              <w:top w:w="0" w:type="dxa"/>
              <w:left w:w="108" w:type="dxa"/>
              <w:bottom w:w="0" w:type="dxa"/>
              <w:right w:w="108" w:type="dxa"/>
            </w:tcMar>
            <w:vAlign w:val="center"/>
          </w:tcPr>
          <w:p w14:paraId="7B0FD7F3" w14:textId="5F772774" w:rsidR="00AA18B5" w:rsidRPr="00D22D61" w:rsidRDefault="00762E80" w:rsidP="00762E80">
            <w:pPr>
              <w:pStyle w:val="Tabletext0"/>
              <w:jc w:val="center"/>
            </w:pPr>
            <w:r w:rsidRPr="00D22D61">
              <w:t>$</w:t>
            </w:r>
            <w:r w:rsidR="001F207D" w:rsidRPr="001F207D">
              <w:rPr>
                <w:rFonts w:hint="eastAsia"/>
                <w:color w:val="000000"/>
                <w:w w:val="15"/>
                <w:shd w:val="solid" w:color="000000" w:fill="000000"/>
                <w:fitText w:val="60" w:id="-1168382454"/>
                <w14:textFill>
                  <w14:solidFill>
                    <w14:srgbClr w14:val="000000">
                      <w14:alpha w14:val="100000"/>
                    </w14:srgbClr>
                  </w14:solidFill>
                </w14:textFill>
              </w:rPr>
              <w:t xml:space="preserve">　</w:t>
            </w:r>
            <w:r w:rsidR="001F207D" w:rsidRPr="001F207D">
              <w:rPr>
                <w:color w:val="000000"/>
                <w:w w:val="15"/>
                <w:shd w:val="solid" w:color="000000" w:fill="000000"/>
                <w:fitText w:val="60" w:id="-1168382454"/>
                <w14:textFill>
                  <w14:solidFill>
                    <w14:srgbClr w14:val="000000">
                      <w14:alpha w14:val="100000"/>
                    </w14:srgbClr>
                  </w14:solidFill>
                </w14:textFill>
              </w:rPr>
              <w:t>|</w:t>
            </w:r>
            <w:r w:rsidR="001F207D" w:rsidRPr="001F207D">
              <w:rPr>
                <w:rFonts w:hint="eastAsia"/>
                <w:color w:val="000000"/>
                <w:spacing w:val="-15"/>
                <w:w w:val="15"/>
                <w:shd w:val="solid" w:color="000000" w:fill="000000"/>
                <w:fitText w:val="60" w:id="-1168382454"/>
                <w14:textFill>
                  <w14:solidFill>
                    <w14:srgbClr w14:val="000000">
                      <w14:alpha w14:val="100000"/>
                    </w14:srgbClr>
                  </w14:solidFill>
                </w14:textFill>
              </w:rPr>
              <w:t xml:space="preserve">　</w:t>
            </w:r>
            <w:r w:rsidR="00746B1E" w:rsidRPr="001B035F">
              <w:rPr>
                <w:rFonts w:cs="Arial Narrow"/>
                <w:sz w:val="18"/>
                <w:szCs w:val="18"/>
                <w:vertAlign w:val="superscript"/>
              </w:rPr>
              <w:t>7</w:t>
            </w:r>
            <w:r w:rsidR="001F207D">
              <w:rPr>
                <w:rFonts w:cs="Arial Narrow"/>
                <w:sz w:val="18"/>
                <w:vertAlign w:val="superscript"/>
              </w:rPr>
              <w:t xml:space="preserve"> </w:t>
            </w:r>
            <w:r w:rsidRPr="00D22D61">
              <w:t>(-1%)</w:t>
            </w:r>
          </w:p>
        </w:tc>
      </w:tr>
      <w:tr w:rsidR="008E5B13" w:rsidRPr="00D22D61" w14:paraId="4E57FAB5" w14:textId="77777777" w:rsidTr="001B035F">
        <w:tc>
          <w:tcPr>
            <w:tcW w:w="3119" w:type="dxa"/>
            <w:tcMar>
              <w:top w:w="0" w:type="dxa"/>
              <w:left w:w="108" w:type="dxa"/>
              <w:bottom w:w="0" w:type="dxa"/>
              <w:right w:w="108" w:type="dxa"/>
            </w:tcMar>
          </w:tcPr>
          <w:p w14:paraId="24367AD9" w14:textId="1A2ADB80" w:rsidR="008E5B13" w:rsidRPr="00D22D61" w:rsidRDefault="008E5B13" w:rsidP="008E5B13">
            <w:pPr>
              <w:pStyle w:val="Tabletext0"/>
              <w:rPr>
                <w:szCs w:val="20"/>
              </w:rPr>
            </w:pPr>
            <w:r w:rsidRPr="00D22D61">
              <w:rPr>
                <w:szCs w:val="20"/>
              </w:rPr>
              <w:t>Remove BMI treatment effects for both arms but retain all other treatment effects</w:t>
            </w:r>
          </w:p>
        </w:tc>
        <w:tc>
          <w:tcPr>
            <w:tcW w:w="2215" w:type="dxa"/>
            <w:tcMar>
              <w:top w:w="0" w:type="dxa"/>
              <w:left w:w="108" w:type="dxa"/>
              <w:bottom w:w="0" w:type="dxa"/>
              <w:right w:w="108" w:type="dxa"/>
            </w:tcMar>
            <w:vAlign w:val="center"/>
          </w:tcPr>
          <w:p w14:paraId="59139698" w14:textId="1DC61E07" w:rsidR="008E5B13" w:rsidRPr="00D22D61" w:rsidRDefault="00CD78E1" w:rsidP="00E77FEF">
            <w:pPr>
              <w:pStyle w:val="Tabletext0"/>
              <w:jc w:val="center"/>
              <w:rPr>
                <w:szCs w:val="20"/>
              </w:rPr>
            </w:pPr>
            <w:r w:rsidRPr="00D22D61">
              <w:rPr>
                <w:szCs w:val="20"/>
              </w:rPr>
              <w:t>$</w:t>
            </w:r>
            <w:r w:rsidR="001F207D" w:rsidRPr="001F207D">
              <w:rPr>
                <w:color w:val="000000"/>
                <w:szCs w:val="20"/>
                <w:shd w:val="solid" w:color="000000" w:fill="000000"/>
                <w14:textFill>
                  <w14:solidFill>
                    <w14:srgbClr w14:val="000000">
                      <w14:alpha w14:val="100000"/>
                    </w14:srgbClr>
                  </w14:solidFill>
                </w14:textFill>
              </w:rPr>
              <w:t>|</w:t>
            </w:r>
            <w:r w:rsidR="00384449" w:rsidRPr="001B035F">
              <w:rPr>
                <w:rFonts w:cs="Arial Narrow"/>
                <w:sz w:val="18"/>
                <w:szCs w:val="18"/>
                <w:vertAlign w:val="superscript"/>
              </w:rPr>
              <w:t>4</w:t>
            </w:r>
            <w:r w:rsidR="004A0601">
              <w:rPr>
                <w:rFonts w:cs="Arial Narrow"/>
                <w:sz w:val="18"/>
                <w:szCs w:val="18"/>
                <w:vertAlign w:val="superscript"/>
              </w:rPr>
              <w:t xml:space="preserve"> </w:t>
            </w:r>
            <w:r w:rsidRPr="00D22D61">
              <w:rPr>
                <w:szCs w:val="20"/>
              </w:rPr>
              <w:t>(+40%)</w:t>
            </w:r>
          </w:p>
        </w:tc>
        <w:tc>
          <w:tcPr>
            <w:tcW w:w="1833" w:type="dxa"/>
            <w:gridSpan w:val="2"/>
            <w:tcMar>
              <w:top w:w="0" w:type="dxa"/>
              <w:left w:w="108" w:type="dxa"/>
              <w:bottom w:w="0" w:type="dxa"/>
              <w:right w:w="108" w:type="dxa"/>
            </w:tcMar>
            <w:vAlign w:val="center"/>
          </w:tcPr>
          <w:p w14:paraId="5F853529" w14:textId="6C9CB918" w:rsidR="008E5B13" w:rsidRPr="00D22D61" w:rsidRDefault="0012699C" w:rsidP="00E77FEF">
            <w:pPr>
              <w:pStyle w:val="Tabletext0"/>
              <w:jc w:val="center"/>
              <w:rPr>
                <w:szCs w:val="20"/>
              </w:rPr>
            </w:pPr>
            <w:r w:rsidRPr="00D22D61">
              <w:rPr>
                <w:szCs w:val="20"/>
              </w:rPr>
              <w:t>$</w:t>
            </w:r>
            <w:r w:rsidR="001F207D" w:rsidRPr="001F207D">
              <w:rPr>
                <w:rFonts w:hint="eastAsia"/>
                <w:color w:val="000000"/>
                <w:w w:val="20"/>
                <w:szCs w:val="20"/>
                <w:shd w:val="solid" w:color="000000" w:fill="000000"/>
                <w:fitText w:val="90" w:id="-1168382453"/>
                <w14:textFill>
                  <w14:solidFill>
                    <w14:srgbClr w14:val="000000">
                      <w14:alpha w14:val="100000"/>
                    </w14:srgbClr>
                  </w14:solidFill>
                </w14:textFill>
              </w:rPr>
              <w:t xml:space="preserve">　</w:t>
            </w:r>
            <w:r w:rsidR="001F207D" w:rsidRPr="001F207D">
              <w:rPr>
                <w:color w:val="000000"/>
                <w:w w:val="20"/>
                <w:szCs w:val="20"/>
                <w:shd w:val="solid" w:color="000000" w:fill="000000"/>
                <w:fitText w:val="90" w:id="-1168382453"/>
                <w14:textFill>
                  <w14:solidFill>
                    <w14:srgbClr w14:val="000000">
                      <w14:alpha w14:val="100000"/>
                    </w14:srgbClr>
                  </w14:solidFill>
                </w14:textFill>
              </w:rPr>
              <w:t>|</w:t>
            </w:r>
            <w:r w:rsidR="001F207D" w:rsidRPr="001F207D">
              <w:rPr>
                <w:rFonts w:hint="eastAsia"/>
                <w:color w:val="000000"/>
                <w:spacing w:val="3"/>
                <w:w w:val="20"/>
                <w:szCs w:val="20"/>
                <w:shd w:val="solid" w:color="000000" w:fill="000000"/>
                <w:fitText w:val="90" w:id="-1168382453"/>
                <w14:textFill>
                  <w14:solidFill>
                    <w14:srgbClr w14:val="000000">
                      <w14:alpha w14:val="100000"/>
                    </w14:srgbClr>
                  </w14:solidFill>
                </w14:textFill>
              </w:rPr>
              <w:t xml:space="preserve">　</w:t>
            </w:r>
            <w:r w:rsidR="00746B1E" w:rsidRPr="001B035F">
              <w:rPr>
                <w:rFonts w:cs="Arial Narrow"/>
                <w:sz w:val="18"/>
                <w:szCs w:val="18"/>
                <w:vertAlign w:val="superscript"/>
              </w:rPr>
              <w:t>2</w:t>
            </w:r>
            <w:r w:rsidRPr="00D22D61">
              <w:rPr>
                <w:szCs w:val="20"/>
              </w:rPr>
              <w:t xml:space="preserve"> (+53%)</w:t>
            </w:r>
          </w:p>
        </w:tc>
        <w:tc>
          <w:tcPr>
            <w:tcW w:w="1862" w:type="dxa"/>
            <w:gridSpan w:val="2"/>
            <w:tcMar>
              <w:top w:w="0" w:type="dxa"/>
              <w:left w:w="108" w:type="dxa"/>
              <w:bottom w:w="0" w:type="dxa"/>
              <w:right w:w="108" w:type="dxa"/>
            </w:tcMar>
            <w:vAlign w:val="center"/>
          </w:tcPr>
          <w:p w14:paraId="279D0866" w14:textId="0C407297" w:rsidR="008E5B13" w:rsidRPr="00D22D61" w:rsidRDefault="0020366B" w:rsidP="00E77FEF">
            <w:pPr>
              <w:pStyle w:val="Tabletext0"/>
              <w:jc w:val="center"/>
              <w:rPr>
                <w:szCs w:val="20"/>
              </w:rPr>
            </w:pPr>
            <w:r w:rsidRPr="00D22D61">
              <w:rPr>
                <w:szCs w:val="20"/>
              </w:rPr>
              <w:t>$</w:t>
            </w:r>
            <w:r w:rsidR="001F207D" w:rsidRPr="001F207D">
              <w:rPr>
                <w:rFonts w:hint="eastAsia"/>
                <w:color w:val="000000"/>
                <w:w w:val="20"/>
                <w:szCs w:val="20"/>
                <w:shd w:val="solid" w:color="000000" w:fill="000000"/>
                <w:fitText w:val="90" w:id="-1168382452"/>
                <w14:textFill>
                  <w14:solidFill>
                    <w14:srgbClr w14:val="000000">
                      <w14:alpha w14:val="100000"/>
                    </w14:srgbClr>
                  </w14:solidFill>
                </w14:textFill>
              </w:rPr>
              <w:t xml:space="preserve">　</w:t>
            </w:r>
            <w:r w:rsidR="001F207D" w:rsidRPr="001F207D">
              <w:rPr>
                <w:color w:val="000000"/>
                <w:w w:val="20"/>
                <w:szCs w:val="20"/>
                <w:shd w:val="solid" w:color="000000" w:fill="000000"/>
                <w:fitText w:val="90" w:id="-1168382452"/>
                <w14:textFill>
                  <w14:solidFill>
                    <w14:srgbClr w14:val="000000">
                      <w14:alpha w14:val="100000"/>
                    </w14:srgbClr>
                  </w14:solidFill>
                </w14:textFill>
              </w:rPr>
              <w:t>|</w:t>
            </w:r>
            <w:r w:rsidR="001F207D" w:rsidRPr="001F207D">
              <w:rPr>
                <w:rFonts w:hint="eastAsia"/>
                <w:color w:val="000000"/>
                <w:spacing w:val="3"/>
                <w:w w:val="20"/>
                <w:szCs w:val="20"/>
                <w:shd w:val="solid" w:color="000000" w:fill="000000"/>
                <w:fitText w:val="90" w:id="-1168382452"/>
                <w14:textFill>
                  <w14:solidFill>
                    <w14:srgbClr w14:val="000000">
                      <w14:alpha w14:val="100000"/>
                    </w14:srgbClr>
                  </w14:solidFill>
                </w14:textFill>
              </w:rPr>
              <w:t xml:space="preserve">　</w:t>
            </w:r>
            <w:r w:rsidR="00746B1E" w:rsidRPr="001B035F">
              <w:rPr>
                <w:rFonts w:cs="Arial Narrow"/>
                <w:sz w:val="18"/>
                <w:szCs w:val="18"/>
                <w:vertAlign w:val="superscript"/>
              </w:rPr>
              <w:t>5</w:t>
            </w:r>
            <w:r w:rsidRPr="00D22D61">
              <w:rPr>
                <w:szCs w:val="20"/>
              </w:rPr>
              <w:t xml:space="preserve"> (+71%)</w:t>
            </w:r>
          </w:p>
        </w:tc>
      </w:tr>
      <w:tr w:rsidR="008E5B13" w:rsidRPr="00D22D61" w14:paraId="31C520A5" w14:textId="77777777" w:rsidTr="001B035F">
        <w:tc>
          <w:tcPr>
            <w:tcW w:w="3119" w:type="dxa"/>
            <w:tcMar>
              <w:top w:w="0" w:type="dxa"/>
              <w:left w:w="108" w:type="dxa"/>
              <w:bottom w:w="0" w:type="dxa"/>
              <w:right w:w="108" w:type="dxa"/>
            </w:tcMar>
          </w:tcPr>
          <w:p w14:paraId="02958D41" w14:textId="4A6504DD" w:rsidR="008E5B13" w:rsidRPr="00D22D61" w:rsidRDefault="008E5B13" w:rsidP="008E5B13">
            <w:pPr>
              <w:pStyle w:val="Tabletext0"/>
              <w:rPr>
                <w:szCs w:val="20"/>
              </w:rPr>
            </w:pPr>
            <w:r w:rsidRPr="00D22D61">
              <w:rPr>
                <w:szCs w:val="20"/>
              </w:rPr>
              <w:t xml:space="preserve">Use lower CI for mean difference in BMI </w:t>
            </w:r>
          </w:p>
        </w:tc>
        <w:tc>
          <w:tcPr>
            <w:tcW w:w="2215" w:type="dxa"/>
            <w:tcMar>
              <w:top w:w="0" w:type="dxa"/>
              <w:left w:w="108" w:type="dxa"/>
              <w:bottom w:w="0" w:type="dxa"/>
              <w:right w:w="108" w:type="dxa"/>
            </w:tcMar>
            <w:vAlign w:val="center"/>
          </w:tcPr>
          <w:p w14:paraId="3E58B39B" w14:textId="24E3967E" w:rsidR="008E5B13" w:rsidRPr="00D22D61" w:rsidRDefault="00CD78E1" w:rsidP="00E77FEF">
            <w:pPr>
              <w:pStyle w:val="Tabletext0"/>
              <w:jc w:val="center"/>
              <w:rPr>
                <w:szCs w:val="20"/>
              </w:rPr>
            </w:pPr>
            <w:r w:rsidRPr="00D22D61">
              <w:rPr>
                <w:szCs w:val="20"/>
              </w:rPr>
              <w:t>$</w:t>
            </w:r>
            <w:r w:rsidR="001F207D" w:rsidRPr="001F207D">
              <w:rPr>
                <w:color w:val="000000"/>
                <w:szCs w:val="20"/>
                <w:shd w:val="solid" w:color="000000" w:fill="000000"/>
                <w14:textFill>
                  <w14:solidFill>
                    <w14:srgbClr w14:val="000000">
                      <w14:alpha w14:val="100000"/>
                    </w14:srgbClr>
                  </w14:solidFill>
                </w14:textFill>
              </w:rPr>
              <w:t>|</w:t>
            </w:r>
            <w:r w:rsidR="00384449" w:rsidRPr="001B035F">
              <w:rPr>
                <w:rFonts w:cs="Arial Narrow"/>
                <w:sz w:val="18"/>
                <w:szCs w:val="18"/>
                <w:vertAlign w:val="superscript"/>
              </w:rPr>
              <w:t>1</w:t>
            </w:r>
            <w:r w:rsidR="004A0601">
              <w:rPr>
                <w:rFonts w:cs="Arial Narrow"/>
                <w:sz w:val="18"/>
                <w:szCs w:val="18"/>
                <w:vertAlign w:val="superscript"/>
              </w:rPr>
              <w:t xml:space="preserve"> </w:t>
            </w:r>
            <w:r w:rsidRPr="00D22D61">
              <w:rPr>
                <w:szCs w:val="20"/>
              </w:rPr>
              <w:t>(-13%)</w:t>
            </w:r>
          </w:p>
        </w:tc>
        <w:tc>
          <w:tcPr>
            <w:tcW w:w="1833" w:type="dxa"/>
            <w:gridSpan w:val="2"/>
            <w:tcMar>
              <w:top w:w="0" w:type="dxa"/>
              <w:left w:w="108" w:type="dxa"/>
              <w:bottom w:w="0" w:type="dxa"/>
              <w:right w:w="108" w:type="dxa"/>
            </w:tcMar>
            <w:vAlign w:val="center"/>
          </w:tcPr>
          <w:p w14:paraId="6BEF159A" w14:textId="4342506D" w:rsidR="008E5B13" w:rsidRPr="00D22D61" w:rsidRDefault="00363E6D" w:rsidP="00E77FEF">
            <w:pPr>
              <w:pStyle w:val="Tabletext0"/>
              <w:jc w:val="center"/>
              <w:rPr>
                <w:szCs w:val="20"/>
              </w:rPr>
            </w:pPr>
            <w:r w:rsidRPr="00D22D61">
              <w:rPr>
                <w:szCs w:val="20"/>
              </w:rPr>
              <w:t>$</w:t>
            </w:r>
            <w:r w:rsidR="001F207D" w:rsidRPr="001F207D">
              <w:rPr>
                <w:rFonts w:hint="eastAsia"/>
                <w:color w:val="000000"/>
                <w:w w:val="15"/>
                <w:szCs w:val="20"/>
                <w:shd w:val="solid" w:color="000000" w:fill="000000"/>
                <w:fitText w:val="30" w:id="-1168382451"/>
                <w14:textFill>
                  <w14:solidFill>
                    <w14:srgbClr w14:val="000000">
                      <w14:alpha w14:val="100000"/>
                    </w14:srgbClr>
                  </w14:solidFill>
                </w14:textFill>
              </w:rPr>
              <w:t xml:space="preserve">　</w:t>
            </w:r>
            <w:r w:rsidR="001F207D" w:rsidRPr="001F207D">
              <w:rPr>
                <w:color w:val="000000"/>
                <w:w w:val="15"/>
                <w:szCs w:val="20"/>
                <w:shd w:val="solid" w:color="000000" w:fill="000000"/>
                <w:fitText w:val="30" w:id="-1168382451"/>
                <w14:textFill>
                  <w14:solidFill>
                    <w14:srgbClr w14:val="000000">
                      <w14:alpha w14:val="100000"/>
                    </w14:srgbClr>
                  </w14:solidFill>
                </w14:textFill>
              </w:rPr>
              <w:t>|</w:t>
            </w:r>
            <w:r w:rsidR="001F207D" w:rsidRPr="001F207D">
              <w:rPr>
                <w:rFonts w:hint="eastAsia"/>
                <w:color w:val="000000"/>
                <w:spacing w:val="-45"/>
                <w:w w:val="15"/>
                <w:szCs w:val="20"/>
                <w:shd w:val="solid" w:color="000000" w:fill="000000"/>
                <w:fitText w:val="30" w:id="-1168382451"/>
                <w14:textFill>
                  <w14:solidFill>
                    <w14:srgbClr w14:val="000000">
                      <w14:alpha w14:val="100000"/>
                    </w14:srgbClr>
                  </w14:solidFill>
                </w14:textFill>
              </w:rPr>
              <w:t xml:space="preserve">　</w:t>
            </w:r>
            <w:r w:rsidR="00746B1E" w:rsidRPr="001B035F">
              <w:rPr>
                <w:rFonts w:cs="Arial Narrow"/>
                <w:sz w:val="18"/>
                <w:szCs w:val="18"/>
                <w:vertAlign w:val="superscript"/>
              </w:rPr>
              <w:t>6</w:t>
            </w:r>
            <w:r w:rsidRPr="00D22D61">
              <w:rPr>
                <w:szCs w:val="20"/>
              </w:rPr>
              <w:t xml:space="preserve"> (-4%)</w:t>
            </w:r>
          </w:p>
        </w:tc>
        <w:tc>
          <w:tcPr>
            <w:tcW w:w="1862" w:type="dxa"/>
            <w:gridSpan w:val="2"/>
            <w:tcMar>
              <w:top w:w="0" w:type="dxa"/>
              <w:left w:w="108" w:type="dxa"/>
              <w:bottom w:w="0" w:type="dxa"/>
              <w:right w:w="108" w:type="dxa"/>
            </w:tcMar>
            <w:vAlign w:val="center"/>
          </w:tcPr>
          <w:p w14:paraId="3E0DC82C" w14:textId="12BFAC6A" w:rsidR="008E5B13" w:rsidRPr="00D22D61" w:rsidRDefault="0020366B" w:rsidP="00E77FEF">
            <w:pPr>
              <w:pStyle w:val="Tabletext0"/>
              <w:jc w:val="center"/>
              <w:rPr>
                <w:szCs w:val="20"/>
              </w:rPr>
            </w:pPr>
            <w:r w:rsidRPr="00D22D61">
              <w:rPr>
                <w:szCs w:val="20"/>
              </w:rPr>
              <w:t>$</w:t>
            </w:r>
            <w:r w:rsidR="001F207D" w:rsidRPr="00C06886">
              <w:rPr>
                <w:rFonts w:hint="eastAsia"/>
                <w:color w:val="000000"/>
                <w:w w:val="15"/>
                <w:szCs w:val="20"/>
                <w:shd w:val="solid" w:color="000000" w:fill="000000"/>
                <w:fitText w:val="15" w:id="-1168382450"/>
                <w14:textFill>
                  <w14:solidFill>
                    <w14:srgbClr w14:val="000000">
                      <w14:alpha w14:val="100000"/>
                    </w14:srgbClr>
                  </w14:solidFill>
                </w14:textFill>
              </w:rPr>
              <w:t xml:space="preserve">　</w:t>
            </w:r>
            <w:r w:rsidR="001F207D" w:rsidRPr="00C06886">
              <w:rPr>
                <w:color w:val="000000"/>
                <w:w w:val="15"/>
                <w:szCs w:val="20"/>
                <w:shd w:val="solid" w:color="000000" w:fill="000000"/>
                <w:fitText w:val="15" w:id="-1168382450"/>
                <w14:textFill>
                  <w14:solidFill>
                    <w14:srgbClr w14:val="000000">
                      <w14:alpha w14:val="100000"/>
                    </w14:srgbClr>
                  </w14:solidFill>
                </w14:textFill>
              </w:rPr>
              <w:t>|</w:t>
            </w:r>
            <w:r w:rsidR="001F207D" w:rsidRPr="00C06886">
              <w:rPr>
                <w:rFonts w:hint="eastAsia"/>
                <w:color w:val="000000"/>
                <w:spacing w:val="-50"/>
                <w:w w:val="15"/>
                <w:szCs w:val="20"/>
                <w:shd w:val="solid" w:color="000000" w:fill="000000"/>
                <w:fitText w:val="15" w:id="-1168382450"/>
                <w14:textFill>
                  <w14:solidFill>
                    <w14:srgbClr w14:val="000000">
                      <w14:alpha w14:val="100000"/>
                    </w14:srgbClr>
                  </w14:solidFill>
                </w14:textFill>
              </w:rPr>
              <w:t xml:space="preserve">　</w:t>
            </w:r>
            <w:r w:rsidR="00746B1E" w:rsidRPr="001B035F">
              <w:rPr>
                <w:rFonts w:cs="Arial Narrow"/>
                <w:sz w:val="18"/>
                <w:szCs w:val="18"/>
                <w:vertAlign w:val="superscript"/>
              </w:rPr>
              <w:t>7</w:t>
            </w:r>
            <w:r w:rsidRPr="00D22D61">
              <w:rPr>
                <w:szCs w:val="20"/>
              </w:rPr>
              <w:t xml:space="preserve"> (-3%)</w:t>
            </w:r>
          </w:p>
        </w:tc>
      </w:tr>
      <w:tr w:rsidR="008E5B13" w:rsidRPr="00D22D61" w14:paraId="61AA397B" w14:textId="77777777" w:rsidTr="001B035F">
        <w:tc>
          <w:tcPr>
            <w:tcW w:w="3119" w:type="dxa"/>
            <w:tcMar>
              <w:top w:w="0" w:type="dxa"/>
              <w:left w:w="108" w:type="dxa"/>
              <w:bottom w:w="0" w:type="dxa"/>
              <w:right w:w="108" w:type="dxa"/>
            </w:tcMar>
          </w:tcPr>
          <w:p w14:paraId="5580A300" w14:textId="20787B30" w:rsidR="008E5B13" w:rsidRPr="00D22D61" w:rsidRDefault="008E5B13" w:rsidP="008E5B13">
            <w:pPr>
              <w:pStyle w:val="Tabletext0"/>
              <w:rPr>
                <w:szCs w:val="20"/>
              </w:rPr>
            </w:pPr>
            <w:r w:rsidRPr="00D22D61">
              <w:rPr>
                <w:szCs w:val="20"/>
              </w:rPr>
              <w:t xml:space="preserve">Use upper CI for mean difference in BMI </w:t>
            </w:r>
          </w:p>
        </w:tc>
        <w:tc>
          <w:tcPr>
            <w:tcW w:w="2215" w:type="dxa"/>
            <w:tcMar>
              <w:top w:w="0" w:type="dxa"/>
              <w:left w:w="108" w:type="dxa"/>
              <w:bottom w:w="0" w:type="dxa"/>
              <w:right w:w="108" w:type="dxa"/>
            </w:tcMar>
            <w:vAlign w:val="center"/>
          </w:tcPr>
          <w:p w14:paraId="42FA08F9" w14:textId="72B67C5D" w:rsidR="008E5B13" w:rsidRPr="00D22D61" w:rsidRDefault="00CD78E1" w:rsidP="00E77FEF">
            <w:pPr>
              <w:pStyle w:val="Tabletext0"/>
              <w:jc w:val="center"/>
              <w:rPr>
                <w:szCs w:val="20"/>
              </w:rPr>
            </w:pPr>
            <w:r w:rsidRPr="00D22D61">
              <w:rPr>
                <w:szCs w:val="20"/>
              </w:rPr>
              <w:t>$</w:t>
            </w:r>
            <w:r w:rsidR="001F207D" w:rsidRPr="001F207D">
              <w:rPr>
                <w:color w:val="000000"/>
                <w:szCs w:val="20"/>
                <w:shd w:val="solid" w:color="000000" w:fill="000000"/>
                <w14:textFill>
                  <w14:solidFill>
                    <w14:srgbClr w14:val="000000">
                      <w14:alpha w14:val="100000"/>
                    </w14:srgbClr>
                  </w14:solidFill>
                </w14:textFill>
              </w:rPr>
              <w:t>|</w:t>
            </w:r>
            <w:r w:rsidR="00384449" w:rsidRPr="001B035F">
              <w:rPr>
                <w:rFonts w:cs="Arial Narrow"/>
                <w:sz w:val="18"/>
                <w:szCs w:val="18"/>
                <w:vertAlign w:val="superscript"/>
              </w:rPr>
              <w:t>3</w:t>
            </w:r>
            <w:r w:rsidR="004A0601">
              <w:rPr>
                <w:rFonts w:cs="Arial Narrow"/>
                <w:sz w:val="18"/>
                <w:szCs w:val="18"/>
                <w:vertAlign w:val="superscript"/>
              </w:rPr>
              <w:t xml:space="preserve"> </w:t>
            </w:r>
            <w:r w:rsidRPr="00D22D61">
              <w:rPr>
                <w:szCs w:val="20"/>
              </w:rPr>
              <w:t>(+10%)</w:t>
            </w:r>
          </w:p>
        </w:tc>
        <w:tc>
          <w:tcPr>
            <w:tcW w:w="1833" w:type="dxa"/>
            <w:gridSpan w:val="2"/>
            <w:tcMar>
              <w:top w:w="0" w:type="dxa"/>
              <w:left w:w="108" w:type="dxa"/>
              <w:bottom w:w="0" w:type="dxa"/>
              <w:right w:w="108" w:type="dxa"/>
            </w:tcMar>
            <w:vAlign w:val="center"/>
          </w:tcPr>
          <w:p w14:paraId="0D37075C" w14:textId="24CF0763" w:rsidR="008E5B13" w:rsidRPr="00D22D61" w:rsidRDefault="00363E6D" w:rsidP="00E77FEF">
            <w:pPr>
              <w:pStyle w:val="Tabletext0"/>
              <w:jc w:val="center"/>
              <w:rPr>
                <w:szCs w:val="20"/>
              </w:rPr>
            </w:pPr>
            <w:r w:rsidRPr="00D22D61">
              <w:rPr>
                <w:szCs w:val="20"/>
              </w:rPr>
              <w:t>$</w:t>
            </w:r>
            <w:r w:rsidR="001F207D" w:rsidRPr="001F207D">
              <w:rPr>
                <w:rFonts w:hint="eastAsia"/>
                <w:color w:val="000000"/>
                <w:w w:val="15"/>
                <w:szCs w:val="20"/>
                <w:shd w:val="solid" w:color="000000" w:fill="000000"/>
                <w:fitText w:val="45" w:id="-1168382449"/>
                <w14:textFill>
                  <w14:solidFill>
                    <w14:srgbClr w14:val="000000">
                      <w14:alpha w14:val="100000"/>
                    </w14:srgbClr>
                  </w14:solidFill>
                </w14:textFill>
              </w:rPr>
              <w:t xml:space="preserve">　</w:t>
            </w:r>
            <w:r w:rsidR="001F207D" w:rsidRPr="001F207D">
              <w:rPr>
                <w:color w:val="000000"/>
                <w:w w:val="15"/>
                <w:szCs w:val="20"/>
                <w:shd w:val="solid" w:color="000000" w:fill="000000"/>
                <w:fitText w:val="45" w:id="-1168382449"/>
                <w14:textFill>
                  <w14:solidFill>
                    <w14:srgbClr w14:val="000000">
                      <w14:alpha w14:val="100000"/>
                    </w14:srgbClr>
                  </w14:solidFill>
                </w14:textFill>
              </w:rPr>
              <w:t>|</w:t>
            </w:r>
            <w:r w:rsidR="001F207D" w:rsidRPr="001F207D">
              <w:rPr>
                <w:rFonts w:hint="eastAsia"/>
                <w:color w:val="000000"/>
                <w:spacing w:val="-30"/>
                <w:w w:val="15"/>
                <w:szCs w:val="20"/>
                <w:shd w:val="solid" w:color="000000" w:fill="000000"/>
                <w:fitText w:val="45" w:id="-1168382449"/>
                <w14:textFill>
                  <w14:solidFill>
                    <w14:srgbClr w14:val="000000">
                      <w14:alpha w14:val="100000"/>
                    </w14:srgbClr>
                  </w14:solidFill>
                </w14:textFill>
              </w:rPr>
              <w:t xml:space="preserve">　</w:t>
            </w:r>
            <w:r w:rsidR="00746B1E" w:rsidRPr="001B035F">
              <w:rPr>
                <w:rFonts w:cs="Arial Narrow"/>
                <w:sz w:val="18"/>
                <w:szCs w:val="18"/>
                <w:vertAlign w:val="superscript"/>
              </w:rPr>
              <w:t>6</w:t>
            </w:r>
            <w:r w:rsidRPr="00D22D61">
              <w:rPr>
                <w:szCs w:val="20"/>
              </w:rPr>
              <w:t xml:space="preserve"> (+4%)</w:t>
            </w:r>
          </w:p>
        </w:tc>
        <w:tc>
          <w:tcPr>
            <w:tcW w:w="1862" w:type="dxa"/>
            <w:gridSpan w:val="2"/>
            <w:tcMar>
              <w:top w:w="0" w:type="dxa"/>
              <w:left w:w="108" w:type="dxa"/>
              <w:bottom w:w="0" w:type="dxa"/>
              <w:right w:w="108" w:type="dxa"/>
            </w:tcMar>
            <w:vAlign w:val="center"/>
          </w:tcPr>
          <w:p w14:paraId="1D1FA283" w14:textId="7FFDCF29" w:rsidR="008E5B13" w:rsidRPr="00D22D61" w:rsidRDefault="0020366B" w:rsidP="00E77FEF">
            <w:pPr>
              <w:pStyle w:val="Tabletext0"/>
              <w:jc w:val="center"/>
              <w:rPr>
                <w:szCs w:val="20"/>
              </w:rPr>
            </w:pPr>
            <w:r w:rsidRPr="00D22D61">
              <w:rPr>
                <w:szCs w:val="20"/>
              </w:rPr>
              <w:t>$</w:t>
            </w:r>
            <w:r w:rsidR="001F207D" w:rsidRPr="001F207D">
              <w:rPr>
                <w:rFonts w:hint="eastAsia"/>
                <w:color w:val="000000"/>
                <w:w w:val="15"/>
                <w:szCs w:val="20"/>
                <w:shd w:val="solid" w:color="000000" w:fill="000000"/>
                <w:fitText w:val="30" w:id="-1168382448"/>
                <w14:textFill>
                  <w14:solidFill>
                    <w14:srgbClr w14:val="000000">
                      <w14:alpha w14:val="100000"/>
                    </w14:srgbClr>
                  </w14:solidFill>
                </w14:textFill>
              </w:rPr>
              <w:t xml:space="preserve">　</w:t>
            </w:r>
            <w:r w:rsidR="001F207D" w:rsidRPr="001F207D">
              <w:rPr>
                <w:color w:val="000000"/>
                <w:w w:val="15"/>
                <w:szCs w:val="20"/>
                <w:shd w:val="solid" w:color="000000" w:fill="000000"/>
                <w:fitText w:val="30" w:id="-1168382448"/>
                <w14:textFill>
                  <w14:solidFill>
                    <w14:srgbClr w14:val="000000">
                      <w14:alpha w14:val="100000"/>
                    </w14:srgbClr>
                  </w14:solidFill>
                </w14:textFill>
              </w:rPr>
              <w:t>|</w:t>
            </w:r>
            <w:r w:rsidR="001F207D" w:rsidRPr="001F207D">
              <w:rPr>
                <w:rFonts w:hint="eastAsia"/>
                <w:color w:val="000000"/>
                <w:spacing w:val="-45"/>
                <w:w w:val="15"/>
                <w:szCs w:val="20"/>
                <w:shd w:val="solid" w:color="000000" w:fill="000000"/>
                <w:fitText w:val="30" w:id="-1168382448"/>
                <w14:textFill>
                  <w14:solidFill>
                    <w14:srgbClr w14:val="000000">
                      <w14:alpha w14:val="100000"/>
                    </w14:srgbClr>
                  </w14:solidFill>
                </w14:textFill>
              </w:rPr>
              <w:t xml:space="preserve">　</w:t>
            </w:r>
            <w:r w:rsidR="00746B1E" w:rsidRPr="001B035F">
              <w:rPr>
                <w:rFonts w:cs="Arial Narrow"/>
                <w:sz w:val="18"/>
                <w:szCs w:val="18"/>
                <w:vertAlign w:val="superscript"/>
              </w:rPr>
              <w:t>7</w:t>
            </w:r>
            <w:r w:rsidRPr="00D22D61">
              <w:rPr>
                <w:szCs w:val="20"/>
              </w:rPr>
              <w:t xml:space="preserve"> (+7%)</w:t>
            </w:r>
          </w:p>
        </w:tc>
      </w:tr>
      <w:tr w:rsidR="008E5B13" w:rsidRPr="00D22D61" w14:paraId="7B9F8CD8" w14:textId="77777777" w:rsidTr="001B035F">
        <w:tc>
          <w:tcPr>
            <w:tcW w:w="3119" w:type="dxa"/>
            <w:tcMar>
              <w:top w:w="0" w:type="dxa"/>
              <w:left w:w="108" w:type="dxa"/>
              <w:bottom w:w="0" w:type="dxa"/>
              <w:right w:w="108" w:type="dxa"/>
            </w:tcMar>
          </w:tcPr>
          <w:p w14:paraId="6C656F86" w14:textId="28EE6B49" w:rsidR="008E5B13" w:rsidRPr="00D22D61" w:rsidRDefault="008E5B13" w:rsidP="008E5B13">
            <w:pPr>
              <w:pStyle w:val="Tabletext0"/>
              <w:rPr>
                <w:szCs w:val="20"/>
              </w:rPr>
            </w:pPr>
            <w:r w:rsidRPr="00D22D61">
              <w:rPr>
                <w:szCs w:val="20"/>
              </w:rPr>
              <w:lastRenderedPageBreak/>
              <w:t>Use treatment-regimen estimands for biomarkers reported in Valentine 2023 for SURPASS-2 trial</w:t>
            </w:r>
          </w:p>
        </w:tc>
        <w:tc>
          <w:tcPr>
            <w:tcW w:w="2215" w:type="dxa"/>
            <w:tcMar>
              <w:top w:w="0" w:type="dxa"/>
              <w:left w:w="108" w:type="dxa"/>
              <w:bottom w:w="0" w:type="dxa"/>
              <w:right w:w="108" w:type="dxa"/>
            </w:tcMar>
            <w:vAlign w:val="center"/>
          </w:tcPr>
          <w:p w14:paraId="0A74603E" w14:textId="548E91B1" w:rsidR="008E5B13" w:rsidRPr="00D22D61" w:rsidRDefault="001F35DB">
            <w:pPr>
              <w:pStyle w:val="Tabletext0"/>
              <w:jc w:val="center"/>
              <w:rPr>
                <w:szCs w:val="20"/>
              </w:rPr>
            </w:pPr>
            <w:r w:rsidRPr="00D22D61">
              <w:rPr>
                <w:szCs w:val="20"/>
              </w:rPr>
              <w:t>$</w:t>
            </w:r>
            <w:r w:rsidR="001F207D" w:rsidRPr="001F207D">
              <w:rPr>
                <w:color w:val="000000"/>
                <w:szCs w:val="20"/>
                <w:shd w:val="solid" w:color="000000" w:fill="000000"/>
                <w14:textFill>
                  <w14:solidFill>
                    <w14:srgbClr w14:val="000000">
                      <w14:alpha w14:val="100000"/>
                    </w14:srgbClr>
                  </w14:solidFill>
                </w14:textFill>
              </w:rPr>
              <w:t>|</w:t>
            </w:r>
            <w:r w:rsidR="00384449" w:rsidRPr="001B035F">
              <w:rPr>
                <w:rFonts w:cs="Arial Narrow"/>
                <w:sz w:val="18"/>
                <w:szCs w:val="18"/>
                <w:vertAlign w:val="superscript"/>
              </w:rPr>
              <w:t>5</w:t>
            </w:r>
            <w:r w:rsidRPr="00D22D61">
              <w:rPr>
                <w:szCs w:val="20"/>
              </w:rPr>
              <w:t xml:space="preserve"> (-38%)</w:t>
            </w:r>
          </w:p>
        </w:tc>
        <w:tc>
          <w:tcPr>
            <w:tcW w:w="1833" w:type="dxa"/>
            <w:gridSpan w:val="2"/>
            <w:tcMar>
              <w:top w:w="0" w:type="dxa"/>
              <w:left w:w="108" w:type="dxa"/>
              <w:bottom w:w="0" w:type="dxa"/>
              <w:right w:w="108" w:type="dxa"/>
            </w:tcMar>
            <w:vAlign w:val="center"/>
          </w:tcPr>
          <w:p w14:paraId="2D9CE80B" w14:textId="7078CC1B" w:rsidR="008E5B13" w:rsidRPr="00D22D61" w:rsidRDefault="001F35DB">
            <w:pPr>
              <w:pStyle w:val="Tabletext0"/>
              <w:jc w:val="center"/>
              <w:rPr>
                <w:szCs w:val="20"/>
              </w:rPr>
            </w:pPr>
            <w:r w:rsidRPr="00D22D61">
              <w:rPr>
                <w:szCs w:val="20"/>
              </w:rPr>
              <w:t>$</w:t>
            </w:r>
            <w:r w:rsidR="001F207D" w:rsidRPr="001F207D">
              <w:rPr>
                <w:rFonts w:hint="eastAsia"/>
                <w:color w:val="000000"/>
                <w:w w:val="20"/>
                <w:szCs w:val="20"/>
                <w:shd w:val="solid" w:color="000000" w:fill="000000"/>
                <w:fitText w:val="90" w:id="-1168382464"/>
                <w14:textFill>
                  <w14:solidFill>
                    <w14:srgbClr w14:val="000000">
                      <w14:alpha w14:val="100000"/>
                    </w14:srgbClr>
                  </w14:solidFill>
                </w14:textFill>
              </w:rPr>
              <w:t xml:space="preserve">　</w:t>
            </w:r>
            <w:r w:rsidR="001F207D" w:rsidRPr="001F207D">
              <w:rPr>
                <w:color w:val="000000"/>
                <w:w w:val="20"/>
                <w:szCs w:val="20"/>
                <w:shd w:val="solid" w:color="000000" w:fill="000000"/>
                <w:fitText w:val="90" w:id="-1168382464"/>
                <w14:textFill>
                  <w14:solidFill>
                    <w14:srgbClr w14:val="000000">
                      <w14:alpha w14:val="100000"/>
                    </w14:srgbClr>
                  </w14:solidFill>
                </w14:textFill>
              </w:rPr>
              <w:t>|</w:t>
            </w:r>
            <w:r w:rsidR="001F207D" w:rsidRPr="001F207D">
              <w:rPr>
                <w:rFonts w:hint="eastAsia"/>
                <w:color w:val="000000"/>
                <w:spacing w:val="3"/>
                <w:w w:val="20"/>
                <w:szCs w:val="20"/>
                <w:shd w:val="solid" w:color="000000" w:fill="000000"/>
                <w:fitText w:val="90" w:id="-1168382464"/>
                <w14:textFill>
                  <w14:solidFill>
                    <w14:srgbClr w14:val="000000">
                      <w14:alpha w14:val="100000"/>
                    </w14:srgbClr>
                  </w14:solidFill>
                </w14:textFill>
              </w:rPr>
              <w:t xml:space="preserve">　</w:t>
            </w:r>
            <w:r w:rsidR="00746B1E" w:rsidRPr="001B035F">
              <w:rPr>
                <w:rFonts w:cs="Arial Narrow"/>
                <w:sz w:val="18"/>
                <w:szCs w:val="18"/>
                <w:vertAlign w:val="superscript"/>
              </w:rPr>
              <w:t>6</w:t>
            </w:r>
            <w:r w:rsidRPr="00D22D61">
              <w:rPr>
                <w:szCs w:val="20"/>
              </w:rPr>
              <w:t xml:space="preserve"> (+15%)</w:t>
            </w:r>
          </w:p>
        </w:tc>
        <w:tc>
          <w:tcPr>
            <w:tcW w:w="1862" w:type="dxa"/>
            <w:gridSpan w:val="2"/>
            <w:tcMar>
              <w:top w:w="0" w:type="dxa"/>
              <w:left w:w="108" w:type="dxa"/>
              <w:bottom w:w="0" w:type="dxa"/>
              <w:right w:w="108" w:type="dxa"/>
            </w:tcMar>
            <w:vAlign w:val="center"/>
          </w:tcPr>
          <w:p w14:paraId="50C04839" w14:textId="6ACA4394" w:rsidR="008E5B13" w:rsidRPr="00D22D61" w:rsidRDefault="001F35DB">
            <w:pPr>
              <w:pStyle w:val="Tabletext0"/>
              <w:jc w:val="center"/>
              <w:rPr>
                <w:szCs w:val="20"/>
              </w:rPr>
            </w:pPr>
            <w:r w:rsidRPr="00D22D61">
              <w:rPr>
                <w:szCs w:val="20"/>
              </w:rPr>
              <w:t>$</w:t>
            </w:r>
            <w:r w:rsidR="001F207D" w:rsidRPr="001F207D">
              <w:rPr>
                <w:rFonts w:hint="eastAsia"/>
                <w:color w:val="000000"/>
                <w:w w:val="20"/>
                <w:szCs w:val="20"/>
                <w:shd w:val="solid" w:color="000000" w:fill="000000"/>
                <w:fitText w:val="90" w:id="-1168382463"/>
                <w14:textFill>
                  <w14:solidFill>
                    <w14:srgbClr w14:val="000000">
                      <w14:alpha w14:val="100000"/>
                    </w14:srgbClr>
                  </w14:solidFill>
                </w14:textFill>
              </w:rPr>
              <w:t xml:space="preserve">　</w:t>
            </w:r>
            <w:r w:rsidR="001F207D" w:rsidRPr="001F207D">
              <w:rPr>
                <w:color w:val="000000"/>
                <w:w w:val="20"/>
                <w:szCs w:val="20"/>
                <w:shd w:val="solid" w:color="000000" w:fill="000000"/>
                <w:fitText w:val="90" w:id="-1168382463"/>
                <w14:textFill>
                  <w14:solidFill>
                    <w14:srgbClr w14:val="000000">
                      <w14:alpha w14:val="100000"/>
                    </w14:srgbClr>
                  </w14:solidFill>
                </w14:textFill>
              </w:rPr>
              <w:t>|</w:t>
            </w:r>
            <w:r w:rsidR="001F207D" w:rsidRPr="001F207D">
              <w:rPr>
                <w:rFonts w:hint="eastAsia"/>
                <w:color w:val="000000"/>
                <w:spacing w:val="3"/>
                <w:w w:val="20"/>
                <w:szCs w:val="20"/>
                <w:shd w:val="solid" w:color="000000" w:fill="000000"/>
                <w:fitText w:val="90" w:id="-1168382463"/>
                <w14:textFill>
                  <w14:solidFill>
                    <w14:srgbClr w14:val="000000">
                      <w14:alpha w14:val="100000"/>
                    </w14:srgbClr>
                  </w14:solidFill>
                </w14:textFill>
              </w:rPr>
              <w:t xml:space="preserve">　</w:t>
            </w:r>
            <w:r w:rsidR="00746B1E" w:rsidRPr="001B035F">
              <w:rPr>
                <w:rFonts w:cs="Arial Narrow"/>
                <w:sz w:val="18"/>
                <w:szCs w:val="18"/>
                <w:vertAlign w:val="superscript"/>
              </w:rPr>
              <w:t>6</w:t>
            </w:r>
            <w:r w:rsidRPr="00D22D61">
              <w:rPr>
                <w:szCs w:val="20"/>
              </w:rPr>
              <w:t xml:space="preserve"> (+20%)</w:t>
            </w:r>
          </w:p>
        </w:tc>
      </w:tr>
      <w:tr w:rsidR="008E5B13" w:rsidRPr="00D22D61" w14:paraId="4866EF80" w14:textId="77777777" w:rsidTr="00253C04">
        <w:tc>
          <w:tcPr>
            <w:tcW w:w="9029" w:type="dxa"/>
            <w:gridSpan w:val="6"/>
            <w:tcMar>
              <w:top w:w="0" w:type="dxa"/>
              <w:left w:w="108" w:type="dxa"/>
              <w:bottom w:w="0" w:type="dxa"/>
              <w:right w:w="108" w:type="dxa"/>
            </w:tcMar>
          </w:tcPr>
          <w:p w14:paraId="6E01715D" w14:textId="07E530C8" w:rsidR="008E5B13" w:rsidRPr="00D22D61" w:rsidRDefault="008E5B13" w:rsidP="008E5B13">
            <w:pPr>
              <w:pStyle w:val="Tabletext0"/>
              <w:rPr>
                <w:b/>
                <w:szCs w:val="20"/>
              </w:rPr>
            </w:pPr>
            <w:r w:rsidRPr="00D22D61">
              <w:rPr>
                <w:b/>
                <w:szCs w:val="20"/>
              </w:rPr>
              <w:t xml:space="preserve">Insulin treatment (base case: insulin intensification steps when HbA1c &gt; 7.5%; insulin dose 40 IU/day </w:t>
            </w:r>
            <w:proofErr w:type="gramStart"/>
            <w:r w:rsidRPr="00D22D61">
              <w:rPr>
                <w:b/>
                <w:szCs w:val="20"/>
              </w:rPr>
              <w:t>second-line</w:t>
            </w:r>
            <w:proofErr w:type="gramEnd"/>
            <w:r w:rsidRPr="00D22D61">
              <w:rPr>
                <w:b/>
                <w:szCs w:val="20"/>
              </w:rPr>
              <w:t xml:space="preserve"> and 80 IU third-line, treatment effects for HbA1c and BMI based on Willis 2017; </w:t>
            </w:r>
            <w:r w:rsidRPr="00D22D61">
              <w:rPr>
                <w:b/>
                <w:bCs/>
                <w:szCs w:val="20"/>
              </w:rPr>
              <w:t>hypoglycaemia rates based on Fadini 2019</w:t>
            </w:r>
            <w:r w:rsidRPr="00D22D61">
              <w:rPr>
                <w:b/>
                <w:szCs w:val="20"/>
              </w:rPr>
              <w:t>)</w:t>
            </w:r>
          </w:p>
        </w:tc>
      </w:tr>
      <w:tr w:rsidR="008E5B13" w:rsidRPr="00D22D61" w14:paraId="34AF740F" w14:textId="77777777" w:rsidTr="001B035F">
        <w:tc>
          <w:tcPr>
            <w:tcW w:w="3119" w:type="dxa"/>
            <w:tcMar>
              <w:top w:w="0" w:type="dxa"/>
              <w:left w:w="108" w:type="dxa"/>
              <w:bottom w:w="0" w:type="dxa"/>
              <w:right w:w="108" w:type="dxa"/>
            </w:tcMar>
          </w:tcPr>
          <w:p w14:paraId="2FFEDEF0" w14:textId="3332D52F" w:rsidR="008E5B13" w:rsidRPr="00D22D61" w:rsidRDefault="008E5B13" w:rsidP="008E5B13">
            <w:pPr>
              <w:pStyle w:val="Tabletext0"/>
              <w:rPr>
                <w:szCs w:val="20"/>
              </w:rPr>
            </w:pPr>
            <w:r w:rsidRPr="00D22D61">
              <w:rPr>
                <w:szCs w:val="20"/>
              </w:rPr>
              <w:t>Insulin intensification at HbA1c 8.0%</w:t>
            </w:r>
          </w:p>
        </w:tc>
        <w:tc>
          <w:tcPr>
            <w:tcW w:w="2233" w:type="dxa"/>
            <w:gridSpan w:val="2"/>
            <w:tcMar>
              <w:top w:w="0" w:type="dxa"/>
              <w:left w:w="108" w:type="dxa"/>
              <w:bottom w:w="0" w:type="dxa"/>
              <w:right w:w="108" w:type="dxa"/>
            </w:tcMar>
            <w:vAlign w:val="center"/>
          </w:tcPr>
          <w:p w14:paraId="5FBB6411" w14:textId="6B6B07ED" w:rsidR="008E5B13" w:rsidRPr="00D22D61" w:rsidRDefault="001F1E25" w:rsidP="008E5B13">
            <w:pPr>
              <w:pStyle w:val="Tabletext0"/>
              <w:jc w:val="center"/>
              <w:rPr>
                <w:szCs w:val="20"/>
              </w:rPr>
            </w:pPr>
            <w:r w:rsidRPr="00D22D61">
              <w:rPr>
                <w:szCs w:val="20"/>
              </w:rPr>
              <w:t>$</w:t>
            </w:r>
            <w:r w:rsidR="001F207D" w:rsidRPr="001F207D">
              <w:rPr>
                <w:color w:val="000000"/>
                <w:szCs w:val="20"/>
                <w:shd w:val="solid" w:color="000000" w:fill="000000"/>
                <w14:textFill>
                  <w14:solidFill>
                    <w14:srgbClr w14:val="000000">
                      <w14:alpha w14:val="100000"/>
                    </w14:srgbClr>
                  </w14:solidFill>
                </w14:textFill>
              </w:rPr>
              <w:t>|</w:t>
            </w:r>
            <w:r w:rsidR="00DE596E" w:rsidRPr="001B035F">
              <w:rPr>
                <w:rFonts w:cs="Arial Narrow"/>
                <w:sz w:val="18"/>
                <w:szCs w:val="18"/>
                <w:vertAlign w:val="superscript"/>
              </w:rPr>
              <w:t>4</w:t>
            </w:r>
            <w:r w:rsidR="00401DB2">
              <w:rPr>
                <w:rFonts w:cs="Arial Narrow"/>
                <w:sz w:val="18"/>
                <w:szCs w:val="18"/>
                <w:vertAlign w:val="superscript"/>
              </w:rPr>
              <w:t xml:space="preserve"> </w:t>
            </w:r>
            <w:r w:rsidRPr="00D22D61">
              <w:rPr>
                <w:szCs w:val="20"/>
              </w:rPr>
              <w:t>(+31%)</w:t>
            </w:r>
          </w:p>
        </w:tc>
        <w:tc>
          <w:tcPr>
            <w:tcW w:w="1838" w:type="dxa"/>
            <w:gridSpan w:val="2"/>
            <w:tcMar>
              <w:top w:w="0" w:type="dxa"/>
              <w:left w:w="108" w:type="dxa"/>
              <w:bottom w:w="0" w:type="dxa"/>
              <w:right w:w="108" w:type="dxa"/>
            </w:tcMar>
            <w:vAlign w:val="center"/>
          </w:tcPr>
          <w:p w14:paraId="32FAD9EF" w14:textId="16B9ACF4" w:rsidR="008E5B13" w:rsidRPr="00D22D61" w:rsidRDefault="00363E6D" w:rsidP="008E5B13">
            <w:pPr>
              <w:pStyle w:val="Tabletext0"/>
              <w:jc w:val="center"/>
              <w:rPr>
                <w:szCs w:val="20"/>
              </w:rPr>
            </w:pPr>
            <w:r w:rsidRPr="00D22D61">
              <w:rPr>
                <w:szCs w:val="20"/>
              </w:rPr>
              <w:t>$</w:t>
            </w:r>
            <w:r w:rsidR="001F207D" w:rsidRPr="001F207D">
              <w:rPr>
                <w:rFonts w:hint="eastAsia"/>
                <w:color w:val="000000"/>
                <w:w w:val="23"/>
                <w:szCs w:val="20"/>
                <w:shd w:val="solid" w:color="000000" w:fill="000000"/>
                <w:fitText w:val="105" w:id="-1168382462"/>
                <w14:textFill>
                  <w14:solidFill>
                    <w14:srgbClr w14:val="000000">
                      <w14:alpha w14:val="100000"/>
                    </w14:srgbClr>
                  </w14:solidFill>
                </w14:textFill>
              </w:rPr>
              <w:t xml:space="preserve">　</w:t>
            </w:r>
            <w:r w:rsidR="001F207D" w:rsidRPr="001F207D">
              <w:rPr>
                <w:color w:val="000000"/>
                <w:w w:val="23"/>
                <w:szCs w:val="20"/>
                <w:shd w:val="solid" w:color="000000" w:fill="000000"/>
                <w:fitText w:val="105" w:id="-1168382462"/>
                <w14:textFill>
                  <w14:solidFill>
                    <w14:srgbClr w14:val="000000">
                      <w14:alpha w14:val="100000"/>
                    </w14:srgbClr>
                  </w14:solidFill>
                </w14:textFill>
              </w:rPr>
              <w:t>|</w:t>
            </w:r>
            <w:r w:rsidR="001F207D" w:rsidRPr="001F207D">
              <w:rPr>
                <w:rFonts w:hint="eastAsia"/>
                <w:color w:val="000000"/>
                <w:spacing w:val="4"/>
                <w:w w:val="23"/>
                <w:szCs w:val="20"/>
                <w:shd w:val="solid" w:color="000000" w:fill="000000"/>
                <w:fitText w:val="105" w:id="-1168382462"/>
                <w14:textFill>
                  <w14:solidFill>
                    <w14:srgbClr w14:val="000000">
                      <w14:alpha w14:val="100000"/>
                    </w14:srgbClr>
                  </w14:solidFill>
                </w14:textFill>
              </w:rPr>
              <w:t xml:space="preserve">　</w:t>
            </w:r>
            <w:r w:rsidR="00DE596E" w:rsidRPr="001B035F">
              <w:rPr>
                <w:rFonts w:cs="Arial Narrow"/>
                <w:sz w:val="18"/>
                <w:szCs w:val="18"/>
                <w:vertAlign w:val="superscript"/>
              </w:rPr>
              <w:t>5</w:t>
            </w:r>
            <w:r w:rsidRPr="00D22D61">
              <w:rPr>
                <w:szCs w:val="20"/>
              </w:rPr>
              <w:t xml:space="preserve"> (+19%)</w:t>
            </w:r>
          </w:p>
        </w:tc>
        <w:tc>
          <w:tcPr>
            <w:tcW w:w="1839" w:type="dxa"/>
            <w:tcMar>
              <w:top w:w="0" w:type="dxa"/>
              <w:left w:w="108" w:type="dxa"/>
              <w:bottom w:w="0" w:type="dxa"/>
              <w:right w:w="108" w:type="dxa"/>
            </w:tcMar>
            <w:vAlign w:val="center"/>
          </w:tcPr>
          <w:p w14:paraId="562DC370" w14:textId="420277DA" w:rsidR="008E5B13" w:rsidRPr="00D22D61" w:rsidRDefault="006C180B" w:rsidP="008E5B13">
            <w:pPr>
              <w:pStyle w:val="Tabletext0"/>
              <w:jc w:val="center"/>
              <w:rPr>
                <w:szCs w:val="20"/>
              </w:rPr>
            </w:pPr>
            <w:r w:rsidRPr="00D22D61">
              <w:rPr>
                <w:szCs w:val="20"/>
              </w:rPr>
              <w:t>$</w:t>
            </w:r>
            <w:r w:rsidR="001F207D" w:rsidRPr="001F207D">
              <w:rPr>
                <w:rFonts w:hint="eastAsia"/>
                <w:color w:val="000000"/>
                <w:w w:val="23"/>
                <w:szCs w:val="20"/>
                <w:shd w:val="solid" w:color="000000" w:fill="000000"/>
                <w:fitText w:val="105" w:id="-1168382461"/>
                <w14:textFill>
                  <w14:solidFill>
                    <w14:srgbClr w14:val="000000">
                      <w14:alpha w14:val="100000"/>
                    </w14:srgbClr>
                  </w14:solidFill>
                </w14:textFill>
              </w:rPr>
              <w:t xml:space="preserve">　</w:t>
            </w:r>
            <w:r w:rsidR="001F207D" w:rsidRPr="001F207D">
              <w:rPr>
                <w:color w:val="000000"/>
                <w:w w:val="23"/>
                <w:szCs w:val="20"/>
                <w:shd w:val="solid" w:color="000000" w:fill="000000"/>
                <w:fitText w:val="105" w:id="-1168382461"/>
                <w14:textFill>
                  <w14:solidFill>
                    <w14:srgbClr w14:val="000000">
                      <w14:alpha w14:val="100000"/>
                    </w14:srgbClr>
                  </w14:solidFill>
                </w14:textFill>
              </w:rPr>
              <w:t>|</w:t>
            </w:r>
            <w:r w:rsidR="001F207D" w:rsidRPr="001F207D">
              <w:rPr>
                <w:rFonts w:hint="eastAsia"/>
                <w:color w:val="000000"/>
                <w:spacing w:val="4"/>
                <w:w w:val="23"/>
                <w:szCs w:val="20"/>
                <w:shd w:val="solid" w:color="000000" w:fill="000000"/>
                <w:fitText w:val="105" w:id="-1168382461"/>
                <w14:textFill>
                  <w14:solidFill>
                    <w14:srgbClr w14:val="000000">
                      <w14:alpha w14:val="100000"/>
                    </w14:srgbClr>
                  </w14:solidFill>
                </w14:textFill>
              </w:rPr>
              <w:t xml:space="preserve">　</w:t>
            </w:r>
            <w:r w:rsidR="00746B1E" w:rsidRPr="001B035F">
              <w:rPr>
                <w:rFonts w:cs="Arial Narrow"/>
                <w:sz w:val="18"/>
                <w:szCs w:val="18"/>
                <w:vertAlign w:val="superscript"/>
              </w:rPr>
              <w:t>6</w:t>
            </w:r>
            <w:r w:rsidRPr="00D22D61">
              <w:rPr>
                <w:szCs w:val="20"/>
              </w:rPr>
              <w:t xml:space="preserve"> (+19%)</w:t>
            </w:r>
          </w:p>
        </w:tc>
      </w:tr>
      <w:tr w:rsidR="008E5B13" w:rsidRPr="00D22D61" w14:paraId="01EBE229" w14:textId="77777777" w:rsidTr="001B035F">
        <w:tc>
          <w:tcPr>
            <w:tcW w:w="3119" w:type="dxa"/>
            <w:tcMar>
              <w:top w:w="0" w:type="dxa"/>
              <w:left w:w="108" w:type="dxa"/>
              <w:bottom w:w="0" w:type="dxa"/>
              <w:right w:w="108" w:type="dxa"/>
            </w:tcMar>
          </w:tcPr>
          <w:p w14:paraId="4A042B28" w14:textId="7EDC6212" w:rsidR="008E5B13" w:rsidRPr="00D22D61" w:rsidRDefault="008E5B13" w:rsidP="008E5B13">
            <w:pPr>
              <w:pStyle w:val="Tabletext0"/>
              <w:rPr>
                <w:szCs w:val="20"/>
              </w:rPr>
            </w:pPr>
            <w:r w:rsidRPr="00D22D61">
              <w:rPr>
                <w:szCs w:val="20"/>
              </w:rPr>
              <w:t>Insulin intensification at HbA1c 8.5%</w:t>
            </w:r>
          </w:p>
        </w:tc>
        <w:tc>
          <w:tcPr>
            <w:tcW w:w="2233" w:type="dxa"/>
            <w:gridSpan w:val="2"/>
            <w:tcMar>
              <w:top w:w="0" w:type="dxa"/>
              <w:left w:w="108" w:type="dxa"/>
              <w:bottom w:w="0" w:type="dxa"/>
              <w:right w:w="108" w:type="dxa"/>
            </w:tcMar>
            <w:vAlign w:val="center"/>
          </w:tcPr>
          <w:p w14:paraId="1CF870DB" w14:textId="7E66BC09" w:rsidR="008E5B13" w:rsidRPr="00D22D61" w:rsidRDefault="001F1E25" w:rsidP="008E5B13">
            <w:pPr>
              <w:pStyle w:val="Tabletext0"/>
              <w:jc w:val="center"/>
              <w:rPr>
                <w:szCs w:val="20"/>
              </w:rPr>
            </w:pPr>
            <w:r w:rsidRPr="00D22D61">
              <w:rPr>
                <w:szCs w:val="20"/>
              </w:rPr>
              <w:t>$</w:t>
            </w:r>
            <w:r w:rsidR="001F207D" w:rsidRPr="001F207D">
              <w:rPr>
                <w:color w:val="000000"/>
                <w:szCs w:val="20"/>
                <w:shd w:val="solid" w:color="000000" w:fill="000000"/>
                <w14:textFill>
                  <w14:solidFill>
                    <w14:srgbClr w14:val="000000">
                      <w14:alpha w14:val="100000"/>
                    </w14:srgbClr>
                  </w14:solidFill>
                </w14:textFill>
              </w:rPr>
              <w:t>|</w:t>
            </w:r>
            <w:r w:rsidR="00DE596E" w:rsidRPr="001B035F">
              <w:rPr>
                <w:rFonts w:cs="Arial Narrow"/>
                <w:sz w:val="18"/>
                <w:szCs w:val="18"/>
                <w:vertAlign w:val="superscript"/>
              </w:rPr>
              <w:t>4</w:t>
            </w:r>
            <w:r w:rsidR="00401DB2">
              <w:rPr>
                <w:rFonts w:cs="Arial Narrow"/>
                <w:sz w:val="18"/>
                <w:szCs w:val="18"/>
                <w:vertAlign w:val="superscript"/>
              </w:rPr>
              <w:t xml:space="preserve"> </w:t>
            </w:r>
            <w:r w:rsidRPr="00D22D61">
              <w:rPr>
                <w:szCs w:val="20"/>
              </w:rPr>
              <w:t>(+44%)</w:t>
            </w:r>
          </w:p>
        </w:tc>
        <w:tc>
          <w:tcPr>
            <w:tcW w:w="1838" w:type="dxa"/>
            <w:gridSpan w:val="2"/>
            <w:tcMar>
              <w:top w:w="0" w:type="dxa"/>
              <w:left w:w="108" w:type="dxa"/>
              <w:bottom w:w="0" w:type="dxa"/>
              <w:right w:w="108" w:type="dxa"/>
            </w:tcMar>
            <w:vAlign w:val="center"/>
          </w:tcPr>
          <w:p w14:paraId="020E3470" w14:textId="028DD289" w:rsidR="008E5B13" w:rsidRPr="00D22D61" w:rsidRDefault="0023313E" w:rsidP="008E5B13">
            <w:pPr>
              <w:pStyle w:val="Tabletext0"/>
              <w:jc w:val="center"/>
              <w:rPr>
                <w:szCs w:val="20"/>
              </w:rPr>
            </w:pPr>
            <w:r w:rsidRPr="00D22D61">
              <w:rPr>
                <w:szCs w:val="20"/>
              </w:rPr>
              <w:t>$</w:t>
            </w:r>
            <w:r w:rsidR="001F207D" w:rsidRPr="001F207D">
              <w:rPr>
                <w:rFonts w:hint="eastAsia"/>
                <w:color w:val="000000"/>
                <w:w w:val="23"/>
                <w:szCs w:val="20"/>
                <w:shd w:val="solid" w:color="000000" w:fill="000000"/>
                <w:fitText w:val="105" w:id="-1168382460"/>
                <w14:textFill>
                  <w14:solidFill>
                    <w14:srgbClr w14:val="000000">
                      <w14:alpha w14:val="100000"/>
                    </w14:srgbClr>
                  </w14:solidFill>
                </w14:textFill>
              </w:rPr>
              <w:t xml:space="preserve">　</w:t>
            </w:r>
            <w:r w:rsidR="001F207D" w:rsidRPr="001F207D">
              <w:rPr>
                <w:color w:val="000000"/>
                <w:w w:val="23"/>
                <w:szCs w:val="20"/>
                <w:shd w:val="solid" w:color="000000" w:fill="000000"/>
                <w:fitText w:val="105" w:id="-1168382460"/>
                <w14:textFill>
                  <w14:solidFill>
                    <w14:srgbClr w14:val="000000">
                      <w14:alpha w14:val="100000"/>
                    </w14:srgbClr>
                  </w14:solidFill>
                </w14:textFill>
              </w:rPr>
              <w:t>|</w:t>
            </w:r>
            <w:r w:rsidR="001F207D" w:rsidRPr="001F207D">
              <w:rPr>
                <w:rFonts w:hint="eastAsia"/>
                <w:color w:val="000000"/>
                <w:spacing w:val="4"/>
                <w:w w:val="23"/>
                <w:szCs w:val="20"/>
                <w:shd w:val="solid" w:color="000000" w:fill="000000"/>
                <w:fitText w:val="105" w:id="-1168382460"/>
                <w14:textFill>
                  <w14:solidFill>
                    <w14:srgbClr w14:val="000000">
                      <w14:alpha w14:val="100000"/>
                    </w14:srgbClr>
                  </w14:solidFill>
                </w14:textFill>
              </w:rPr>
              <w:t xml:space="preserve">　</w:t>
            </w:r>
            <w:r w:rsidR="00DE596E" w:rsidRPr="001B035F">
              <w:rPr>
                <w:rFonts w:cs="Arial Narrow"/>
                <w:sz w:val="18"/>
                <w:szCs w:val="18"/>
                <w:vertAlign w:val="superscript"/>
              </w:rPr>
              <w:t>5</w:t>
            </w:r>
            <w:r w:rsidRPr="00D22D61">
              <w:rPr>
                <w:szCs w:val="20"/>
              </w:rPr>
              <w:t xml:space="preserve"> (+47%)</w:t>
            </w:r>
          </w:p>
        </w:tc>
        <w:tc>
          <w:tcPr>
            <w:tcW w:w="1839" w:type="dxa"/>
            <w:tcMar>
              <w:top w:w="0" w:type="dxa"/>
              <w:left w:w="108" w:type="dxa"/>
              <w:bottom w:w="0" w:type="dxa"/>
              <w:right w:w="108" w:type="dxa"/>
            </w:tcMar>
            <w:vAlign w:val="center"/>
          </w:tcPr>
          <w:p w14:paraId="3CA786D1" w14:textId="37CC4A36" w:rsidR="008E5B13" w:rsidRPr="00D22D61" w:rsidRDefault="006C180B" w:rsidP="008E5B13">
            <w:pPr>
              <w:pStyle w:val="Tabletext0"/>
              <w:jc w:val="center"/>
              <w:rPr>
                <w:szCs w:val="20"/>
              </w:rPr>
            </w:pPr>
            <w:r w:rsidRPr="00D22D61">
              <w:rPr>
                <w:szCs w:val="20"/>
              </w:rPr>
              <w:t>$</w:t>
            </w:r>
            <w:r w:rsidR="001F207D" w:rsidRPr="001F207D">
              <w:rPr>
                <w:rFonts w:hint="eastAsia"/>
                <w:color w:val="000000"/>
                <w:w w:val="23"/>
                <w:szCs w:val="20"/>
                <w:shd w:val="solid" w:color="000000" w:fill="000000"/>
                <w:fitText w:val="105" w:id="-1168382459"/>
                <w14:textFill>
                  <w14:solidFill>
                    <w14:srgbClr w14:val="000000">
                      <w14:alpha w14:val="100000"/>
                    </w14:srgbClr>
                  </w14:solidFill>
                </w14:textFill>
              </w:rPr>
              <w:t xml:space="preserve">　</w:t>
            </w:r>
            <w:r w:rsidR="001F207D" w:rsidRPr="001F207D">
              <w:rPr>
                <w:color w:val="000000"/>
                <w:w w:val="23"/>
                <w:szCs w:val="20"/>
                <w:shd w:val="solid" w:color="000000" w:fill="000000"/>
                <w:fitText w:val="105" w:id="-1168382459"/>
                <w14:textFill>
                  <w14:solidFill>
                    <w14:srgbClr w14:val="000000">
                      <w14:alpha w14:val="100000"/>
                    </w14:srgbClr>
                  </w14:solidFill>
                </w14:textFill>
              </w:rPr>
              <w:t>|</w:t>
            </w:r>
            <w:r w:rsidR="001F207D" w:rsidRPr="001F207D">
              <w:rPr>
                <w:rFonts w:hint="eastAsia"/>
                <w:color w:val="000000"/>
                <w:spacing w:val="4"/>
                <w:w w:val="23"/>
                <w:szCs w:val="20"/>
                <w:shd w:val="solid" w:color="000000" w:fill="000000"/>
                <w:fitText w:val="105" w:id="-1168382459"/>
                <w14:textFill>
                  <w14:solidFill>
                    <w14:srgbClr w14:val="000000">
                      <w14:alpha w14:val="100000"/>
                    </w14:srgbClr>
                  </w14:solidFill>
                </w14:textFill>
              </w:rPr>
              <w:t xml:space="preserve">　</w:t>
            </w:r>
            <w:r w:rsidR="00746B1E" w:rsidRPr="001B035F">
              <w:rPr>
                <w:rFonts w:cs="Arial Narrow"/>
                <w:sz w:val="18"/>
                <w:szCs w:val="18"/>
                <w:vertAlign w:val="superscript"/>
              </w:rPr>
              <w:t>6</w:t>
            </w:r>
            <w:r w:rsidRPr="00D22D61">
              <w:rPr>
                <w:szCs w:val="20"/>
              </w:rPr>
              <w:t xml:space="preserve"> (+47%)</w:t>
            </w:r>
          </w:p>
        </w:tc>
      </w:tr>
      <w:tr w:rsidR="008E5B13" w:rsidRPr="00D22D61" w14:paraId="7FCEED6F" w14:textId="77777777" w:rsidTr="001B035F">
        <w:tc>
          <w:tcPr>
            <w:tcW w:w="3119" w:type="dxa"/>
            <w:tcMar>
              <w:top w:w="0" w:type="dxa"/>
              <w:left w:w="108" w:type="dxa"/>
              <w:bottom w:w="0" w:type="dxa"/>
              <w:right w:w="108" w:type="dxa"/>
            </w:tcMar>
          </w:tcPr>
          <w:p w14:paraId="7E3BF128" w14:textId="1FBAD9C2" w:rsidR="008E5B13" w:rsidRPr="00D22D61" w:rsidRDefault="008E5B13" w:rsidP="008E5B13">
            <w:pPr>
              <w:pStyle w:val="Tabletext0"/>
              <w:rPr>
                <w:szCs w:val="20"/>
              </w:rPr>
            </w:pPr>
            <w:r w:rsidRPr="00D22D61">
              <w:rPr>
                <w:szCs w:val="20"/>
              </w:rPr>
              <w:t>Reduce insulin hypoglycaemia rate to 400 per 100 patient years (severe or BG confirmed episodes from Fadini 2019)</w:t>
            </w:r>
          </w:p>
        </w:tc>
        <w:tc>
          <w:tcPr>
            <w:tcW w:w="2233" w:type="dxa"/>
            <w:gridSpan w:val="2"/>
            <w:tcMar>
              <w:top w:w="0" w:type="dxa"/>
              <w:left w:w="108" w:type="dxa"/>
              <w:bottom w:w="0" w:type="dxa"/>
              <w:right w:w="108" w:type="dxa"/>
            </w:tcMar>
            <w:vAlign w:val="center"/>
          </w:tcPr>
          <w:p w14:paraId="5C9F8BF5" w14:textId="46ACB8B9" w:rsidR="008E5B13" w:rsidRPr="00D22D61" w:rsidRDefault="001F1E25" w:rsidP="008E5B13">
            <w:pPr>
              <w:pStyle w:val="Tabletext0"/>
              <w:jc w:val="center"/>
              <w:rPr>
                <w:szCs w:val="20"/>
              </w:rPr>
            </w:pPr>
            <w:r w:rsidRPr="00D22D61">
              <w:rPr>
                <w:szCs w:val="20"/>
              </w:rPr>
              <w:t>$</w:t>
            </w:r>
            <w:r w:rsidR="001F207D" w:rsidRPr="001F207D">
              <w:rPr>
                <w:color w:val="000000"/>
                <w:szCs w:val="20"/>
                <w:shd w:val="solid" w:color="000000" w:fill="000000"/>
                <w14:textFill>
                  <w14:solidFill>
                    <w14:srgbClr w14:val="000000">
                      <w14:alpha w14:val="100000"/>
                    </w14:srgbClr>
                  </w14:solidFill>
                </w14:textFill>
              </w:rPr>
              <w:t>|</w:t>
            </w:r>
            <w:r w:rsidR="00DE596E" w:rsidRPr="001B035F">
              <w:rPr>
                <w:rFonts w:cs="Arial Narrow"/>
                <w:sz w:val="18"/>
                <w:szCs w:val="18"/>
                <w:vertAlign w:val="superscript"/>
              </w:rPr>
              <w:t>4</w:t>
            </w:r>
            <w:r w:rsidR="00401DB2">
              <w:rPr>
                <w:rFonts w:cs="Arial Narrow"/>
                <w:sz w:val="18"/>
                <w:szCs w:val="18"/>
                <w:vertAlign w:val="superscript"/>
              </w:rPr>
              <w:t xml:space="preserve"> </w:t>
            </w:r>
            <w:r w:rsidRPr="00D22D61">
              <w:rPr>
                <w:szCs w:val="20"/>
              </w:rPr>
              <w:t>(+30%)</w:t>
            </w:r>
          </w:p>
        </w:tc>
        <w:tc>
          <w:tcPr>
            <w:tcW w:w="1838" w:type="dxa"/>
            <w:gridSpan w:val="2"/>
            <w:tcMar>
              <w:top w:w="0" w:type="dxa"/>
              <w:left w:w="108" w:type="dxa"/>
              <w:bottom w:w="0" w:type="dxa"/>
              <w:right w:w="108" w:type="dxa"/>
            </w:tcMar>
            <w:vAlign w:val="center"/>
          </w:tcPr>
          <w:p w14:paraId="6FC91CBA" w14:textId="23565F93" w:rsidR="008E5B13" w:rsidRPr="00D22D61" w:rsidRDefault="0023313E" w:rsidP="008E5B13">
            <w:pPr>
              <w:pStyle w:val="Tabletext0"/>
              <w:jc w:val="center"/>
              <w:rPr>
                <w:szCs w:val="20"/>
              </w:rPr>
            </w:pPr>
            <w:r w:rsidRPr="00D22D61">
              <w:rPr>
                <w:szCs w:val="20"/>
              </w:rPr>
              <w:t>$</w:t>
            </w:r>
            <w:r w:rsidR="001F207D" w:rsidRPr="001F207D">
              <w:rPr>
                <w:rFonts w:hint="eastAsia"/>
                <w:color w:val="000000"/>
                <w:w w:val="23"/>
                <w:szCs w:val="20"/>
                <w:shd w:val="solid" w:color="000000" w:fill="000000"/>
                <w:fitText w:val="105" w:id="-1168382458"/>
                <w14:textFill>
                  <w14:solidFill>
                    <w14:srgbClr w14:val="000000">
                      <w14:alpha w14:val="100000"/>
                    </w14:srgbClr>
                  </w14:solidFill>
                </w14:textFill>
              </w:rPr>
              <w:t xml:space="preserve">　</w:t>
            </w:r>
            <w:r w:rsidR="001F207D" w:rsidRPr="001F207D">
              <w:rPr>
                <w:color w:val="000000"/>
                <w:w w:val="23"/>
                <w:szCs w:val="20"/>
                <w:shd w:val="solid" w:color="000000" w:fill="000000"/>
                <w:fitText w:val="105" w:id="-1168382458"/>
                <w14:textFill>
                  <w14:solidFill>
                    <w14:srgbClr w14:val="000000">
                      <w14:alpha w14:val="100000"/>
                    </w14:srgbClr>
                  </w14:solidFill>
                </w14:textFill>
              </w:rPr>
              <w:t>|</w:t>
            </w:r>
            <w:r w:rsidR="001F207D" w:rsidRPr="001F207D">
              <w:rPr>
                <w:rFonts w:hint="eastAsia"/>
                <w:color w:val="000000"/>
                <w:spacing w:val="4"/>
                <w:w w:val="23"/>
                <w:szCs w:val="20"/>
                <w:shd w:val="solid" w:color="000000" w:fill="000000"/>
                <w:fitText w:val="105" w:id="-1168382458"/>
                <w14:textFill>
                  <w14:solidFill>
                    <w14:srgbClr w14:val="000000">
                      <w14:alpha w14:val="100000"/>
                    </w14:srgbClr>
                  </w14:solidFill>
                </w14:textFill>
              </w:rPr>
              <w:t xml:space="preserve">　</w:t>
            </w:r>
            <w:r w:rsidR="00DE596E" w:rsidRPr="001B035F">
              <w:rPr>
                <w:rFonts w:cs="Arial Narrow"/>
                <w:sz w:val="18"/>
                <w:szCs w:val="18"/>
                <w:vertAlign w:val="superscript"/>
              </w:rPr>
              <w:t>5</w:t>
            </w:r>
            <w:r w:rsidRPr="00D22D61">
              <w:rPr>
                <w:szCs w:val="20"/>
              </w:rPr>
              <w:t xml:space="preserve"> (+30%)</w:t>
            </w:r>
          </w:p>
        </w:tc>
        <w:tc>
          <w:tcPr>
            <w:tcW w:w="1839" w:type="dxa"/>
            <w:tcMar>
              <w:top w:w="0" w:type="dxa"/>
              <w:left w:w="108" w:type="dxa"/>
              <w:bottom w:w="0" w:type="dxa"/>
              <w:right w:w="108" w:type="dxa"/>
            </w:tcMar>
            <w:vAlign w:val="center"/>
          </w:tcPr>
          <w:p w14:paraId="2CDB9AD0" w14:textId="7B561213" w:rsidR="008E5B13" w:rsidRPr="00D22D61" w:rsidRDefault="006C180B" w:rsidP="008E5B13">
            <w:pPr>
              <w:pStyle w:val="Tabletext0"/>
              <w:jc w:val="center"/>
              <w:rPr>
                <w:szCs w:val="20"/>
              </w:rPr>
            </w:pPr>
            <w:r w:rsidRPr="00D22D61">
              <w:rPr>
                <w:szCs w:val="20"/>
              </w:rPr>
              <w:t>$</w:t>
            </w:r>
            <w:r w:rsidR="001F207D" w:rsidRPr="001F207D">
              <w:rPr>
                <w:rFonts w:hint="eastAsia"/>
                <w:color w:val="000000"/>
                <w:w w:val="23"/>
                <w:szCs w:val="20"/>
                <w:shd w:val="solid" w:color="000000" w:fill="000000"/>
                <w:fitText w:val="105" w:id="-1168382457"/>
                <w14:textFill>
                  <w14:solidFill>
                    <w14:srgbClr w14:val="000000">
                      <w14:alpha w14:val="100000"/>
                    </w14:srgbClr>
                  </w14:solidFill>
                </w14:textFill>
              </w:rPr>
              <w:t xml:space="preserve">　</w:t>
            </w:r>
            <w:r w:rsidR="001F207D" w:rsidRPr="001F207D">
              <w:rPr>
                <w:color w:val="000000"/>
                <w:w w:val="23"/>
                <w:szCs w:val="20"/>
                <w:shd w:val="solid" w:color="000000" w:fill="000000"/>
                <w:fitText w:val="105" w:id="-1168382457"/>
                <w14:textFill>
                  <w14:solidFill>
                    <w14:srgbClr w14:val="000000">
                      <w14:alpha w14:val="100000"/>
                    </w14:srgbClr>
                  </w14:solidFill>
                </w14:textFill>
              </w:rPr>
              <w:t>|</w:t>
            </w:r>
            <w:r w:rsidR="001F207D" w:rsidRPr="001F207D">
              <w:rPr>
                <w:rFonts w:hint="eastAsia"/>
                <w:color w:val="000000"/>
                <w:spacing w:val="4"/>
                <w:w w:val="23"/>
                <w:szCs w:val="20"/>
                <w:shd w:val="solid" w:color="000000" w:fill="000000"/>
                <w:fitText w:val="105" w:id="-1168382457"/>
                <w14:textFill>
                  <w14:solidFill>
                    <w14:srgbClr w14:val="000000">
                      <w14:alpha w14:val="100000"/>
                    </w14:srgbClr>
                  </w14:solidFill>
                </w14:textFill>
              </w:rPr>
              <w:t xml:space="preserve">　</w:t>
            </w:r>
            <w:r w:rsidR="00746B1E" w:rsidRPr="001B035F">
              <w:rPr>
                <w:rFonts w:cs="Arial Narrow"/>
                <w:sz w:val="18"/>
                <w:szCs w:val="18"/>
                <w:vertAlign w:val="superscript"/>
              </w:rPr>
              <w:t>6</w:t>
            </w:r>
            <w:r w:rsidRPr="00D22D61">
              <w:rPr>
                <w:szCs w:val="20"/>
              </w:rPr>
              <w:t xml:space="preserve"> (+26%)</w:t>
            </w:r>
          </w:p>
        </w:tc>
      </w:tr>
      <w:tr w:rsidR="008E5B13" w:rsidRPr="00D22D61" w14:paraId="0168E423" w14:textId="77777777" w:rsidTr="001B035F">
        <w:tc>
          <w:tcPr>
            <w:tcW w:w="3119" w:type="dxa"/>
            <w:tcMar>
              <w:top w:w="0" w:type="dxa"/>
              <w:left w:w="108" w:type="dxa"/>
              <w:bottom w:w="0" w:type="dxa"/>
              <w:right w:w="108" w:type="dxa"/>
            </w:tcMar>
          </w:tcPr>
          <w:p w14:paraId="4077AD4A" w14:textId="324B9C8A" w:rsidR="008E5B13" w:rsidRPr="00D22D61" w:rsidRDefault="008E5B13" w:rsidP="008E5B13">
            <w:pPr>
              <w:pStyle w:val="Tabletext0"/>
              <w:rPr>
                <w:szCs w:val="20"/>
              </w:rPr>
            </w:pPr>
            <w:r w:rsidRPr="00D22D61">
              <w:rPr>
                <w:szCs w:val="20"/>
              </w:rPr>
              <w:t xml:space="preserve">Reduce insulin hypoglycaemia rate to 23 per 100 patient years (based on the SURPASS-4 </w:t>
            </w:r>
            <w:proofErr w:type="gramStart"/>
            <w:r w:rsidRPr="00D22D61">
              <w:rPr>
                <w:szCs w:val="20"/>
              </w:rPr>
              <w:t>trial)</w:t>
            </w:r>
            <w:r w:rsidRPr="00D22D61">
              <w:rPr>
                <w:szCs w:val="20"/>
                <w:vertAlign w:val="superscript"/>
              </w:rPr>
              <w:t>a</w:t>
            </w:r>
            <w:proofErr w:type="gramEnd"/>
          </w:p>
        </w:tc>
        <w:tc>
          <w:tcPr>
            <w:tcW w:w="2233" w:type="dxa"/>
            <w:gridSpan w:val="2"/>
            <w:tcMar>
              <w:top w:w="0" w:type="dxa"/>
              <w:left w:w="108" w:type="dxa"/>
              <w:bottom w:w="0" w:type="dxa"/>
              <w:right w:w="108" w:type="dxa"/>
            </w:tcMar>
            <w:vAlign w:val="center"/>
          </w:tcPr>
          <w:p w14:paraId="4A3FD45D" w14:textId="7ED7A031" w:rsidR="008E5B13" w:rsidRPr="00D22D61" w:rsidRDefault="001F1E25" w:rsidP="008E5B13">
            <w:pPr>
              <w:pStyle w:val="Tabletext0"/>
              <w:jc w:val="center"/>
              <w:rPr>
                <w:szCs w:val="20"/>
              </w:rPr>
            </w:pPr>
            <w:r w:rsidRPr="00D22D61">
              <w:rPr>
                <w:szCs w:val="20"/>
              </w:rPr>
              <w:t>$</w:t>
            </w:r>
            <w:r w:rsidR="001F207D" w:rsidRPr="001F207D">
              <w:rPr>
                <w:color w:val="000000"/>
                <w:szCs w:val="20"/>
                <w:shd w:val="solid" w:color="000000" w:fill="000000"/>
                <w14:textFill>
                  <w14:solidFill>
                    <w14:srgbClr w14:val="000000">
                      <w14:alpha w14:val="100000"/>
                    </w14:srgbClr>
                  </w14:solidFill>
                </w14:textFill>
              </w:rPr>
              <w:t>|</w:t>
            </w:r>
            <w:r w:rsidR="00DE596E" w:rsidRPr="001B035F">
              <w:rPr>
                <w:rFonts w:cs="Arial Narrow"/>
                <w:sz w:val="18"/>
                <w:szCs w:val="18"/>
                <w:vertAlign w:val="superscript"/>
              </w:rPr>
              <w:t>4</w:t>
            </w:r>
            <w:r w:rsidR="00401DB2">
              <w:rPr>
                <w:rFonts w:cs="Arial Narrow"/>
                <w:sz w:val="18"/>
                <w:szCs w:val="18"/>
                <w:vertAlign w:val="superscript"/>
              </w:rPr>
              <w:t xml:space="preserve"> </w:t>
            </w:r>
            <w:r w:rsidRPr="00D22D61">
              <w:rPr>
                <w:szCs w:val="20"/>
              </w:rPr>
              <w:t>(+46%)</w:t>
            </w:r>
          </w:p>
        </w:tc>
        <w:tc>
          <w:tcPr>
            <w:tcW w:w="1838" w:type="dxa"/>
            <w:gridSpan w:val="2"/>
            <w:tcMar>
              <w:top w:w="0" w:type="dxa"/>
              <w:left w:w="108" w:type="dxa"/>
              <w:bottom w:w="0" w:type="dxa"/>
              <w:right w:w="108" w:type="dxa"/>
            </w:tcMar>
            <w:vAlign w:val="center"/>
          </w:tcPr>
          <w:p w14:paraId="0DC2BD85" w14:textId="32C512A4" w:rsidR="008E5B13" w:rsidRPr="00D22D61" w:rsidRDefault="0023313E" w:rsidP="008E5B13">
            <w:pPr>
              <w:pStyle w:val="Tabletext0"/>
              <w:jc w:val="center"/>
              <w:rPr>
                <w:szCs w:val="20"/>
              </w:rPr>
            </w:pPr>
            <w:r w:rsidRPr="00D22D61">
              <w:rPr>
                <w:szCs w:val="20"/>
              </w:rPr>
              <w:t>$</w:t>
            </w:r>
            <w:r w:rsidR="001F207D" w:rsidRPr="001F207D">
              <w:rPr>
                <w:rFonts w:hint="eastAsia"/>
                <w:color w:val="000000"/>
                <w:w w:val="23"/>
                <w:szCs w:val="20"/>
                <w:shd w:val="solid" w:color="000000" w:fill="000000"/>
                <w:fitText w:val="105" w:id="-1168382456"/>
                <w14:textFill>
                  <w14:solidFill>
                    <w14:srgbClr w14:val="000000">
                      <w14:alpha w14:val="100000"/>
                    </w14:srgbClr>
                  </w14:solidFill>
                </w14:textFill>
              </w:rPr>
              <w:t xml:space="preserve">　</w:t>
            </w:r>
            <w:r w:rsidR="001F207D" w:rsidRPr="001F207D">
              <w:rPr>
                <w:color w:val="000000"/>
                <w:w w:val="23"/>
                <w:szCs w:val="20"/>
                <w:shd w:val="solid" w:color="000000" w:fill="000000"/>
                <w:fitText w:val="105" w:id="-1168382456"/>
                <w14:textFill>
                  <w14:solidFill>
                    <w14:srgbClr w14:val="000000">
                      <w14:alpha w14:val="100000"/>
                    </w14:srgbClr>
                  </w14:solidFill>
                </w14:textFill>
              </w:rPr>
              <w:t>|</w:t>
            </w:r>
            <w:r w:rsidR="001F207D" w:rsidRPr="001F207D">
              <w:rPr>
                <w:rFonts w:hint="eastAsia"/>
                <w:color w:val="000000"/>
                <w:spacing w:val="4"/>
                <w:w w:val="23"/>
                <w:szCs w:val="20"/>
                <w:shd w:val="solid" w:color="000000" w:fill="000000"/>
                <w:fitText w:val="105" w:id="-1168382456"/>
                <w14:textFill>
                  <w14:solidFill>
                    <w14:srgbClr w14:val="000000">
                      <w14:alpha w14:val="100000"/>
                    </w14:srgbClr>
                  </w14:solidFill>
                </w14:textFill>
              </w:rPr>
              <w:t xml:space="preserve">　</w:t>
            </w:r>
            <w:r w:rsidR="00DE596E" w:rsidRPr="001B035F">
              <w:rPr>
                <w:rFonts w:cs="Arial Narrow"/>
                <w:sz w:val="18"/>
                <w:szCs w:val="18"/>
                <w:vertAlign w:val="superscript"/>
              </w:rPr>
              <w:t>5</w:t>
            </w:r>
            <w:r w:rsidRPr="00D22D61">
              <w:rPr>
                <w:szCs w:val="20"/>
              </w:rPr>
              <w:t xml:space="preserve"> (+47%)</w:t>
            </w:r>
          </w:p>
        </w:tc>
        <w:tc>
          <w:tcPr>
            <w:tcW w:w="1839" w:type="dxa"/>
            <w:tcMar>
              <w:top w:w="0" w:type="dxa"/>
              <w:left w:w="108" w:type="dxa"/>
              <w:bottom w:w="0" w:type="dxa"/>
              <w:right w:w="108" w:type="dxa"/>
            </w:tcMar>
            <w:vAlign w:val="center"/>
          </w:tcPr>
          <w:p w14:paraId="62D43101" w14:textId="41D4062E" w:rsidR="008E5B13" w:rsidRPr="00D22D61" w:rsidRDefault="006C180B" w:rsidP="008E5B13">
            <w:pPr>
              <w:pStyle w:val="Tabletext0"/>
              <w:jc w:val="center"/>
              <w:rPr>
                <w:szCs w:val="20"/>
              </w:rPr>
            </w:pPr>
            <w:r w:rsidRPr="00D22D61">
              <w:rPr>
                <w:szCs w:val="20"/>
              </w:rPr>
              <w:t>$</w:t>
            </w:r>
            <w:r w:rsidR="001F207D" w:rsidRPr="001F207D">
              <w:rPr>
                <w:rFonts w:hint="eastAsia"/>
                <w:color w:val="000000"/>
                <w:w w:val="23"/>
                <w:szCs w:val="20"/>
                <w:shd w:val="solid" w:color="000000" w:fill="000000"/>
                <w:fitText w:val="105" w:id="-1168382455"/>
                <w14:textFill>
                  <w14:solidFill>
                    <w14:srgbClr w14:val="000000">
                      <w14:alpha w14:val="100000"/>
                    </w14:srgbClr>
                  </w14:solidFill>
                </w14:textFill>
              </w:rPr>
              <w:t xml:space="preserve">　</w:t>
            </w:r>
            <w:r w:rsidR="001F207D" w:rsidRPr="001F207D">
              <w:rPr>
                <w:color w:val="000000"/>
                <w:w w:val="23"/>
                <w:szCs w:val="20"/>
                <w:shd w:val="solid" w:color="000000" w:fill="000000"/>
                <w:fitText w:val="105" w:id="-1168382455"/>
                <w14:textFill>
                  <w14:solidFill>
                    <w14:srgbClr w14:val="000000">
                      <w14:alpha w14:val="100000"/>
                    </w14:srgbClr>
                  </w14:solidFill>
                </w14:textFill>
              </w:rPr>
              <w:t>|</w:t>
            </w:r>
            <w:r w:rsidR="001F207D" w:rsidRPr="001F207D">
              <w:rPr>
                <w:rFonts w:hint="eastAsia"/>
                <w:color w:val="000000"/>
                <w:spacing w:val="4"/>
                <w:w w:val="23"/>
                <w:szCs w:val="20"/>
                <w:shd w:val="solid" w:color="000000" w:fill="000000"/>
                <w:fitText w:val="105" w:id="-1168382455"/>
                <w14:textFill>
                  <w14:solidFill>
                    <w14:srgbClr w14:val="000000">
                      <w14:alpha w14:val="100000"/>
                    </w14:srgbClr>
                  </w14:solidFill>
                </w14:textFill>
              </w:rPr>
              <w:t xml:space="preserve">　</w:t>
            </w:r>
            <w:r w:rsidR="00746B1E" w:rsidRPr="001B035F">
              <w:rPr>
                <w:rFonts w:cs="Arial Narrow"/>
                <w:sz w:val="18"/>
                <w:szCs w:val="18"/>
                <w:vertAlign w:val="superscript"/>
              </w:rPr>
              <w:t>6</w:t>
            </w:r>
            <w:r w:rsidRPr="00D22D61">
              <w:rPr>
                <w:szCs w:val="20"/>
              </w:rPr>
              <w:t xml:space="preserve"> (+39%)</w:t>
            </w:r>
          </w:p>
        </w:tc>
      </w:tr>
      <w:tr w:rsidR="008E5B13" w:rsidRPr="00D22D61" w14:paraId="64A28A02" w14:textId="77777777" w:rsidTr="001B035F">
        <w:tc>
          <w:tcPr>
            <w:tcW w:w="3119" w:type="dxa"/>
            <w:tcMar>
              <w:top w:w="0" w:type="dxa"/>
              <w:left w:w="108" w:type="dxa"/>
              <w:bottom w:w="0" w:type="dxa"/>
              <w:right w:w="108" w:type="dxa"/>
            </w:tcMar>
          </w:tcPr>
          <w:p w14:paraId="3004C4FE" w14:textId="260A0048" w:rsidR="008E5B13" w:rsidRPr="00D22D61" w:rsidRDefault="008E5B13" w:rsidP="008E5B13">
            <w:pPr>
              <w:pStyle w:val="Tabletext0"/>
              <w:rPr>
                <w:szCs w:val="20"/>
              </w:rPr>
            </w:pPr>
            <w:r w:rsidRPr="00D22D61">
              <w:rPr>
                <w:szCs w:val="20"/>
              </w:rPr>
              <w:t>Assume that semaglutide will be continued after insulin intensification (no reversion to baseline, insulin effects applied in addition to semaglutide, costs of semaglutide maintained for duration of the model)</w:t>
            </w:r>
          </w:p>
        </w:tc>
        <w:tc>
          <w:tcPr>
            <w:tcW w:w="2233" w:type="dxa"/>
            <w:gridSpan w:val="2"/>
            <w:tcMar>
              <w:top w:w="0" w:type="dxa"/>
              <w:left w:w="108" w:type="dxa"/>
              <w:bottom w:w="0" w:type="dxa"/>
              <w:right w:w="108" w:type="dxa"/>
            </w:tcMar>
            <w:vAlign w:val="center"/>
          </w:tcPr>
          <w:p w14:paraId="265504EC" w14:textId="739CA98C" w:rsidR="00EC2D33" w:rsidRPr="00D22D61" w:rsidRDefault="001F1E25" w:rsidP="008E5B13">
            <w:pPr>
              <w:pStyle w:val="Tabletext0"/>
              <w:jc w:val="center"/>
              <w:rPr>
                <w:szCs w:val="20"/>
              </w:rPr>
            </w:pPr>
            <w:r w:rsidRPr="00D22D61">
              <w:rPr>
                <w:szCs w:val="20"/>
              </w:rPr>
              <w:t>$</w:t>
            </w:r>
            <w:r w:rsidR="001F207D" w:rsidRPr="001F207D">
              <w:rPr>
                <w:color w:val="000000"/>
                <w:spacing w:val="199"/>
                <w:szCs w:val="20"/>
                <w:shd w:val="solid" w:color="000000" w:fill="000000"/>
                <w:fitText w:val="285" w:id="-1168382454"/>
                <w14:textFill>
                  <w14:solidFill>
                    <w14:srgbClr w14:val="000000">
                      <w14:alpha w14:val="100000"/>
                    </w14:srgbClr>
                  </w14:solidFill>
                </w14:textFill>
              </w:rPr>
              <w:t>|</w:t>
            </w:r>
            <w:r w:rsidR="001F207D" w:rsidRPr="001F207D">
              <w:rPr>
                <w:color w:val="000000"/>
                <w:spacing w:val="1"/>
                <w:szCs w:val="20"/>
                <w:shd w:val="solid" w:color="000000" w:fill="000000"/>
                <w:fitText w:val="285" w:id="-1168382454"/>
                <w14:textFill>
                  <w14:solidFill>
                    <w14:srgbClr w14:val="000000">
                      <w14:alpha w14:val="100000"/>
                    </w14:srgbClr>
                  </w14:solidFill>
                </w14:textFill>
              </w:rPr>
              <w:t>|</w:t>
            </w:r>
            <w:r w:rsidR="00DE596E" w:rsidRPr="001B035F">
              <w:rPr>
                <w:rFonts w:cs="Arial Narrow"/>
                <w:sz w:val="18"/>
                <w:szCs w:val="18"/>
                <w:vertAlign w:val="superscript"/>
              </w:rPr>
              <w:t>6</w:t>
            </w:r>
            <w:r w:rsidRPr="00D22D61">
              <w:rPr>
                <w:szCs w:val="20"/>
              </w:rPr>
              <w:t xml:space="preserve"> savings per QALY foregone</w:t>
            </w:r>
          </w:p>
          <w:p w14:paraId="4206198B" w14:textId="64E7A941" w:rsidR="008E5B13" w:rsidRPr="00D22D61" w:rsidRDefault="001F1E25" w:rsidP="008E5B13">
            <w:pPr>
              <w:pStyle w:val="Tabletext0"/>
              <w:jc w:val="center"/>
              <w:rPr>
                <w:szCs w:val="20"/>
              </w:rPr>
            </w:pPr>
            <w:r w:rsidRPr="00D22D61">
              <w:rPr>
                <w:szCs w:val="20"/>
              </w:rPr>
              <w:t>(NE)</w:t>
            </w:r>
          </w:p>
        </w:tc>
        <w:tc>
          <w:tcPr>
            <w:tcW w:w="1838" w:type="dxa"/>
            <w:gridSpan w:val="2"/>
            <w:tcMar>
              <w:top w:w="0" w:type="dxa"/>
              <w:left w:w="108" w:type="dxa"/>
              <w:bottom w:w="0" w:type="dxa"/>
              <w:right w:w="108" w:type="dxa"/>
            </w:tcMar>
            <w:vAlign w:val="center"/>
          </w:tcPr>
          <w:p w14:paraId="1A71886B" w14:textId="27835850" w:rsidR="0023313E" w:rsidRPr="00D22D61" w:rsidRDefault="0023313E" w:rsidP="0023313E">
            <w:pPr>
              <w:pStyle w:val="Tabletext0"/>
              <w:jc w:val="center"/>
              <w:rPr>
                <w:szCs w:val="20"/>
              </w:rPr>
            </w:pPr>
            <w:r w:rsidRPr="00D22D61">
              <w:rPr>
                <w:szCs w:val="20"/>
              </w:rPr>
              <w:t>$</w:t>
            </w:r>
            <w:r w:rsidR="001F207D" w:rsidRPr="001F207D">
              <w:rPr>
                <w:color w:val="000000"/>
                <w:spacing w:val="154"/>
                <w:szCs w:val="20"/>
                <w:shd w:val="solid" w:color="000000" w:fill="000000"/>
                <w:fitText w:val="240" w:id="-1168382453"/>
                <w14:textFill>
                  <w14:solidFill>
                    <w14:srgbClr w14:val="000000">
                      <w14:alpha w14:val="100000"/>
                    </w14:srgbClr>
                  </w14:solidFill>
                </w14:textFill>
              </w:rPr>
              <w:t>|</w:t>
            </w:r>
            <w:r w:rsidR="001F207D" w:rsidRPr="001F207D">
              <w:rPr>
                <w:color w:val="000000"/>
                <w:spacing w:val="1"/>
                <w:szCs w:val="20"/>
                <w:shd w:val="solid" w:color="000000" w:fill="000000"/>
                <w:fitText w:val="240" w:id="-1168382453"/>
                <w14:textFill>
                  <w14:solidFill>
                    <w14:srgbClr w14:val="000000">
                      <w14:alpha w14:val="100000"/>
                    </w14:srgbClr>
                  </w14:solidFill>
                </w14:textFill>
              </w:rPr>
              <w:t>|</w:t>
            </w:r>
            <w:r w:rsidR="00DE596E" w:rsidRPr="001B035F">
              <w:rPr>
                <w:rFonts w:cs="Arial Narrow"/>
                <w:sz w:val="18"/>
                <w:szCs w:val="18"/>
                <w:vertAlign w:val="superscript"/>
              </w:rPr>
              <w:t>5</w:t>
            </w:r>
            <w:r w:rsidRPr="00D22D61">
              <w:rPr>
                <w:szCs w:val="20"/>
              </w:rPr>
              <w:t xml:space="preserve"> savings per</w:t>
            </w:r>
          </w:p>
          <w:p w14:paraId="3DFF830B" w14:textId="77777777" w:rsidR="008E5B13" w:rsidRPr="00D22D61" w:rsidRDefault="0023313E" w:rsidP="0023313E">
            <w:pPr>
              <w:pStyle w:val="Tabletext0"/>
              <w:jc w:val="center"/>
              <w:rPr>
                <w:szCs w:val="20"/>
              </w:rPr>
            </w:pPr>
            <w:r w:rsidRPr="00D22D61">
              <w:rPr>
                <w:szCs w:val="20"/>
              </w:rPr>
              <w:t xml:space="preserve"> QALY foregone</w:t>
            </w:r>
          </w:p>
          <w:p w14:paraId="7F0EC398" w14:textId="26D372CC" w:rsidR="0023313E" w:rsidRPr="00D22D61" w:rsidRDefault="0023313E" w:rsidP="0023313E">
            <w:pPr>
              <w:pStyle w:val="Tabletext0"/>
              <w:jc w:val="center"/>
              <w:rPr>
                <w:szCs w:val="20"/>
              </w:rPr>
            </w:pPr>
            <w:r w:rsidRPr="00D22D61">
              <w:rPr>
                <w:szCs w:val="20"/>
              </w:rPr>
              <w:t>(NE)</w:t>
            </w:r>
          </w:p>
        </w:tc>
        <w:tc>
          <w:tcPr>
            <w:tcW w:w="1839" w:type="dxa"/>
            <w:tcMar>
              <w:top w:w="0" w:type="dxa"/>
              <w:left w:w="108" w:type="dxa"/>
              <w:bottom w:w="0" w:type="dxa"/>
              <w:right w:w="108" w:type="dxa"/>
            </w:tcMar>
            <w:vAlign w:val="center"/>
          </w:tcPr>
          <w:p w14:paraId="04A30727" w14:textId="1F40B525" w:rsidR="006C180B" w:rsidRPr="00D22D61" w:rsidRDefault="006C180B" w:rsidP="006C180B">
            <w:pPr>
              <w:pStyle w:val="Tabletext0"/>
              <w:jc w:val="center"/>
              <w:rPr>
                <w:szCs w:val="20"/>
              </w:rPr>
            </w:pPr>
            <w:r w:rsidRPr="00D22D61">
              <w:rPr>
                <w:szCs w:val="20"/>
              </w:rPr>
              <w:t>$</w:t>
            </w:r>
            <w:r w:rsidR="001F207D" w:rsidRPr="001F207D">
              <w:rPr>
                <w:color w:val="000000"/>
                <w:spacing w:val="154"/>
                <w:szCs w:val="20"/>
                <w:shd w:val="solid" w:color="000000" w:fill="000000"/>
                <w:fitText w:val="240" w:id="-1168382452"/>
                <w14:textFill>
                  <w14:solidFill>
                    <w14:srgbClr w14:val="000000">
                      <w14:alpha w14:val="100000"/>
                    </w14:srgbClr>
                  </w14:solidFill>
                </w14:textFill>
              </w:rPr>
              <w:t>|</w:t>
            </w:r>
            <w:r w:rsidR="001F207D" w:rsidRPr="001F207D">
              <w:rPr>
                <w:color w:val="000000"/>
                <w:spacing w:val="1"/>
                <w:szCs w:val="20"/>
                <w:shd w:val="solid" w:color="000000" w:fill="000000"/>
                <w:fitText w:val="240" w:id="-1168382452"/>
                <w14:textFill>
                  <w14:solidFill>
                    <w14:srgbClr w14:val="000000">
                      <w14:alpha w14:val="100000"/>
                    </w14:srgbClr>
                  </w14:solidFill>
                </w14:textFill>
              </w:rPr>
              <w:t>|</w:t>
            </w:r>
            <w:r w:rsidR="00746B1E" w:rsidRPr="001B035F">
              <w:rPr>
                <w:rFonts w:cs="Arial Narrow"/>
                <w:sz w:val="18"/>
                <w:szCs w:val="18"/>
                <w:vertAlign w:val="superscript"/>
              </w:rPr>
              <w:t>1</w:t>
            </w:r>
            <w:r w:rsidRPr="00D22D61">
              <w:rPr>
                <w:szCs w:val="20"/>
              </w:rPr>
              <w:t xml:space="preserve"> savings per</w:t>
            </w:r>
          </w:p>
          <w:p w14:paraId="401E2BCB" w14:textId="77777777" w:rsidR="006C180B" w:rsidRPr="00D22D61" w:rsidRDefault="006C180B" w:rsidP="006C180B">
            <w:pPr>
              <w:pStyle w:val="Tabletext0"/>
              <w:jc w:val="center"/>
              <w:rPr>
                <w:szCs w:val="20"/>
              </w:rPr>
            </w:pPr>
            <w:r w:rsidRPr="00D22D61">
              <w:rPr>
                <w:szCs w:val="20"/>
              </w:rPr>
              <w:t xml:space="preserve"> QALY foregone</w:t>
            </w:r>
          </w:p>
          <w:p w14:paraId="6BC44BF3" w14:textId="6267B882" w:rsidR="008E5B13" w:rsidRPr="00D22D61" w:rsidRDefault="006C180B" w:rsidP="006C180B">
            <w:pPr>
              <w:pStyle w:val="Tabletext0"/>
              <w:jc w:val="center"/>
              <w:rPr>
                <w:szCs w:val="20"/>
              </w:rPr>
            </w:pPr>
            <w:r w:rsidRPr="00D22D61">
              <w:rPr>
                <w:szCs w:val="20"/>
              </w:rPr>
              <w:t>(NE)</w:t>
            </w:r>
          </w:p>
        </w:tc>
      </w:tr>
      <w:tr w:rsidR="008E5B13" w:rsidRPr="00D22D61" w14:paraId="26A5793A" w14:textId="77777777" w:rsidTr="00253C04">
        <w:tc>
          <w:tcPr>
            <w:tcW w:w="9029" w:type="dxa"/>
            <w:gridSpan w:val="6"/>
            <w:tcMar>
              <w:top w:w="0" w:type="dxa"/>
              <w:left w:w="108" w:type="dxa"/>
              <w:bottom w:w="0" w:type="dxa"/>
              <w:right w:w="108" w:type="dxa"/>
            </w:tcMar>
          </w:tcPr>
          <w:p w14:paraId="6AC1C4BD" w14:textId="4A7F8077" w:rsidR="008E5B13" w:rsidRPr="00D22D61" w:rsidRDefault="008E5B13" w:rsidP="008E5B13">
            <w:pPr>
              <w:pStyle w:val="Tabletext0"/>
              <w:rPr>
                <w:b/>
                <w:szCs w:val="20"/>
              </w:rPr>
            </w:pPr>
            <w:r w:rsidRPr="00D22D61">
              <w:rPr>
                <w:b/>
                <w:szCs w:val="20"/>
              </w:rPr>
              <w:t>Utility values (base case: diabetes complication disutility values primarily based on Clarke 2002; age disutility values based on Clemens 2014; nausea disutility based on Matza 2007; hypoglycaemia disutility based on Evans 2013; first year weight loss utility values based on Boye 2022; subsequent year weight disutility values based on Bagust &amp; Beale 2005)</w:t>
            </w:r>
          </w:p>
        </w:tc>
      </w:tr>
      <w:tr w:rsidR="008E5B13" w:rsidRPr="00D22D61" w14:paraId="741116CA" w14:textId="77777777" w:rsidTr="001B035F">
        <w:tc>
          <w:tcPr>
            <w:tcW w:w="3119" w:type="dxa"/>
            <w:tcMar>
              <w:top w:w="0" w:type="dxa"/>
              <w:left w:w="108" w:type="dxa"/>
              <w:bottom w:w="0" w:type="dxa"/>
              <w:right w:w="108" w:type="dxa"/>
            </w:tcMar>
          </w:tcPr>
          <w:p w14:paraId="41D55080" w14:textId="70745BBF" w:rsidR="008E5B13" w:rsidRPr="00D22D61" w:rsidRDefault="008E5B13" w:rsidP="008E5B13">
            <w:pPr>
              <w:pStyle w:val="Tabletext0"/>
              <w:rPr>
                <w:szCs w:val="20"/>
              </w:rPr>
            </w:pPr>
            <w:r w:rsidRPr="00D22D61">
              <w:rPr>
                <w:szCs w:val="20"/>
              </w:rPr>
              <w:t>Hypoglycaemia disutility removed</w:t>
            </w:r>
          </w:p>
        </w:tc>
        <w:tc>
          <w:tcPr>
            <w:tcW w:w="2233" w:type="dxa"/>
            <w:gridSpan w:val="2"/>
            <w:tcMar>
              <w:top w:w="0" w:type="dxa"/>
              <w:left w:w="108" w:type="dxa"/>
              <w:bottom w:w="0" w:type="dxa"/>
              <w:right w:w="108" w:type="dxa"/>
            </w:tcMar>
            <w:vAlign w:val="center"/>
          </w:tcPr>
          <w:p w14:paraId="2F7E20E2" w14:textId="70242317" w:rsidR="008E5B13" w:rsidRPr="00D22D61" w:rsidRDefault="001F1E25" w:rsidP="008E5B13">
            <w:pPr>
              <w:pStyle w:val="Tabletext0"/>
              <w:jc w:val="center"/>
              <w:rPr>
                <w:szCs w:val="20"/>
              </w:rPr>
            </w:pPr>
            <w:r w:rsidRPr="00D22D61">
              <w:rPr>
                <w:szCs w:val="20"/>
              </w:rPr>
              <w:t>$</w:t>
            </w:r>
            <w:r w:rsidR="001F207D" w:rsidRPr="001F207D">
              <w:rPr>
                <w:color w:val="000000"/>
                <w:szCs w:val="20"/>
                <w:shd w:val="solid" w:color="000000" w:fill="000000"/>
                <w14:textFill>
                  <w14:solidFill>
                    <w14:srgbClr w14:val="000000">
                      <w14:alpha w14:val="100000"/>
                    </w14:srgbClr>
                  </w14:solidFill>
                </w14:textFill>
              </w:rPr>
              <w:t>|</w:t>
            </w:r>
            <w:r w:rsidR="00DE596E" w:rsidRPr="001B035F">
              <w:rPr>
                <w:rFonts w:cs="Arial Narrow"/>
                <w:sz w:val="18"/>
                <w:szCs w:val="18"/>
                <w:vertAlign w:val="superscript"/>
              </w:rPr>
              <w:t>4</w:t>
            </w:r>
            <w:r w:rsidR="00401DB2">
              <w:rPr>
                <w:rFonts w:cs="Arial Narrow"/>
                <w:sz w:val="18"/>
                <w:szCs w:val="18"/>
                <w:vertAlign w:val="superscript"/>
              </w:rPr>
              <w:t xml:space="preserve"> </w:t>
            </w:r>
            <w:r w:rsidRPr="00D22D61">
              <w:rPr>
                <w:szCs w:val="20"/>
              </w:rPr>
              <w:t>(+47%)</w:t>
            </w:r>
          </w:p>
        </w:tc>
        <w:tc>
          <w:tcPr>
            <w:tcW w:w="1838" w:type="dxa"/>
            <w:gridSpan w:val="2"/>
            <w:tcMar>
              <w:top w:w="0" w:type="dxa"/>
              <w:left w:w="108" w:type="dxa"/>
              <w:bottom w:w="0" w:type="dxa"/>
              <w:right w:w="108" w:type="dxa"/>
            </w:tcMar>
            <w:vAlign w:val="center"/>
          </w:tcPr>
          <w:p w14:paraId="14C0448A" w14:textId="465536D3" w:rsidR="008E5B13" w:rsidRPr="00D22D61" w:rsidRDefault="007C32D1" w:rsidP="008E5B13">
            <w:pPr>
              <w:pStyle w:val="Tabletext0"/>
              <w:jc w:val="center"/>
              <w:rPr>
                <w:szCs w:val="20"/>
              </w:rPr>
            </w:pPr>
            <w:r w:rsidRPr="00D22D61">
              <w:rPr>
                <w:szCs w:val="20"/>
              </w:rPr>
              <w:t>$</w:t>
            </w:r>
            <w:r w:rsidR="001F207D" w:rsidRPr="001F207D">
              <w:rPr>
                <w:rFonts w:hint="eastAsia"/>
                <w:color w:val="000000"/>
                <w:w w:val="23"/>
                <w:szCs w:val="20"/>
                <w:shd w:val="solid" w:color="000000" w:fill="000000"/>
                <w:fitText w:val="105" w:id="-1168382451"/>
                <w14:textFill>
                  <w14:solidFill>
                    <w14:srgbClr w14:val="000000">
                      <w14:alpha w14:val="100000"/>
                    </w14:srgbClr>
                  </w14:solidFill>
                </w14:textFill>
              </w:rPr>
              <w:t xml:space="preserve">　</w:t>
            </w:r>
            <w:r w:rsidR="001F207D" w:rsidRPr="001F207D">
              <w:rPr>
                <w:color w:val="000000"/>
                <w:w w:val="23"/>
                <w:szCs w:val="20"/>
                <w:shd w:val="solid" w:color="000000" w:fill="000000"/>
                <w:fitText w:val="105" w:id="-1168382451"/>
                <w14:textFill>
                  <w14:solidFill>
                    <w14:srgbClr w14:val="000000">
                      <w14:alpha w14:val="100000"/>
                    </w14:srgbClr>
                  </w14:solidFill>
                </w14:textFill>
              </w:rPr>
              <w:t>|</w:t>
            </w:r>
            <w:r w:rsidR="001F207D" w:rsidRPr="001F207D">
              <w:rPr>
                <w:rFonts w:hint="eastAsia"/>
                <w:color w:val="000000"/>
                <w:spacing w:val="4"/>
                <w:w w:val="23"/>
                <w:szCs w:val="20"/>
                <w:shd w:val="solid" w:color="000000" w:fill="000000"/>
                <w:fitText w:val="105" w:id="-1168382451"/>
                <w14:textFill>
                  <w14:solidFill>
                    <w14:srgbClr w14:val="000000">
                      <w14:alpha w14:val="100000"/>
                    </w14:srgbClr>
                  </w14:solidFill>
                </w14:textFill>
              </w:rPr>
              <w:t xml:space="preserve">　</w:t>
            </w:r>
            <w:r w:rsidR="005A2C04" w:rsidRPr="001B035F">
              <w:rPr>
                <w:rFonts w:cs="Arial Narrow"/>
                <w:sz w:val="18"/>
                <w:szCs w:val="18"/>
                <w:vertAlign w:val="superscript"/>
              </w:rPr>
              <w:t>5</w:t>
            </w:r>
            <w:r w:rsidRPr="00D22D61">
              <w:rPr>
                <w:szCs w:val="20"/>
              </w:rPr>
              <w:t xml:space="preserve"> (+48%)</w:t>
            </w:r>
          </w:p>
        </w:tc>
        <w:tc>
          <w:tcPr>
            <w:tcW w:w="1839" w:type="dxa"/>
            <w:tcMar>
              <w:top w:w="0" w:type="dxa"/>
              <w:left w:w="108" w:type="dxa"/>
              <w:bottom w:w="0" w:type="dxa"/>
              <w:right w:w="108" w:type="dxa"/>
            </w:tcMar>
            <w:vAlign w:val="center"/>
          </w:tcPr>
          <w:p w14:paraId="6258646A" w14:textId="788E9383" w:rsidR="008E5B13" w:rsidRPr="00D22D61" w:rsidRDefault="006C180B" w:rsidP="008E5B13">
            <w:pPr>
              <w:pStyle w:val="Tabletext0"/>
              <w:jc w:val="center"/>
              <w:rPr>
                <w:szCs w:val="20"/>
              </w:rPr>
            </w:pPr>
            <w:r w:rsidRPr="00D22D61">
              <w:rPr>
                <w:szCs w:val="20"/>
              </w:rPr>
              <w:t>$</w:t>
            </w:r>
            <w:r w:rsidR="001F207D" w:rsidRPr="001F207D">
              <w:rPr>
                <w:rFonts w:hint="eastAsia"/>
                <w:color w:val="000000"/>
                <w:w w:val="23"/>
                <w:szCs w:val="20"/>
                <w:shd w:val="solid" w:color="000000" w:fill="000000"/>
                <w:fitText w:val="105" w:id="-1168382450"/>
                <w14:textFill>
                  <w14:solidFill>
                    <w14:srgbClr w14:val="000000">
                      <w14:alpha w14:val="100000"/>
                    </w14:srgbClr>
                  </w14:solidFill>
                </w14:textFill>
              </w:rPr>
              <w:t xml:space="preserve">　</w:t>
            </w:r>
            <w:r w:rsidR="001F207D" w:rsidRPr="001F207D">
              <w:rPr>
                <w:color w:val="000000"/>
                <w:w w:val="23"/>
                <w:szCs w:val="20"/>
                <w:shd w:val="solid" w:color="000000" w:fill="000000"/>
                <w:fitText w:val="105" w:id="-1168382450"/>
                <w14:textFill>
                  <w14:solidFill>
                    <w14:srgbClr w14:val="000000">
                      <w14:alpha w14:val="100000"/>
                    </w14:srgbClr>
                  </w14:solidFill>
                </w14:textFill>
              </w:rPr>
              <w:t>|</w:t>
            </w:r>
            <w:r w:rsidR="001F207D" w:rsidRPr="001F207D">
              <w:rPr>
                <w:rFonts w:hint="eastAsia"/>
                <w:color w:val="000000"/>
                <w:spacing w:val="4"/>
                <w:w w:val="23"/>
                <w:szCs w:val="20"/>
                <w:shd w:val="solid" w:color="000000" w:fill="000000"/>
                <w:fitText w:val="105" w:id="-1168382450"/>
                <w14:textFill>
                  <w14:solidFill>
                    <w14:srgbClr w14:val="000000">
                      <w14:alpha w14:val="100000"/>
                    </w14:srgbClr>
                  </w14:solidFill>
                </w14:textFill>
              </w:rPr>
              <w:t xml:space="preserve">　</w:t>
            </w:r>
            <w:r w:rsidR="00746B1E" w:rsidRPr="001B035F">
              <w:rPr>
                <w:rFonts w:cs="Arial Narrow"/>
                <w:sz w:val="18"/>
                <w:szCs w:val="18"/>
                <w:vertAlign w:val="superscript"/>
              </w:rPr>
              <w:t>6</w:t>
            </w:r>
            <w:r w:rsidRPr="00D22D61">
              <w:rPr>
                <w:szCs w:val="20"/>
              </w:rPr>
              <w:t xml:space="preserve"> (+40%)</w:t>
            </w:r>
          </w:p>
        </w:tc>
      </w:tr>
      <w:tr w:rsidR="00AA18B5" w:rsidRPr="00D22D61" w14:paraId="15319429" w14:textId="77777777" w:rsidTr="001B035F">
        <w:tc>
          <w:tcPr>
            <w:tcW w:w="3119" w:type="dxa"/>
            <w:tcMar>
              <w:top w:w="0" w:type="dxa"/>
              <w:left w:w="108" w:type="dxa"/>
              <w:bottom w:w="0" w:type="dxa"/>
              <w:right w:w="108" w:type="dxa"/>
            </w:tcMar>
          </w:tcPr>
          <w:p w14:paraId="427BBD92" w14:textId="166358F1" w:rsidR="00AA18B5" w:rsidRPr="00D22D61" w:rsidRDefault="00AA18B5" w:rsidP="008E5B13">
            <w:pPr>
              <w:pStyle w:val="Tabletext0"/>
              <w:rPr>
                <w:szCs w:val="20"/>
              </w:rPr>
            </w:pPr>
            <w:r w:rsidRPr="00D22D61">
              <w:rPr>
                <w:szCs w:val="20"/>
              </w:rPr>
              <w:t>Reduce hypoglycaemia disutility to -0.003 per event</w:t>
            </w:r>
          </w:p>
        </w:tc>
        <w:tc>
          <w:tcPr>
            <w:tcW w:w="2233" w:type="dxa"/>
            <w:gridSpan w:val="2"/>
            <w:tcMar>
              <w:top w:w="0" w:type="dxa"/>
              <w:left w:w="108" w:type="dxa"/>
              <w:bottom w:w="0" w:type="dxa"/>
              <w:right w:w="108" w:type="dxa"/>
            </w:tcMar>
            <w:vAlign w:val="center"/>
          </w:tcPr>
          <w:p w14:paraId="202462D5" w14:textId="50C28539" w:rsidR="00AA18B5" w:rsidRPr="00D22D61" w:rsidRDefault="00AA18B5" w:rsidP="008E5B13">
            <w:pPr>
              <w:pStyle w:val="Tabletext0"/>
              <w:jc w:val="center"/>
            </w:pPr>
            <w:r w:rsidRPr="00D22D61">
              <w:t>$</w:t>
            </w:r>
            <w:r w:rsidR="001F207D" w:rsidRPr="001F207D">
              <w:rPr>
                <w:color w:val="000000"/>
                <w:shd w:val="solid" w:color="000000" w:fill="000000"/>
                <w14:textFill>
                  <w14:solidFill>
                    <w14:srgbClr w14:val="000000">
                      <w14:alpha w14:val="100000"/>
                    </w14:srgbClr>
                  </w14:solidFill>
                </w14:textFill>
              </w:rPr>
              <w:t>|</w:t>
            </w:r>
            <w:r w:rsidR="00DE596E" w:rsidRPr="001B035F">
              <w:rPr>
                <w:rFonts w:cs="Arial Narrow"/>
                <w:sz w:val="18"/>
                <w:szCs w:val="18"/>
                <w:vertAlign w:val="superscript"/>
              </w:rPr>
              <w:t>3</w:t>
            </w:r>
            <w:r w:rsidR="00401DB2">
              <w:rPr>
                <w:rFonts w:cs="Arial Narrow"/>
                <w:sz w:val="18"/>
                <w:vertAlign w:val="superscript"/>
              </w:rPr>
              <w:t xml:space="preserve"> </w:t>
            </w:r>
            <w:r w:rsidRPr="00D22D61">
              <w:t>(+15%)</w:t>
            </w:r>
          </w:p>
        </w:tc>
        <w:tc>
          <w:tcPr>
            <w:tcW w:w="1838" w:type="dxa"/>
            <w:gridSpan w:val="2"/>
            <w:tcMar>
              <w:top w:w="0" w:type="dxa"/>
              <w:left w:w="108" w:type="dxa"/>
              <w:bottom w:w="0" w:type="dxa"/>
              <w:right w:w="108" w:type="dxa"/>
            </w:tcMar>
            <w:vAlign w:val="center"/>
          </w:tcPr>
          <w:p w14:paraId="2EF04239" w14:textId="6F373082" w:rsidR="00AA18B5" w:rsidRPr="00D22D61" w:rsidRDefault="00AA18B5" w:rsidP="008E5B13">
            <w:pPr>
              <w:pStyle w:val="Tabletext0"/>
              <w:jc w:val="center"/>
            </w:pPr>
            <w:r w:rsidRPr="00D22D61">
              <w:t>$</w:t>
            </w:r>
            <w:r w:rsidR="001F207D" w:rsidRPr="001F207D">
              <w:rPr>
                <w:rFonts w:hint="eastAsia"/>
                <w:color w:val="000000"/>
                <w:w w:val="33"/>
                <w:shd w:val="solid" w:color="000000" w:fill="000000"/>
                <w:fitText w:val="150" w:id="-1168382449"/>
                <w14:textFill>
                  <w14:solidFill>
                    <w14:srgbClr w14:val="000000">
                      <w14:alpha w14:val="100000"/>
                    </w14:srgbClr>
                  </w14:solidFill>
                </w14:textFill>
              </w:rPr>
              <w:t xml:space="preserve">　</w:t>
            </w:r>
            <w:r w:rsidR="001F207D" w:rsidRPr="001F207D">
              <w:rPr>
                <w:color w:val="000000"/>
                <w:w w:val="33"/>
                <w:shd w:val="solid" w:color="000000" w:fill="000000"/>
                <w:fitText w:val="150" w:id="-1168382449"/>
                <w14:textFill>
                  <w14:solidFill>
                    <w14:srgbClr w14:val="000000">
                      <w14:alpha w14:val="100000"/>
                    </w14:srgbClr>
                  </w14:solidFill>
                </w14:textFill>
              </w:rPr>
              <w:t>|</w:t>
            </w:r>
            <w:r w:rsidR="001F207D" w:rsidRPr="001F207D">
              <w:rPr>
                <w:rFonts w:hint="eastAsia"/>
                <w:color w:val="000000"/>
                <w:spacing w:val="4"/>
                <w:w w:val="33"/>
                <w:shd w:val="solid" w:color="000000" w:fill="000000"/>
                <w:fitText w:val="150" w:id="-1168382449"/>
                <w14:textFill>
                  <w14:solidFill>
                    <w14:srgbClr w14:val="000000">
                      <w14:alpha w14:val="100000"/>
                    </w14:srgbClr>
                  </w14:solidFill>
                </w14:textFill>
              </w:rPr>
              <w:t xml:space="preserve">　</w:t>
            </w:r>
            <w:r w:rsidR="005A2C04" w:rsidRPr="001B035F">
              <w:rPr>
                <w:rFonts w:cs="Arial Narrow"/>
                <w:sz w:val="18"/>
                <w:szCs w:val="18"/>
                <w:vertAlign w:val="superscript"/>
              </w:rPr>
              <w:t>6</w:t>
            </w:r>
            <w:r w:rsidRPr="00D22D61">
              <w:tab/>
              <w:t>(+15%)</w:t>
            </w:r>
          </w:p>
        </w:tc>
        <w:tc>
          <w:tcPr>
            <w:tcW w:w="1839" w:type="dxa"/>
            <w:tcMar>
              <w:top w:w="0" w:type="dxa"/>
              <w:left w:w="108" w:type="dxa"/>
              <w:bottom w:w="0" w:type="dxa"/>
              <w:right w:w="108" w:type="dxa"/>
            </w:tcMar>
            <w:vAlign w:val="center"/>
          </w:tcPr>
          <w:p w14:paraId="52294B10" w14:textId="50E582CE" w:rsidR="00AA18B5" w:rsidRPr="00D22D61" w:rsidRDefault="00762E80" w:rsidP="008E5B13">
            <w:pPr>
              <w:pStyle w:val="Tabletext0"/>
              <w:jc w:val="center"/>
            </w:pPr>
            <w:r w:rsidRPr="00D22D61">
              <w:t>$</w:t>
            </w:r>
            <w:r w:rsidR="001F207D" w:rsidRPr="001F207D">
              <w:rPr>
                <w:rFonts w:hint="eastAsia"/>
                <w:color w:val="000000"/>
                <w:w w:val="33"/>
                <w:shd w:val="solid" w:color="000000" w:fill="000000"/>
                <w:fitText w:val="150" w:id="-1168382448"/>
                <w14:textFill>
                  <w14:solidFill>
                    <w14:srgbClr w14:val="000000">
                      <w14:alpha w14:val="100000"/>
                    </w14:srgbClr>
                  </w14:solidFill>
                </w14:textFill>
              </w:rPr>
              <w:t xml:space="preserve">　</w:t>
            </w:r>
            <w:r w:rsidR="001F207D" w:rsidRPr="001F207D">
              <w:rPr>
                <w:color w:val="000000"/>
                <w:w w:val="33"/>
                <w:shd w:val="solid" w:color="000000" w:fill="000000"/>
                <w:fitText w:val="150" w:id="-1168382448"/>
                <w14:textFill>
                  <w14:solidFill>
                    <w14:srgbClr w14:val="000000">
                      <w14:alpha w14:val="100000"/>
                    </w14:srgbClr>
                  </w14:solidFill>
                </w14:textFill>
              </w:rPr>
              <w:t>|</w:t>
            </w:r>
            <w:r w:rsidR="001F207D" w:rsidRPr="001F207D">
              <w:rPr>
                <w:rFonts w:hint="eastAsia"/>
                <w:color w:val="000000"/>
                <w:spacing w:val="4"/>
                <w:w w:val="33"/>
                <w:shd w:val="solid" w:color="000000" w:fill="000000"/>
                <w:fitText w:val="150" w:id="-1168382448"/>
                <w14:textFill>
                  <w14:solidFill>
                    <w14:srgbClr w14:val="000000">
                      <w14:alpha w14:val="100000"/>
                    </w14:srgbClr>
                  </w14:solidFill>
                </w14:textFill>
              </w:rPr>
              <w:t xml:space="preserve">　</w:t>
            </w:r>
            <w:r w:rsidR="00746B1E" w:rsidRPr="001B035F">
              <w:rPr>
                <w:rFonts w:cs="Arial Narrow"/>
                <w:sz w:val="18"/>
                <w:szCs w:val="18"/>
                <w:vertAlign w:val="superscript"/>
              </w:rPr>
              <w:t>7</w:t>
            </w:r>
            <w:r w:rsidRPr="00D22D61">
              <w:tab/>
              <w:t>(+13%)</w:t>
            </w:r>
          </w:p>
        </w:tc>
      </w:tr>
      <w:tr w:rsidR="008E5B13" w:rsidRPr="00D22D61" w14:paraId="21FB7E39" w14:textId="77777777" w:rsidTr="001B035F">
        <w:tc>
          <w:tcPr>
            <w:tcW w:w="3119" w:type="dxa"/>
            <w:tcMar>
              <w:top w:w="0" w:type="dxa"/>
              <w:left w:w="108" w:type="dxa"/>
              <w:bottom w:w="0" w:type="dxa"/>
              <w:right w:w="108" w:type="dxa"/>
            </w:tcMar>
          </w:tcPr>
          <w:p w14:paraId="4EA42CE2" w14:textId="171BC142" w:rsidR="008E5B13" w:rsidRPr="00D22D61" w:rsidRDefault="008E5B13" w:rsidP="008E5B13">
            <w:pPr>
              <w:pStyle w:val="Tabletext0"/>
              <w:rPr>
                <w:szCs w:val="20"/>
              </w:rPr>
            </w:pPr>
            <w:r w:rsidRPr="00D22D61">
              <w:rPr>
                <w:szCs w:val="20"/>
              </w:rPr>
              <w:t>Weight-related utility/disutility removed</w:t>
            </w:r>
          </w:p>
        </w:tc>
        <w:tc>
          <w:tcPr>
            <w:tcW w:w="2233" w:type="dxa"/>
            <w:gridSpan w:val="2"/>
            <w:tcMar>
              <w:top w:w="0" w:type="dxa"/>
              <w:left w:w="108" w:type="dxa"/>
              <w:bottom w:w="0" w:type="dxa"/>
              <w:right w:w="108" w:type="dxa"/>
            </w:tcMar>
            <w:vAlign w:val="center"/>
          </w:tcPr>
          <w:p w14:paraId="0B5AAA5A" w14:textId="51E0EFA8" w:rsidR="008E5B13" w:rsidRPr="00D22D61" w:rsidRDefault="001F1E25" w:rsidP="008E5B13">
            <w:pPr>
              <w:pStyle w:val="Tabletext0"/>
              <w:jc w:val="center"/>
              <w:rPr>
                <w:szCs w:val="20"/>
              </w:rPr>
            </w:pPr>
            <w:r w:rsidRPr="00D22D61">
              <w:rPr>
                <w:szCs w:val="20"/>
              </w:rPr>
              <w:t>$</w:t>
            </w:r>
            <w:r w:rsidR="001F207D" w:rsidRPr="001F207D">
              <w:rPr>
                <w:color w:val="000000"/>
                <w:szCs w:val="20"/>
                <w:shd w:val="solid" w:color="000000" w:fill="000000"/>
                <w14:textFill>
                  <w14:solidFill>
                    <w14:srgbClr w14:val="000000">
                      <w14:alpha w14:val="100000"/>
                    </w14:srgbClr>
                  </w14:solidFill>
                </w14:textFill>
              </w:rPr>
              <w:t>|</w:t>
            </w:r>
            <w:r w:rsidR="00DE596E" w:rsidRPr="001B035F">
              <w:rPr>
                <w:rFonts w:cs="Arial Narrow"/>
                <w:sz w:val="18"/>
                <w:szCs w:val="18"/>
                <w:vertAlign w:val="superscript"/>
              </w:rPr>
              <w:t>4</w:t>
            </w:r>
            <w:r w:rsidR="00401DB2">
              <w:rPr>
                <w:rFonts w:cs="Arial Narrow"/>
                <w:sz w:val="18"/>
                <w:szCs w:val="18"/>
                <w:vertAlign w:val="superscript"/>
              </w:rPr>
              <w:t xml:space="preserve"> </w:t>
            </w:r>
            <w:r w:rsidRPr="00D22D61">
              <w:rPr>
                <w:szCs w:val="20"/>
              </w:rPr>
              <w:t>(+64%)</w:t>
            </w:r>
          </w:p>
        </w:tc>
        <w:tc>
          <w:tcPr>
            <w:tcW w:w="1838" w:type="dxa"/>
            <w:gridSpan w:val="2"/>
            <w:tcMar>
              <w:top w:w="0" w:type="dxa"/>
              <w:left w:w="108" w:type="dxa"/>
              <w:bottom w:w="0" w:type="dxa"/>
              <w:right w:w="108" w:type="dxa"/>
            </w:tcMar>
            <w:vAlign w:val="center"/>
          </w:tcPr>
          <w:p w14:paraId="304606C7" w14:textId="666885B2" w:rsidR="008E5B13" w:rsidRPr="00D22D61" w:rsidRDefault="007C32D1" w:rsidP="008E5B13">
            <w:pPr>
              <w:pStyle w:val="Tabletext0"/>
              <w:jc w:val="center"/>
              <w:rPr>
                <w:szCs w:val="20"/>
              </w:rPr>
            </w:pPr>
            <w:r w:rsidRPr="00D22D61">
              <w:rPr>
                <w:szCs w:val="20"/>
              </w:rPr>
              <w:t>$</w:t>
            </w:r>
            <w:r w:rsidR="001F207D" w:rsidRPr="001F207D">
              <w:rPr>
                <w:rFonts w:hint="eastAsia"/>
                <w:color w:val="000000"/>
                <w:w w:val="20"/>
                <w:szCs w:val="20"/>
                <w:shd w:val="solid" w:color="000000" w:fill="000000"/>
                <w:fitText w:val="90" w:id="-1168382464"/>
                <w14:textFill>
                  <w14:solidFill>
                    <w14:srgbClr w14:val="000000">
                      <w14:alpha w14:val="100000"/>
                    </w14:srgbClr>
                  </w14:solidFill>
                </w14:textFill>
              </w:rPr>
              <w:t xml:space="preserve">　</w:t>
            </w:r>
            <w:r w:rsidR="001F207D" w:rsidRPr="001F207D">
              <w:rPr>
                <w:color w:val="000000"/>
                <w:w w:val="20"/>
                <w:szCs w:val="20"/>
                <w:shd w:val="solid" w:color="000000" w:fill="000000"/>
                <w:fitText w:val="90" w:id="-1168382464"/>
                <w14:textFill>
                  <w14:solidFill>
                    <w14:srgbClr w14:val="000000">
                      <w14:alpha w14:val="100000"/>
                    </w14:srgbClr>
                  </w14:solidFill>
                </w14:textFill>
              </w:rPr>
              <w:t>|</w:t>
            </w:r>
            <w:r w:rsidR="001F207D" w:rsidRPr="001F207D">
              <w:rPr>
                <w:rFonts w:hint="eastAsia"/>
                <w:color w:val="000000"/>
                <w:spacing w:val="3"/>
                <w:w w:val="20"/>
                <w:szCs w:val="20"/>
                <w:shd w:val="solid" w:color="000000" w:fill="000000"/>
                <w:fitText w:val="90" w:id="-1168382464"/>
                <w14:textFill>
                  <w14:solidFill>
                    <w14:srgbClr w14:val="000000">
                      <w14:alpha w14:val="100000"/>
                    </w14:srgbClr>
                  </w14:solidFill>
                </w14:textFill>
              </w:rPr>
              <w:t xml:space="preserve">　</w:t>
            </w:r>
            <w:r w:rsidR="00746B1E" w:rsidRPr="001B035F">
              <w:rPr>
                <w:rFonts w:cs="Arial Narrow"/>
                <w:sz w:val="18"/>
                <w:szCs w:val="18"/>
                <w:vertAlign w:val="superscript"/>
              </w:rPr>
              <w:t>2</w:t>
            </w:r>
            <w:r w:rsidR="00401DB2">
              <w:rPr>
                <w:rFonts w:cs="Arial Narrow"/>
                <w:sz w:val="18"/>
                <w:szCs w:val="18"/>
                <w:vertAlign w:val="superscript"/>
              </w:rPr>
              <w:t xml:space="preserve"> </w:t>
            </w:r>
            <w:r w:rsidRPr="00D22D61">
              <w:rPr>
                <w:szCs w:val="20"/>
              </w:rPr>
              <w:t>(+80%)</w:t>
            </w:r>
          </w:p>
        </w:tc>
        <w:tc>
          <w:tcPr>
            <w:tcW w:w="1839" w:type="dxa"/>
            <w:tcMar>
              <w:top w:w="0" w:type="dxa"/>
              <w:left w:w="108" w:type="dxa"/>
              <w:bottom w:w="0" w:type="dxa"/>
              <w:right w:w="108" w:type="dxa"/>
            </w:tcMar>
            <w:vAlign w:val="center"/>
          </w:tcPr>
          <w:p w14:paraId="6101ED5A" w14:textId="23CB7E4F" w:rsidR="008E5B13" w:rsidRPr="00D22D61" w:rsidRDefault="0035686D" w:rsidP="008E5B13">
            <w:pPr>
              <w:pStyle w:val="Tabletext0"/>
              <w:jc w:val="center"/>
              <w:rPr>
                <w:szCs w:val="20"/>
              </w:rPr>
            </w:pPr>
            <w:r w:rsidRPr="00D22D61">
              <w:rPr>
                <w:szCs w:val="20"/>
              </w:rPr>
              <w:t>$</w:t>
            </w:r>
            <w:r w:rsidR="001F207D" w:rsidRPr="001F207D">
              <w:rPr>
                <w:rFonts w:hint="eastAsia"/>
                <w:color w:val="000000"/>
                <w:w w:val="23"/>
                <w:szCs w:val="20"/>
                <w:shd w:val="solid" w:color="000000" w:fill="000000"/>
                <w:fitText w:val="105" w:id="-1168382463"/>
                <w14:textFill>
                  <w14:solidFill>
                    <w14:srgbClr w14:val="000000">
                      <w14:alpha w14:val="100000"/>
                    </w14:srgbClr>
                  </w14:solidFill>
                </w14:textFill>
              </w:rPr>
              <w:t xml:space="preserve">　</w:t>
            </w:r>
            <w:r w:rsidR="001F207D" w:rsidRPr="001F207D">
              <w:rPr>
                <w:color w:val="000000"/>
                <w:w w:val="23"/>
                <w:szCs w:val="20"/>
                <w:shd w:val="solid" w:color="000000" w:fill="000000"/>
                <w:fitText w:val="105" w:id="-1168382463"/>
                <w14:textFill>
                  <w14:solidFill>
                    <w14:srgbClr w14:val="000000">
                      <w14:alpha w14:val="100000"/>
                    </w14:srgbClr>
                  </w14:solidFill>
                </w14:textFill>
              </w:rPr>
              <w:t>|</w:t>
            </w:r>
            <w:r w:rsidR="001F207D" w:rsidRPr="001F207D">
              <w:rPr>
                <w:rFonts w:hint="eastAsia"/>
                <w:color w:val="000000"/>
                <w:spacing w:val="4"/>
                <w:w w:val="23"/>
                <w:szCs w:val="20"/>
                <w:shd w:val="solid" w:color="000000" w:fill="000000"/>
                <w:fitText w:val="105" w:id="-1168382463"/>
                <w14:textFill>
                  <w14:solidFill>
                    <w14:srgbClr w14:val="000000">
                      <w14:alpha w14:val="100000"/>
                    </w14:srgbClr>
                  </w14:solidFill>
                </w14:textFill>
              </w:rPr>
              <w:t xml:space="preserve">　</w:t>
            </w:r>
            <w:r w:rsidR="00746B1E" w:rsidRPr="001B035F">
              <w:rPr>
                <w:rFonts w:cs="Arial Narrow"/>
                <w:sz w:val="18"/>
                <w:szCs w:val="18"/>
                <w:vertAlign w:val="superscript"/>
              </w:rPr>
              <w:t>5</w:t>
            </w:r>
            <w:r w:rsidRPr="00D22D61">
              <w:rPr>
                <w:szCs w:val="20"/>
              </w:rPr>
              <w:t xml:space="preserve"> (+91%)</w:t>
            </w:r>
          </w:p>
        </w:tc>
      </w:tr>
      <w:tr w:rsidR="008E5B13" w:rsidRPr="00D22D61" w14:paraId="22105AE6" w14:textId="77777777" w:rsidTr="001B035F">
        <w:tc>
          <w:tcPr>
            <w:tcW w:w="3119" w:type="dxa"/>
            <w:tcMar>
              <w:top w:w="0" w:type="dxa"/>
              <w:left w:w="108" w:type="dxa"/>
              <w:bottom w:w="0" w:type="dxa"/>
              <w:right w:w="108" w:type="dxa"/>
            </w:tcMar>
          </w:tcPr>
          <w:p w14:paraId="48261318" w14:textId="2874BDA9" w:rsidR="008E5B13" w:rsidRPr="00D22D61" w:rsidRDefault="008E5B13" w:rsidP="008E5B13">
            <w:pPr>
              <w:pStyle w:val="Tabletext0"/>
              <w:rPr>
                <w:szCs w:val="20"/>
              </w:rPr>
            </w:pPr>
            <w:r w:rsidRPr="00D22D61">
              <w:rPr>
                <w:szCs w:val="20"/>
              </w:rPr>
              <w:t>Subsequent weight disutility based on Soloft 2009</w:t>
            </w:r>
          </w:p>
        </w:tc>
        <w:tc>
          <w:tcPr>
            <w:tcW w:w="2233" w:type="dxa"/>
            <w:gridSpan w:val="2"/>
            <w:tcMar>
              <w:top w:w="0" w:type="dxa"/>
              <w:left w:w="108" w:type="dxa"/>
              <w:bottom w:w="0" w:type="dxa"/>
              <w:right w:w="108" w:type="dxa"/>
            </w:tcMar>
            <w:vAlign w:val="center"/>
          </w:tcPr>
          <w:p w14:paraId="77B75702" w14:textId="418D03D8" w:rsidR="008E5B13" w:rsidRPr="00D22D61" w:rsidRDefault="001F1E25" w:rsidP="008E5B13">
            <w:pPr>
              <w:pStyle w:val="Tabletext0"/>
              <w:jc w:val="center"/>
              <w:rPr>
                <w:szCs w:val="20"/>
              </w:rPr>
            </w:pPr>
            <w:r w:rsidRPr="00D22D61">
              <w:rPr>
                <w:szCs w:val="20"/>
              </w:rPr>
              <w:t>$</w:t>
            </w:r>
            <w:r w:rsidR="001F207D" w:rsidRPr="001F207D">
              <w:rPr>
                <w:color w:val="000000"/>
                <w:szCs w:val="20"/>
                <w:shd w:val="solid" w:color="000000" w:fill="000000"/>
                <w14:textFill>
                  <w14:solidFill>
                    <w14:srgbClr w14:val="000000">
                      <w14:alpha w14:val="100000"/>
                    </w14:srgbClr>
                  </w14:solidFill>
                </w14:textFill>
              </w:rPr>
              <w:t>|</w:t>
            </w:r>
            <w:r w:rsidR="00DE596E" w:rsidRPr="001B035F">
              <w:rPr>
                <w:rFonts w:cs="Arial Narrow"/>
                <w:sz w:val="18"/>
                <w:szCs w:val="18"/>
                <w:vertAlign w:val="superscript"/>
              </w:rPr>
              <w:t>4</w:t>
            </w:r>
            <w:r w:rsidR="004A0601">
              <w:rPr>
                <w:rFonts w:cs="Arial Narrow"/>
                <w:sz w:val="18"/>
                <w:szCs w:val="18"/>
                <w:vertAlign w:val="superscript"/>
              </w:rPr>
              <w:t xml:space="preserve"> </w:t>
            </w:r>
            <w:r w:rsidRPr="00D22D61">
              <w:rPr>
                <w:szCs w:val="20"/>
              </w:rPr>
              <w:t>(+23%)</w:t>
            </w:r>
          </w:p>
        </w:tc>
        <w:tc>
          <w:tcPr>
            <w:tcW w:w="1838" w:type="dxa"/>
            <w:gridSpan w:val="2"/>
            <w:tcMar>
              <w:top w:w="0" w:type="dxa"/>
              <w:left w:w="108" w:type="dxa"/>
              <w:bottom w:w="0" w:type="dxa"/>
              <w:right w:w="108" w:type="dxa"/>
            </w:tcMar>
            <w:vAlign w:val="center"/>
          </w:tcPr>
          <w:p w14:paraId="4F91D904" w14:textId="4FFA7606" w:rsidR="008E5B13" w:rsidRPr="00D22D61" w:rsidRDefault="007C32D1" w:rsidP="008E5B13">
            <w:pPr>
              <w:pStyle w:val="Tabletext0"/>
              <w:jc w:val="center"/>
              <w:rPr>
                <w:szCs w:val="20"/>
              </w:rPr>
            </w:pPr>
            <w:r w:rsidRPr="00D22D61">
              <w:rPr>
                <w:szCs w:val="20"/>
              </w:rPr>
              <w:t>$</w:t>
            </w:r>
            <w:r w:rsidR="001F207D" w:rsidRPr="001F207D">
              <w:rPr>
                <w:rFonts w:hint="eastAsia"/>
                <w:color w:val="000000"/>
                <w:w w:val="23"/>
                <w:szCs w:val="20"/>
                <w:shd w:val="solid" w:color="000000" w:fill="000000"/>
                <w:fitText w:val="105" w:id="-1168382462"/>
                <w14:textFill>
                  <w14:solidFill>
                    <w14:srgbClr w14:val="000000">
                      <w14:alpha w14:val="100000"/>
                    </w14:srgbClr>
                  </w14:solidFill>
                </w14:textFill>
              </w:rPr>
              <w:t xml:space="preserve">　</w:t>
            </w:r>
            <w:r w:rsidR="001F207D" w:rsidRPr="001F207D">
              <w:rPr>
                <w:color w:val="000000"/>
                <w:w w:val="23"/>
                <w:szCs w:val="20"/>
                <w:shd w:val="solid" w:color="000000" w:fill="000000"/>
                <w:fitText w:val="105" w:id="-1168382462"/>
                <w14:textFill>
                  <w14:solidFill>
                    <w14:srgbClr w14:val="000000">
                      <w14:alpha w14:val="100000"/>
                    </w14:srgbClr>
                  </w14:solidFill>
                </w14:textFill>
              </w:rPr>
              <w:t>|</w:t>
            </w:r>
            <w:r w:rsidR="001F207D" w:rsidRPr="001F207D">
              <w:rPr>
                <w:rFonts w:hint="eastAsia"/>
                <w:color w:val="000000"/>
                <w:spacing w:val="4"/>
                <w:w w:val="23"/>
                <w:szCs w:val="20"/>
                <w:shd w:val="solid" w:color="000000" w:fill="000000"/>
                <w:fitText w:val="105" w:id="-1168382462"/>
                <w14:textFill>
                  <w14:solidFill>
                    <w14:srgbClr w14:val="000000">
                      <w14:alpha w14:val="100000"/>
                    </w14:srgbClr>
                  </w14:solidFill>
                </w14:textFill>
              </w:rPr>
              <w:t xml:space="preserve">　</w:t>
            </w:r>
            <w:r w:rsidR="005A2C04" w:rsidRPr="001B035F">
              <w:rPr>
                <w:rFonts w:cs="Arial Narrow"/>
                <w:sz w:val="18"/>
                <w:szCs w:val="18"/>
                <w:vertAlign w:val="superscript"/>
              </w:rPr>
              <w:t>5</w:t>
            </w:r>
            <w:r w:rsidRPr="00D22D61">
              <w:rPr>
                <w:szCs w:val="20"/>
              </w:rPr>
              <w:t xml:space="preserve"> (+30%)</w:t>
            </w:r>
          </w:p>
        </w:tc>
        <w:tc>
          <w:tcPr>
            <w:tcW w:w="1839" w:type="dxa"/>
            <w:tcMar>
              <w:top w:w="0" w:type="dxa"/>
              <w:left w:w="108" w:type="dxa"/>
              <w:bottom w:w="0" w:type="dxa"/>
              <w:right w:w="108" w:type="dxa"/>
            </w:tcMar>
            <w:vAlign w:val="center"/>
          </w:tcPr>
          <w:p w14:paraId="7F740C7F" w14:textId="7AEB9459" w:rsidR="008E5B13" w:rsidRPr="00D22D61" w:rsidRDefault="0035686D" w:rsidP="008E5B13">
            <w:pPr>
              <w:pStyle w:val="Tabletext0"/>
              <w:jc w:val="center"/>
              <w:rPr>
                <w:szCs w:val="20"/>
              </w:rPr>
            </w:pPr>
            <w:r w:rsidRPr="00D22D61">
              <w:rPr>
                <w:szCs w:val="20"/>
              </w:rPr>
              <w:t>$</w:t>
            </w:r>
            <w:r w:rsidR="001F207D" w:rsidRPr="001F207D">
              <w:rPr>
                <w:rFonts w:hint="eastAsia"/>
                <w:color w:val="000000"/>
                <w:w w:val="23"/>
                <w:szCs w:val="20"/>
                <w:shd w:val="solid" w:color="000000" w:fill="000000"/>
                <w:fitText w:val="105" w:id="-1168382461"/>
                <w14:textFill>
                  <w14:solidFill>
                    <w14:srgbClr w14:val="000000">
                      <w14:alpha w14:val="100000"/>
                    </w14:srgbClr>
                  </w14:solidFill>
                </w14:textFill>
              </w:rPr>
              <w:t xml:space="preserve">　</w:t>
            </w:r>
            <w:r w:rsidR="001F207D" w:rsidRPr="001F207D">
              <w:rPr>
                <w:color w:val="000000"/>
                <w:w w:val="23"/>
                <w:szCs w:val="20"/>
                <w:shd w:val="solid" w:color="000000" w:fill="000000"/>
                <w:fitText w:val="105" w:id="-1168382461"/>
                <w14:textFill>
                  <w14:solidFill>
                    <w14:srgbClr w14:val="000000">
                      <w14:alpha w14:val="100000"/>
                    </w14:srgbClr>
                  </w14:solidFill>
                </w14:textFill>
              </w:rPr>
              <w:t>|</w:t>
            </w:r>
            <w:r w:rsidR="001F207D" w:rsidRPr="001F207D">
              <w:rPr>
                <w:rFonts w:hint="eastAsia"/>
                <w:color w:val="000000"/>
                <w:spacing w:val="4"/>
                <w:w w:val="23"/>
                <w:szCs w:val="20"/>
                <w:shd w:val="solid" w:color="000000" w:fill="000000"/>
                <w:fitText w:val="105" w:id="-1168382461"/>
                <w14:textFill>
                  <w14:solidFill>
                    <w14:srgbClr w14:val="000000">
                      <w14:alpha w14:val="100000"/>
                    </w14:srgbClr>
                  </w14:solidFill>
                </w14:textFill>
              </w:rPr>
              <w:t xml:space="preserve">　</w:t>
            </w:r>
            <w:r w:rsidR="00746B1E" w:rsidRPr="001B035F">
              <w:rPr>
                <w:rFonts w:cs="Arial Narrow"/>
                <w:sz w:val="18"/>
                <w:szCs w:val="18"/>
                <w:vertAlign w:val="superscript"/>
              </w:rPr>
              <w:t>6</w:t>
            </w:r>
            <w:r w:rsidRPr="00D22D61">
              <w:rPr>
                <w:szCs w:val="20"/>
              </w:rPr>
              <w:t xml:space="preserve"> (+34%)</w:t>
            </w:r>
          </w:p>
        </w:tc>
      </w:tr>
      <w:tr w:rsidR="008E5B13" w:rsidRPr="00D22D61" w14:paraId="689C9E13" w14:textId="77777777" w:rsidTr="001B035F">
        <w:tc>
          <w:tcPr>
            <w:tcW w:w="3119" w:type="dxa"/>
            <w:tcMar>
              <w:top w:w="0" w:type="dxa"/>
              <w:left w:w="108" w:type="dxa"/>
              <w:bottom w:w="0" w:type="dxa"/>
              <w:right w:w="108" w:type="dxa"/>
            </w:tcMar>
          </w:tcPr>
          <w:p w14:paraId="687BFFA5" w14:textId="1EE175EE" w:rsidR="008E5B13" w:rsidRPr="00D22D61" w:rsidRDefault="008E5B13" w:rsidP="008E5B13">
            <w:pPr>
              <w:pStyle w:val="Tabletext0"/>
              <w:rPr>
                <w:szCs w:val="20"/>
              </w:rPr>
            </w:pPr>
            <w:r w:rsidRPr="00D22D61">
              <w:rPr>
                <w:szCs w:val="20"/>
              </w:rPr>
              <w:t>Subsequent weight disutility based on Lane 2014</w:t>
            </w:r>
          </w:p>
        </w:tc>
        <w:tc>
          <w:tcPr>
            <w:tcW w:w="2233" w:type="dxa"/>
            <w:gridSpan w:val="2"/>
            <w:tcMar>
              <w:top w:w="0" w:type="dxa"/>
              <w:left w:w="108" w:type="dxa"/>
              <w:bottom w:w="0" w:type="dxa"/>
              <w:right w:w="108" w:type="dxa"/>
            </w:tcMar>
            <w:vAlign w:val="center"/>
          </w:tcPr>
          <w:p w14:paraId="780B51D4" w14:textId="50F74255" w:rsidR="008E5B13" w:rsidRPr="00D22D61" w:rsidRDefault="001F1E25" w:rsidP="008E5B13">
            <w:pPr>
              <w:pStyle w:val="Tabletext0"/>
              <w:jc w:val="center"/>
              <w:rPr>
                <w:szCs w:val="20"/>
              </w:rPr>
            </w:pPr>
            <w:r w:rsidRPr="00D22D61">
              <w:rPr>
                <w:szCs w:val="20"/>
              </w:rPr>
              <w:t>$</w:t>
            </w:r>
            <w:r w:rsidR="001F207D" w:rsidRPr="001F207D">
              <w:rPr>
                <w:color w:val="000000"/>
                <w:szCs w:val="20"/>
                <w:shd w:val="solid" w:color="000000" w:fill="000000"/>
                <w14:textFill>
                  <w14:solidFill>
                    <w14:srgbClr w14:val="000000">
                      <w14:alpha w14:val="100000"/>
                    </w14:srgbClr>
                  </w14:solidFill>
                </w14:textFill>
              </w:rPr>
              <w:t>|</w:t>
            </w:r>
            <w:r w:rsidR="00DE596E" w:rsidRPr="001B035F">
              <w:rPr>
                <w:rFonts w:cs="Arial Narrow"/>
                <w:sz w:val="18"/>
                <w:szCs w:val="18"/>
                <w:vertAlign w:val="superscript"/>
              </w:rPr>
              <w:t>7</w:t>
            </w:r>
            <w:r w:rsidRPr="00D22D61">
              <w:rPr>
                <w:szCs w:val="20"/>
              </w:rPr>
              <w:t xml:space="preserve"> (-60%)</w:t>
            </w:r>
          </w:p>
        </w:tc>
        <w:tc>
          <w:tcPr>
            <w:tcW w:w="1838" w:type="dxa"/>
            <w:gridSpan w:val="2"/>
            <w:tcMar>
              <w:top w:w="0" w:type="dxa"/>
              <w:left w:w="108" w:type="dxa"/>
              <w:bottom w:w="0" w:type="dxa"/>
              <w:right w:w="108" w:type="dxa"/>
            </w:tcMar>
            <w:vAlign w:val="center"/>
          </w:tcPr>
          <w:p w14:paraId="654F19A4" w14:textId="3464116D" w:rsidR="008E5B13" w:rsidRPr="00D22D61" w:rsidRDefault="007C32D1" w:rsidP="008E5B13">
            <w:pPr>
              <w:pStyle w:val="Tabletext0"/>
              <w:jc w:val="center"/>
              <w:rPr>
                <w:szCs w:val="20"/>
              </w:rPr>
            </w:pPr>
            <w:r w:rsidRPr="00D22D61">
              <w:rPr>
                <w:szCs w:val="20"/>
              </w:rPr>
              <w:t>$</w:t>
            </w:r>
            <w:r w:rsidR="001F207D" w:rsidRPr="001F207D">
              <w:rPr>
                <w:rFonts w:hint="eastAsia"/>
                <w:color w:val="000000"/>
                <w:w w:val="23"/>
                <w:szCs w:val="20"/>
                <w:shd w:val="solid" w:color="000000" w:fill="000000"/>
                <w:fitText w:val="105" w:id="-1168382460"/>
                <w14:textFill>
                  <w14:solidFill>
                    <w14:srgbClr w14:val="000000">
                      <w14:alpha w14:val="100000"/>
                    </w14:srgbClr>
                  </w14:solidFill>
                </w14:textFill>
              </w:rPr>
              <w:t xml:space="preserve">　</w:t>
            </w:r>
            <w:r w:rsidR="001F207D" w:rsidRPr="001F207D">
              <w:rPr>
                <w:color w:val="000000"/>
                <w:w w:val="23"/>
                <w:szCs w:val="20"/>
                <w:shd w:val="solid" w:color="000000" w:fill="000000"/>
                <w:fitText w:val="105" w:id="-1168382460"/>
                <w14:textFill>
                  <w14:solidFill>
                    <w14:srgbClr w14:val="000000">
                      <w14:alpha w14:val="100000"/>
                    </w14:srgbClr>
                  </w14:solidFill>
                </w14:textFill>
              </w:rPr>
              <w:t>|</w:t>
            </w:r>
            <w:r w:rsidR="001F207D" w:rsidRPr="001F207D">
              <w:rPr>
                <w:rFonts w:hint="eastAsia"/>
                <w:color w:val="000000"/>
                <w:spacing w:val="4"/>
                <w:w w:val="23"/>
                <w:szCs w:val="20"/>
                <w:shd w:val="solid" w:color="000000" w:fill="000000"/>
                <w:fitText w:val="105" w:id="-1168382460"/>
                <w14:textFill>
                  <w14:solidFill>
                    <w14:srgbClr w14:val="000000">
                      <w14:alpha w14:val="100000"/>
                    </w14:srgbClr>
                  </w14:solidFill>
                </w14:textFill>
              </w:rPr>
              <w:t xml:space="preserve">　</w:t>
            </w:r>
            <w:r w:rsidR="005A2C04" w:rsidRPr="001B035F">
              <w:rPr>
                <w:rFonts w:cs="Arial Narrow"/>
                <w:sz w:val="18"/>
                <w:szCs w:val="18"/>
                <w:vertAlign w:val="superscript"/>
              </w:rPr>
              <w:t>10</w:t>
            </w:r>
            <w:r w:rsidRPr="00D22D61">
              <w:rPr>
                <w:szCs w:val="20"/>
              </w:rPr>
              <w:t xml:space="preserve"> (-65%)</w:t>
            </w:r>
          </w:p>
        </w:tc>
        <w:tc>
          <w:tcPr>
            <w:tcW w:w="1839" w:type="dxa"/>
            <w:tcMar>
              <w:top w:w="0" w:type="dxa"/>
              <w:left w:w="108" w:type="dxa"/>
              <w:bottom w:w="0" w:type="dxa"/>
              <w:right w:w="108" w:type="dxa"/>
            </w:tcMar>
            <w:vAlign w:val="center"/>
          </w:tcPr>
          <w:p w14:paraId="1EA98694" w14:textId="77533C12" w:rsidR="008E5B13" w:rsidRPr="00D22D61" w:rsidRDefault="0035686D" w:rsidP="008E5B13">
            <w:pPr>
              <w:pStyle w:val="Tabletext0"/>
              <w:jc w:val="center"/>
              <w:rPr>
                <w:szCs w:val="20"/>
              </w:rPr>
            </w:pPr>
            <w:r w:rsidRPr="00D22D61">
              <w:rPr>
                <w:szCs w:val="20"/>
              </w:rPr>
              <w:t>$</w:t>
            </w:r>
            <w:r w:rsidR="001F207D" w:rsidRPr="001F207D">
              <w:rPr>
                <w:rFonts w:hint="eastAsia"/>
                <w:color w:val="000000"/>
                <w:w w:val="23"/>
                <w:szCs w:val="20"/>
                <w:shd w:val="solid" w:color="000000" w:fill="000000"/>
                <w:fitText w:val="105" w:id="-1168382459"/>
                <w14:textFill>
                  <w14:solidFill>
                    <w14:srgbClr w14:val="000000">
                      <w14:alpha w14:val="100000"/>
                    </w14:srgbClr>
                  </w14:solidFill>
                </w14:textFill>
              </w:rPr>
              <w:t xml:space="preserve">　</w:t>
            </w:r>
            <w:r w:rsidR="001F207D" w:rsidRPr="001F207D">
              <w:rPr>
                <w:color w:val="000000"/>
                <w:w w:val="23"/>
                <w:szCs w:val="20"/>
                <w:shd w:val="solid" w:color="000000" w:fill="000000"/>
                <w:fitText w:val="105" w:id="-1168382459"/>
                <w14:textFill>
                  <w14:solidFill>
                    <w14:srgbClr w14:val="000000">
                      <w14:alpha w14:val="100000"/>
                    </w14:srgbClr>
                  </w14:solidFill>
                </w14:textFill>
              </w:rPr>
              <w:t>|</w:t>
            </w:r>
            <w:r w:rsidR="001F207D" w:rsidRPr="001F207D">
              <w:rPr>
                <w:rFonts w:hint="eastAsia"/>
                <w:color w:val="000000"/>
                <w:spacing w:val="4"/>
                <w:w w:val="23"/>
                <w:szCs w:val="20"/>
                <w:shd w:val="solid" w:color="000000" w:fill="000000"/>
                <w:fitText w:val="105" w:id="-1168382459"/>
                <w14:textFill>
                  <w14:solidFill>
                    <w14:srgbClr w14:val="000000">
                      <w14:alpha w14:val="100000"/>
                    </w14:srgbClr>
                  </w14:solidFill>
                </w14:textFill>
              </w:rPr>
              <w:t xml:space="preserve">　</w:t>
            </w:r>
            <w:r w:rsidR="00202340" w:rsidRPr="001B035F">
              <w:rPr>
                <w:szCs w:val="20"/>
                <w:vertAlign w:val="superscript"/>
              </w:rPr>
              <w:t>10</w:t>
            </w:r>
            <w:r w:rsidRPr="00D22D61">
              <w:rPr>
                <w:szCs w:val="20"/>
              </w:rPr>
              <w:t xml:space="preserve"> (-67%)</w:t>
            </w:r>
          </w:p>
        </w:tc>
      </w:tr>
      <w:tr w:rsidR="00AA18B5" w:rsidRPr="00D22D61" w14:paraId="5EF32EF5" w14:textId="77777777" w:rsidTr="00253C04">
        <w:tc>
          <w:tcPr>
            <w:tcW w:w="9029" w:type="dxa"/>
            <w:gridSpan w:val="6"/>
            <w:tcMar>
              <w:top w:w="0" w:type="dxa"/>
              <w:left w:w="108" w:type="dxa"/>
              <w:bottom w:w="0" w:type="dxa"/>
              <w:right w:w="108" w:type="dxa"/>
            </w:tcMar>
          </w:tcPr>
          <w:p w14:paraId="4CBBE2A8" w14:textId="29F921E8" w:rsidR="00AA18B5" w:rsidRPr="00D22D61" w:rsidRDefault="00AA18B5" w:rsidP="00AA18B5">
            <w:pPr>
              <w:pStyle w:val="Tabletext0"/>
              <w:rPr>
                <w:szCs w:val="20"/>
              </w:rPr>
            </w:pPr>
            <w:r w:rsidRPr="00D22D61">
              <w:rPr>
                <w:b/>
                <w:szCs w:val="20"/>
              </w:rPr>
              <w:t>Multivariate analysis</w:t>
            </w:r>
          </w:p>
        </w:tc>
      </w:tr>
      <w:tr w:rsidR="00762E80" w:rsidRPr="00D22D61" w14:paraId="61DF5CD4" w14:textId="77777777" w:rsidTr="001B035F">
        <w:tc>
          <w:tcPr>
            <w:tcW w:w="3119" w:type="dxa"/>
            <w:tcMar>
              <w:top w:w="0" w:type="dxa"/>
              <w:left w:w="108" w:type="dxa"/>
              <w:bottom w:w="0" w:type="dxa"/>
              <w:right w:w="108" w:type="dxa"/>
            </w:tcMar>
          </w:tcPr>
          <w:p w14:paraId="724049DD" w14:textId="05ECE9E5" w:rsidR="00762E80" w:rsidRPr="00D22D61" w:rsidRDefault="00762E80" w:rsidP="00762E80">
            <w:pPr>
              <w:pStyle w:val="Tabletext0"/>
            </w:pPr>
            <w:r w:rsidRPr="00D22D61">
              <w:t>Scenario 1: Constant eGFR treatment effects, UKPDS drift for all biomarkers, insulin intensification at HbA1c 8.0%, reduced hypoglycaemia event rate based on SURPASS-4</w:t>
            </w:r>
          </w:p>
        </w:tc>
        <w:tc>
          <w:tcPr>
            <w:tcW w:w="2233" w:type="dxa"/>
            <w:gridSpan w:val="2"/>
            <w:tcMar>
              <w:top w:w="0" w:type="dxa"/>
              <w:left w:w="108" w:type="dxa"/>
              <w:bottom w:w="0" w:type="dxa"/>
              <w:right w:w="108" w:type="dxa"/>
            </w:tcMar>
          </w:tcPr>
          <w:p w14:paraId="275E8B10" w14:textId="579BBE9E" w:rsidR="00762E80" w:rsidRPr="00D22D61" w:rsidRDefault="00762E80" w:rsidP="00762E80">
            <w:pPr>
              <w:pStyle w:val="Tabletext0"/>
              <w:jc w:val="center"/>
            </w:pPr>
            <w:r w:rsidRPr="00D22D61">
              <w:t>$</w:t>
            </w:r>
            <w:r w:rsidR="001F207D" w:rsidRPr="001F207D">
              <w:rPr>
                <w:color w:val="000000"/>
                <w:shd w:val="solid" w:color="000000" w:fill="000000"/>
                <w14:textFill>
                  <w14:solidFill>
                    <w14:srgbClr w14:val="000000">
                      <w14:alpha w14:val="100000"/>
                    </w14:srgbClr>
                  </w14:solidFill>
                </w14:textFill>
              </w:rPr>
              <w:t>|</w:t>
            </w:r>
            <w:r w:rsidR="00746B1E" w:rsidRPr="001B035F">
              <w:rPr>
                <w:rFonts w:cs="Arial Narrow"/>
                <w:sz w:val="18"/>
                <w:szCs w:val="18"/>
                <w:vertAlign w:val="superscript"/>
              </w:rPr>
              <w:t>8</w:t>
            </w:r>
            <w:r w:rsidRPr="00D22D61">
              <w:t xml:space="preserve"> (+332%)</w:t>
            </w:r>
          </w:p>
        </w:tc>
        <w:tc>
          <w:tcPr>
            <w:tcW w:w="1838" w:type="dxa"/>
            <w:gridSpan w:val="2"/>
            <w:tcMar>
              <w:top w:w="0" w:type="dxa"/>
              <w:left w:w="108" w:type="dxa"/>
              <w:bottom w:w="0" w:type="dxa"/>
              <w:right w:w="108" w:type="dxa"/>
            </w:tcMar>
          </w:tcPr>
          <w:p w14:paraId="7109AE51" w14:textId="2BFADD2F" w:rsidR="00762E80" w:rsidRPr="00D22D61" w:rsidRDefault="00762E80" w:rsidP="00762E80">
            <w:pPr>
              <w:pStyle w:val="Tabletext0"/>
              <w:jc w:val="center"/>
            </w:pPr>
            <w:r w:rsidRPr="00D22D61">
              <w:t>$</w:t>
            </w:r>
            <w:r w:rsidR="001F207D" w:rsidRPr="001F207D">
              <w:rPr>
                <w:rFonts w:hint="eastAsia"/>
                <w:color w:val="000000"/>
                <w:w w:val="33"/>
                <w:shd w:val="solid" w:color="000000" w:fill="000000"/>
                <w:fitText w:val="150" w:id="-1168382458"/>
                <w14:textFill>
                  <w14:solidFill>
                    <w14:srgbClr w14:val="000000">
                      <w14:alpha w14:val="100000"/>
                    </w14:srgbClr>
                  </w14:solidFill>
                </w14:textFill>
              </w:rPr>
              <w:t xml:space="preserve">　</w:t>
            </w:r>
            <w:r w:rsidR="001F207D" w:rsidRPr="001F207D">
              <w:rPr>
                <w:color w:val="000000"/>
                <w:w w:val="33"/>
                <w:shd w:val="solid" w:color="000000" w:fill="000000"/>
                <w:fitText w:val="150" w:id="-1168382458"/>
                <w14:textFill>
                  <w14:solidFill>
                    <w14:srgbClr w14:val="000000">
                      <w14:alpha w14:val="100000"/>
                    </w14:srgbClr>
                  </w14:solidFill>
                </w14:textFill>
              </w:rPr>
              <w:t>|</w:t>
            </w:r>
            <w:r w:rsidR="001F207D" w:rsidRPr="001F207D">
              <w:rPr>
                <w:rFonts w:hint="eastAsia"/>
                <w:color w:val="000000"/>
                <w:spacing w:val="4"/>
                <w:w w:val="33"/>
                <w:shd w:val="solid" w:color="000000" w:fill="000000"/>
                <w:fitText w:val="150" w:id="-1168382458"/>
                <w14:textFill>
                  <w14:solidFill>
                    <w14:srgbClr w14:val="000000">
                      <w14:alpha w14:val="100000"/>
                    </w14:srgbClr>
                  </w14:solidFill>
                </w14:textFill>
              </w:rPr>
              <w:t xml:space="preserve">　</w:t>
            </w:r>
            <w:r w:rsidR="00746B1E" w:rsidRPr="001B035F">
              <w:rPr>
                <w:rFonts w:cs="Arial Narrow"/>
                <w:sz w:val="18"/>
                <w:szCs w:val="18"/>
                <w:vertAlign w:val="superscript"/>
              </w:rPr>
              <w:t>4</w:t>
            </w:r>
            <w:r w:rsidRPr="00D22D61">
              <w:t xml:space="preserve"> (+183%)</w:t>
            </w:r>
          </w:p>
        </w:tc>
        <w:tc>
          <w:tcPr>
            <w:tcW w:w="1839" w:type="dxa"/>
            <w:tcMar>
              <w:top w:w="0" w:type="dxa"/>
              <w:left w:w="108" w:type="dxa"/>
              <w:bottom w:w="0" w:type="dxa"/>
              <w:right w:w="108" w:type="dxa"/>
            </w:tcMar>
          </w:tcPr>
          <w:p w14:paraId="1B713A89" w14:textId="32BAA8F7" w:rsidR="00762E80" w:rsidRPr="00D22D61" w:rsidRDefault="00762E80" w:rsidP="00762E80">
            <w:pPr>
              <w:pStyle w:val="Tabletext0"/>
              <w:jc w:val="center"/>
            </w:pPr>
            <w:r w:rsidRPr="00D22D61">
              <w:t>$</w:t>
            </w:r>
            <w:r w:rsidR="001F207D" w:rsidRPr="001F207D">
              <w:rPr>
                <w:rFonts w:hint="eastAsia"/>
                <w:color w:val="000000"/>
                <w:w w:val="33"/>
                <w:shd w:val="solid" w:color="000000" w:fill="000000"/>
                <w:fitText w:val="150" w:id="-1168382457"/>
                <w14:textFill>
                  <w14:solidFill>
                    <w14:srgbClr w14:val="000000">
                      <w14:alpha w14:val="100000"/>
                    </w14:srgbClr>
                  </w14:solidFill>
                </w14:textFill>
              </w:rPr>
              <w:t xml:space="preserve">　</w:t>
            </w:r>
            <w:r w:rsidR="001F207D" w:rsidRPr="001F207D">
              <w:rPr>
                <w:color w:val="000000"/>
                <w:w w:val="33"/>
                <w:shd w:val="solid" w:color="000000" w:fill="000000"/>
                <w:fitText w:val="150" w:id="-1168382457"/>
                <w14:textFill>
                  <w14:solidFill>
                    <w14:srgbClr w14:val="000000">
                      <w14:alpha w14:val="100000"/>
                    </w14:srgbClr>
                  </w14:solidFill>
                </w14:textFill>
              </w:rPr>
              <w:t>|</w:t>
            </w:r>
            <w:r w:rsidR="001F207D" w:rsidRPr="001F207D">
              <w:rPr>
                <w:rFonts w:hint="eastAsia"/>
                <w:color w:val="000000"/>
                <w:spacing w:val="4"/>
                <w:w w:val="33"/>
                <w:shd w:val="solid" w:color="000000" w:fill="000000"/>
                <w:fitText w:val="150" w:id="-1168382457"/>
                <w14:textFill>
                  <w14:solidFill>
                    <w14:srgbClr w14:val="000000">
                      <w14:alpha w14:val="100000"/>
                    </w14:srgbClr>
                  </w14:solidFill>
                </w14:textFill>
              </w:rPr>
              <w:t xml:space="preserve">　</w:t>
            </w:r>
            <w:r w:rsidR="00746B1E" w:rsidRPr="001B035F">
              <w:rPr>
                <w:rFonts w:cs="Arial Narrow"/>
                <w:sz w:val="18"/>
                <w:szCs w:val="18"/>
                <w:vertAlign w:val="superscript"/>
              </w:rPr>
              <w:t>1</w:t>
            </w:r>
            <w:r w:rsidRPr="00D22D61">
              <w:t xml:space="preserve"> (+171%)</w:t>
            </w:r>
          </w:p>
        </w:tc>
      </w:tr>
      <w:tr w:rsidR="00762E80" w:rsidRPr="00D22D61" w14:paraId="3898FF4F" w14:textId="77777777" w:rsidTr="001B035F">
        <w:tc>
          <w:tcPr>
            <w:tcW w:w="3119" w:type="dxa"/>
            <w:tcMar>
              <w:top w:w="0" w:type="dxa"/>
              <w:left w:w="108" w:type="dxa"/>
              <w:bottom w:w="0" w:type="dxa"/>
              <w:right w:w="108" w:type="dxa"/>
            </w:tcMar>
          </w:tcPr>
          <w:p w14:paraId="48B9273E" w14:textId="6CD59EE0" w:rsidR="00762E80" w:rsidRPr="00D22D61" w:rsidRDefault="00762E80" w:rsidP="00762E80">
            <w:pPr>
              <w:pStyle w:val="Tabletext0"/>
            </w:pPr>
            <w:r w:rsidRPr="00D22D61">
              <w:t>Scenario 2: Constant eGFR treatment effects, UKPDS drift for all biomarkers, insulin intensification at HbA1c 8.0%, reduced hypoglycaemia disutility to -0.003 per event</w:t>
            </w:r>
          </w:p>
        </w:tc>
        <w:tc>
          <w:tcPr>
            <w:tcW w:w="2233" w:type="dxa"/>
            <w:gridSpan w:val="2"/>
            <w:tcMar>
              <w:top w:w="0" w:type="dxa"/>
              <w:left w:w="108" w:type="dxa"/>
              <w:bottom w:w="0" w:type="dxa"/>
              <w:right w:w="108" w:type="dxa"/>
            </w:tcMar>
          </w:tcPr>
          <w:p w14:paraId="02234C5F" w14:textId="38BF94E8" w:rsidR="00762E80" w:rsidRPr="00D22D61" w:rsidRDefault="00762E80" w:rsidP="00762E80">
            <w:pPr>
              <w:pStyle w:val="Tabletext0"/>
              <w:jc w:val="center"/>
            </w:pPr>
            <w:r w:rsidRPr="00D22D61">
              <w:t>$</w:t>
            </w:r>
            <w:r w:rsidR="001F207D" w:rsidRPr="001F207D">
              <w:rPr>
                <w:color w:val="000000"/>
                <w:shd w:val="solid" w:color="000000" w:fill="000000"/>
                <w14:textFill>
                  <w14:solidFill>
                    <w14:srgbClr w14:val="000000">
                      <w14:alpha w14:val="100000"/>
                    </w14:srgbClr>
                  </w14:solidFill>
                </w14:textFill>
              </w:rPr>
              <w:t>|</w:t>
            </w:r>
            <w:r w:rsidR="00746B1E" w:rsidRPr="001B035F">
              <w:rPr>
                <w:rFonts w:cs="Arial Narrow"/>
                <w:sz w:val="18"/>
                <w:szCs w:val="18"/>
                <w:vertAlign w:val="superscript"/>
              </w:rPr>
              <w:t>9</w:t>
            </w:r>
            <w:r w:rsidRPr="00D22D61">
              <w:t xml:space="preserve"> (+151%)</w:t>
            </w:r>
          </w:p>
        </w:tc>
        <w:tc>
          <w:tcPr>
            <w:tcW w:w="1838" w:type="dxa"/>
            <w:gridSpan w:val="2"/>
            <w:tcMar>
              <w:top w:w="0" w:type="dxa"/>
              <w:left w:w="108" w:type="dxa"/>
              <w:bottom w:w="0" w:type="dxa"/>
              <w:right w:w="108" w:type="dxa"/>
            </w:tcMar>
          </w:tcPr>
          <w:p w14:paraId="1F3579A2" w14:textId="474E8DFF" w:rsidR="00762E80" w:rsidRPr="00D22D61" w:rsidRDefault="00762E80" w:rsidP="00762E80">
            <w:pPr>
              <w:pStyle w:val="Tabletext0"/>
              <w:jc w:val="center"/>
            </w:pPr>
            <w:r w:rsidRPr="00D22D61">
              <w:t>$</w:t>
            </w:r>
            <w:r w:rsidR="001F207D" w:rsidRPr="001F207D">
              <w:rPr>
                <w:rFonts w:hint="eastAsia"/>
                <w:color w:val="000000"/>
                <w:w w:val="23"/>
                <w:shd w:val="solid" w:color="000000" w:fill="000000"/>
                <w:fitText w:val="105" w:id="-1168382456"/>
                <w14:textFill>
                  <w14:solidFill>
                    <w14:srgbClr w14:val="000000">
                      <w14:alpha w14:val="100000"/>
                    </w14:srgbClr>
                  </w14:solidFill>
                </w14:textFill>
              </w:rPr>
              <w:t xml:space="preserve">　</w:t>
            </w:r>
            <w:r w:rsidR="001F207D" w:rsidRPr="001F207D">
              <w:rPr>
                <w:color w:val="000000"/>
                <w:w w:val="23"/>
                <w:shd w:val="solid" w:color="000000" w:fill="000000"/>
                <w:fitText w:val="105" w:id="-1168382456"/>
                <w14:textFill>
                  <w14:solidFill>
                    <w14:srgbClr w14:val="000000">
                      <w14:alpha w14:val="100000"/>
                    </w14:srgbClr>
                  </w14:solidFill>
                </w14:textFill>
              </w:rPr>
              <w:t>|</w:t>
            </w:r>
            <w:r w:rsidR="001F207D" w:rsidRPr="001F207D">
              <w:rPr>
                <w:rFonts w:hint="eastAsia"/>
                <w:color w:val="000000"/>
                <w:spacing w:val="4"/>
                <w:w w:val="23"/>
                <w:shd w:val="solid" w:color="000000" w:fill="000000"/>
                <w:fitText w:val="105" w:id="-1168382456"/>
                <w14:textFill>
                  <w14:solidFill>
                    <w14:srgbClr w14:val="000000">
                      <w14:alpha w14:val="100000"/>
                    </w14:srgbClr>
                  </w14:solidFill>
                </w14:textFill>
              </w:rPr>
              <w:t xml:space="preserve">　</w:t>
            </w:r>
            <w:r w:rsidR="00746B1E" w:rsidRPr="001B035F">
              <w:rPr>
                <w:rFonts w:cs="Arial Narrow"/>
                <w:sz w:val="18"/>
                <w:szCs w:val="18"/>
                <w:vertAlign w:val="superscript"/>
              </w:rPr>
              <w:t>1</w:t>
            </w:r>
            <w:r w:rsidRPr="00D22D61">
              <w:t xml:space="preserve"> (+96%)</w:t>
            </w:r>
          </w:p>
        </w:tc>
        <w:tc>
          <w:tcPr>
            <w:tcW w:w="1839" w:type="dxa"/>
            <w:tcMar>
              <w:top w:w="0" w:type="dxa"/>
              <w:left w:w="108" w:type="dxa"/>
              <w:bottom w:w="0" w:type="dxa"/>
              <w:right w:w="108" w:type="dxa"/>
            </w:tcMar>
          </w:tcPr>
          <w:p w14:paraId="6187FA44" w14:textId="1AC93269" w:rsidR="00762E80" w:rsidRPr="00D22D61" w:rsidRDefault="00762E80" w:rsidP="00762E80">
            <w:pPr>
              <w:pStyle w:val="Tabletext0"/>
              <w:jc w:val="center"/>
            </w:pPr>
            <w:r w:rsidRPr="00D22D61">
              <w:t>$</w:t>
            </w:r>
            <w:r w:rsidR="001F207D" w:rsidRPr="001F207D">
              <w:rPr>
                <w:rFonts w:hint="eastAsia"/>
                <w:color w:val="000000"/>
                <w:w w:val="23"/>
                <w:shd w:val="solid" w:color="000000" w:fill="000000"/>
                <w:fitText w:val="105" w:id="-1168382455"/>
                <w14:textFill>
                  <w14:solidFill>
                    <w14:srgbClr w14:val="000000">
                      <w14:alpha w14:val="100000"/>
                    </w14:srgbClr>
                  </w14:solidFill>
                </w14:textFill>
              </w:rPr>
              <w:t xml:space="preserve">　</w:t>
            </w:r>
            <w:r w:rsidR="001F207D" w:rsidRPr="001F207D">
              <w:rPr>
                <w:color w:val="000000"/>
                <w:w w:val="23"/>
                <w:shd w:val="solid" w:color="000000" w:fill="000000"/>
                <w:fitText w:val="105" w:id="-1168382455"/>
                <w14:textFill>
                  <w14:solidFill>
                    <w14:srgbClr w14:val="000000">
                      <w14:alpha w14:val="100000"/>
                    </w14:srgbClr>
                  </w14:solidFill>
                </w14:textFill>
              </w:rPr>
              <w:t>|</w:t>
            </w:r>
            <w:r w:rsidR="001F207D" w:rsidRPr="001F207D">
              <w:rPr>
                <w:rFonts w:hint="eastAsia"/>
                <w:color w:val="000000"/>
                <w:spacing w:val="4"/>
                <w:w w:val="23"/>
                <w:shd w:val="solid" w:color="000000" w:fill="000000"/>
                <w:fitText w:val="105" w:id="-1168382455"/>
                <w14:textFill>
                  <w14:solidFill>
                    <w14:srgbClr w14:val="000000">
                      <w14:alpha w14:val="100000"/>
                    </w14:srgbClr>
                  </w14:solidFill>
                </w14:textFill>
              </w:rPr>
              <w:t xml:space="preserve">　</w:t>
            </w:r>
            <w:r w:rsidR="00746B1E" w:rsidRPr="001B035F">
              <w:rPr>
                <w:rFonts w:cs="Arial Narrow"/>
                <w:sz w:val="18"/>
                <w:szCs w:val="18"/>
                <w:vertAlign w:val="superscript"/>
              </w:rPr>
              <w:t>5</w:t>
            </w:r>
            <w:r w:rsidRPr="00D22D61">
              <w:t xml:space="preserve"> (+96%)</w:t>
            </w:r>
          </w:p>
        </w:tc>
      </w:tr>
    </w:tbl>
    <w:p w14:paraId="74D0DBD1" w14:textId="77777777" w:rsidR="003D653B" w:rsidRPr="00065852" w:rsidRDefault="003D653B" w:rsidP="003D653B">
      <w:pPr>
        <w:pStyle w:val="COMTablefooter"/>
      </w:pPr>
      <w:r w:rsidRPr="00065852">
        <w:t>Source: Table 3.9-2, pp305-306 of the submission; additional analyses conducted during the evaluation based on tirzepatide Section 3 model Excel spreadsheet</w:t>
      </w:r>
    </w:p>
    <w:p w14:paraId="0B8DC99B" w14:textId="633BF714" w:rsidR="003D653B" w:rsidRPr="00065852" w:rsidRDefault="003D653B" w:rsidP="003D653B">
      <w:pPr>
        <w:pStyle w:val="COMTablefooter"/>
      </w:pPr>
      <w:r w:rsidRPr="00065852">
        <w:t>Abbreviations: BMI, body mass index; GLP-1 RA glucagon-like peptide-1 receptor agonists; Hb</w:t>
      </w:r>
      <w:r w:rsidR="006C31AD" w:rsidRPr="00065852">
        <w:t>A</w:t>
      </w:r>
      <w:r w:rsidRPr="00065852">
        <w:t>1c, glycated haemoglobin; ICER, incremental cost effectiveness ratio; NE, not estimated; QALY, quality-adjusted life year; UKPDS (OM2), United Kingdom Prospective Diabetes Study (Outcomes Model 2)</w:t>
      </w:r>
    </w:p>
    <w:p w14:paraId="597BE958" w14:textId="77777777" w:rsidR="003D653B" w:rsidRPr="00065852" w:rsidRDefault="003D653B" w:rsidP="003D653B">
      <w:pPr>
        <w:pStyle w:val="COMTablefooter"/>
      </w:pPr>
      <w:r w:rsidRPr="00065852">
        <w:t>Note: The submission incorrectly estimated insulin drug costs based on 1500 IU per script rather than 7500 IU per script. This error was corrected during the evaluation.</w:t>
      </w:r>
    </w:p>
    <w:p w14:paraId="01B3AAFE" w14:textId="77777777" w:rsidR="003D653B" w:rsidRPr="00F2167D" w:rsidRDefault="003D653B" w:rsidP="003D653B">
      <w:pPr>
        <w:pStyle w:val="COMTablefooter"/>
      </w:pPr>
      <w:r w:rsidRPr="00F2167D">
        <w:lastRenderedPageBreak/>
        <w:t>Note: The price of insulin aspart was subject to a mandatory price reduction on 1 April 2023 which decreased the price from $211.62 per script (used in the submission) to $166.22 per script (used in the evaluation).</w:t>
      </w:r>
    </w:p>
    <w:p w14:paraId="64B37377" w14:textId="1F4BC13A" w:rsidR="003D653B" w:rsidRPr="00065852" w:rsidRDefault="003D653B" w:rsidP="003D653B">
      <w:pPr>
        <w:pStyle w:val="COMTablefooter"/>
      </w:pPr>
      <w:r w:rsidRPr="00F2167D">
        <w:t>Note: During the evaluation an inconsistency was noted in the estimation of treatment</w:t>
      </w:r>
      <w:r w:rsidRPr="00065852">
        <w:t xml:space="preserve"> effects for eGFR with insulin intensification. In order to address the inconsistency, the base case analyses were respecified during the evaluation by assuming that eGFR reverts to baseline for all treatment arms</w:t>
      </w:r>
    </w:p>
    <w:p w14:paraId="06F46064" w14:textId="705FF572" w:rsidR="003D653B" w:rsidRDefault="003D653B" w:rsidP="001B035F">
      <w:pPr>
        <w:pStyle w:val="COMTablefooter"/>
        <w:spacing w:after="0"/>
      </w:pPr>
      <w:r w:rsidRPr="00065852">
        <w:rPr>
          <w:vertAlign w:val="superscript"/>
        </w:rPr>
        <w:t>a</w:t>
      </w:r>
      <w:r w:rsidRPr="00065852">
        <w:t xml:space="preserve"> </w:t>
      </w:r>
      <w:proofErr w:type="gramStart"/>
      <w:r w:rsidRPr="00065852">
        <w:t>Based on</w:t>
      </w:r>
      <w:proofErr w:type="gramEnd"/>
      <w:r w:rsidRPr="00065852">
        <w:t xml:space="preserve"> rate per year in patients without sulfonylurea in the SURPASS-4 trial using the same definition of the SURPASS-2 trial (severe event requiring assistance or an event with or without symptoms which was confirmed to be caused by blood glucose &lt; 3.0 mmol/L)</w:t>
      </w:r>
    </w:p>
    <w:p w14:paraId="33B7D716" w14:textId="1DAFC355" w:rsidR="002C796C" w:rsidRDefault="002C796C" w:rsidP="001B035F">
      <w:pPr>
        <w:tabs>
          <w:tab w:val="center" w:pos="4513"/>
          <w:tab w:val="right" w:pos="9026"/>
        </w:tabs>
        <w:autoSpaceDE w:val="0"/>
        <w:autoSpaceDN w:val="0"/>
        <w:adjustRightInd w:val="0"/>
        <w:rPr>
          <w:rFonts w:ascii="Arial Narrow" w:hAnsi="Arial Narrow" w:cs="Arial Narrow"/>
          <w:i/>
          <w:iCs/>
          <w:sz w:val="18"/>
          <w:szCs w:val="18"/>
        </w:rPr>
      </w:pPr>
      <w:r>
        <w:rPr>
          <w:rFonts w:ascii="Arial Narrow" w:hAnsi="Arial Narrow" w:cs="Arial Narrow"/>
          <w:i/>
          <w:iCs/>
          <w:sz w:val="18"/>
          <w:szCs w:val="18"/>
        </w:rPr>
        <w:t>The redacted values correspond to the following ranges</w:t>
      </w:r>
      <w:r w:rsidR="00F2167D">
        <w:rPr>
          <w:rFonts w:ascii="Arial Narrow" w:hAnsi="Arial Narrow" w:cs="Arial Narrow"/>
          <w:i/>
          <w:iCs/>
          <w:sz w:val="18"/>
          <w:szCs w:val="18"/>
        </w:rPr>
        <w:t>:</w:t>
      </w:r>
    </w:p>
    <w:p w14:paraId="13849E1B" w14:textId="77777777" w:rsidR="00174CC0" w:rsidRDefault="00174CC0" w:rsidP="00174CC0">
      <w:pPr>
        <w:autoSpaceDE w:val="0"/>
        <w:autoSpaceDN w:val="0"/>
        <w:adjustRightInd w:val="0"/>
        <w:jc w:val="left"/>
        <w:rPr>
          <w:rFonts w:ascii="Arial Narrow" w:hAnsi="Arial Narrow" w:cs="Arial Narrow"/>
          <w:i/>
          <w:iCs/>
          <w:sz w:val="18"/>
          <w:szCs w:val="18"/>
        </w:rPr>
      </w:pPr>
      <w:r>
        <w:rPr>
          <w:rFonts w:ascii="Arial Narrow" w:hAnsi="Arial Narrow" w:cs="Arial Narrow"/>
          <w:i/>
          <w:iCs/>
          <w:sz w:val="18"/>
          <w:szCs w:val="18"/>
          <w:vertAlign w:val="superscript"/>
        </w:rPr>
        <w:t>1</w:t>
      </w:r>
      <w:r>
        <w:rPr>
          <w:rFonts w:ascii="Arial Narrow" w:hAnsi="Arial Narrow" w:cs="Arial Narrow"/>
          <w:i/>
          <w:iCs/>
          <w:sz w:val="18"/>
          <w:szCs w:val="18"/>
        </w:rPr>
        <w:t xml:space="preserve"> </w:t>
      </w:r>
      <w:r w:rsidRPr="00191897">
        <w:rPr>
          <w:rFonts w:ascii="Arial Narrow" w:hAnsi="Arial Narrow" w:cs="Arial Narrow"/>
          <w:i/>
          <w:iCs/>
          <w:sz w:val="18"/>
          <w:szCs w:val="18"/>
        </w:rPr>
        <w:t>$115,000 to &lt; $135,000</w:t>
      </w:r>
    </w:p>
    <w:p w14:paraId="61B2268E" w14:textId="77777777" w:rsidR="00174CC0" w:rsidRDefault="00174CC0" w:rsidP="00174CC0">
      <w:pPr>
        <w:autoSpaceDE w:val="0"/>
        <w:autoSpaceDN w:val="0"/>
        <w:adjustRightInd w:val="0"/>
        <w:jc w:val="left"/>
        <w:rPr>
          <w:rFonts w:ascii="Arial Narrow" w:hAnsi="Arial Narrow" w:cs="Arial Narrow"/>
          <w:i/>
          <w:iCs/>
          <w:sz w:val="18"/>
          <w:szCs w:val="18"/>
        </w:rPr>
      </w:pPr>
      <w:r>
        <w:rPr>
          <w:rFonts w:ascii="Arial Narrow" w:hAnsi="Arial Narrow" w:cs="Arial Narrow"/>
          <w:i/>
          <w:iCs/>
          <w:sz w:val="18"/>
          <w:szCs w:val="18"/>
          <w:vertAlign w:val="superscript"/>
        </w:rPr>
        <w:t>2</w:t>
      </w:r>
      <w:r>
        <w:rPr>
          <w:rFonts w:ascii="Arial Narrow" w:hAnsi="Arial Narrow" w:cs="Arial Narrow"/>
          <w:i/>
          <w:iCs/>
          <w:sz w:val="18"/>
          <w:szCs w:val="18"/>
        </w:rPr>
        <w:t xml:space="preserve"> </w:t>
      </w:r>
      <w:r w:rsidRPr="005B439A">
        <w:rPr>
          <w:rFonts w:ascii="Arial Narrow" w:hAnsi="Arial Narrow" w:cs="Arial Narrow"/>
          <w:i/>
          <w:iCs/>
          <w:sz w:val="18"/>
          <w:szCs w:val="18"/>
        </w:rPr>
        <w:t>$95,000 to &lt; $115,000</w:t>
      </w:r>
    </w:p>
    <w:p w14:paraId="0A7E10FF" w14:textId="77777777" w:rsidR="00174CC0" w:rsidRDefault="00174CC0" w:rsidP="00174CC0">
      <w:pPr>
        <w:autoSpaceDE w:val="0"/>
        <w:autoSpaceDN w:val="0"/>
        <w:adjustRightInd w:val="0"/>
        <w:jc w:val="left"/>
        <w:rPr>
          <w:rFonts w:ascii="Arial Narrow" w:hAnsi="Arial Narrow" w:cs="Arial Narrow"/>
          <w:i/>
          <w:iCs/>
          <w:sz w:val="18"/>
          <w:szCs w:val="18"/>
        </w:rPr>
      </w:pPr>
      <w:r>
        <w:rPr>
          <w:rFonts w:ascii="Arial Narrow" w:hAnsi="Arial Narrow" w:cs="Arial Narrow"/>
          <w:i/>
          <w:iCs/>
          <w:sz w:val="18"/>
          <w:szCs w:val="18"/>
          <w:vertAlign w:val="superscript"/>
        </w:rPr>
        <w:t>3</w:t>
      </w:r>
      <w:r>
        <w:rPr>
          <w:rFonts w:ascii="Arial Narrow" w:hAnsi="Arial Narrow" w:cs="Arial Narrow"/>
          <w:i/>
          <w:iCs/>
          <w:sz w:val="18"/>
          <w:szCs w:val="18"/>
        </w:rPr>
        <w:t xml:space="preserve"> </w:t>
      </w:r>
      <w:r w:rsidRPr="005B439A">
        <w:rPr>
          <w:rFonts w:ascii="Arial Narrow" w:hAnsi="Arial Narrow" w:cs="Arial Narrow"/>
          <w:i/>
          <w:iCs/>
          <w:sz w:val="18"/>
          <w:szCs w:val="18"/>
        </w:rPr>
        <w:t>$135,000 to &lt; $155,000</w:t>
      </w:r>
    </w:p>
    <w:p w14:paraId="215EC055" w14:textId="77777777" w:rsidR="00174CC0" w:rsidRDefault="00174CC0" w:rsidP="00174CC0">
      <w:pPr>
        <w:autoSpaceDE w:val="0"/>
        <w:autoSpaceDN w:val="0"/>
        <w:adjustRightInd w:val="0"/>
        <w:jc w:val="left"/>
        <w:rPr>
          <w:rFonts w:ascii="Arial Narrow" w:hAnsi="Arial Narrow" w:cs="Arial Narrow"/>
          <w:i/>
          <w:iCs/>
          <w:sz w:val="18"/>
          <w:szCs w:val="18"/>
        </w:rPr>
      </w:pPr>
      <w:r>
        <w:rPr>
          <w:rFonts w:ascii="Arial Narrow" w:hAnsi="Arial Narrow" w:cs="Arial Narrow"/>
          <w:i/>
          <w:iCs/>
          <w:sz w:val="18"/>
          <w:szCs w:val="18"/>
          <w:vertAlign w:val="superscript"/>
        </w:rPr>
        <w:t xml:space="preserve">4 </w:t>
      </w:r>
      <w:r w:rsidRPr="005B439A">
        <w:rPr>
          <w:rFonts w:ascii="Arial Narrow" w:hAnsi="Arial Narrow" w:cs="Arial Narrow"/>
          <w:i/>
          <w:iCs/>
          <w:sz w:val="18"/>
          <w:szCs w:val="18"/>
        </w:rPr>
        <w:t>$155,000 to &lt; $255,000</w:t>
      </w:r>
    </w:p>
    <w:p w14:paraId="4B055179" w14:textId="77777777" w:rsidR="00174CC0" w:rsidRDefault="00174CC0" w:rsidP="00174CC0">
      <w:pPr>
        <w:autoSpaceDE w:val="0"/>
        <w:autoSpaceDN w:val="0"/>
        <w:adjustRightInd w:val="0"/>
        <w:jc w:val="left"/>
        <w:rPr>
          <w:rFonts w:ascii="Arial Narrow" w:hAnsi="Arial Narrow" w:cs="Arial Narrow"/>
          <w:i/>
          <w:iCs/>
          <w:sz w:val="18"/>
          <w:szCs w:val="18"/>
        </w:rPr>
      </w:pPr>
      <w:r>
        <w:rPr>
          <w:rFonts w:ascii="Arial Narrow" w:hAnsi="Arial Narrow" w:cs="Arial Narrow"/>
          <w:i/>
          <w:iCs/>
          <w:sz w:val="18"/>
          <w:szCs w:val="18"/>
          <w:vertAlign w:val="superscript"/>
        </w:rPr>
        <w:t>5</w:t>
      </w:r>
      <w:r>
        <w:rPr>
          <w:rFonts w:ascii="Arial Narrow" w:hAnsi="Arial Narrow" w:cs="Arial Narrow"/>
          <w:i/>
          <w:iCs/>
          <w:sz w:val="18"/>
          <w:szCs w:val="18"/>
        </w:rPr>
        <w:t xml:space="preserve"> </w:t>
      </w:r>
      <w:r w:rsidRPr="005B439A">
        <w:rPr>
          <w:rFonts w:ascii="Arial Narrow" w:hAnsi="Arial Narrow" w:cs="Arial Narrow"/>
          <w:i/>
          <w:iCs/>
          <w:sz w:val="18"/>
          <w:szCs w:val="18"/>
        </w:rPr>
        <w:t>$75,000 to &lt; $95,000</w:t>
      </w:r>
    </w:p>
    <w:p w14:paraId="26136B92" w14:textId="77777777" w:rsidR="00174CC0" w:rsidRDefault="00174CC0" w:rsidP="00174CC0">
      <w:pPr>
        <w:autoSpaceDE w:val="0"/>
        <w:autoSpaceDN w:val="0"/>
        <w:adjustRightInd w:val="0"/>
        <w:jc w:val="left"/>
        <w:rPr>
          <w:rFonts w:ascii="Arial Narrow" w:hAnsi="Arial Narrow" w:cs="Arial Narrow"/>
          <w:i/>
          <w:iCs/>
          <w:sz w:val="18"/>
          <w:szCs w:val="18"/>
        </w:rPr>
      </w:pPr>
      <w:r>
        <w:rPr>
          <w:rFonts w:ascii="Arial Narrow" w:hAnsi="Arial Narrow" w:cs="Arial Narrow"/>
          <w:i/>
          <w:iCs/>
          <w:sz w:val="18"/>
          <w:szCs w:val="18"/>
          <w:vertAlign w:val="superscript"/>
        </w:rPr>
        <w:t>6</w:t>
      </w:r>
      <w:r>
        <w:rPr>
          <w:rFonts w:ascii="Arial Narrow" w:hAnsi="Arial Narrow" w:cs="Arial Narrow"/>
          <w:i/>
          <w:iCs/>
          <w:sz w:val="18"/>
          <w:szCs w:val="18"/>
        </w:rPr>
        <w:t xml:space="preserve"> </w:t>
      </w:r>
      <w:r w:rsidRPr="00454444">
        <w:rPr>
          <w:rFonts w:ascii="Arial Narrow" w:hAnsi="Arial Narrow" w:cs="Arial Narrow"/>
          <w:i/>
          <w:iCs/>
          <w:sz w:val="18"/>
          <w:szCs w:val="18"/>
        </w:rPr>
        <w:t>$55,000 to &lt; $75,000</w:t>
      </w:r>
    </w:p>
    <w:p w14:paraId="521286FF" w14:textId="77777777" w:rsidR="00174CC0" w:rsidRDefault="00174CC0" w:rsidP="00174CC0">
      <w:pPr>
        <w:autoSpaceDE w:val="0"/>
        <w:autoSpaceDN w:val="0"/>
        <w:adjustRightInd w:val="0"/>
        <w:jc w:val="left"/>
        <w:rPr>
          <w:rFonts w:ascii="Arial Narrow" w:hAnsi="Arial Narrow" w:cs="Arial Narrow"/>
          <w:i/>
          <w:iCs/>
          <w:sz w:val="18"/>
          <w:szCs w:val="18"/>
        </w:rPr>
      </w:pPr>
      <w:r>
        <w:rPr>
          <w:rFonts w:ascii="Arial Narrow" w:hAnsi="Arial Narrow" w:cs="Arial Narrow"/>
          <w:i/>
          <w:iCs/>
          <w:sz w:val="18"/>
          <w:szCs w:val="18"/>
          <w:vertAlign w:val="superscript"/>
        </w:rPr>
        <w:t>7</w:t>
      </w:r>
      <w:r>
        <w:rPr>
          <w:rFonts w:ascii="Arial Narrow" w:hAnsi="Arial Narrow" w:cs="Arial Narrow"/>
          <w:i/>
          <w:iCs/>
          <w:sz w:val="18"/>
          <w:szCs w:val="18"/>
        </w:rPr>
        <w:t xml:space="preserve"> </w:t>
      </w:r>
      <w:r w:rsidRPr="00454444">
        <w:rPr>
          <w:rFonts w:ascii="Arial Narrow" w:hAnsi="Arial Narrow" w:cs="Arial Narrow"/>
          <w:i/>
          <w:iCs/>
          <w:sz w:val="18"/>
          <w:szCs w:val="18"/>
        </w:rPr>
        <w:t>$45,000 to &lt; $55,000</w:t>
      </w:r>
    </w:p>
    <w:p w14:paraId="2BD1BF00" w14:textId="77777777" w:rsidR="00174CC0" w:rsidRDefault="00174CC0" w:rsidP="00174CC0">
      <w:pPr>
        <w:autoSpaceDE w:val="0"/>
        <w:autoSpaceDN w:val="0"/>
        <w:adjustRightInd w:val="0"/>
        <w:jc w:val="left"/>
        <w:rPr>
          <w:rFonts w:ascii="Arial Narrow" w:hAnsi="Arial Narrow" w:cs="Arial Narrow"/>
          <w:i/>
          <w:iCs/>
          <w:sz w:val="18"/>
          <w:szCs w:val="18"/>
        </w:rPr>
      </w:pPr>
      <w:r>
        <w:rPr>
          <w:rFonts w:ascii="Arial Narrow" w:hAnsi="Arial Narrow" w:cs="Arial Narrow"/>
          <w:i/>
          <w:iCs/>
          <w:sz w:val="18"/>
          <w:szCs w:val="18"/>
          <w:vertAlign w:val="superscript"/>
        </w:rPr>
        <w:t>8</w:t>
      </w:r>
      <w:r>
        <w:rPr>
          <w:rFonts w:ascii="Arial Narrow" w:hAnsi="Arial Narrow" w:cs="Arial Narrow"/>
          <w:i/>
          <w:iCs/>
          <w:sz w:val="18"/>
          <w:szCs w:val="18"/>
        </w:rPr>
        <w:t xml:space="preserve"> </w:t>
      </w:r>
      <w:r w:rsidRPr="00A70589">
        <w:rPr>
          <w:rFonts w:ascii="Arial Narrow" w:hAnsi="Arial Narrow" w:cs="Arial Narrow"/>
          <w:i/>
          <w:iCs/>
          <w:sz w:val="18"/>
          <w:szCs w:val="18"/>
        </w:rPr>
        <w:t>$555,000 to &lt; $655,000</w:t>
      </w:r>
    </w:p>
    <w:p w14:paraId="28993F17" w14:textId="77777777" w:rsidR="00174CC0" w:rsidRDefault="00174CC0" w:rsidP="00174CC0">
      <w:pPr>
        <w:autoSpaceDE w:val="0"/>
        <w:autoSpaceDN w:val="0"/>
        <w:adjustRightInd w:val="0"/>
        <w:jc w:val="left"/>
        <w:rPr>
          <w:rFonts w:ascii="Arial Narrow" w:hAnsi="Arial Narrow" w:cs="Arial Narrow"/>
          <w:i/>
          <w:iCs/>
          <w:sz w:val="18"/>
          <w:szCs w:val="18"/>
        </w:rPr>
      </w:pPr>
      <w:r>
        <w:rPr>
          <w:rFonts w:ascii="Arial Narrow" w:hAnsi="Arial Narrow" w:cs="Arial Narrow"/>
          <w:i/>
          <w:iCs/>
          <w:sz w:val="18"/>
          <w:szCs w:val="18"/>
          <w:vertAlign w:val="superscript"/>
        </w:rPr>
        <w:t>9</w:t>
      </w:r>
      <w:r>
        <w:rPr>
          <w:rFonts w:ascii="Arial Narrow" w:hAnsi="Arial Narrow" w:cs="Arial Narrow"/>
          <w:i/>
          <w:iCs/>
          <w:sz w:val="18"/>
          <w:szCs w:val="18"/>
        </w:rPr>
        <w:t xml:space="preserve"> </w:t>
      </w:r>
      <w:r w:rsidRPr="00A70589">
        <w:rPr>
          <w:rFonts w:ascii="Arial Narrow" w:hAnsi="Arial Narrow" w:cs="Arial Narrow"/>
          <w:i/>
          <w:iCs/>
          <w:sz w:val="18"/>
          <w:szCs w:val="18"/>
        </w:rPr>
        <w:t>$255,000 to &lt; $355,000</w:t>
      </w:r>
    </w:p>
    <w:p w14:paraId="1A1611E6" w14:textId="77777777" w:rsidR="00174CC0" w:rsidRDefault="00174CC0" w:rsidP="00174CC0">
      <w:pPr>
        <w:autoSpaceDE w:val="0"/>
        <w:autoSpaceDN w:val="0"/>
        <w:adjustRightInd w:val="0"/>
        <w:jc w:val="left"/>
        <w:rPr>
          <w:rFonts w:ascii="Arial Narrow" w:hAnsi="Arial Narrow" w:cs="Arial Narrow"/>
          <w:i/>
          <w:iCs/>
          <w:sz w:val="18"/>
          <w:szCs w:val="18"/>
        </w:rPr>
      </w:pPr>
      <w:r>
        <w:rPr>
          <w:rFonts w:ascii="Arial Narrow" w:hAnsi="Arial Narrow" w:cs="Arial Narrow"/>
          <w:i/>
          <w:iCs/>
          <w:sz w:val="18"/>
          <w:szCs w:val="18"/>
          <w:vertAlign w:val="superscript"/>
        </w:rPr>
        <w:t>10</w:t>
      </w:r>
      <w:r>
        <w:rPr>
          <w:rFonts w:ascii="Arial Narrow" w:hAnsi="Arial Narrow" w:cs="Arial Narrow"/>
          <w:i/>
          <w:iCs/>
          <w:sz w:val="18"/>
          <w:szCs w:val="18"/>
        </w:rPr>
        <w:t xml:space="preserve"> </w:t>
      </w:r>
      <w:r w:rsidRPr="0065019A">
        <w:rPr>
          <w:rFonts w:ascii="Arial Narrow" w:hAnsi="Arial Narrow" w:cs="Arial Narrow"/>
          <w:i/>
          <w:iCs/>
          <w:sz w:val="18"/>
          <w:szCs w:val="18"/>
        </w:rPr>
        <w:t>$15,000 to &lt; $25,000</w:t>
      </w:r>
    </w:p>
    <w:p w14:paraId="5BB97567" w14:textId="77777777" w:rsidR="00174CC0" w:rsidRDefault="00174CC0" w:rsidP="001921CA">
      <w:pPr>
        <w:autoSpaceDE w:val="0"/>
        <w:autoSpaceDN w:val="0"/>
        <w:adjustRightInd w:val="0"/>
        <w:spacing w:after="120"/>
        <w:jc w:val="left"/>
        <w:rPr>
          <w:rFonts w:ascii="Arial Narrow" w:hAnsi="Arial Narrow" w:cs="Arial Narrow"/>
          <w:i/>
          <w:iCs/>
          <w:sz w:val="18"/>
          <w:szCs w:val="18"/>
        </w:rPr>
      </w:pPr>
      <w:r>
        <w:rPr>
          <w:rFonts w:ascii="Arial Narrow" w:hAnsi="Arial Narrow" w:cs="Arial Narrow"/>
          <w:i/>
          <w:iCs/>
          <w:sz w:val="18"/>
          <w:szCs w:val="18"/>
          <w:vertAlign w:val="superscript"/>
        </w:rPr>
        <w:t xml:space="preserve">11 </w:t>
      </w:r>
      <w:r w:rsidRPr="0065019A">
        <w:rPr>
          <w:rFonts w:ascii="Arial Narrow" w:hAnsi="Arial Narrow" w:cs="Arial Narrow"/>
          <w:i/>
          <w:iCs/>
          <w:sz w:val="18"/>
          <w:szCs w:val="18"/>
        </w:rPr>
        <w:t>$35,000 to &lt; $45,000</w:t>
      </w:r>
    </w:p>
    <w:p w14:paraId="78912598" w14:textId="77777777" w:rsidR="00EC2D33" w:rsidRDefault="00D07287" w:rsidP="00D07287">
      <w:pPr>
        <w:pStyle w:val="COMexecsumnumberedpara"/>
        <w:rPr>
          <w:iCs/>
        </w:rPr>
      </w:pPr>
      <w:r w:rsidRPr="00065852">
        <w:rPr>
          <w:iCs/>
        </w:rPr>
        <w:t>Given the limited differences in clinical outcomes between tirzepatide and semaglutide (weight, adverse events, diabetes complications), the model was largely driven by differences between treatments in the time to insulin therapy (as insulin is associated with substantially worse weight and hypoglycaemia outcomes).</w:t>
      </w:r>
    </w:p>
    <w:p w14:paraId="32C8262C" w14:textId="77777777" w:rsidR="00EC2D33" w:rsidRDefault="006837D3" w:rsidP="002B7287">
      <w:pPr>
        <w:pStyle w:val="COMexecsumnumberedpara"/>
        <w:rPr>
          <w:iCs/>
        </w:rPr>
      </w:pPr>
      <w:r w:rsidRPr="00BC7837">
        <w:t>The ESC noted the</w:t>
      </w:r>
      <w:r w:rsidRPr="00065852">
        <w:t xml:space="preserve"> results of the sensitivity analyses indicated that the model was most sensitive to biomarker drift factors, HbA1c and BMI treatment effects, insulin intensification thresholds, hypoglycaemia rates with insulin, </w:t>
      </w:r>
      <w:proofErr w:type="gramStart"/>
      <w:r w:rsidRPr="00065852">
        <w:t>hypoglycaemia</w:t>
      </w:r>
      <w:proofErr w:type="gramEnd"/>
      <w:r w:rsidRPr="00065852">
        <w:t xml:space="preserve"> and weight-related utility values as well as the use of concomitant semaglutide with insulin. </w:t>
      </w:r>
      <w:r w:rsidR="008C4464" w:rsidRPr="00BC7837">
        <w:rPr>
          <w:iCs/>
        </w:rPr>
        <w:t xml:space="preserve">The ESC </w:t>
      </w:r>
      <w:r w:rsidR="003464E1" w:rsidRPr="00BC7837">
        <w:rPr>
          <w:iCs/>
        </w:rPr>
        <w:t>considered</w:t>
      </w:r>
      <w:r w:rsidRPr="00BC7837">
        <w:rPr>
          <w:iCs/>
        </w:rPr>
        <w:t xml:space="preserve"> that optimistic assumptions around utility weights, biomarker drift and insulin intensification should be addressed by revised base case that incorporate</w:t>
      </w:r>
      <w:r w:rsidR="005B3A4B" w:rsidRPr="00BC7837">
        <w:rPr>
          <w:iCs/>
        </w:rPr>
        <w:t>d</w:t>
      </w:r>
      <w:r w:rsidRPr="00BC7837">
        <w:rPr>
          <w:iCs/>
        </w:rPr>
        <w:t>:</w:t>
      </w:r>
    </w:p>
    <w:p w14:paraId="3388D9CB" w14:textId="735C30C7" w:rsidR="0091445D" w:rsidRPr="00BC7837" w:rsidRDefault="0091445D" w:rsidP="00422C04">
      <w:pPr>
        <w:pStyle w:val="COMexecsumnumberedpara"/>
        <w:numPr>
          <w:ilvl w:val="0"/>
          <w:numId w:val="13"/>
        </w:numPr>
        <w:spacing w:after="60"/>
        <w:rPr>
          <w:iCs/>
        </w:rPr>
      </w:pPr>
      <w:r w:rsidRPr="00BC7837">
        <w:rPr>
          <w:iCs/>
        </w:rPr>
        <w:t>Constant eGFR treatment effects</w:t>
      </w:r>
    </w:p>
    <w:p w14:paraId="7ACE050D" w14:textId="3EE1377A" w:rsidR="0091445D" w:rsidRPr="00BC7837" w:rsidRDefault="0091445D" w:rsidP="00422C04">
      <w:pPr>
        <w:pStyle w:val="COMexecsumnumberedpara"/>
        <w:numPr>
          <w:ilvl w:val="0"/>
          <w:numId w:val="13"/>
        </w:numPr>
        <w:spacing w:after="60"/>
        <w:rPr>
          <w:iCs/>
        </w:rPr>
      </w:pPr>
      <w:r w:rsidRPr="00BC7837">
        <w:rPr>
          <w:iCs/>
        </w:rPr>
        <w:t>UKPDS drift for all biomarkers</w:t>
      </w:r>
    </w:p>
    <w:p w14:paraId="611A2B3F" w14:textId="784B6DBB" w:rsidR="0091445D" w:rsidRPr="00BC7837" w:rsidRDefault="0091445D" w:rsidP="00422C04">
      <w:pPr>
        <w:pStyle w:val="COMexecsumnumberedpara"/>
        <w:numPr>
          <w:ilvl w:val="0"/>
          <w:numId w:val="13"/>
        </w:numPr>
        <w:spacing w:after="60"/>
        <w:rPr>
          <w:iCs/>
        </w:rPr>
      </w:pPr>
      <w:r w:rsidRPr="00BC7837">
        <w:rPr>
          <w:iCs/>
        </w:rPr>
        <w:t>Insulin intensification at HbA1c 8.0%</w:t>
      </w:r>
    </w:p>
    <w:p w14:paraId="51F40ACA" w14:textId="77777777" w:rsidR="00EC2D33" w:rsidRDefault="0091445D" w:rsidP="00422C04">
      <w:pPr>
        <w:pStyle w:val="COMexecsumnumberedpara"/>
        <w:numPr>
          <w:ilvl w:val="0"/>
          <w:numId w:val="13"/>
        </w:numPr>
        <w:spacing w:after="60"/>
        <w:rPr>
          <w:iCs/>
        </w:rPr>
      </w:pPr>
      <w:r w:rsidRPr="00BC7837">
        <w:rPr>
          <w:iCs/>
        </w:rPr>
        <w:t>Reduced hypoglycaemia disutility to -0.003 per event.</w:t>
      </w:r>
    </w:p>
    <w:p w14:paraId="51980DA8" w14:textId="28568314" w:rsidR="002A04FD" w:rsidRPr="00BC7837" w:rsidRDefault="0091445D" w:rsidP="0091445D">
      <w:pPr>
        <w:pStyle w:val="COMexecsumnumberedpara"/>
        <w:numPr>
          <w:ilvl w:val="0"/>
          <w:numId w:val="0"/>
        </w:numPr>
        <w:spacing w:after="60"/>
        <w:ind w:left="720"/>
        <w:rPr>
          <w:iCs/>
        </w:rPr>
      </w:pPr>
      <w:r w:rsidRPr="00BC7837">
        <w:rPr>
          <w:iCs/>
        </w:rPr>
        <w:t xml:space="preserve">The ESC noted that this increased the base case ICER from </w:t>
      </w:r>
      <w:r w:rsidR="00174CC0" w:rsidRPr="00174CC0">
        <w:rPr>
          <w:iCs/>
        </w:rPr>
        <w:t>$115,000</w:t>
      </w:r>
      <w:r w:rsidR="00174CC0">
        <w:rPr>
          <w:iCs/>
        </w:rPr>
        <w:t> </w:t>
      </w:r>
      <w:r w:rsidR="00174CC0" w:rsidRPr="00174CC0">
        <w:rPr>
          <w:iCs/>
        </w:rPr>
        <w:t>to</w:t>
      </w:r>
      <w:r w:rsidR="00174CC0">
        <w:rPr>
          <w:iCs/>
        </w:rPr>
        <w:t> </w:t>
      </w:r>
      <w:r w:rsidR="00174CC0" w:rsidRPr="00174CC0">
        <w:rPr>
          <w:iCs/>
        </w:rPr>
        <w:t>&lt;</w:t>
      </w:r>
      <w:r w:rsidR="00174CC0">
        <w:rPr>
          <w:iCs/>
        </w:rPr>
        <w:t> </w:t>
      </w:r>
      <w:r w:rsidR="00174CC0" w:rsidRPr="00174CC0">
        <w:rPr>
          <w:iCs/>
        </w:rPr>
        <w:t>$135,000</w:t>
      </w:r>
      <w:r w:rsidR="00F2167D">
        <w:rPr>
          <w:iCs/>
        </w:rPr>
        <w:t xml:space="preserve"> </w:t>
      </w:r>
      <w:r w:rsidRPr="00BC7837">
        <w:rPr>
          <w:iCs/>
        </w:rPr>
        <w:t xml:space="preserve">to </w:t>
      </w:r>
      <w:r w:rsidR="00174CC0" w:rsidRPr="00174CC0">
        <w:rPr>
          <w:iCs/>
        </w:rPr>
        <w:t>$255,000 to &lt; $355,000</w:t>
      </w:r>
      <w:r w:rsidR="00F2167D">
        <w:rPr>
          <w:iCs/>
        </w:rPr>
        <w:t xml:space="preserve"> </w:t>
      </w:r>
      <w:r w:rsidRPr="00BC7837">
        <w:rPr>
          <w:iCs/>
        </w:rPr>
        <w:t xml:space="preserve">per QALY gained for the 5 mg dose, from </w:t>
      </w:r>
      <w:r w:rsidR="00174CC0" w:rsidRPr="00174CC0">
        <w:rPr>
          <w:iCs/>
        </w:rPr>
        <w:t>$55,000 to &lt; $75,000</w:t>
      </w:r>
      <w:r w:rsidRPr="00BC7837">
        <w:rPr>
          <w:iCs/>
        </w:rPr>
        <w:t xml:space="preserve"> to </w:t>
      </w:r>
      <w:r w:rsidR="00174CC0" w:rsidRPr="00174CC0">
        <w:rPr>
          <w:iCs/>
        </w:rPr>
        <w:t>$115,000 to &lt; $135,000</w:t>
      </w:r>
      <w:r w:rsidR="00F2167D">
        <w:rPr>
          <w:iCs/>
        </w:rPr>
        <w:t xml:space="preserve"> </w:t>
      </w:r>
      <w:r w:rsidRPr="00BC7837">
        <w:rPr>
          <w:iCs/>
        </w:rPr>
        <w:t>per QALY gained for the 10</w:t>
      </w:r>
      <w:r w:rsidR="00AE52E6">
        <w:rPr>
          <w:iCs/>
        </w:rPr>
        <w:t> </w:t>
      </w:r>
      <w:r w:rsidRPr="00BC7837">
        <w:rPr>
          <w:iCs/>
        </w:rPr>
        <w:t xml:space="preserve">mg dose and from </w:t>
      </w:r>
      <w:r w:rsidR="00174CC0" w:rsidRPr="00174CC0">
        <w:rPr>
          <w:iCs/>
        </w:rPr>
        <w:t>$45,000 to &lt; $55,000</w:t>
      </w:r>
      <w:r w:rsidRPr="00BC7837">
        <w:rPr>
          <w:iCs/>
        </w:rPr>
        <w:t xml:space="preserve"> to </w:t>
      </w:r>
      <w:r w:rsidR="00174CC0" w:rsidRPr="00174CC0">
        <w:rPr>
          <w:iCs/>
        </w:rPr>
        <w:t>$75,000 to &lt; $95,000</w:t>
      </w:r>
      <w:r w:rsidRPr="00BC7837">
        <w:rPr>
          <w:iCs/>
        </w:rPr>
        <w:t xml:space="preserve"> per QALY gained for the 15</w:t>
      </w:r>
      <w:r w:rsidR="00174CC0">
        <w:rPr>
          <w:iCs/>
        </w:rPr>
        <w:t> </w:t>
      </w:r>
      <w:r w:rsidRPr="00BC7837">
        <w:rPr>
          <w:iCs/>
        </w:rPr>
        <w:t xml:space="preserve">mg dose. As outlined in paragraph </w:t>
      </w:r>
      <w:r w:rsidRPr="00BC7837">
        <w:rPr>
          <w:iCs/>
        </w:rPr>
        <w:fldChar w:fldCharType="begin" w:fldLock="1"/>
      </w:r>
      <w:r w:rsidRPr="00BC7837">
        <w:rPr>
          <w:iCs/>
        </w:rPr>
        <w:instrText xml:space="preserve"> REF _Ref137628695 \r \h </w:instrText>
      </w:r>
      <w:r w:rsidR="00BC7837">
        <w:rPr>
          <w:iCs/>
        </w:rPr>
        <w:instrText xml:space="preserve"> \* MERGEFORMAT </w:instrText>
      </w:r>
      <w:r w:rsidRPr="00BC7837">
        <w:rPr>
          <w:iCs/>
        </w:rPr>
      </w:r>
      <w:r w:rsidRPr="00BC7837">
        <w:rPr>
          <w:iCs/>
        </w:rPr>
        <w:fldChar w:fldCharType="separate"/>
      </w:r>
      <w:r w:rsidR="00391E15">
        <w:rPr>
          <w:iCs/>
        </w:rPr>
        <w:t>6.72</w:t>
      </w:r>
      <w:r w:rsidRPr="00BC7837">
        <w:rPr>
          <w:iCs/>
        </w:rPr>
        <w:fldChar w:fldCharType="end"/>
      </w:r>
      <w:r w:rsidRPr="00BC7837">
        <w:rPr>
          <w:iCs/>
        </w:rPr>
        <w:t>, the ESC considered that the use of utility inputs from Boye et al 2022 was not appropriate and advised that amendment would further increase the ICER but could not be done within the existing model.</w:t>
      </w:r>
    </w:p>
    <w:p w14:paraId="59C2001A" w14:textId="77777777" w:rsidR="00EC2D33" w:rsidRDefault="00054EC0" w:rsidP="00054EC0">
      <w:pPr>
        <w:pStyle w:val="COMexecsumnumberedpara"/>
        <w:rPr>
          <w:iCs/>
        </w:rPr>
      </w:pPr>
      <w:r w:rsidRPr="00BC7837">
        <w:rPr>
          <w:iCs/>
        </w:rPr>
        <w:t>The ESC advised against considering a weighted ICER approach as there is no strong basis to determine weights for each dose strength (the estimates presented in the submission were based on assumptions). It should be noted that, while the submission considered the 15 mg would be the most widely used option, the TGA delegate considered that this dose would only be used in a minority of patients.</w:t>
      </w:r>
    </w:p>
    <w:p w14:paraId="4D7B6209" w14:textId="1A4EBD54" w:rsidR="00521981" w:rsidRPr="00FA1E86" w:rsidRDefault="005621C8" w:rsidP="00521981">
      <w:pPr>
        <w:pStyle w:val="COMH2-non-numbered"/>
      </w:pPr>
      <w:bookmarkStart w:id="59" w:name="_Toc22897646"/>
      <w:bookmarkStart w:id="60" w:name="_Toc135227815"/>
      <w:r w:rsidRPr="00E26C94">
        <w:lastRenderedPageBreak/>
        <w:t>Drug cost/patient</w:t>
      </w:r>
      <w:r w:rsidR="00C25D9C" w:rsidRPr="00E26C94">
        <w:t>/year</w:t>
      </w:r>
      <w:bookmarkStart w:id="61" w:name="_Hlk107307804"/>
      <w:bookmarkEnd w:id="59"/>
      <w:bookmarkEnd w:id="60"/>
    </w:p>
    <w:p w14:paraId="23263F2C" w14:textId="79A548AF" w:rsidR="00EC2D33" w:rsidRDefault="00521981" w:rsidP="00521981">
      <w:pPr>
        <w:pStyle w:val="COMexecsumnumberedpara"/>
      </w:pPr>
      <w:r w:rsidRPr="00FA1E86">
        <w:t xml:space="preserve">The submission </w:t>
      </w:r>
      <w:r w:rsidRPr="00182CD3">
        <w:t xml:space="preserve">proposed </w:t>
      </w:r>
      <w:r w:rsidRPr="0009575C">
        <w:t>a flat pricing structure for all</w:t>
      </w:r>
      <w:r w:rsidRPr="00FA1E86">
        <w:t xml:space="preserve"> dose strengths of tirzepatide (2.5, 5, 7.5, 10, 12.5 and 15 mg). The estimated drug cost for tirzepatide per patient per year was $</w:t>
      </w:r>
      <w:proofErr w:type="gramStart"/>
      <w:r w:rsidR="001F207D" w:rsidRPr="00C06886">
        <w:rPr>
          <w:color w:val="000000"/>
          <w:w w:val="15"/>
          <w:shd w:val="solid" w:color="000000" w:fill="000000"/>
          <w:fitText w:val="-20" w:id="-1168382454"/>
          <w14:textFill>
            <w14:solidFill>
              <w14:srgbClr w14:val="000000">
                <w14:alpha w14:val="100000"/>
              </w14:srgbClr>
            </w14:solidFill>
          </w14:textFill>
        </w:rPr>
        <w:t xml:space="preserve">|  </w:t>
      </w:r>
      <w:r w:rsidR="001F207D" w:rsidRPr="00C06886">
        <w:rPr>
          <w:color w:val="000000"/>
          <w:spacing w:val="-69"/>
          <w:w w:val="15"/>
          <w:shd w:val="solid" w:color="000000" w:fill="000000"/>
          <w:fitText w:val="-20" w:id="-1168382454"/>
          <w14:textFill>
            <w14:solidFill>
              <w14:srgbClr w14:val="000000">
                <w14:alpha w14:val="100000"/>
              </w14:srgbClr>
            </w14:solidFill>
          </w14:textFill>
        </w:rPr>
        <w:t>|</w:t>
      </w:r>
      <w:proofErr w:type="gramEnd"/>
      <w:r w:rsidR="001F207D" w:rsidRPr="001F207D">
        <w:t xml:space="preserve"> </w:t>
      </w:r>
      <w:r w:rsidRPr="00FA1E86">
        <w:t>(based on the effective DPMQ per script $</w:t>
      </w:r>
      <w:r w:rsidR="001F207D" w:rsidRPr="00C06886">
        <w:rPr>
          <w:color w:val="000000"/>
          <w:w w:val="15"/>
          <w:shd w:val="solid" w:color="000000" w:fill="000000"/>
          <w:fitText w:val="-20" w:id="-1168382453"/>
          <w14:textFill>
            <w14:solidFill>
              <w14:srgbClr w14:val="000000">
                <w14:alpha w14:val="100000"/>
              </w14:srgbClr>
            </w14:solidFill>
          </w14:textFill>
        </w:rPr>
        <w:t xml:space="preserve">|  </w:t>
      </w:r>
      <w:r w:rsidR="001F207D" w:rsidRPr="00C06886">
        <w:rPr>
          <w:color w:val="000000"/>
          <w:spacing w:val="-69"/>
          <w:w w:val="15"/>
          <w:shd w:val="solid" w:color="000000" w:fill="000000"/>
          <w:fitText w:val="-20" w:id="-1168382453"/>
          <w14:textFill>
            <w14:solidFill>
              <w14:srgbClr w14:val="000000">
                <w14:alpha w14:val="100000"/>
              </w14:srgbClr>
            </w14:solidFill>
          </w14:textFill>
        </w:rPr>
        <w:t>|</w:t>
      </w:r>
      <w:r w:rsidRPr="00FA1E86">
        <w:t xml:space="preserve"> / 28 days per script x 365.25 days per year).</w:t>
      </w:r>
    </w:p>
    <w:p w14:paraId="272332A5" w14:textId="60F7ED17" w:rsidR="00EC2D33" w:rsidRDefault="00521981" w:rsidP="00521981">
      <w:pPr>
        <w:pStyle w:val="COMexecsumnumberedpara"/>
      </w:pPr>
      <w:r w:rsidRPr="00FA1E86">
        <w:t>The estimated drug cost for semaglutide per patient per year was $</w:t>
      </w:r>
      <w:r w:rsidR="001F207D" w:rsidRPr="001F207D">
        <w:rPr>
          <w:color w:val="000000"/>
          <w:w w:val="59"/>
          <w:shd w:val="solid" w:color="000000" w:fill="000000"/>
          <w:fitText w:val="460" w:id="-1168382452"/>
          <w14:textFill>
            <w14:solidFill>
              <w14:srgbClr w14:val="000000">
                <w14:alpha w14:val="100000"/>
              </w14:srgbClr>
            </w14:solidFill>
          </w14:textFill>
        </w:rPr>
        <w:t>||</w:t>
      </w:r>
      <w:proofErr w:type="gramStart"/>
      <w:r w:rsidR="001F207D" w:rsidRPr="001F207D">
        <w:rPr>
          <w:color w:val="000000"/>
          <w:w w:val="59"/>
          <w:shd w:val="solid" w:color="000000" w:fill="000000"/>
          <w:fitText w:val="460" w:id="-1168382452"/>
          <w14:textFill>
            <w14:solidFill>
              <w14:srgbClr w14:val="000000">
                <w14:alpha w14:val="100000"/>
              </w14:srgbClr>
            </w14:solidFill>
          </w14:textFill>
        </w:rPr>
        <w:t>|  |</w:t>
      </w:r>
      <w:proofErr w:type="gramEnd"/>
      <w:r w:rsidR="001F207D" w:rsidRPr="001F207D">
        <w:rPr>
          <w:color w:val="000000"/>
          <w:w w:val="59"/>
          <w:shd w:val="solid" w:color="000000" w:fill="000000"/>
          <w:fitText w:val="460" w:id="-1168382452"/>
          <w14:textFill>
            <w14:solidFill>
              <w14:srgbClr w14:val="000000">
                <w14:alpha w14:val="100000"/>
              </w14:srgbClr>
            </w14:solidFill>
          </w14:textFill>
        </w:rPr>
        <w:t>|</w:t>
      </w:r>
      <w:r w:rsidR="001F207D" w:rsidRPr="001F207D">
        <w:rPr>
          <w:color w:val="000000"/>
          <w:spacing w:val="5"/>
          <w:w w:val="59"/>
          <w:shd w:val="solid" w:color="000000" w:fill="000000"/>
          <w:fitText w:val="460" w:id="-1168382452"/>
          <w14:textFill>
            <w14:solidFill>
              <w14:srgbClr w14:val="000000">
                <w14:alpha w14:val="100000"/>
              </w14:srgbClr>
            </w14:solidFill>
          </w14:textFill>
        </w:rPr>
        <w:t>|</w:t>
      </w:r>
      <w:r w:rsidR="001F207D" w:rsidRPr="001F207D">
        <w:t xml:space="preserve"> </w:t>
      </w:r>
      <w:r w:rsidRPr="00FA1E86">
        <w:t>(based on the effective DPMQ per script $</w:t>
      </w:r>
      <w:r w:rsidR="001F207D" w:rsidRPr="00C06886">
        <w:rPr>
          <w:color w:val="000000"/>
          <w:w w:val="15"/>
          <w:shd w:val="solid" w:color="000000" w:fill="000000"/>
          <w:fitText w:val="-20" w:id="-1168382451"/>
          <w14:textFill>
            <w14:solidFill>
              <w14:srgbClr w14:val="000000">
                <w14:alpha w14:val="100000"/>
              </w14:srgbClr>
            </w14:solidFill>
          </w14:textFill>
        </w:rPr>
        <w:t xml:space="preserve">|  </w:t>
      </w:r>
      <w:r w:rsidR="001F207D" w:rsidRPr="00C06886">
        <w:rPr>
          <w:color w:val="000000"/>
          <w:spacing w:val="-69"/>
          <w:w w:val="15"/>
          <w:shd w:val="solid" w:color="000000" w:fill="000000"/>
          <w:fitText w:val="-20" w:id="-1168382451"/>
          <w14:textFill>
            <w14:solidFill>
              <w14:srgbClr w14:val="000000">
                <w14:alpha w14:val="100000"/>
              </w14:srgbClr>
            </w14:solidFill>
          </w14:textFill>
        </w:rPr>
        <w:t>|</w:t>
      </w:r>
      <w:r w:rsidRPr="00FA1E86">
        <w:t xml:space="preserve"> / 28 days per script x 365.25 days per year).</w:t>
      </w:r>
    </w:p>
    <w:p w14:paraId="1BFF9F31" w14:textId="0D523E0D" w:rsidR="005621C8" w:rsidRPr="00FA1E86" w:rsidRDefault="00EC6E59" w:rsidP="00E94884">
      <w:pPr>
        <w:pStyle w:val="COMtablefigcaption"/>
      </w:pPr>
      <w:r w:rsidRPr="00FA1E86">
        <w:t xml:space="preserve">Table </w:t>
      </w:r>
      <w:fldSimple w:instr=" SEQ Table \* ARABIC " w:fldLock="1">
        <w:r w:rsidR="00B71E27">
          <w:rPr>
            <w:noProof/>
          </w:rPr>
          <w:t>15</w:t>
        </w:r>
      </w:fldSimple>
      <w:r w:rsidR="005621C8" w:rsidRPr="00FA1E86">
        <w:t>: Drug cost per patient for tirzepatide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0"/>
        <w:gridCol w:w="2512"/>
        <w:gridCol w:w="2514"/>
        <w:gridCol w:w="2521"/>
      </w:tblGrid>
      <w:tr w:rsidR="005621C8" w:rsidRPr="00FA1E86" w14:paraId="0DC4F7E2" w14:textId="77777777" w:rsidTr="00253C04">
        <w:trPr>
          <w:cantSplit/>
          <w:tblHeader/>
          <w:jc w:val="center"/>
        </w:trPr>
        <w:tc>
          <w:tcPr>
            <w:tcW w:w="815" w:type="pct"/>
            <w:shd w:val="clear" w:color="auto" w:fill="auto"/>
            <w:vAlign w:val="center"/>
          </w:tcPr>
          <w:p w14:paraId="388AEAC0" w14:textId="77777777" w:rsidR="005621C8" w:rsidRPr="00FA1E86" w:rsidRDefault="005621C8" w:rsidP="00253C04">
            <w:pPr>
              <w:pStyle w:val="COMTableheadingrow"/>
              <w:jc w:val="center"/>
              <w:rPr>
                <w:lang w:val="en-AU"/>
              </w:rPr>
            </w:pPr>
          </w:p>
        </w:tc>
        <w:tc>
          <w:tcPr>
            <w:tcW w:w="1393" w:type="pct"/>
            <w:shd w:val="clear" w:color="auto" w:fill="auto"/>
            <w:vAlign w:val="center"/>
          </w:tcPr>
          <w:p w14:paraId="445C9A52" w14:textId="77777777" w:rsidR="005621C8" w:rsidRPr="00FA1E86" w:rsidRDefault="005621C8" w:rsidP="00253C04">
            <w:pPr>
              <w:pStyle w:val="COMTableheadingrow"/>
              <w:jc w:val="center"/>
              <w:rPr>
                <w:lang w:val="en-AU"/>
              </w:rPr>
            </w:pPr>
            <w:r w:rsidRPr="00FA1E86">
              <w:rPr>
                <w:lang w:val="en-AU"/>
              </w:rPr>
              <w:t>SURPASS-2</w:t>
            </w:r>
          </w:p>
        </w:tc>
        <w:tc>
          <w:tcPr>
            <w:tcW w:w="1394" w:type="pct"/>
            <w:shd w:val="clear" w:color="auto" w:fill="auto"/>
            <w:vAlign w:val="center"/>
          </w:tcPr>
          <w:p w14:paraId="2F991C13" w14:textId="77777777" w:rsidR="005621C8" w:rsidRPr="00FA1E86" w:rsidRDefault="005621C8" w:rsidP="00253C04">
            <w:pPr>
              <w:pStyle w:val="COMTableheadingrow"/>
              <w:jc w:val="center"/>
              <w:rPr>
                <w:lang w:val="en-AU"/>
              </w:rPr>
            </w:pPr>
            <w:r w:rsidRPr="00FA1E86">
              <w:rPr>
                <w:lang w:val="en-AU"/>
              </w:rPr>
              <w:t>Economic model</w:t>
            </w:r>
          </w:p>
        </w:tc>
        <w:tc>
          <w:tcPr>
            <w:tcW w:w="1398" w:type="pct"/>
            <w:shd w:val="clear" w:color="auto" w:fill="auto"/>
            <w:vAlign w:val="center"/>
          </w:tcPr>
          <w:p w14:paraId="1FD6C80A" w14:textId="77777777" w:rsidR="005621C8" w:rsidRPr="00FA1E86" w:rsidRDefault="005621C8" w:rsidP="00253C04">
            <w:pPr>
              <w:pStyle w:val="COMTableheadingrow"/>
              <w:jc w:val="center"/>
              <w:rPr>
                <w:lang w:val="en-AU"/>
              </w:rPr>
            </w:pPr>
            <w:r w:rsidRPr="00FA1E86">
              <w:rPr>
                <w:lang w:val="en-AU"/>
              </w:rPr>
              <w:t>Budget impact model</w:t>
            </w:r>
          </w:p>
        </w:tc>
      </w:tr>
      <w:tr w:rsidR="005621C8" w:rsidRPr="00FA1E86" w14:paraId="4FEFBA00" w14:textId="77777777" w:rsidTr="00253C04">
        <w:trPr>
          <w:cantSplit/>
          <w:jc w:val="center"/>
        </w:trPr>
        <w:tc>
          <w:tcPr>
            <w:tcW w:w="815" w:type="pct"/>
            <w:shd w:val="clear" w:color="auto" w:fill="auto"/>
            <w:vAlign w:val="center"/>
          </w:tcPr>
          <w:p w14:paraId="5866612E" w14:textId="77777777" w:rsidR="005621C8" w:rsidRPr="00FA1E86" w:rsidRDefault="005621C8" w:rsidP="00253C04">
            <w:pPr>
              <w:pStyle w:val="COMTabletext"/>
            </w:pPr>
            <w:r w:rsidRPr="00FA1E86">
              <w:t>Cost per script</w:t>
            </w:r>
          </w:p>
        </w:tc>
        <w:tc>
          <w:tcPr>
            <w:tcW w:w="1393" w:type="pct"/>
            <w:shd w:val="clear" w:color="auto" w:fill="auto"/>
            <w:vAlign w:val="center"/>
          </w:tcPr>
          <w:p w14:paraId="6AAB17DF" w14:textId="77777777" w:rsidR="005621C8" w:rsidRPr="00FA1E86" w:rsidRDefault="005621C8" w:rsidP="00253C04">
            <w:pPr>
              <w:pStyle w:val="COMTabletext"/>
              <w:jc w:val="center"/>
            </w:pPr>
            <w:r w:rsidRPr="00FA1E86">
              <w:t>-</w:t>
            </w:r>
          </w:p>
        </w:tc>
        <w:tc>
          <w:tcPr>
            <w:tcW w:w="1394" w:type="pct"/>
            <w:shd w:val="clear" w:color="auto" w:fill="auto"/>
            <w:vAlign w:val="center"/>
          </w:tcPr>
          <w:p w14:paraId="40BFB102" w14:textId="6A595F24" w:rsidR="005621C8" w:rsidRPr="00FA1E86" w:rsidRDefault="005621C8" w:rsidP="00253C04">
            <w:pPr>
              <w:pStyle w:val="COMTabletext"/>
              <w:jc w:val="center"/>
            </w:pPr>
            <w:r w:rsidRPr="00FA1E86">
              <w:t>$</w:t>
            </w:r>
            <w:r w:rsidR="001F207D" w:rsidRPr="001F207D">
              <w:rPr>
                <w:color w:val="000000"/>
                <w:shd w:val="solid" w:color="000000" w:fill="000000"/>
                <w14:textFill>
                  <w14:solidFill>
                    <w14:srgbClr w14:val="000000">
                      <w14:alpha w14:val="100000"/>
                    </w14:srgbClr>
                  </w14:solidFill>
                </w14:textFill>
              </w:rPr>
              <w:t>|</w:t>
            </w:r>
            <w:r w:rsidRPr="00FA1E86">
              <w:t xml:space="preserve"> (effective price)</w:t>
            </w:r>
          </w:p>
        </w:tc>
        <w:tc>
          <w:tcPr>
            <w:tcW w:w="1398" w:type="pct"/>
            <w:shd w:val="clear" w:color="auto" w:fill="auto"/>
            <w:vAlign w:val="center"/>
          </w:tcPr>
          <w:p w14:paraId="14F68241" w14:textId="1C27F54E" w:rsidR="005621C8" w:rsidRPr="00FA1E86" w:rsidRDefault="005621C8" w:rsidP="00253C04">
            <w:pPr>
              <w:pStyle w:val="COMTabletext"/>
              <w:jc w:val="center"/>
            </w:pPr>
            <w:r w:rsidRPr="00FA1E86">
              <w:t>$</w:t>
            </w:r>
            <w:r w:rsidR="001F207D" w:rsidRPr="001F207D">
              <w:rPr>
                <w:color w:val="000000"/>
                <w:shd w:val="solid" w:color="000000" w:fill="000000"/>
                <w14:textFill>
                  <w14:solidFill>
                    <w14:srgbClr w14:val="000000">
                      <w14:alpha w14:val="100000"/>
                    </w14:srgbClr>
                  </w14:solidFill>
                </w14:textFill>
              </w:rPr>
              <w:t>|</w:t>
            </w:r>
            <w:r w:rsidRPr="00FA1E86">
              <w:t xml:space="preserve"> (effective price)</w:t>
            </w:r>
          </w:p>
        </w:tc>
      </w:tr>
      <w:tr w:rsidR="005621C8" w:rsidRPr="00FA1E86" w14:paraId="48023FAE" w14:textId="77777777" w:rsidTr="00253C04">
        <w:trPr>
          <w:cantSplit/>
          <w:jc w:val="center"/>
        </w:trPr>
        <w:tc>
          <w:tcPr>
            <w:tcW w:w="815" w:type="pct"/>
            <w:shd w:val="clear" w:color="auto" w:fill="auto"/>
            <w:vAlign w:val="center"/>
          </w:tcPr>
          <w:p w14:paraId="3ABF694B" w14:textId="77777777" w:rsidR="005621C8" w:rsidRPr="00FA1E86" w:rsidRDefault="005621C8" w:rsidP="00253C04">
            <w:pPr>
              <w:pStyle w:val="COMTabletext"/>
            </w:pPr>
            <w:r w:rsidRPr="00FA1E86">
              <w:t>Adherence</w:t>
            </w:r>
          </w:p>
        </w:tc>
        <w:tc>
          <w:tcPr>
            <w:tcW w:w="1393" w:type="pct"/>
            <w:shd w:val="clear" w:color="auto" w:fill="auto"/>
            <w:vAlign w:val="center"/>
          </w:tcPr>
          <w:p w14:paraId="5C372D2C" w14:textId="54784830" w:rsidR="005621C8" w:rsidRPr="00FA1E86" w:rsidRDefault="005621C8" w:rsidP="00253C04">
            <w:pPr>
              <w:pStyle w:val="COMTabletext"/>
              <w:jc w:val="center"/>
              <w:rPr>
                <w:vertAlign w:val="superscript"/>
              </w:rPr>
            </w:pPr>
            <w:r w:rsidRPr="00FA1E86">
              <w:t>93-96% at 40 weeks</w:t>
            </w:r>
            <w:r w:rsidRPr="00FA1E86">
              <w:rPr>
                <w:vertAlign w:val="superscript"/>
              </w:rPr>
              <w:t>a</w:t>
            </w:r>
          </w:p>
        </w:tc>
        <w:tc>
          <w:tcPr>
            <w:tcW w:w="1394" w:type="pct"/>
            <w:shd w:val="clear" w:color="auto" w:fill="auto"/>
            <w:vAlign w:val="center"/>
          </w:tcPr>
          <w:p w14:paraId="4BCCE366" w14:textId="77777777" w:rsidR="005621C8" w:rsidRPr="00FA1E86" w:rsidRDefault="005621C8" w:rsidP="00253C04">
            <w:pPr>
              <w:pStyle w:val="COMTabletext"/>
              <w:jc w:val="center"/>
            </w:pPr>
            <w:r w:rsidRPr="00FA1E86">
              <w:t>100%</w:t>
            </w:r>
          </w:p>
        </w:tc>
        <w:tc>
          <w:tcPr>
            <w:tcW w:w="1398" w:type="pct"/>
            <w:shd w:val="clear" w:color="auto" w:fill="auto"/>
            <w:vAlign w:val="center"/>
          </w:tcPr>
          <w:p w14:paraId="0E3CA7E9" w14:textId="77777777" w:rsidR="005621C8" w:rsidRPr="00FA1E86" w:rsidRDefault="005621C8" w:rsidP="00253C04">
            <w:pPr>
              <w:pStyle w:val="COMTabletext"/>
              <w:jc w:val="center"/>
            </w:pPr>
            <w:r w:rsidRPr="00FA1E86">
              <w:t>NA (market share approach)</w:t>
            </w:r>
          </w:p>
        </w:tc>
      </w:tr>
      <w:tr w:rsidR="005621C8" w:rsidRPr="00FA1E86" w14:paraId="24EF3C3C" w14:textId="77777777" w:rsidTr="00253C04">
        <w:trPr>
          <w:cantSplit/>
          <w:jc w:val="center"/>
        </w:trPr>
        <w:tc>
          <w:tcPr>
            <w:tcW w:w="815" w:type="pct"/>
            <w:shd w:val="clear" w:color="auto" w:fill="auto"/>
            <w:vAlign w:val="center"/>
          </w:tcPr>
          <w:p w14:paraId="1951CC3B" w14:textId="77777777" w:rsidR="005621C8" w:rsidRPr="00FA1E86" w:rsidRDefault="005621C8" w:rsidP="00253C04">
            <w:pPr>
              <w:pStyle w:val="COMTabletext"/>
            </w:pPr>
            <w:r w:rsidRPr="00FA1E86">
              <w:t>Persistence</w:t>
            </w:r>
          </w:p>
        </w:tc>
        <w:tc>
          <w:tcPr>
            <w:tcW w:w="1393" w:type="pct"/>
            <w:shd w:val="clear" w:color="auto" w:fill="auto"/>
            <w:vAlign w:val="center"/>
          </w:tcPr>
          <w:p w14:paraId="7214BAFD" w14:textId="77777777" w:rsidR="005621C8" w:rsidRPr="00FA1E86" w:rsidRDefault="005621C8" w:rsidP="00253C04">
            <w:pPr>
              <w:pStyle w:val="COMTabletext"/>
              <w:jc w:val="center"/>
            </w:pPr>
            <w:r w:rsidRPr="00FA1E86">
              <w:t>87-92% at 40 weeks</w:t>
            </w:r>
          </w:p>
        </w:tc>
        <w:tc>
          <w:tcPr>
            <w:tcW w:w="1394" w:type="pct"/>
            <w:shd w:val="clear" w:color="auto" w:fill="auto"/>
            <w:vAlign w:val="center"/>
          </w:tcPr>
          <w:p w14:paraId="205667A9" w14:textId="77777777" w:rsidR="005621C8" w:rsidRPr="00FA1E86" w:rsidRDefault="005621C8" w:rsidP="00253C04">
            <w:pPr>
              <w:pStyle w:val="COMTabletext"/>
              <w:jc w:val="center"/>
            </w:pPr>
            <w:r w:rsidRPr="00FA1E86">
              <w:t>100%</w:t>
            </w:r>
          </w:p>
        </w:tc>
        <w:tc>
          <w:tcPr>
            <w:tcW w:w="1398" w:type="pct"/>
            <w:shd w:val="clear" w:color="auto" w:fill="auto"/>
            <w:vAlign w:val="center"/>
          </w:tcPr>
          <w:p w14:paraId="2DD379AA" w14:textId="77777777" w:rsidR="005621C8" w:rsidRPr="00FA1E86" w:rsidRDefault="005621C8" w:rsidP="00253C04">
            <w:pPr>
              <w:pStyle w:val="COMTabletext"/>
              <w:jc w:val="center"/>
            </w:pPr>
            <w:r w:rsidRPr="00FA1E86">
              <w:t>NA (market share approach)</w:t>
            </w:r>
          </w:p>
        </w:tc>
      </w:tr>
      <w:tr w:rsidR="005621C8" w:rsidRPr="00FA1E86" w14:paraId="4F476716" w14:textId="77777777" w:rsidTr="00253C04">
        <w:trPr>
          <w:cantSplit/>
          <w:jc w:val="center"/>
        </w:trPr>
        <w:tc>
          <w:tcPr>
            <w:tcW w:w="815" w:type="pct"/>
            <w:shd w:val="clear" w:color="auto" w:fill="auto"/>
            <w:vAlign w:val="center"/>
          </w:tcPr>
          <w:p w14:paraId="08E69C99" w14:textId="77777777" w:rsidR="005621C8" w:rsidRPr="00FA1E86" w:rsidRDefault="005621C8" w:rsidP="00253C04">
            <w:pPr>
              <w:pStyle w:val="COMTabletext"/>
            </w:pPr>
            <w:r w:rsidRPr="00FA1E86">
              <w:t>Cost/patient/year</w:t>
            </w:r>
          </w:p>
        </w:tc>
        <w:tc>
          <w:tcPr>
            <w:tcW w:w="1393" w:type="pct"/>
            <w:shd w:val="clear" w:color="auto" w:fill="auto"/>
            <w:vAlign w:val="center"/>
          </w:tcPr>
          <w:p w14:paraId="1212420C" w14:textId="77777777" w:rsidR="005621C8" w:rsidRPr="00FA1E86" w:rsidRDefault="005621C8" w:rsidP="00253C04">
            <w:pPr>
              <w:pStyle w:val="COMTabletext"/>
              <w:jc w:val="center"/>
            </w:pPr>
            <w:r w:rsidRPr="00FA1E86">
              <w:t>-</w:t>
            </w:r>
          </w:p>
        </w:tc>
        <w:tc>
          <w:tcPr>
            <w:tcW w:w="1394" w:type="pct"/>
            <w:shd w:val="clear" w:color="auto" w:fill="auto"/>
            <w:vAlign w:val="center"/>
          </w:tcPr>
          <w:p w14:paraId="617C7D21" w14:textId="45AF9274" w:rsidR="005621C8" w:rsidRPr="00FA1E86" w:rsidRDefault="005621C8" w:rsidP="00253C04">
            <w:pPr>
              <w:pStyle w:val="COMTabletext"/>
              <w:jc w:val="center"/>
            </w:pPr>
            <w:r w:rsidRPr="00FA1E86">
              <w:t>$</w:t>
            </w:r>
            <w:r w:rsidR="001F207D" w:rsidRPr="001F207D">
              <w:rPr>
                <w:color w:val="000000"/>
                <w:shd w:val="solid" w:color="000000" w:fill="000000"/>
                <w14:textFill>
                  <w14:solidFill>
                    <w14:srgbClr w14:val="000000">
                      <w14:alpha w14:val="100000"/>
                    </w14:srgbClr>
                  </w14:solidFill>
                </w14:textFill>
              </w:rPr>
              <w:t>|</w:t>
            </w:r>
            <w:r w:rsidRPr="00FA1E86">
              <w:t xml:space="preserve"> (effective price)</w:t>
            </w:r>
          </w:p>
        </w:tc>
        <w:tc>
          <w:tcPr>
            <w:tcW w:w="1398" w:type="pct"/>
            <w:shd w:val="clear" w:color="auto" w:fill="auto"/>
            <w:vAlign w:val="center"/>
          </w:tcPr>
          <w:p w14:paraId="7FD952B8" w14:textId="77777777" w:rsidR="005621C8" w:rsidRPr="00FA1E86" w:rsidRDefault="005621C8" w:rsidP="00253C04">
            <w:pPr>
              <w:pStyle w:val="COMTabletext"/>
              <w:jc w:val="center"/>
            </w:pPr>
            <w:r w:rsidRPr="00FA1E86">
              <w:t>NA (market share approach)</w:t>
            </w:r>
          </w:p>
        </w:tc>
      </w:tr>
    </w:tbl>
    <w:p w14:paraId="22B5AE90" w14:textId="248472B1" w:rsidR="005621C8" w:rsidRPr="00FA1E86" w:rsidRDefault="005621C8" w:rsidP="005621C8">
      <w:pPr>
        <w:pStyle w:val="COMTablefooter"/>
      </w:pPr>
      <w:r w:rsidRPr="00FA1E86">
        <w:t>Source: Table 3.6-1, p290; Table 4.1-1, pp310-311 of the submission; Section 4.6.3, p 100 of the SURPASS-2 trial report</w:t>
      </w:r>
    </w:p>
    <w:p w14:paraId="0830B77D" w14:textId="773E0173" w:rsidR="00E850B6" w:rsidRPr="00FA1E86" w:rsidRDefault="00E850B6" w:rsidP="00E850B6">
      <w:pPr>
        <w:pStyle w:val="COMTablefooter"/>
      </w:pPr>
      <w:r w:rsidRPr="00FA1E86">
        <w:t>Abbreviations: NA, not applicable</w:t>
      </w:r>
    </w:p>
    <w:p w14:paraId="785B1672" w14:textId="34187059" w:rsidR="005621C8" w:rsidRPr="00FA1E86" w:rsidRDefault="005621C8" w:rsidP="005621C8">
      <w:pPr>
        <w:pStyle w:val="COMTablefooter"/>
      </w:pPr>
      <w:r w:rsidRPr="00FA1E86">
        <w:rPr>
          <w:vertAlign w:val="superscript"/>
        </w:rPr>
        <w:t xml:space="preserve">a </w:t>
      </w:r>
      <w:r w:rsidRPr="00FA1E86">
        <w:t>Based on the proportion of patients taking at least 75% of required doses</w:t>
      </w:r>
    </w:p>
    <w:p w14:paraId="268768EF" w14:textId="223D5E48" w:rsidR="00B60939" w:rsidRPr="00FA1E86" w:rsidRDefault="00B60939" w:rsidP="002B05A1">
      <w:pPr>
        <w:pStyle w:val="COMH2-non-numbered"/>
      </w:pPr>
      <w:bookmarkStart w:id="62" w:name="_Toc22897647"/>
      <w:bookmarkStart w:id="63" w:name="_Toc135227816"/>
      <w:bookmarkEnd w:id="61"/>
      <w:r w:rsidRPr="00FA1E86">
        <w:t>Estimated PBS usage &amp; financial implications</w:t>
      </w:r>
      <w:bookmarkEnd w:id="62"/>
      <w:bookmarkEnd w:id="63"/>
    </w:p>
    <w:p w14:paraId="1853EA3C" w14:textId="1A379946" w:rsidR="00521981" w:rsidRPr="00FA1E86" w:rsidRDefault="00C25D9C" w:rsidP="00521981">
      <w:pPr>
        <w:pStyle w:val="COMexecsumnumberedpara"/>
      </w:pPr>
      <w:r w:rsidRPr="00FA1E86">
        <w:t xml:space="preserve">This submission </w:t>
      </w:r>
      <w:r w:rsidR="00B201A4" w:rsidRPr="00FA1E86">
        <w:t>w</w:t>
      </w:r>
      <w:r w:rsidR="00E5541A">
        <w:t xml:space="preserve">as </w:t>
      </w:r>
      <w:r w:rsidR="00DC4BAD">
        <w:t xml:space="preserve">not </w:t>
      </w:r>
      <w:r w:rsidRPr="00FA1E86">
        <w:t>considered by DUSC</w:t>
      </w:r>
      <w:r w:rsidRPr="00B8204A">
        <w:t>.</w:t>
      </w:r>
      <w:r w:rsidR="00BC591F" w:rsidRPr="00B8204A">
        <w:t xml:space="preserve"> </w:t>
      </w:r>
      <w:r w:rsidR="00521981" w:rsidRPr="00FA1E86">
        <w:t>The submission used a market share approach to estimate the utilisation and financial implications of listing tirzepatide on the PBS/RPBS for the treatment of type 2 diabetes.</w:t>
      </w:r>
    </w:p>
    <w:p w14:paraId="68AB8EA5" w14:textId="7A7AB84A" w:rsidR="00521981" w:rsidRPr="00FA1E86" w:rsidRDefault="00521981" w:rsidP="00521981">
      <w:pPr>
        <w:pStyle w:val="COMexecsumnumberedpara"/>
      </w:pPr>
      <w:r w:rsidRPr="00FA1E86">
        <w:t xml:space="preserve">Key inputs for the financial estimates are summarised in </w:t>
      </w:r>
      <w:r w:rsidR="00BA0A67" w:rsidRPr="00FA1E86">
        <w:fldChar w:fldCharType="begin" w:fldLock="1"/>
      </w:r>
      <w:r w:rsidR="00BA0A67" w:rsidRPr="00FA1E86">
        <w:instrText xml:space="preserve"> REF _Ref134096271 \h </w:instrText>
      </w:r>
      <w:r w:rsidR="00BA0A67" w:rsidRPr="00FA1E86">
        <w:fldChar w:fldCharType="separate"/>
      </w:r>
      <w:r w:rsidR="00B71E27" w:rsidRPr="00FA1E86">
        <w:t xml:space="preserve">Table </w:t>
      </w:r>
      <w:r w:rsidR="00B71E27">
        <w:rPr>
          <w:noProof/>
        </w:rPr>
        <w:t>16</w:t>
      </w:r>
      <w:r w:rsidR="00BA0A67" w:rsidRPr="00FA1E86">
        <w:fldChar w:fldCharType="end"/>
      </w:r>
      <w:r w:rsidRPr="00FA1E86">
        <w:t>.</w:t>
      </w:r>
    </w:p>
    <w:p w14:paraId="422426B1" w14:textId="0B59B534" w:rsidR="00E850B6" w:rsidRPr="00FA1E86" w:rsidRDefault="00EC6E59" w:rsidP="00E94884">
      <w:pPr>
        <w:pStyle w:val="COMtablefigcaption"/>
      </w:pPr>
      <w:bookmarkStart w:id="64" w:name="_Ref134096271"/>
      <w:r w:rsidRPr="00FA1E86">
        <w:t xml:space="preserve">Table </w:t>
      </w:r>
      <w:fldSimple w:instr=" SEQ Table \* ARABIC " w:fldLock="1">
        <w:r w:rsidR="00B71E27">
          <w:rPr>
            <w:noProof/>
          </w:rPr>
          <w:t>16</w:t>
        </w:r>
      </w:fldSimple>
      <w:bookmarkEnd w:id="64"/>
      <w:r w:rsidR="00E850B6" w:rsidRPr="00FA1E86">
        <w:t>: Key inputs in the utilisation and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969"/>
        <w:gridCol w:w="3940"/>
      </w:tblGrid>
      <w:tr w:rsidR="00E850B6" w:rsidRPr="00FA1E86" w14:paraId="3496AAB0" w14:textId="77777777" w:rsidTr="00B75E73">
        <w:trPr>
          <w:tblHeader/>
        </w:trPr>
        <w:tc>
          <w:tcPr>
            <w:tcW w:w="1271" w:type="dxa"/>
            <w:tcMar>
              <w:left w:w="28" w:type="dxa"/>
              <w:right w:w="28" w:type="dxa"/>
            </w:tcMar>
            <w:vAlign w:val="center"/>
          </w:tcPr>
          <w:p w14:paraId="7FED29CA" w14:textId="77777777" w:rsidR="00E850B6" w:rsidRPr="00FA1E86" w:rsidRDefault="00E850B6" w:rsidP="00253C04">
            <w:pPr>
              <w:pStyle w:val="COMTableheadingrow"/>
              <w:keepNext w:val="0"/>
              <w:jc w:val="center"/>
              <w:rPr>
                <w:lang w:val="en-AU"/>
              </w:rPr>
            </w:pPr>
            <w:r w:rsidRPr="00FA1E86">
              <w:rPr>
                <w:lang w:val="en-AU"/>
              </w:rPr>
              <w:t>Data</w:t>
            </w:r>
          </w:p>
        </w:tc>
        <w:tc>
          <w:tcPr>
            <w:tcW w:w="3969" w:type="dxa"/>
            <w:tcMar>
              <w:left w:w="28" w:type="dxa"/>
              <w:right w:w="28" w:type="dxa"/>
            </w:tcMar>
            <w:vAlign w:val="center"/>
          </w:tcPr>
          <w:p w14:paraId="07065D7C" w14:textId="0AD60949" w:rsidR="00E850B6" w:rsidRPr="00FA1E86" w:rsidRDefault="00E850B6" w:rsidP="00E850B6">
            <w:pPr>
              <w:pStyle w:val="COMTableheadingrow"/>
              <w:keepNext w:val="0"/>
              <w:jc w:val="center"/>
              <w:rPr>
                <w:lang w:val="en-AU"/>
              </w:rPr>
            </w:pPr>
            <w:r w:rsidRPr="00FA1E86">
              <w:rPr>
                <w:lang w:val="en-AU"/>
              </w:rPr>
              <w:t>Value applied and source</w:t>
            </w:r>
          </w:p>
        </w:tc>
        <w:tc>
          <w:tcPr>
            <w:tcW w:w="3940" w:type="dxa"/>
            <w:tcMar>
              <w:left w:w="28" w:type="dxa"/>
              <w:right w:w="28" w:type="dxa"/>
            </w:tcMar>
            <w:vAlign w:val="center"/>
          </w:tcPr>
          <w:p w14:paraId="1A3D168C" w14:textId="77777777" w:rsidR="00E850B6" w:rsidRPr="00FA1E86" w:rsidRDefault="00E850B6" w:rsidP="00253C04">
            <w:pPr>
              <w:pStyle w:val="COMTableheadingrow"/>
              <w:keepNext w:val="0"/>
              <w:jc w:val="center"/>
              <w:rPr>
                <w:lang w:val="en-AU"/>
              </w:rPr>
            </w:pPr>
            <w:r w:rsidRPr="00FA1E86">
              <w:rPr>
                <w:lang w:val="en-AU"/>
              </w:rPr>
              <w:t>Comment</w:t>
            </w:r>
          </w:p>
        </w:tc>
      </w:tr>
      <w:tr w:rsidR="00E850B6" w:rsidRPr="00FA1E86" w14:paraId="257A40CE" w14:textId="77777777" w:rsidTr="00253C04">
        <w:tc>
          <w:tcPr>
            <w:tcW w:w="9180" w:type="dxa"/>
            <w:gridSpan w:val="3"/>
            <w:tcMar>
              <w:left w:w="28" w:type="dxa"/>
              <w:right w:w="28" w:type="dxa"/>
            </w:tcMar>
            <w:vAlign w:val="center"/>
          </w:tcPr>
          <w:p w14:paraId="131EF3C3" w14:textId="77777777" w:rsidR="00E850B6" w:rsidRPr="00FA1E86" w:rsidRDefault="00E850B6" w:rsidP="00253C04">
            <w:pPr>
              <w:pStyle w:val="COMTabletext"/>
              <w:keepNext w:val="0"/>
              <w:rPr>
                <w:b/>
              </w:rPr>
            </w:pPr>
            <w:r w:rsidRPr="00FA1E86">
              <w:rPr>
                <w:b/>
              </w:rPr>
              <w:t>Treatment utilisation</w:t>
            </w:r>
          </w:p>
        </w:tc>
      </w:tr>
      <w:tr w:rsidR="00E850B6" w:rsidRPr="00FA1E86" w14:paraId="14820B55" w14:textId="77777777" w:rsidTr="00E54201">
        <w:trPr>
          <w:trHeight w:val="1912"/>
        </w:trPr>
        <w:tc>
          <w:tcPr>
            <w:tcW w:w="1271" w:type="dxa"/>
            <w:tcMar>
              <w:left w:w="28" w:type="dxa"/>
              <w:right w:w="28" w:type="dxa"/>
            </w:tcMar>
            <w:vAlign w:val="center"/>
          </w:tcPr>
          <w:p w14:paraId="05A36D84" w14:textId="77777777" w:rsidR="00EC2D33" w:rsidRDefault="00E850B6" w:rsidP="00253C04">
            <w:pPr>
              <w:pStyle w:val="COMTabletext"/>
              <w:keepNext w:val="0"/>
            </w:pPr>
            <w:r w:rsidRPr="00FA1E86">
              <w:t>Projected semaglutide</w:t>
            </w:r>
          </w:p>
          <w:p w14:paraId="629B18CA" w14:textId="3D65CE2D" w:rsidR="00E850B6" w:rsidRPr="00FA1E86" w:rsidRDefault="00E850B6" w:rsidP="00253C04">
            <w:pPr>
              <w:pStyle w:val="COMTabletext"/>
              <w:keepNext w:val="0"/>
            </w:pPr>
            <w:r w:rsidRPr="00FA1E86">
              <w:t>0.5 mg scripts</w:t>
            </w:r>
          </w:p>
        </w:tc>
        <w:tc>
          <w:tcPr>
            <w:tcW w:w="3969" w:type="dxa"/>
            <w:vMerge w:val="restart"/>
            <w:tcMar>
              <w:left w:w="28" w:type="dxa"/>
              <w:right w:w="28" w:type="dxa"/>
            </w:tcMar>
            <w:vAlign w:val="center"/>
          </w:tcPr>
          <w:p w14:paraId="30D5C78C" w14:textId="77777777" w:rsidR="00EC2D33" w:rsidRDefault="00E850B6" w:rsidP="00E54201">
            <w:pPr>
              <w:pStyle w:val="COMTabletext"/>
              <w:keepNext w:val="0"/>
              <w:spacing w:after="120"/>
            </w:pPr>
            <w:r w:rsidRPr="00FA1E86">
              <w:t xml:space="preserve">Based on reported PBS scripts for semaglutide </w:t>
            </w:r>
            <w:r w:rsidR="006C31AD" w:rsidRPr="00FA1E86">
              <w:br/>
            </w:r>
            <w:r w:rsidRPr="00FA1E86">
              <w:t>0.5 mg (12080T), semaglutide 1 mg (12075M), dulaglutide 1.5 mg (11364D) dispensed in 2021.</w:t>
            </w:r>
          </w:p>
          <w:p w14:paraId="576B16D0" w14:textId="69AD1A45" w:rsidR="00E850B6" w:rsidRPr="00FA1E86" w:rsidRDefault="00E850B6" w:rsidP="00E54201">
            <w:pPr>
              <w:pStyle w:val="COMTabletext"/>
              <w:keepNext w:val="0"/>
              <w:spacing w:after="120"/>
            </w:pPr>
            <w:r w:rsidRPr="00FA1E86">
              <w:t xml:space="preserve">Growth rates were based on scripts for the combined GLP-1 RA market (exenatide twice daily, exenatide once weekly, semaglutide 0.5 mg, semaglutide </w:t>
            </w:r>
            <w:r w:rsidR="006C31AD" w:rsidRPr="00FA1E86">
              <w:br/>
            </w:r>
            <w:r w:rsidRPr="00FA1E86">
              <w:t>1.0 mg and dulaglutide 1.5 mg) between June 2018 and August 2022 (prior to GLP-1 RA supply issues). These growth rates were extrapolated from 2022-2028 using exponential triple smoothing and then disaggregated by market share.</w:t>
            </w:r>
          </w:p>
          <w:p w14:paraId="2382C60B" w14:textId="51A94A98" w:rsidR="00E850B6" w:rsidRPr="00182CD3" w:rsidRDefault="00E850B6" w:rsidP="00E54201">
            <w:pPr>
              <w:pStyle w:val="COMTabletext"/>
              <w:keepNext w:val="0"/>
              <w:spacing w:after="120"/>
            </w:pPr>
            <w:r w:rsidRPr="00FA1E86">
              <w:t>Semaglutide 0.5 mg growth rates; -6.0% (2023), 11.8% (2024); 10.4% (2025); 9.7% (2026); 8.8% (2027); 8</w:t>
            </w:r>
            <w:r w:rsidRPr="00182CD3">
              <w:t xml:space="preserve">.2% (2028). Projected scripts increase from </w:t>
            </w:r>
            <w:r w:rsidR="001F207D" w:rsidRPr="001F207D">
              <w:rPr>
                <w:rFonts w:hint="eastAsia"/>
                <w:color w:val="000000"/>
                <w:spacing w:val="30"/>
                <w:w w:val="15"/>
                <w:shd w:val="solid" w:color="000000" w:fill="000000"/>
                <w:fitText w:val="60" w:id="-1168382450"/>
                <w14:textFill>
                  <w14:solidFill>
                    <w14:srgbClr w14:val="000000">
                      <w14:alpha w14:val="100000"/>
                    </w14:srgbClr>
                  </w14:solidFill>
                </w14:textFill>
              </w:rPr>
              <w:t xml:space="preserve">　</w:t>
            </w:r>
            <w:r w:rsidR="001F207D" w:rsidRPr="001F207D">
              <w:rPr>
                <w:rFonts w:hint="eastAsia"/>
                <w:color w:val="000000"/>
                <w:spacing w:val="75"/>
                <w:w w:val="30"/>
                <w:shd w:val="solid" w:color="000000" w:fill="000000"/>
                <w:fitText w:val="135" w:id="-1168382449"/>
                <w14:textFill>
                  <w14:solidFill>
                    <w14:srgbClr w14:val="000000">
                      <w14:alpha w14:val="100000"/>
                    </w14:srgbClr>
                  </w14:solidFill>
                </w14:textFill>
              </w:rPr>
              <w:t xml:space="preserve">　</w:t>
            </w:r>
            <w:r w:rsidR="001F207D" w:rsidRPr="001F207D">
              <w:rPr>
                <w:color w:val="000000"/>
                <w:spacing w:val="199"/>
                <w:shd w:val="solid" w:color="000000" w:fill="000000"/>
                <w:fitText w:val="285" w:id="-1168382448"/>
                <w14:textFill>
                  <w14:solidFill>
                    <w14:srgbClr w14:val="000000">
                      <w14:alpha w14:val="100000"/>
                    </w14:srgbClr>
                  </w14:solidFill>
                </w14:textFill>
              </w:rPr>
              <w:t>|</w:t>
            </w:r>
            <w:r w:rsidR="001F207D" w:rsidRPr="001F207D">
              <w:rPr>
                <w:color w:val="000000"/>
                <w:spacing w:val="1"/>
                <w:shd w:val="solid" w:color="000000" w:fill="000000"/>
                <w:fitText w:val="285" w:id="-1168382448"/>
                <w14:textFill>
                  <w14:solidFill>
                    <w14:srgbClr w14:val="000000">
                      <w14:alpha w14:val="100000"/>
                    </w14:srgbClr>
                  </w14:solidFill>
                </w14:textFill>
              </w:rPr>
              <w:t>|</w:t>
            </w:r>
            <w:r w:rsidR="00484228" w:rsidRPr="004A0601">
              <w:rPr>
                <w:vertAlign w:val="superscript"/>
              </w:rPr>
              <w:t>1</w:t>
            </w:r>
            <w:r w:rsidRPr="00182CD3">
              <w:t xml:space="preserve"> in Year 1 to </w:t>
            </w:r>
            <w:r w:rsidR="001F207D" w:rsidRPr="001F207D">
              <w:rPr>
                <w:color w:val="000000"/>
                <w:spacing w:val="45"/>
                <w:shd w:val="solid" w:color="000000" w:fill="000000"/>
                <w:fitText w:val="330" w:id="-1168382464"/>
                <w14:textFill>
                  <w14:solidFill>
                    <w14:srgbClr w14:val="000000">
                      <w14:alpha w14:val="100000"/>
                    </w14:srgbClr>
                  </w14:solidFill>
                </w14:textFill>
              </w:rPr>
              <w:t>|||</w:t>
            </w:r>
            <w:r w:rsidR="001F207D" w:rsidRPr="001F207D">
              <w:rPr>
                <w:color w:val="000000"/>
                <w:spacing w:val="15"/>
                <w:shd w:val="solid" w:color="000000" w:fill="000000"/>
                <w:fitText w:val="330" w:id="-1168382464"/>
                <w14:textFill>
                  <w14:solidFill>
                    <w14:srgbClr w14:val="000000">
                      <w14:alpha w14:val="100000"/>
                    </w14:srgbClr>
                  </w14:solidFill>
                </w14:textFill>
              </w:rPr>
              <w:t>|</w:t>
            </w:r>
            <w:r w:rsidR="00484228" w:rsidRPr="004A0601">
              <w:rPr>
                <w:vertAlign w:val="superscript"/>
              </w:rPr>
              <w:t>2</w:t>
            </w:r>
            <w:r w:rsidRPr="00182CD3">
              <w:t xml:space="preserve"> scripts in Year 6.</w:t>
            </w:r>
          </w:p>
          <w:p w14:paraId="3ACB0315" w14:textId="3658F6A3" w:rsidR="00E850B6" w:rsidRPr="00182CD3" w:rsidRDefault="00E850B6" w:rsidP="00E54201">
            <w:pPr>
              <w:pStyle w:val="COMTabletext"/>
              <w:keepNext w:val="0"/>
              <w:spacing w:after="120"/>
            </w:pPr>
            <w:r w:rsidRPr="00182CD3">
              <w:lastRenderedPageBreak/>
              <w:t xml:space="preserve">Semaglutide 1 mg growth rates; 59.6% (2023), 24.5% (2024); 18.5% (2025); 15.4% (2026); 13.0% (2027); 11.5% (2028). Projected scripts increase from </w:t>
            </w:r>
            <w:r w:rsidR="001F207D" w:rsidRPr="001F207D">
              <w:rPr>
                <w:color w:val="000000"/>
                <w:spacing w:val="45"/>
                <w:shd w:val="solid" w:color="000000" w:fill="000000"/>
                <w:fitText w:val="330" w:id="-1168382463"/>
                <w14:textFill>
                  <w14:solidFill>
                    <w14:srgbClr w14:val="000000">
                      <w14:alpha w14:val="100000"/>
                    </w14:srgbClr>
                  </w14:solidFill>
                </w14:textFill>
              </w:rPr>
              <w:t>|||</w:t>
            </w:r>
            <w:r w:rsidR="001F207D" w:rsidRPr="001F207D">
              <w:rPr>
                <w:color w:val="000000"/>
                <w:spacing w:val="15"/>
                <w:shd w:val="solid" w:color="000000" w:fill="000000"/>
                <w:fitText w:val="330" w:id="-1168382463"/>
                <w14:textFill>
                  <w14:solidFill>
                    <w14:srgbClr w14:val="000000">
                      <w14:alpha w14:val="100000"/>
                    </w14:srgbClr>
                  </w14:solidFill>
                </w14:textFill>
              </w:rPr>
              <w:t>|</w:t>
            </w:r>
            <w:r w:rsidR="00484228" w:rsidRPr="004A0601">
              <w:rPr>
                <w:vertAlign w:val="superscript"/>
              </w:rPr>
              <w:t>3</w:t>
            </w:r>
            <w:r w:rsidRPr="00182CD3">
              <w:t xml:space="preserve"> in Year 1 to </w:t>
            </w:r>
            <w:r w:rsidR="001F207D" w:rsidRPr="001F207D">
              <w:rPr>
                <w:color w:val="000000"/>
                <w:spacing w:val="45"/>
                <w:shd w:val="solid" w:color="000000" w:fill="000000"/>
                <w:fitText w:val="330" w:id="-1168382462"/>
                <w14:textFill>
                  <w14:solidFill>
                    <w14:srgbClr w14:val="000000">
                      <w14:alpha w14:val="100000"/>
                    </w14:srgbClr>
                  </w14:solidFill>
                </w14:textFill>
              </w:rPr>
              <w:t>|||</w:t>
            </w:r>
            <w:r w:rsidR="001F207D" w:rsidRPr="001F207D">
              <w:rPr>
                <w:color w:val="000000"/>
                <w:spacing w:val="15"/>
                <w:shd w:val="solid" w:color="000000" w:fill="000000"/>
                <w:fitText w:val="330" w:id="-1168382462"/>
                <w14:textFill>
                  <w14:solidFill>
                    <w14:srgbClr w14:val="000000">
                      <w14:alpha w14:val="100000"/>
                    </w14:srgbClr>
                  </w14:solidFill>
                </w14:textFill>
              </w:rPr>
              <w:t>|</w:t>
            </w:r>
            <w:r w:rsidR="00484228" w:rsidRPr="004A0601">
              <w:rPr>
                <w:vertAlign w:val="superscript"/>
              </w:rPr>
              <w:t>4</w:t>
            </w:r>
            <w:r w:rsidRPr="00182CD3">
              <w:t xml:space="preserve"> in Year 6.</w:t>
            </w:r>
          </w:p>
          <w:p w14:paraId="19421AAB" w14:textId="4CCE6977" w:rsidR="00E850B6" w:rsidRPr="00FA1E86" w:rsidRDefault="00E850B6" w:rsidP="00253C04">
            <w:pPr>
              <w:pStyle w:val="COMTabletext"/>
            </w:pPr>
            <w:r w:rsidRPr="00182CD3">
              <w:t xml:space="preserve">Dulaglutide 1.5 mg growth rates; 56.9% (2023), 11.1% (2024); 9.9% (2025); 9.1% (2026); 8.7% (2027); 8.0% (2028). Projected scripts increase from </w:t>
            </w:r>
            <w:r w:rsidR="001F207D" w:rsidRPr="001F207D">
              <w:rPr>
                <w:rFonts w:hint="eastAsia"/>
                <w:color w:val="000000"/>
                <w:spacing w:val="30"/>
                <w:w w:val="15"/>
                <w:shd w:val="solid" w:color="000000" w:fill="000000"/>
                <w:fitText w:val="60" w:id="-1168382208"/>
                <w14:textFill>
                  <w14:solidFill>
                    <w14:srgbClr w14:val="000000">
                      <w14:alpha w14:val="100000"/>
                    </w14:srgbClr>
                  </w14:solidFill>
                </w14:textFill>
              </w:rPr>
              <w:t xml:space="preserve">　</w:t>
            </w:r>
            <w:r w:rsidR="001F207D" w:rsidRPr="001F207D">
              <w:rPr>
                <w:rFonts w:hint="eastAsia"/>
                <w:color w:val="000000"/>
                <w:spacing w:val="75"/>
                <w:w w:val="30"/>
                <w:shd w:val="solid" w:color="000000" w:fill="000000"/>
                <w:fitText w:val="135" w:id="-1168382207"/>
                <w14:textFill>
                  <w14:solidFill>
                    <w14:srgbClr w14:val="000000">
                      <w14:alpha w14:val="100000"/>
                    </w14:srgbClr>
                  </w14:solidFill>
                </w14:textFill>
              </w:rPr>
              <w:t xml:space="preserve">　</w:t>
            </w:r>
            <w:r w:rsidR="001F207D" w:rsidRPr="001F207D">
              <w:rPr>
                <w:color w:val="000000"/>
                <w:spacing w:val="199"/>
                <w:shd w:val="solid" w:color="000000" w:fill="000000"/>
                <w:fitText w:val="285" w:id="-1168382206"/>
                <w14:textFill>
                  <w14:solidFill>
                    <w14:srgbClr w14:val="000000">
                      <w14:alpha w14:val="100000"/>
                    </w14:srgbClr>
                  </w14:solidFill>
                </w14:textFill>
              </w:rPr>
              <w:t>|</w:t>
            </w:r>
            <w:r w:rsidR="001F207D" w:rsidRPr="001F207D">
              <w:rPr>
                <w:color w:val="000000"/>
                <w:spacing w:val="1"/>
                <w:shd w:val="solid" w:color="000000" w:fill="000000"/>
                <w:fitText w:val="285" w:id="-1168382206"/>
                <w14:textFill>
                  <w14:solidFill>
                    <w14:srgbClr w14:val="000000">
                      <w14:alpha w14:val="100000"/>
                    </w14:srgbClr>
                  </w14:solidFill>
                </w14:textFill>
              </w:rPr>
              <w:t>|</w:t>
            </w:r>
            <w:r w:rsidR="00484228" w:rsidRPr="004A0601">
              <w:rPr>
                <w:vertAlign w:val="superscript"/>
              </w:rPr>
              <w:t>4</w:t>
            </w:r>
            <w:r w:rsidRPr="00182CD3">
              <w:t xml:space="preserve"> in Year 1 to </w:t>
            </w:r>
            <w:r w:rsidR="001F207D" w:rsidRPr="001F207D">
              <w:rPr>
                <w:color w:val="000000"/>
                <w:spacing w:val="45"/>
                <w:shd w:val="solid" w:color="000000" w:fill="000000"/>
                <w:fitText w:val="330" w:id="-1168382205"/>
                <w14:textFill>
                  <w14:solidFill>
                    <w14:srgbClr w14:val="000000">
                      <w14:alpha w14:val="100000"/>
                    </w14:srgbClr>
                  </w14:solidFill>
                </w14:textFill>
              </w:rPr>
              <w:t>|||</w:t>
            </w:r>
            <w:r w:rsidR="001F207D" w:rsidRPr="001F207D">
              <w:rPr>
                <w:color w:val="000000"/>
                <w:spacing w:val="15"/>
                <w:shd w:val="solid" w:color="000000" w:fill="000000"/>
                <w:fitText w:val="330" w:id="-1168382205"/>
                <w14:textFill>
                  <w14:solidFill>
                    <w14:srgbClr w14:val="000000">
                      <w14:alpha w14:val="100000"/>
                    </w14:srgbClr>
                  </w14:solidFill>
                </w14:textFill>
              </w:rPr>
              <w:t>|</w:t>
            </w:r>
            <w:r w:rsidR="00484228" w:rsidRPr="004A0601">
              <w:rPr>
                <w:vertAlign w:val="superscript"/>
              </w:rPr>
              <w:t>4</w:t>
            </w:r>
            <w:r w:rsidRPr="00182CD3">
              <w:t xml:space="preserve"> scripts in Year 6.</w:t>
            </w:r>
          </w:p>
        </w:tc>
        <w:tc>
          <w:tcPr>
            <w:tcW w:w="3940" w:type="dxa"/>
            <w:vMerge w:val="restart"/>
            <w:tcMar>
              <w:left w:w="28" w:type="dxa"/>
              <w:right w:w="28" w:type="dxa"/>
            </w:tcMar>
            <w:vAlign w:val="center"/>
          </w:tcPr>
          <w:p w14:paraId="1E6F0191" w14:textId="77777777" w:rsidR="00EC2D33" w:rsidRDefault="00E850B6" w:rsidP="00337118">
            <w:pPr>
              <w:pStyle w:val="COMTabletext"/>
              <w:keepNext w:val="0"/>
              <w:spacing w:after="120"/>
            </w:pPr>
            <w:r w:rsidRPr="00065852">
              <w:lastRenderedPageBreak/>
              <w:t xml:space="preserve">Extrapolation of historical growth trends based on the current PBS listings for GLP-1 RA therapies </w:t>
            </w:r>
            <w:r w:rsidR="00723B32">
              <w:t>wa</w:t>
            </w:r>
            <w:r w:rsidRPr="00065852">
              <w:t>s unlikely to reflect utilisation under the draft PBS listings</w:t>
            </w:r>
            <w:r w:rsidR="00723B32">
              <w:t xml:space="preserve"> from the March 2023 </w:t>
            </w:r>
            <w:r w:rsidR="0033176A">
              <w:t xml:space="preserve">PBAC </w:t>
            </w:r>
            <w:r w:rsidR="00723B32">
              <w:t xml:space="preserve">review of T2DM </w:t>
            </w:r>
            <w:r w:rsidR="0033176A">
              <w:t>restrictions</w:t>
            </w:r>
            <w:r w:rsidRPr="00065852">
              <w:t xml:space="preserve">. The revised listings are intended to limit use of GLP-1 RA therapies to patients failing SGLT2 inhibitor therapies (due to inadequate response, </w:t>
            </w:r>
            <w:proofErr w:type="gramStart"/>
            <w:r w:rsidRPr="00065852">
              <w:t>intolerance</w:t>
            </w:r>
            <w:proofErr w:type="gramEnd"/>
            <w:r w:rsidRPr="00065852">
              <w:t xml:space="preserve"> or contraindication) and by limiting the initiation of therapy to telephone/online authorities.</w:t>
            </w:r>
          </w:p>
          <w:p w14:paraId="539EF74C" w14:textId="145510B7" w:rsidR="00E26C94" w:rsidRPr="00E26C94" w:rsidRDefault="00E850B6" w:rsidP="00253C04">
            <w:pPr>
              <w:pStyle w:val="COMTabletext"/>
              <w:keepNext w:val="0"/>
            </w:pPr>
            <w:r w:rsidRPr="00065852">
              <w:t xml:space="preserve">Additionally, the availability of GLP-1 RA therapies for type 2 diabetes </w:t>
            </w:r>
            <w:r w:rsidR="00723B32">
              <w:t>wa</w:t>
            </w:r>
            <w:r w:rsidRPr="00065852">
              <w:t xml:space="preserve">s uncertain due to the </w:t>
            </w:r>
            <w:r w:rsidR="00DC4BAD" w:rsidRPr="00065852">
              <w:t>recent supply shortages of semaglutide</w:t>
            </w:r>
            <w:r w:rsidRPr="00065852">
              <w:t>.</w:t>
            </w:r>
          </w:p>
        </w:tc>
      </w:tr>
      <w:tr w:rsidR="00E850B6" w:rsidRPr="00FA1E86" w14:paraId="783E20EC" w14:textId="77777777" w:rsidTr="00E54201">
        <w:trPr>
          <w:trHeight w:val="1913"/>
        </w:trPr>
        <w:tc>
          <w:tcPr>
            <w:tcW w:w="1271" w:type="dxa"/>
            <w:tcMar>
              <w:left w:w="28" w:type="dxa"/>
              <w:right w:w="28" w:type="dxa"/>
            </w:tcMar>
            <w:vAlign w:val="center"/>
          </w:tcPr>
          <w:p w14:paraId="2D85098B" w14:textId="77777777" w:rsidR="00EC2D33" w:rsidRDefault="00E850B6" w:rsidP="00253C04">
            <w:pPr>
              <w:pStyle w:val="COMTabletext"/>
              <w:keepNext w:val="0"/>
            </w:pPr>
            <w:r w:rsidRPr="00FA1E86">
              <w:t>Projected semaglutide</w:t>
            </w:r>
          </w:p>
          <w:p w14:paraId="0E6AC29E" w14:textId="239BDD49" w:rsidR="00E850B6" w:rsidRPr="00FA1E86" w:rsidRDefault="00E850B6" w:rsidP="00253C04">
            <w:pPr>
              <w:pStyle w:val="COMTabletext"/>
              <w:keepNext w:val="0"/>
            </w:pPr>
            <w:r w:rsidRPr="00FA1E86">
              <w:t>1.0 mg scripts</w:t>
            </w:r>
          </w:p>
        </w:tc>
        <w:tc>
          <w:tcPr>
            <w:tcW w:w="3969" w:type="dxa"/>
            <w:vMerge/>
            <w:tcMar>
              <w:left w:w="28" w:type="dxa"/>
              <w:right w:w="28" w:type="dxa"/>
            </w:tcMar>
            <w:vAlign w:val="center"/>
          </w:tcPr>
          <w:p w14:paraId="47A734A2" w14:textId="77777777" w:rsidR="00E850B6" w:rsidRPr="00FA1E86" w:rsidRDefault="00E850B6" w:rsidP="00253C04">
            <w:pPr>
              <w:pStyle w:val="COMTabletext"/>
            </w:pPr>
          </w:p>
        </w:tc>
        <w:tc>
          <w:tcPr>
            <w:tcW w:w="3940" w:type="dxa"/>
            <w:vMerge/>
            <w:tcMar>
              <w:left w:w="28" w:type="dxa"/>
              <w:right w:w="28" w:type="dxa"/>
            </w:tcMar>
            <w:vAlign w:val="center"/>
          </w:tcPr>
          <w:p w14:paraId="749AF88D" w14:textId="77777777" w:rsidR="00E850B6" w:rsidRPr="00065852" w:rsidRDefault="00E850B6" w:rsidP="00253C04">
            <w:pPr>
              <w:pStyle w:val="COMTabletext"/>
              <w:keepNext w:val="0"/>
            </w:pPr>
          </w:p>
        </w:tc>
      </w:tr>
      <w:tr w:rsidR="00E850B6" w:rsidRPr="00FA1E86" w14:paraId="7F92F45F" w14:textId="77777777" w:rsidTr="00E54201">
        <w:trPr>
          <w:trHeight w:val="1913"/>
        </w:trPr>
        <w:tc>
          <w:tcPr>
            <w:tcW w:w="1271" w:type="dxa"/>
            <w:tcMar>
              <w:left w:w="28" w:type="dxa"/>
              <w:right w:w="28" w:type="dxa"/>
            </w:tcMar>
            <w:vAlign w:val="center"/>
          </w:tcPr>
          <w:p w14:paraId="22377C6F" w14:textId="77777777" w:rsidR="00EC2D33" w:rsidRDefault="00E850B6" w:rsidP="00253C04">
            <w:pPr>
              <w:pStyle w:val="COMTabletext"/>
              <w:keepNext w:val="0"/>
            </w:pPr>
            <w:r w:rsidRPr="00FA1E86">
              <w:lastRenderedPageBreak/>
              <w:t>Projected dulaglutide</w:t>
            </w:r>
          </w:p>
          <w:p w14:paraId="4C76DA49" w14:textId="63CBF309" w:rsidR="00E850B6" w:rsidRPr="00FA1E86" w:rsidRDefault="00E850B6" w:rsidP="00253C04">
            <w:pPr>
              <w:pStyle w:val="COMTabletext"/>
              <w:keepNext w:val="0"/>
            </w:pPr>
            <w:r w:rsidRPr="00FA1E86">
              <w:t>1.5 mg scripts</w:t>
            </w:r>
          </w:p>
        </w:tc>
        <w:tc>
          <w:tcPr>
            <w:tcW w:w="3969" w:type="dxa"/>
            <w:vMerge/>
            <w:tcMar>
              <w:left w:w="28" w:type="dxa"/>
              <w:right w:w="28" w:type="dxa"/>
            </w:tcMar>
            <w:vAlign w:val="center"/>
          </w:tcPr>
          <w:p w14:paraId="74F7D0A3" w14:textId="77777777" w:rsidR="00E850B6" w:rsidRPr="00FA1E86" w:rsidRDefault="00E850B6" w:rsidP="00253C04">
            <w:pPr>
              <w:pStyle w:val="COMTabletext"/>
              <w:keepNext w:val="0"/>
            </w:pPr>
          </w:p>
        </w:tc>
        <w:tc>
          <w:tcPr>
            <w:tcW w:w="3940" w:type="dxa"/>
            <w:vMerge/>
            <w:tcMar>
              <w:left w:w="28" w:type="dxa"/>
              <w:right w:w="28" w:type="dxa"/>
            </w:tcMar>
            <w:vAlign w:val="center"/>
          </w:tcPr>
          <w:p w14:paraId="620BF3C0" w14:textId="77777777" w:rsidR="00E850B6" w:rsidRPr="00065852" w:rsidRDefault="00E850B6" w:rsidP="00253C04">
            <w:pPr>
              <w:pStyle w:val="COMTabletext"/>
              <w:keepNext w:val="0"/>
            </w:pPr>
          </w:p>
        </w:tc>
      </w:tr>
      <w:tr w:rsidR="00E54201" w:rsidRPr="00FA1E86" w14:paraId="15C411CF" w14:textId="77777777" w:rsidTr="00B75E73">
        <w:tc>
          <w:tcPr>
            <w:tcW w:w="1271" w:type="dxa"/>
            <w:tcMar>
              <w:left w:w="28" w:type="dxa"/>
              <w:right w:w="28" w:type="dxa"/>
            </w:tcMar>
            <w:vAlign w:val="center"/>
          </w:tcPr>
          <w:p w14:paraId="7499194A" w14:textId="2B9C3AC4" w:rsidR="00E54201" w:rsidRPr="00FA1E86" w:rsidRDefault="00E54201" w:rsidP="00253C04">
            <w:pPr>
              <w:pStyle w:val="COMTabletext"/>
              <w:keepNext w:val="0"/>
            </w:pPr>
            <w:r w:rsidRPr="00FA1E86">
              <w:t>Estimated use without insulin</w:t>
            </w:r>
          </w:p>
        </w:tc>
        <w:tc>
          <w:tcPr>
            <w:tcW w:w="3969" w:type="dxa"/>
            <w:tcMar>
              <w:left w:w="28" w:type="dxa"/>
              <w:right w:w="28" w:type="dxa"/>
            </w:tcMar>
            <w:vAlign w:val="center"/>
          </w:tcPr>
          <w:p w14:paraId="12B3ED31" w14:textId="468E46E8" w:rsidR="00E54201" w:rsidRPr="00FA1E86" w:rsidRDefault="00E54201" w:rsidP="00337118">
            <w:pPr>
              <w:pStyle w:val="COMTabletext"/>
              <w:spacing w:after="120"/>
            </w:pPr>
            <w:r w:rsidRPr="00FA1E86">
              <w:t>Semaglutide</w:t>
            </w:r>
            <w:r w:rsidRPr="0009575C">
              <w:t>: 89.1%, dulaglutide: 85%</w:t>
            </w:r>
          </w:p>
          <w:p w14:paraId="4BFBD3D0" w14:textId="5DC9D496" w:rsidR="00E54201" w:rsidRPr="00FA1E86" w:rsidRDefault="00E54201" w:rsidP="00337118">
            <w:pPr>
              <w:pStyle w:val="COMTabletext"/>
              <w:spacing w:after="120"/>
            </w:pPr>
            <w:r w:rsidRPr="00FA1E86">
              <w:t>Based on a sponsor-commissioned analysis of a 10% sample of PBS data. The analysis assessed the coadministration (defined as scripts dispensed within 3 months of each other) of insulin and either semaglutide or dulaglutide between January 2022 and August 2022. The number of patients with co-administered insulin was then compared to the number of patients receiving GLP-1 RA in other combinations (GLP-1 RA + metformin; GLP-1RA + metformin + sulfonylurea).</w:t>
            </w:r>
          </w:p>
          <w:p w14:paraId="306C23EB" w14:textId="16F9BE76" w:rsidR="00E54201" w:rsidRPr="00FA1E86" w:rsidRDefault="00E54201" w:rsidP="00E54201">
            <w:pPr>
              <w:pStyle w:val="COMTabletext"/>
            </w:pPr>
            <w:r w:rsidRPr="00FA1E86">
              <w:t>The submission assumed that combination use remained constant over time.</w:t>
            </w:r>
          </w:p>
        </w:tc>
        <w:tc>
          <w:tcPr>
            <w:tcW w:w="3940" w:type="dxa"/>
            <w:tcMar>
              <w:left w:w="28" w:type="dxa"/>
              <w:right w:w="28" w:type="dxa"/>
            </w:tcMar>
            <w:vAlign w:val="center"/>
          </w:tcPr>
          <w:p w14:paraId="3F937786" w14:textId="0F97119B" w:rsidR="00E54201" w:rsidRPr="00065852" w:rsidRDefault="00E54201" w:rsidP="00337118">
            <w:pPr>
              <w:pStyle w:val="COMTabletext"/>
              <w:spacing w:after="120"/>
            </w:pPr>
            <w:r w:rsidRPr="00065852">
              <w:t>The submission did not adequately justify the time period of the analysis (&lt; 1 year).</w:t>
            </w:r>
          </w:p>
          <w:p w14:paraId="6BC6C838" w14:textId="4BCE3310" w:rsidR="00E54201" w:rsidRPr="00065852" w:rsidRDefault="00E54201" w:rsidP="00337118">
            <w:pPr>
              <w:pStyle w:val="COMTabletext"/>
              <w:spacing w:after="120"/>
            </w:pPr>
            <w:r w:rsidRPr="00065852">
              <w:t>The definition for co-administration used in the 10% PBS sample did not adequately account for the variable dosing of insulin (based on the dosing used in the model each insulin script would cover 6 months of therapy).</w:t>
            </w:r>
          </w:p>
          <w:p w14:paraId="29F4EB78" w14:textId="77777777" w:rsidR="00EC2D33" w:rsidRDefault="00E54201" w:rsidP="00337118">
            <w:pPr>
              <w:pStyle w:val="COMTabletext"/>
              <w:spacing w:after="120"/>
            </w:pPr>
            <w:r w:rsidRPr="00065852">
              <w:t>The estimated number of patients using other combinations did not appear to account for GLP-1 RA monotherapy (use outside the restriction) and GLP-1 RA + sulfonylurea.</w:t>
            </w:r>
          </w:p>
          <w:p w14:paraId="3FAAC7E9" w14:textId="45AD71D6" w:rsidR="00E54201" w:rsidRPr="00065852" w:rsidRDefault="00E54201" w:rsidP="00E54201">
            <w:pPr>
              <w:pStyle w:val="COMTabletext"/>
              <w:keepNext w:val="0"/>
            </w:pPr>
            <w:r w:rsidRPr="00065852">
              <w:t>The submission did not justify the assumption that combination use would remain constant over time.</w:t>
            </w:r>
          </w:p>
        </w:tc>
      </w:tr>
      <w:tr w:rsidR="00B75E73" w:rsidRPr="00FA1E86" w14:paraId="6D8863B2" w14:textId="77777777" w:rsidTr="00B75E73">
        <w:tc>
          <w:tcPr>
            <w:tcW w:w="1271" w:type="dxa"/>
            <w:tcMar>
              <w:left w:w="28" w:type="dxa"/>
              <w:right w:w="28" w:type="dxa"/>
            </w:tcMar>
            <w:vAlign w:val="center"/>
          </w:tcPr>
          <w:p w14:paraId="0426FC4C" w14:textId="77777777" w:rsidR="00B75E73" w:rsidRPr="00FA1E86" w:rsidRDefault="00B75E73" w:rsidP="00253C04">
            <w:pPr>
              <w:pStyle w:val="COMTabletext"/>
              <w:keepNext w:val="0"/>
            </w:pPr>
            <w:r w:rsidRPr="00FA1E86">
              <w:t>Uptake rate</w:t>
            </w:r>
          </w:p>
        </w:tc>
        <w:tc>
          <w:tcPr>
            <w:tcW w:w="3969" w:type="dxa"/>
            <w:tcMar>
              <w:left w:w="28" w:type="dxa"/>
              <w:right w:w="28" w:type="dxa"/>
            </w:tcMar>
            <w:vAlign w:val="center"/>
          </w:tcPr>
          <w:p w14:paraId="3493ADDB" w14:textId="6220CE8C" w:rsidR="00B75E73" w:rsidRPr="00FA1E86" w:rsidRDefault="001F207D" w:rsidP="00253C04">
            <w:pPr>
              <w:pStyle w:val="COMTabletext"/>
              <w:keepNext w:val="0"/>
            </w:pPr>
            <w:r w:rsidRPr="001F207D">
              <w:rPr>
                <w:rFonts w:hint="eastAsia"/>
                <w:color w:val="000000"/>
                <w:spacing w:val="30"/>
                <w:w w:val="15"/>
                <w:shd w:val="solid" w:color="000000" w:fill="000000"/>
                <w:fitText w:val="60" w:id="-1168382204"/>
                <w14:textFill>
                  <w14:solidFill>
                    <w14:srgbClr w14:val="000000">
                      <w14:alpha w14:val="100000"/>
                    </w14:srgbClr>
                  </w14:solidFill>
                </w14:textFill>
              </w:rPr>
              <w:t xml:space="preserve">　</w:t>
            </w:r>
            <w:r w:rsidRPr="001F207D">
              <w:rPr>
                <w:rFonts w:hint="eastAsia"/>
                <w:color w:val="000000"/>
                <w:spacing w:val="75"/>
                <w:w w:val="30"/>
                <w:shd w:val="solid" w:color="000000" w:fill="000000"/>
                <w:fitText w:val="135" w:id="-1168382203"/>
                <w14:textFill>
                  <w14:solidFill>
                    <w14:srgbClr w14:val="000000">
                      <w14:alpha w14:val="100000"/>
                    </w14:srgbClr>
                  </w14:solidFill>
                </w14:textFill>
              </w:rPr>
              <w:t xml:space="preserve">　</w:t>
            </w:r>
            <w:r w:rsidRPr="001F207D">
              <w:rPr>
                <w:color w:val="000000"/>
                <w:spacing w:val="199"/>
                <w:shd w:val="solid" w:color="000000" w:fill="000000"/>
                <w:fitText w:val="285" w:id="-1168382202"/>
                <w14:textFill>
                  <w14:solidFill>
                    <w14:srgbClr w14:val="000000">
                      <w14:alpha w14:val="100000"/>
                    </w14:srgbClr>
                  </w14:solidFill>
                </w14:textFill>
              </w:rPr>
              <w:t>|</w:t>
            </w:r>
            <w:r w:rsidRPr="001F207D">
              <w:rPr>
                <w:color w:val="000000"/>
                <w:spacing w:val="1"/>
                <w:shd w:val="solid" w:color="000000" w:fill="000000"/>
                <w:fitText w:val="285" w:id="-1168382202"/>
                <w14:textFill>
                  <w14:solidFill>
                    <w14:srgbClr w14:val="000000">
                      <w14:alpha w14:val="100000"/>
                    </w14:srgbClr>
                  </w14:solidFill>
                </w14:textFill>
              </w:rPr>
              <w:t>|</w:t>
            </w:r>
            <w:r w:rsidR="00B75E73" w:rsidRPr="00182CD3">
              <w:t xml:space="preserve">% in Year 1 increasing to </w:t>
            </w:r>
            <w:r w:rsidRPr="001F207D">
              <w:rPr>
                <w:color w:val="000000"/>
                <w:spacing w:val="45"/>
                <w:shd w:val="solid" w:color="000000" w:fill="000000"/>
                <w:fitText w:val="330" w:id="-1168382201"/>
                <w14:textFill>
                  <w14:solidFill>
                    <w14:srgbClr w14:val="000000">
                      <w14:alpha w14:val="100000"/>
                    </w14:srgbClr>
                  </w14:solidFill>
                </w14:textFill>
              </w:rPr>
              <w:t>|||</w:t>
            </w:r>
            <w:r w:rsidRPr="001F207D">
              <w:rPr>
                <w:color w:val="000000"/>
                <w:spacing w:val="15"/>
                <w:shd w:val="solid" w:color="000000" w:fill="000000"/>
                <w:fitText w:val="330" w:id="-1168382201"/>
                <w14:textFill>
                  <w14:solidFill>
                    <w14:srgbClr w14:val="000000">
                      <w14:alpha w14:val="100000"/>
                    </w14:srgbClr>
                  </w14:solidFill>
                </w14:textFill>
              </w:rPr>
              <w:t>|</w:t>
            </w:r>
            <w:r w:rsidR="00B75E73" w:rsidRPr="00182CD3">
              <w:t xml:space="preserve">% in Year 6. </w:t>
            </w:r>
            <w:r w:rsidR="00B75E73" w:rsidRPr="00FA1E86">
              <w:t>Assumption based on uptake of dulaglutide compared to other GLP-1 RA therapies before the availability of semaglutide with higher uptake expected due to superior glycaemic control and weight reduction.</w:t>
            </w:r>
          </w:p>
        </w:tc>
        <w:tc>
          <w:tcPr>
            <w:tcW w:w="3940" w:type="dxa"/>
            <w:tcMar>
              <w:left w:w="28" w:type="dxa"/>
              <w:right w:w="28" w:type="dxa"/>
            </w:tcMar>
            <w:vAlign w:val="center"/>
          </w:tcPr>
          <w:p w14:paraId="20151905" w14:textId="35D39480" w:rsidR="00B75E73" w:rsidRPr="00065852" w:rsidRDefault="00B75E73" w:rsidP="00337118">
            <w:pPr>
              <w:pStyle w:val="COMTabletext"/>
              <w:keepNext w:val="0"/>
              <w:spacing w:after="120"/>
            </w:pPr>
            <w:r w:rsidRPr="00065852">
              <w:t>Estimated uptake rates are highly uncertain given the rapidly changing dynamics of the GLP-1 RA market (as seen by the introduction of semaglutide).</w:t>
            </w:r>
          </w:p>
          <w:p w14:paraId="59BC0F49" w14:textId="375257DC" w:rsidR="00B75E73" w:rsidRPr="00065852" w:rsidRDefault="00B75E73" w:rsidP="00337118">
            <w:pPr>
              <w:pStyle w:val="COMTabletext"/>
              <w:keepNext w:val="0"/>
              <w:spacing w:after="120"/>
            </w:pPr>
            <w:r w:rsidRPr="00065852">
              <w:t>Market research presented with the submission (Attachment 6) indicated that:</w:t>
            </w:r>
          </w:p>
          <w:p w14:paraId="1EA35650" w14:textId="047EFE86" w:rsidR="00B75E73" w:rsidRPr="00182CD3" w:rsidRDefault="00B75E73" w:rsidP="00253C04">
            <w:pPr>
              <w:pStyle w:val="COMTabletext"/>
              <w:keepNext w:val="0"/>
            </w:pPr>
            <w:r w:rsidRPr="00065852">
              <w:t xml:space="preserve">- </w:t>
            </w:r>
            <w:r w:rsidR="001F207D" w:rsidRPr="001F207D">
              <w:rPr>
                <w:color w:val="000000"/>
                <w:spacing w:val="45"/>
                <w:shd w:val="solid" w:color="000000" w:fill="000000"/>
                <w:fitText w:val="330" w:id="-1168382200"/>
                <w14:textFill>
                  <w14:solidFill>
                    <w14:srgbClr w14:val="000000">
                      <w14:alpha w14:val="100000"/>
                    </w14:srgbClr>
                  </w14:solidFill>
                </w14:textFill>
              </w:rPr>
              <w:t>|||</w:t>
            </w:r>
            <w:r w:rsidR="001F207D" w:rsidRPr="001F207D">
              <w:rPr>
                <w:color w:val="000000"/>
                <w:spacing w:val="15"/>
                <w:shd w:val="solid" w:color="000000" w:fill="000000"/>
                <w:fitText w:val="330" w:id="-1168382200"/>
                <w14:textFill>
                  <w14:solidFill>
                    <w14:srgbClr w14:val="000000">
                      <w14:alpha w14:val="100000"/>
                    </w14:srgbClr>
                  </w14:solidFill>
                </w14:textFill>
              </w:rPr>
              <w:t>|</w:t>
            </w:r>
            <w:r w:rsidRPr="00182CD3">
              <w:t xml:space="preserve">% (based on GPs) to </w:t>
            </w:r>
            <w:r w:rsidR="001F207D" w:rsidRPr="001F207D">
              <w:rPr>
                <w:color w:val="000000"/>
                <w:spacing w:val="48"/>
                <w:shd w:val="solid" w:color="000000" w:fill="000000"/>
                <w:fitText w:val="315" w:id="-1168382199"/>
                <w14:textFill>
                  <w14:solidFill>
                    <w14:srgbClr w14:val="000000">
                      <w14:alpha w14:val="100000"/>
                    </w14:srgbClr>
                  </w14:solidFill>
                </w14:textFill>
              </w:rPr>
              <w:t>|||</w:t>
            </w:r>
            <w:r w:rsidR="001F207D" w:rsidRPr="001F207D">
              <w:rPr>
                <w:color w:val="000000"/>
                <w:spacing w:val="1"/>
                <w:shd w:val="solid" w:color="000000" w:fill="000000"/>
                <w:fitText w:val="315" w:id="-1168382199"/>
                <w14:textFill>
                  <w14:solidFill>
                    <w14:srgbClr w14:val="000000">
                      <w14:alpha w14:val="100000"/>
                    </w14:srgbClr>
                  </w14:solidFill>
                </w14:textFill>
              </w:rPr>
              <w:t>|</w:t>
            </w:r>
            <w:r w:rsidRPr="00182CD3">
              <w:t>% (based on specialists) of injection-naïve patients would be treated with tirzepatide versus GLP-1 RA therapies</w:t>
            </w:r>
          </w:p>
          <w:p w14:paraId="7B32F906" w14:textId="3FC197D7" w:rsidR="00B75E73" w:rsidRPr="00065852" w:rsidRDefault="00B75E73" w:rsidP="00253C04">
            <w:pPr>
              <w:pStyle w:val="COMTabletext"/>
              <w:keepNext w:val="0"/>
            </w:pPr>
            <w:r w:rsidRPr="00182CD3">
              <w:t xml:space="preserve">- </w:t>
            </w:r>
            <w:r w:rsidR="001F207D" w:rsidRPr="001F207D">
              <w:rPr>
                <w:color w:val="000000"/>
                <w:spacing w:val="45"/>
                <w:shd w:val="solid" w:color="000000" w:fill="000000"/>
                <w:fitText w:val="330" w:id="-1168382198"/>
                <w14:textFill>
                  <w14:solidFill>
                    <w14:srgbClr w14:val="000000">
                      <w14:alpha w14:val="100000"/>
                    </w14:srgbClr>
                  </w14:solidFill>
                </w14:textFill>
              </w:rPr>
              <w:t>|||</w:t>
            </w:r>
            <w:r w:rsidR="001F207D" w:rsidRPr="001F207D">
              <w:rPr>
                <w:color w:val="000000"/>
                <w:spacing w:val="15"/>
                <w:shd w:val="solid" w:color="000000" w:fill="000000"/>
                <w:fitText w:val="330" w:id="-1168382198"/>
                <w14:textFill>
                  <w14:solidFill>
                    <w14:srgbClr w14:val="000000">
                      <w14:alpha w14:val="100000"/>
                    </w14:srgbClr>
                  </w14:solidFill>
                </w14:textFill>
              </w:rPr>
              <w:t>|</w:t>
            </w:r>
            <w:r w:rsidRPr="00182CD3">
              <w:t xml:space="preserve">% (based on GPs) to </w:t>
            </w:r>
            <w:r w:rsidR="001F207D" w:rsidRPr="001F207D">
              <w:rPr>
                <w:color w:val="000000"/>
                <w:spacing w:val="48"/>
                <w:shd w:val="solid" w:color="000000" w:fill="000000"/>
                <w:fitText w:val="315" w:id="-1168382197"/>
                <w14:textFill>
                  <w14:solidFill>
                    <w14:srgbClr w14:val="000000">
                      <w14:alpha w14:val="100000"/>
                    </w14:srgbClr>
                  </w14:solidFill>
                </w14:textFill>
              </w:rPr>
              <w:t>|||</w:t>
            </w:r>
            <w:r w:rsidR="001F207D" w:rsidRPr="001F207D">
              <w:rPr>
                <w:color w:val="000000"/>
                <w:spacing w:val="1"/>
                <w:shd w:val="solid" w:color="000000" w:fill="000000"/>
                <w:fitText w:val="315" w:id="-1168382197"/>
                <w14:textFill>
                  <w14:solidFill>
                    <w14:srgbClr w14:val="000000">
                      <w14:alpha w14:val="100000"/>
                    </w14:srgbClr>
                  </w14:solidFill>
                </w14:textFill>
              </w:rPr>
              <w:t>|</w:t>
            </w:r>
            <w:r w:rsidRPr="00182CD3">
              <w:t>% (based</w:t>
            </w:r>
            <w:r w:rsidRPr="00065852">
              <w:t xml:space="preserve"> on specialists) of patients would switch from an existing GLP-1 RA to tirzepatide</w:t>
            </w:r>
          </w:p>
        </w:tc>
      </w:tr>
    </w:tbl>
    <w:p w14:paraId="55B83D1B" w14:textId="77777777" w:rsidR="00E850B6" w:rsidRPr="00FA1E86" w:rsidRDefault="00E850B6" w:rsidP="00E850B6">
      <w:pPr>
        <w:pStyle w:val="COMTablefooter"/>
      </w:pPr>
      <w:r w:rsidRPr="00FA1E86">
        <w:t>Source: Table 4.1-1 pp310-311 of the submission</w:t>
      </w:r>
    </w:p>
    <w:p w14:paraId="7219EF0C" w14:textId="7C7BAE60" w:rsidR="00B75E73" w:rsidRDefault="00E850B6" w:rsidP="001921CA">
      <w:pPr>
        <w:pStyle w:val="COMTablefooter"/>
        <w:spacing w:after="0"/>
      </w:pPr>
      <w:r w:rsidRPr="00FA1E86">
        <w:t>Abbreviations: DPMQ, dispensed price per maximum quantity; GLP-1 RA glucagon-like peptide-1 receptor agonists; PBS, Pharmaceutical Benefits Scheme; SGLT2, sodium-glucose co-transporter 2 inhibitors</w:t>
      </w:r>
    </w:p>
    <w:p w14:paraId="4BA1C10F" w14:textId="16376A8E" w:rsidR="00670613" w:rsidRDefault="00670613" w:rsidP="004A0601">
      <w:pPr>
        <w:tabs>
          <w:tab w:val="center" w:pos="4513"/>
          <w:tab w:val="right" w:pos="9026"/>
        </w:tabs>
        <w:autoSpaceDE w:val="0"/>
        <w:autoSpaceDN w:val="0"/>
        <w:adjustRightInd w:val="0"/>
        <w:rPr>
          <w:rFonts w:ascii="Arial Narrow" w:hAnsi="Arial Narrow" w:cs="Arial Narrow"/>
          <w:i/>
          <w:iCs/>
          <w:sz w:val="18"/>
          <w:szCs w:val="18"/>
        </w:rPr>
      </w:pPr>
      <w:r w:rsidRPr="00F2167D">
        <w:rPr>
          <w:rFonts w:ascii="Arial Narrow" w:hAnsi="Arial Narrow" w:cs="Arial Narrow"/>
          <w:i/>
          <w:iCs/>
          <w:sz w:val="18"/>
          <w:szCs w:val="18"/>
        </w:rPr>
        <w:t>The redacted values correspond to the following ranges:</w:t>
      </w:r>
    </w:p>
    <w:p w14:paraId="52781BFD" w14:textId="54F0B754" w:rsidR="00484228" w:rsidRDefault="00670613" w:rsidP="00FD3423">
      <w:pPr>
        <w:rPr>
          <w:rFonts w:ascii="Arial Narrow" w:hAnsi="Arial Narrow" w:cs="Arial Narrow"/>
          <w:i/>
          <w:iCs/>
          <w:sz w:val="18"/>
          <w:szCs w:val="18"/>
        </w:rPr>
      </w:pPr>
      <w:r>
        <w:rPr>
          <w:rFonts w:ascii="Arial Narrow" w:hAnsi="Arial Narrow" w:cs="Arial Narrow"/>
          <w:i/>
          <w:iCs/>
          <w:sz w:val="18"/>
          <w:szCs w:val="18"/>
          <w:vertAlign w:val="superscript"/>
        </w:rPr>
        <w:t>1</w:t>
      </w:r>
      <w:r w:rsidR="00484228">
        <w:rPr>
          <w:rFonts w:ascii="Arial Narrow" w:hAnsi="Arial Narrow" w:cs="Arial Narrow"/>
          <w:i/>
          <w:iCs/>
          <w:sz w:val="18"/>
          <w:szCs w:val="18"/>
        </w:rPr>
        <w:t>4</w:t>
      </w:r>
      <w:r w:rsidRPr="00495005">
        <w:rPr>
          <w:rFonts w:ascii="Arial Narrow" w:hAnsi="Arial Narrow" w:cs="Arial Narrow"/>
          <w:i/>
          <w:iCs/>
          <w:sz w:val="18"/>
          <w:szCs w:val="18"/>
        </w:rPr>
        <w:t>00,000 to &lt; </w:t>
      </w:r>
      <w:r w:rsidR="00484228">
        <w:rPr>
          <w:rFonts w:ascii="Arial Narrow" w:hAnsi="Arial Narrow" w:cs="Arial Narrow"/>
          <w:i/>
          <w:iCs/>
          <w:sz w:val="18"/>
          <w:szCs w:val="18"/>
        </w:rPr>
        <w:t>5</w:t>
      </w:r>
      <w:r w:rsidRPr="00495005">
        <w:rPr>
          <w:rFonts w:ascii="Arial Narrow" w:hAnsi="Arial Narrow" w:cs="Arial Narrow"/>
          <w:i/>
          <w:iCs/>
          <w:sz w:val="18"/>
          <w:szCs w:val="18"/>
        </w:rPr>
        <w:t>00,000</w:t>
      </w:r>
    </w:p>
    <w:p w14:paraId="758B5165" w14:textId="36119765" w:rsidR="00484228" w:rsidRPr="004A0601" w:rsidRDefault="00484228" w:rsidP="00FD3423">
      <w:pPr>
        <w:rPr>
          <w:rFonts w:ascii="Arial Narrow" w:hAnsi="Arial Narrow" w:cs="Arial Narrow"/>
          <w:i/>
          <w:iCs/>
          <w:sz w:val="18"/>
          <w:szCs w:val="18"/>
        </w:rPr>
      </w:pPr>
      <w:r>
        <w:rPr>
          <w:rFonts w:ascii="Arial Narrow" w:hAnsi="Arial Narrow" w:cs="Arial Narrow"/>
          <w:i/>
          <w:iCs/>
          <w:sz w:val="18"/>
          <w:szCs w:val="18"/>
          <w:vertAlign w:val="superscript"/>
        </w:rPr>
        <w:t>2</w:t>
      </w:r>
      <w:r>
        <w:rPr>
          <w:rFonts w:ascii="Arial Narrow" w:hAnsi="Arial Narrow" w:cs="Arial Narrow"/>
          <w:i/>
          <w:iCs/>
          <w:sz w:val="18"/>
          <w:szCs w:val="18"/>
        </w:rPr>
        <w:t>6</w:t>
      </w:r>
      <w:r w:rsidRPr="00495005">
        <w:rPr>
          <w:rFonts w:ascii="Arial Narrow" w:hAnsi="Arial Narrow" w:cs="Arial Narrow"/>
          <w:i/>
          <w:iCs/>
          <w:sz w:val="18"/>
          <w:szCs w:val="18"/>
        </w:rPr>
        <w:t>00,000 to &lt; </w:t>
      </w:r>
      <w:r>
        <w:rPr>
          <w:rFonts w:ascii="Arial Narrow" w:hAnsi="Arial Narrow" w:cs="Arial Narrow"/>
          <w:i/>
          <w:iCs/>
          <w:sz w:val="18"/>
          <w:szCs w:val="18"/>
        </w:rPr>
        <w:t>7</w:t>
      </w:r>
      <w:r w:rsidRPr="00495005">
        <w:rPr>
          <w:rFonts w:ascii="Arial Narrow" w:hAnsi="Arial Narrow" w:cs="Arial Narrow"/>
          <w:i/>
          <w:iCs/>
          <w:sz w:val="18"/>
          <w:szCs w:val="18"/>
        </w:rPr>
        <w:t>00,000</w:t>
      </w:r>
    </w:p>
    <w:p w14:paraId="1F7CB819" w14:textId="72EB8484" w:rsidR="00484228" w:rsidRPr="00495005" w:rsidRDefault="00484228" w:rsidP="00FD3423">
      <w:pPr>
        <w:rPr>
          <w:rFonts w:ascii="Arial Narrow" w:hAnsi="Arial Narrow" w:cs="Arial Narrow"/>
          <w:i/>
          <w:iCs/>
          <w:sz w:val="18"/>
          <w:szCs w:val="18"/>
        </w:rPr>
      </w:pPr>
      <w:r>
        <w:rPr>
          <w:rFonts w:ascii="Arial Narrow" w:hAnsi="Arial Narrow" w:cs="Arial Narrow"/>
          <w:i/>
          <w:iCs/>
          <w:sz w:val="18"/>
          <w:szCs w:val="18"/>
          <w:vertAlign w:val="superscript"/>
        </w:rPr>
        <w:t>3</w:t>
      </w:r>
      <w:r>
        <w:rPr>
          <w:rFonts w:ascii="Arial Narrow" w:hAnsi="Arial Narrow" w:cs="Arial Narrow"/>
          <w:i/>
          <w:iCs/>
          <w:sz w:val="18"/>
          <w:szCs w:val="18"/>
        </w:rPr>
        <w:t>9</w:t>
      </w:r>
      <w:r w:rsidRPr="00495005">
        <w:rPr>
          <w:rFonts w:ascii="Arial Narrow" w:hAnsi="Arial Narrow" w:cs="Arial Narrow"/>
          <w:i/>
          <w:iCs/>
          <w:sz w:val="18"/>
          <w:szCs w:val="18"/>
        </w:rPr>
        <w:t>00,000 to &lt; </w:t>
      </w:r>
      <w:r>
        <w:rPr>
          <w:rFonts w:ascii="Arial Narrow" w:hAnsi="Arial Narrow" w:cs="Arial Narrow"/>
          <w:i/>
          <w:iCs/>
          <w:sz w:val="18"/>
          <w:szCs w:val="18"/>
        </w:rPr>
        <w:t>1,0</w:t>
      </w:r>
      <w:r w:rsidRPr="00495005">
        <w:rPr>
          <w:rFonts w:ascii="Arial Narrow" w:hAnsi="Arial Narrow" w:cs="Arial Narrow"/>
          <w:i/>
          <w:iCs/>
          <w:sz w:val="18"/>
          <w:szCs w:val="18"/>
        </w:rPr>
        <w:t>00,000</w:t>
      </w:r>
    </w:p>
    <w:p w14:paraId="21E55386" w14:textId="4B8D0CCE" w:rsidR="00484228" w:rsidRPr="00495005" w:rsidRDefault="00484228" w:rsidP="001921CA">
      <w:pPr>
        <w:spacing w:after="120"/>
        <w:rPr>
          <w:rFonts w:ascii="Arial Narrow" w:hAnsi="Arial Narrow" w:cs="Arial Narrow"/>
          <w:i/>
          <w:iCs/>
          <w:sz w:val="18"/>
          <w:szCs w:val="18"/>
        </w:rPr>
      </w:pPr>
      <w:r>
        <w:rPr>
          <w:rFonts w:ascii="Arial Narrow" w:hAnsi="Arial Narrow" w:cs="Arial Narrow"/>
          <w:i/>
          <w:iCs/>
          <w:sz w:val="18"/>
          <w:szCs w:val="18"/>
          <w:vertAlign w:val="superscript"/>
        </w:rPr>
        <w:t>4</w:t>
      </w:r>
      <w:r>
        <w:rPr>
          <w:rFonts w:ascii="Arial Narrow" w:hAnsi="Arial Narrow" w:cs="Arial Narrow"/>
          <w:i/>
          <w:iCs/>
          <w:sz w:val="18"/>
          <w:szCs w:val="18"/>
        </w:rPr>
        <w:t>1,0</w:t>
      </w:r>
      <w:r w:rsidRPr="00495005">
        <w:rPr>
          <w:rFonts w:ascii="Arial Narrow" w:hAnsi="Arial Narrow" w:cs="Arial Narrow"/>
          <w:i/>
          <w:iCs/>
          <w:sz w:val="18"/>
          <w:szCs w:val="18"/>
        </w:rPr>
        <w:t>00,000 to &lt; </w:t>
      </w:r>
      <w:r>
        <w:rPr>
          <w:rFonts w:ascii="Arial Narrow" w:hAnsi="Arial Narrow" w:cs="Arial Narrow"/>
          <w:i/>
          <w:iCs/>
          <w:sz w:val="18"/>
          <w:szCs w:val="18"/>
        </w:rPr>
        <w:t>2,0</w:t>
      </w:r>
      <w:r w:rsidRPr="00495005">
        <w:rPr>
          <w:rFonts w:ascii="Arial Narrow" w:hAnsi="Arial Narrow" w:cs="Arial Narrow"/>
          <w:i/>
          <w:iCs/>
          <w:sz w:val="18"/>
          <w:szCs w:val="18"/>
        </w:rPr>
        <w:t>00,000</w:t>
      </w:r>
    </w:p>
    <w:p w14:paraId="7BC22652" w14:textId="2CA169B5" w:rsidR="00D26AFA" w:rsidRPr="00FA1E86" w:rsidRDefault="00B75E73" w:rsidP="001C7A5A">
      <w:pPr>
        <w:pStyle w:val="COMexecsumnumberedpara"/>
        <w:rPr>
          <w:color w:val="0066FF"/>
        </w:rPr>
      </w:pPr>
      <w:r w:rsidRPr="00FA1E86">
        <w:t xml:space="preserve">The estimated utilisation and financial implications (using effective </w:t>
      </w:r>
      <w:r w:rsidR="00D26AFA" w:rsidRPr="00FA1E86">
        <w:t>prices</w:t>
      </w:r>
      <w:r w:rsidRPr="00FA1E86">
        <w:t xml:space="preserve">) of a PBS/RPBS listing of tirzepatide for type 2 diabetes is summarised in </w:t>
      </w:r>
      <w:r w:rsidR="00BA0A67" w:rsidRPr="00FA1E86">
        <w:fldChar w:fldCharType="begin" w:fldLock="1"/>
      </w:r>
      <w:r w:rsidR="00BA0A67" w:rsidRPr="00FA1E86">
        <w:instrText xml:space="preserve"> REF _Ref134096286 \h </w:instrText>
      </w:r>
      <w:r w:rsidR="00BA0A67" w:rsidRPr="00FA1E86">
        <w:fldChar w:fldCharType="separate"/>
      </w:r>
      <w:r w:rsidR="00B71E27" w:rsidRPr="00FA1E86">
        <w:t xml:space="preserve">Table </w:t>
      </w:r>
      <w:r w:rsidR="00B71E27">
        <w:rPr>
          <w:noProof/>
        </w:rPr>
        <w:t>17</w:t>
      </w:r>
      <w:r w:rsidR="00BA0A67" w:rsidRPr="00FA1E86">
        <w:fldChar w:fldCharType="end"/>
      </w:r>
      <w:r w:rsidRPr="00FA1E86">
        <w:t>.</w:t>
      </w:r>
    </w:p>
    <w:p w14:paraId="46067560" w14:textId="026B33F4" w:rsidR="001C7A5A" w:rsidRPr="00FA1E86" w:rsidRDefault="00EC6E59" w:rsidP="00E94884">
      <w:pPr>
        <w:pStyle w:val="COMtablefigcaption"/>
      </w:pPr>
      <w:bookmarkStart w:id="65" w:name="_Ref134096286"/>
      <w:r w:rsidRPr="00FA1E86">
        <w:lastRenderedPageBreak/>
        <w:t xml:space="preserve">Table </w:t>
      </w:r>
      <w:fldSimple w:instr=" SEQ Table \* ARABIC " w:fldLock="1">
        <w:r w:rsidR="00B71E27">
          <w:rPr>
            <w:noProof/>
          </w:rPr>
          <w:t>17</w:t>
        </w:r>
      </w:fldSimple>
      <w:bookmarkEnd w:id="65"/>
      <w:r w:rsidR="001C7A5A" w:rsidRPr="00FA1E86">
        <w:t>: Estimated utilisation and financial impact of listing tirzepatide on the PBS/RPBS (effective price)</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0"/>
        <w:gridCol w:w="1134"/>
        <w:gridCol w:w="1134"/>
        <w:gridCol w:w="1134"/>
        <w:gridCol w:w="1134"/>
        <w:gridCol w:w="1276"/>
        <w:gridCol w:w="1276"/>
      </w:tblGrid>
      <w:tr w:rsidR="001C7A5A" w:rsidRPr="00F2167D" w14:paraId="30E4390F" w14:textId="77777777" w:rsidTr="004A0601">
        <w:trPr>
          <w:tblHeader/>
        </w:trPr>
        <w:tc>
          <w:tcPr>
            <w:tcW w:w="2410" w:type="dxa"/>
            <w:shd w:val="clear" w:color="auto" w:fill="auto"/>
            <w:vAlign w:val="center"/>
          </w:tcPr>
          <w:p w14:paraId="00D1C61C" w14:textId="77777777" w:rsidR="001C7A5A" w:rsidRPr="00F2167D" w:rsidRDefault="001C7A5A" w:rsidP="00253C04">
            <w:pPr>
              <w:pStyle w:val="COMTableheadingrow"/>
              <w:jc w:val="center"/>
              <w:rPr>
                <w:lang w:val="en-AU"/>
              </w:rPr>
            </w:pPr>
          </w:p>
        </w:tc>
        <w:tc>
          <w:tcPr>
            <w:tcW w:w="1134" w:type="dxa"/>
            <w:shd w:val="clear" w:color="auto" w:fill="auto"/>
            <w:vAlign w:val="center"/>
          </w:tcPr>
          <w:p w14:paraId="30E9F050" w14:textId="194D2FA9" w:rsidR="001C7A5A" w:rsidRPr="00F2167D" w:rsidRDefault="001C7A5A" w:rsidP="0044540F">
            <w:pPr>
              <w:pStyle w:val="COMTableheadingrow"/>
              <w:jc w:val="center"/>
              <w:rPr>
                <w:lang w:val="en-AU"/>
              </w:rPr>
            </w:pPr>
            <w:r w:rsidRPr="00F2167D">
              <w:rPr>
                <w:lang w:val="en-AU"/>
              </w:rPr>
              <w:t xml:space="preserve">Year 1 </w:t>
            </w:r>
          </w:p>
        </w:tc>
        <w:tc>
          <w:tcPr>
            <w:tcW w:w="1134" w:type="dxa"/>
            <w:shd w:val="clear" w:color="auto" w:fill="auto"/>
            <w:vAlign w:val="center"/>
          </w:tcPr>
          <w:p w14:paraId="515C4793" w14:textId="22514E2C" w:rsidR="001C7A5A" w:rsidRPr="00F2167D" w:rsidRDefault="001C7A5A" w:rsidP="0044540F">
            <w:pPr>
              <w:pStyle w:val="COMTableheadingrow"/>
              <w:jc w:val="center"/>
              <w:rPr>
                <w:lang w:val="en-AU"/>
              </w:rPr>
            </w:pPr>
            <w:r w:rsidRPr="00F2167D">
              <w:rPr>
                <w:lang w:val="en-AU"/>
              </w:rPr>
              <w:t xml:space="preserve">Year 2 </w:t>
            </w:r>
          </w:p>
        </w:tc>
        <w:tc>
          <w:tcPr>
            <w:tcW w:w="1134" w:type="dxa"/>
            <w:shd w:val="clear" w:color="auto" w:fill="auto"/>
            <w:vAlign w:val="center"/>
          </w:tcPr>
          <w:p w14:paraId="21DC6781" w14:textId="1A3B3C39" w:rsidR="001C7A5A" w:rsidRPr="00F2167D" w:rsidRDefault="001C7A5A" w:rsidP="0044540F">
            <w:pPr>
              <w:pStyle w:val="COMTableheadingrow"/>
              <w:jc w:val="center"/>
              <w:rPr>
                <w:lang w:val="en-AU"/>
              </w:rPr>
            </w:pPr>
            <w:r w:rsidRPr="00F2167D">
              <w:rPr>
                <w:lang w:val="en-AU"/>
              </w:rPr>
              <w:t xml:space="preserve">Year 3 </w:t>
            </w:r>
          </w:p>
        </w:tc>
        <w:tc>
          <w:tcPr>
            <w:tcW w:w="1134" w:type="dxa"/>
            <w:shd w:val="clear" w:color="auto" w:fill="auto"/>
            <w:vAlign w:val="center"/>
          </w:tcPr>
          <w:p w14:paraId="6276EF10" w14:textId="2BB22CAD" w:rsidR="001C7A5A" w:rsidRPr="00F2167D" w:rsidRDefault="001C7A5A" w:rsidP="0044540F">
            <w:pPr>
              <w:pStyle w:val="COMTableheadingrow"/>
              <w:jc w:val="center"/>
              <w:rPr>
                <w:lang w:val="en-AU"/>
              </w:rPr>
            </w:pPr>
            <w:r w:rsidRPr="00F2167D">
              <w:rPr>
                <w:lang w:val="en-AU"/>
              </w:rPr>
              <w:t xml:space="preserve">Year 4 </w:t>
            </w:r>
          </w:p>
        </w:tc>
        <w:tc>
          <w:tcPr>
            <w:tcW w:w="1276" w:type="dxa"/>
            <w:shd w:val="clear" w:color="auto" w:fill="auto"/>
            <w:vAlign w:val="center"/>
          </w:tcPr>
          <w:p w14:paraId="24738499" w14:textId="181B05F9" w:rsidR="001C7A5A" w:rsidRPr="00F2167D" w:rsidRDefault="001C7A5A" w:rsidP="0044540F">
            <w:pPr>
              <w:pStyle w:val="COMTableheadingrow"/>
              <w:jc w:val="center"/>
              <w:rPr>
                <w:lang w:val="en-AU"/>
              </w:rPr>
            </w:pPr>
            <w:r w:rsidRPr="00F2167D">
              <w:rPr>
                <w:lang w:val="en-AU"/>
              </w:rPr>
              <w:t xml:space="preserve">Year 5 </w:t>
            </w:r>
          </w:p>
        </w:tc>
        <w:tc>
          <w:tcPr>
            <w:tcW w:w="1276" w:type="dxa"/>
            <w:shd w:val="clear" w:color="auto" w:fill="auto"/>
            <w:vAlign w:val="center"/>
          </w:tcPr>
          <w:p w14:paraId="25AB1F80" w14:textId="6A71D553" w:rsidR="001C7A5A" w:rsidRPr="00F2167D" w:rsidRDefault="001C7A5A" w:rsidP="0044540F">
            <w:pPr>
              <w:pStyle w:val="COMTableheadingrow"/>
              <w:jc w:val="center"/>
              <w:rPr>
                <w:lang w:val="en-AU"/>
              </w:rPr>
            </w:pPr>
            <w:r w:rsidRPr="00F2167D">
              <w:rPr>
                <w:lang w:val="en-AU"/>
              </w:rPr>
              <w:t xml:space="preserve">Year 6 </w:t>
            </w:r>
          </w:p>
        </w:tc>
      </w:tr>
      <w:tr w:rsidR="001C7A5A" w:rsidRPr="00F2167D" w14:paraId="14D54960" w14:textId="77777777" w:rsidTr="004A0601">
        <w:tc>
          <w:tcPr>
            <w:tcW w:w="2410" w:type="dxa"/>
            <w:shd w:val="clear" w:color="auto" w:fill="auto"/>
            <w:vAlign w:val="center"/>
          </w:tcPr>
          <w:p w14:paraId="447CBEB3" w14:textId="77777777" w:rsidR="001C7A5A" w:rsidRPr="00F2167D" w:rsidRDefault="001C7A5A" w:rsidP="00253C04">
            <w:pPr>
              <w:pStyle w:val="COMTabletext"/>
            </w:pPr>
            <w:r w:rsidRPr="00F2167D">
              <w:t>Total GLP-1 RA scripts without insulin</w:t>
            </w:r>
          </w:p>
        </w:tc>
        <w:tc>
          <w:tcPr>
            <w:tcW w:w="1134" w:type="dxa"/>
            <w:shd w:val="clear" w:color="auto" w:fill="auto"/>
            <w:vAlign w:val="center"/>
          </w:tcPr>
          <w:p w14:paraId="00ACA84E" w14:textId="010C14C6" w:rsidR="001C7A5A" w:rsidRPr="004A0601" w:rsidRDefault="001F207D" w:rsidP="00253C04">
            <w:pPr>
              <w:pStyle w:val="COMTabletext"/>
              <w:jc w:val="center"/>
            </w:pPr>
            <w:r w:rsidRPr="001F207D">
              <w:rPr>
                <w:rFonts w:hint="eastAsia"/>
                <w:color w:val="000000"/>
                <w:spacing w:val="30"/>
                <w:w w:val="15"/>
                <w:shd w:val="solid" w:color="000000" w:fill="000000"/>
                <w:fitText w:val="60" w:id="-1168382196"/>
                <w14:textFill>
                  <w14:solidFill>
                    <w14:srgbClr w14:val="000000">
                      <w14:alpha w14:val="100000"/>
                    </w14:srgbClr>
                  </w14:solidFill>
                </w14:textFill>
              </w:rPr>
              <w:t xml:space="preserve">　</w:t>
            </w:r>
            <w:r w:rsidRPr="001F207D">
              <w:rPr>
                <w:rFonts w:hint="eastAsia"/>
                <w:color w:val="000000"/>
                <w:spacing w:val="75"/>
                <w:w w:val="30"/>
                <w:shd w:val="solid" w:color="000000" w:fill="000000"/>
                <w:fitText w:val="135" w:id="-1168382195"/>
                <w14:textFill>
                  <w14:solidFill>
                    <w14:srgbClr w14:val="000000">
                      <w14:alpha w14:val="100000"/>
                    </w14:srgbClr>
                  </w14:solidFill>
                </w14:textFill>
              </w:rPr>
              <w:t xml:space="preserve">　</w:t>
            </w:r>
            <w:r w:rsidRPr="001F207D">
              <w:rPr>
                <w:color w:val="000000"/>
                <w:spacing w:val="199"/>
                <w:shd w:val="solid" w:color="000000" w:fill="000000"/>
                <w:fitText w:val="285" w:id="-1168382194"/>
                <w14:textFill>
                  <w14:solidFill>
                    <w14:srgbClr w14:val="000000">
                      <w14:alpha w14:val="100000"/>
                    </w14:srgbClr>
                  </w14:solidFill>
                </w14:textFill>
              </w:rPr>
              <w:t>|</w:t>
            </w:r>
            <w:r w:rsidRPr="001F207D">
              <w:rPr>
                <w:color w:val="000000"/>
                <w:spacing w:val="1"/>
                <w:shd w:val="solid" w:color="000000" w:fill="000000"/>
                <w:fitText w:val="285" w:id="-1168382194"/>
                <w14:textFill>
                  <w14:solidFill>
                    <w14:srgbClr w14:val="000000">
                      <w14:alpha w14:val="100000"/>
                    </w14:srgbClr>
                  </w14:solidFill>
                </w14:textFill>
              </w:rPr>
              <w:t>|</w:t>
            </w:r>
            <w:r w:rsidR="00085AAE" w:rsidRPr="004A0601">
              <w:rPr>
                <w:rFonts w:cs="Arial Narrow"/>
                <w:sz w:val="18"/>
                <w:szCs w:val="18"/>
                <w:vertAlign w:val="superscript"/>
              </w:rPr>
              <w:t>1</w:t>
            </w:r>
          </w:p>
        </w:tc>
        <w:tc>
          <w:tcPr>
            <w:tcW w:w="1134" w:type="dxa"/>
            <w:shd w:val="clear" w:color="auto" w:fill="auto"/>
            <w:vAlign w:val="center"/>
          </w:tcPr>
          <w:p w14:paraId="7AC1728D" w14:textId="1374B136" w:rsidR="001C7A5A" w:rsidRPr="004A0601" w:rsidRDefault="001F207D" w:rsidP="00253C04">
            <w:pPr>
              <w:pStyle w:val="COMTabletext"/>
              <w:jc w:val="center"/>
            </w:pPr>
            <w:r w:rsidRPr="001F207D">
              <w:rPr>
                <w:rFonts w:hint="eastAsia"/>
                <w:color w:val="000000"/>
                <w:w w:val="15"/>
                <w:shd w:val="solid" w:color="000000" w:fill="000000"/>
                <w:fitText w:val="30" w:id="-1168382193"/>
                <w14:textFill>
                  <w14:solidFill>
                    <w14:srgbClr w14:val="000000">
                      <w14:alpha w14:val="100000"/>
                    </w14:srgbClr>
                  </w14:solidFill>
                </w14:textFill>
              </w:rPr>
              <w:t xml:space="preserve">　</w:t>
            </w:r>
            <w:r w:rsidRPr="001F207D">
              <w:rPr>
                <w:color w:val="000000"/>
                <w:w w:val="15"/>
                <w:shd w:val="solid" w:color="000000" w:fill="000000"/>
                <w:fitText w:val="30" w:id="-1168382193"/>
                <w14:textFill>
                  <w14:solidFill>
                    <w14:srgbClr w14:val="000000">
                      <w14:alpha w14:val="100000"/>
                    </w14:srgbClr>
                  </w14:solidFill>
                </w14:textFill>
              </w:rPr>
              <w:t>|</w:t>
            </w:r>
            <w:r w:rsidRPr="001F207D">
              <w:rPr>
                <w:rFonts w:hint="eastAsia"/>
                <w:color w:val="000000"/>
                <w:spacing w:val="-45"/>
                <w:w w:val="15"/>
                <w:shd w:val="solid" w:color="000000" w:fill="000000"/>
                <w:fitText w:val="30" w:id="-1168382193"/>
                <w14:textFill>
                  <w14:solidFill>
                    <w14:srgbClr w14:val="000000">
                      <w14:alpha w14:val="100000"/>
                    </w14:srgbClr>
                  </w14:solidFill>
                </w14:textFill>
              </w:rPr>
              <w:t xml:space="preserve">　</w:t>
            </w:r>
            <w:r w:rsidR="00085AAE" w:rsidRPr="004A0601">
              <w:rPr>
                <w:rFonts w:cs="Arial Narrow"/>
                <w:sz w:val="18"/>
                <w:szCs w:val="18"/>
                <w:vertAlign w:val="superscript"/>
              </w:rPr>
              <w:t>1</w:t>
            </w:r>
          </w:p>
        </w:tc>
        <w:tc>
          <w:tcPr>
            <w:tcW w:w="1134" w:type="dxa"/>
            <w:shd w:val="clear" w:color="auto" w:fill="auto"/>
            <w:vAlign w:val="center"/>
          </w:tcPr>
          <w:p w14:paraId="6A549098" w14:textId="60EE3F09" w:rsidR="001C7A5A" w:rsidRPr="004A0601" w:rsidRDefault="001F207D" w:rsidP="00253C04">
            <w:pPr>
              <w:pStyle w:val="COMTabletext"/>
              <w:jc w:val="center"/>
            </w:pPr>
            <w:r w:rsidRPr="001F207D">
              <w:rPr>
                <w:rFonts w:hint="eastAsia"/>
                <w:color w:val="000000"/>
                <w:w w:val="15"/>
                <w:shd w:val="solid" w:color="000000" w:fill="000000"/>
                <w:fitText w:val="30" w:id="-1168382192"/>
                <w14:textFill>
                  <w14:solidFill>
                    <w14:srgbClr w14:val="000000">
                      <w14:alpha w14:val="100000"/>
                    </w14:srgbClr>
                  </w14:solidFill>
                </w14:textFill>
              </w:rPr>
              <w:t xml:space="preserve">　</w:t>
            </w:r>
            <w:r w:rsidRPr="001F207D">
              <w:rPr>
                <w:color w:val="000000"/>
                <w:w w:val="15"/>
                <w:shd w:val="solid" w:color="000000" w:fill="000000"/>
                <w:fitText w:val="30" w:id="-1168382192"/>
                <w14:textFill>
                  <w14:solidFill>
                    <w14:srgbClr w14:val="000000">
                      <w14:alpha w14:val="100000"/>
                    </w14:srgbClr>
                  </w14:solidFill>
                </w14:textFill>
              </w:rPr>
              <w:t>|</w:t>
            </w:r>
            <w:r w:rsidRPr="001F207D">
              <w:rPr>
                <w:rFonts w:hint="eastAsia"/>
                <w:color w:val="000000"/>
                <w:spacing w:val="-45"/>
                <w:w w:val="15"/>
                <w:shd w:val="solid" w:color="000000" w:fill="000000"/>
                <w:fitText w:val="30" w:id="-1168382192"/>
                <w14:textFill>
                  <w14:solidFill>
                    <w14:srgbClr w14:val="000000">
                      <w14:alpha w14:val="100000"/>
                    </w14:srgbClr>
                  </w14:solidFill>
                </w14:textFill>
              </w:rPr>
              <w:t xml:space="preserve">　</w:t>
            </w:r>
            <w:r w:rsidR="00085AAE" w:rsidRPr="004A0601">
              <w:rPr>
                <w:rFonts w:cs="Arial Narrow"/>
                <w:sz w:val="18"/>
                <w:szCs w:val="18"/>
                <w:vertAlign w:val="superscript"/>
              </w:rPr>
              <w:t>1</w:t>
            </w:r>
          </w:p>
        </w:tc>
        <w:tc>
          <w:tcPr>
            <w:tcW w:w="1134" w:type="dxa"/>
            <w:shd w:val="clear" w:color="auto" w:fill="auto"/>
            <w:vAlign w:val="center"/>
          </w:tcPr>
          <w:p w14:paraId="493C08E2" w14:textId="6F8A8E04" w:rsidR="001C7A5A" w:rsidRPr="004A0601" w:rsidRDefault="001F207D" w:rsidP="00253C04">
            <w:pPr>
              <w:pStyle w:val="COMTabletext"/>
              <w:jc w:val="center"/>
              <w:rPr>
                <w:highlight w:val="darkGray"/>
              </w:rPr>
            </w:pPr>
            <w:r w:rsidRPr="001F207D">
              <w:rPr>
                <w:rFonts w:hint="eastAsia"/>
                <w:color w:val="000000"/>
                <w:w w:val="15"/>
                <w:shd w:val="solid" w:color="000000" w:fill="000000"/>
                <w:fitText w:val="60" w:id="-1168382208"/>
                <w14:textFill>
                  <w14:solidFill>
                    <w14:srgbClr w14:val="000000">
                      <w14:alpha w14:val="100000"/>
                    </w14:srgbClr>
                  </w14:solidFill>
                </w14:textFill>
              </w:rPr>
              <w:t xml:space="preserve">　</w:t>
            </w:r>
            <w:r w:rsidRPr="001F207D">
              <w:rPr>
                <w:color w:val="000000"/>
                <w:w w:val="15"/>
                <w:shd w:val="solid" w:color="000000" w:fill="000000"/>
                <w:fitText w:val="60" w:id="-1168382208"/>
                <w14:textFill>
                  <w14:solidFill>
                    <w14:srgbClr w14:val="000000">
                      <w14:alpha w14:val="100000"/>
                    </w14:srgbClr>
                  </w14:solidFill>
                </w14:textFill>
              </w:rPr>
              <w:t>|</w:t>
            </w:r>
            <w:r w:rsidRPr="001F207D">
              <w:rPr>
                <w:rFonts w:hint="eastAsia"/>
                <w:color w:val="000000"/>
                <w:spacing w:val="-15"/>
                <w:w w:val="15"/>
                <w:shd w:val="solid" w:color="000000" w:fill="000000"/>
                <w:fitText w:val="60" w:id="-1168382208"/>
                <w14:textFill>
                  <w14:solidFill>
                    <w14:srgbClr w14:val="000000">
                      <w14:alpha w14:val="100000"/>
                    </w14:srgbClr>
                  </w14:solidFill>
                </w14:textFill>
              </w:rPr>
              <w:t xml:space="preserve">　</w:t>
            </w:r>
            <w:r w:rsidR="002D5E67" w:rsidRPr="004A0601">
              <w:rPr>
                <w:rFonts w:cs="Arial Narrow"/>
                <w:sz w:val="18"/>
                <w:szCs w:val="18"/>
                <w:vertAlign w:val="superscript"/>
              </w:rPr>
              <w:t>10</w:t>
            </w:r>
          </w:p>
        </w:tc>
        <w:tc>
          <w:tcPr>
            <w:tcW w:w="1276" w:type="dxa"/>
            <w:shd w:val="clear" w:color="auto" w:fill="auto"/>
            <w:vAlign w:val="center"/>
          </w:tcPr>
          <w:p w14:paraId="1F2DB4FF" w14:textId="05E1C019" w:rsidR="001C7A5A" w:rsidRPr="004A0601" w:rsidRDefault="001F207D" w:rsidP="00253C04">
            <w:pPr>
              <w:pStyle w:val="COMTabletext"/>
              <w:jc w:val="center"/>
              <w:rPr>
                <w:highlight w:val="darkGray"/>
              </w:rPr>
            </w:pPr>
            <w:r w:rsidRPr="001F207D">
              <w:rPr>
                <w:color w:val="000000"/>
                <w:shd w:val="solid" w:color="000000" w:fill="000000"/>
                <w14:textFill>
                  <w14:solidFill>
                    <w14:srgbClr w14:val="000000">
                      <w14:alpha w14:val="100000"/>
                    </w14:srgbClr>
                  </w14:solidFill>
                </w14:textFill>
              </w:rPr>
              <w:t>|</w:t>
            </w:r>
            <w:r w:rsidR="002D5E67" w:rsidRPr="004A0601">
              <w:rPr>
                <w:rFonts w:cs="Arial Narrow"/>
                <w:sz w:val="18"/>
                <w:szCs w:val="18"/>
                <w:vertAlign w:val="superscript"/>
              </w:rPr>
              <w:t>10</w:t>
            </w:r>
          </w:p>
        </w:tc>
        <w:tc>
          <w:tcPr>
            <w:tcW w:w="1276" w:type="dxa"/>
            <w:shd w:val="clear" w:color="auto" w:fill="auto"/>
            <w:vAlign w:val="center"/>
          </w:tcPr>
          <w:p w14:paraId="37856DE2" w14:textId="4DEA9972" w:rsidR="001C7A5A" w:rsidRPr="004A0601" w:rsidRDefault="001F207D" w:rsidP="00253C04">
            <w:pPr>
              <w:pStyle w:val="COMTabletext"/>
              <w:jc w:val="center"/>
              <w:rPr>
                <w:highlight w:val="darkGray"/>
              </w:rPr>
            </w:pPr>
            <w:r w:rsidRPr="001F207D">
              <w:rPr>
                <w:color w:val="000000"/>
                <w:shd w:val="solid" w:color="000000" w:fill="000000"/>
                <w14:textFill>
                  <w14:solidFill>
                    <w14:srgbClr w14:val="000000">
                      <w14:alpha w14:val="100000"/>
                    </w14:srgbClr>
                  </w14:solidFill>
                </w14:textFill>
              </w:rPr>
              <w:t>|</w:t>
            </w:r>
            <w:r w:rsidR="002D5E67" w:rsidRPr="004A0601">
              <w:rPr>
                <w:rFonts w:cs="Arial Narrow"/>
                <w:sz w:val="18"/>
                <w:szCs w:val="18"/>
                <w:vertAlign w:val="superscript"/>
              </w:rPr>
              <w:t>10</w:t>
            </w:r>
          </w:p>
        </w:tc>
      </w:tr>
      <w:tr w:rsidR="001C7A5A" w:rsidRPr="00F2167D" w14:paraId="3AA05A69" w14:textId="77777777" w:rsidTr="004A0601">
        <w:tc>
          <w:tcPr>
            <w:tcW w:w="2410" w:type="dxa"/>
            <w:shd w:val="clear" w:color="auto" w:fill="auto"/>
            <w:vAlign w:val="center"/>
          </w:tcPr>
          <w:p w14:paraId="556CAC49" w14:textId="77777777" w:rsidR="001C7A5A" w:rsidRPr="00F2167D" w:rsidRDefault="001C7A5A" w:rsidP="00253C04">
            <w:pPr>
              <w:pStyle w:val="COMTabletext"/>
            </w:pPr>
            <w:r w:rsidRPr="00F2167D">
              <w:t>Uptake rate</w:t>
            </w:r>
          </w:p>
        </w:tc>
        <w:tc>
          <w:tcPr>
            <w:tcW w:w="1134" w:type="dxa"/>
            <w:shd w:val="clear" w:color="auto" w:fill="auto"/>
            <w:vAlign w:val="center"/>
          </w:tcPr>
          <w:p w14:paraId="451A4024" w14:textId="4A718B49" w:rsidR="001C7A5A" w:rsidRPr="004A0601" w:rsidRDefault="001F207D" w:rsidP="00253C04">
            <w:pPr>
              <w:pStyle w:val="COMTabletext"/>
              <w:jc w:val="center"/>
            </w:pPr>
            <w:r w:rsidRPr="001F207D">
              <w:rPr>
                <w:rFonts w:hint="eastAsia"/>
                <w:color w:val="000000"/>
                <w:w w:val="20"/>
                <w:shd w:val="solid" w:color="000000" w:fill="000000"/>
                <w:fitText w:val="90" w:id="-1168382207"/>
                <w14:textFill>
                  <w14:solidFill>
                    <w14:srgbClr w14:val="000000">
                      <w14:alpha w14:val="100000"/>
                    </w14:srgbClr>
                  </w14:solidFill>
                </w14:textFill>
              </w:rPr>
              <w:t xml:space="preserve">　</w:t>
            </w:r>
            <w:r w:rsidRPr="001F207D">
              <w:rPr>
                <w:color w:val="000000"/>
                <w:w w:val="20"/>
                <w:shd w:val="solid" w:color="000000" w:fill="000000"/>
                <w:fitText w:val="90" w:id="-1168382207"/>
                <w14:textFill>
                  <w14:solidFill>
                    <w14:srgbClr w14:val="000000">
                      <w14:alpha w14:val="100000"/>
                    </w14:srgbClr>
                  </w14:solidFill>
                </w14:textFill>
              </w:rPr>
              <w:t>|</w:t>
            </w:r>
            <w:r w:rsidRPr="001F207D">
              <w:rPr>
                <w:rFonts w:hint="eastAsia"/>
                <w:color w:val="000000"/>
                <w:spacing w:val="3"/>
                <w:w w:val="20"/>
                <w:shd w:val="solid" w:color="000000" w:fill="000000"/>
                <w:fitText w:val="90" w:id="-1168382207"/>
                <w14:textFill>
                  <w14:solidFill>
                    <w14:srgbClr w14:val="000000">
                      <w14:alpha w14:val="100000"/>
                    </w14:srgbClr>
                  </w14:solidFill>
                </w14:textFill>
              </w:rPr>
              <w:t xml:space="preserve">　</w:t>
            </w:r>
            <w:r w:rsidR="001C7A5A" w:rsidRPr="004A0601">
              <w:t>%</w:t>
            </w:r>
          </w:p>
        </w:tc>
        <w:tc>
          <w:tcPr>
            <w:tcW w:w="1134" w:type="dxa"/>
            <w:shd w:val="clear" w:color="auto" w:fill="auto"/>
            <w:vAlign w:val="center"/>
          </w:tcPr>
          <w:p w14:paraId="1B1B73D5" w14:textId="2BF6C69F" w:rsidR="001C7A5A" w:rsidRPr="004A0601" w:rsidRDefault="001F207D" w:rsidP="00253C04">
            <w:pPr>
              <w:pStyle w:val="COMTabletext"/>
              <w:jc w:val="center"/>
            </w:pPr>
            <w:r w:rsidRPr="001F207D">
              <w:rPr>
                <w:rFonts w:hint="eastAsia"/>
                <w:color w:val="000000"/>
                <w:w w:val="20"/>
                <w:shd w:val="solid" w:color="000000" w:fill="000000"/>
                <w:fitText w:val="90" w:id="-1168382206"/>
                <w14:textFill>
                  <w14:solidFill>
                    <w14:srgbClr w14:val="000000">
                      <w14:alpha w14:val="100000"/>
                    </w14:srgbClr>
                  </w14:solidFill>
                </w14:textFill>
              </w:rPr>
              <w:t xml:space="preserve">　</w:t>
            </w:r>
            <w:r w:rsidRPr="001F207D">
              <w:rPr>
                <w:color w:val="000000"/>
                <w:w w:val="20"/>
                <w:shd w:val="solid" w:color="000000" w:fill="000000"/>
                <w:fitText w:val="90" w:id="-1168382206"/>
                <w14:textFill>
                  <w14:solidFill>
                    <w14:srgbClr w14:val="000000">
                      <w14:alpha w14:val="100000"/>
                    </w14:srgbClr>
                  </w14:solidFill>
                </w14:textFill>
              </w:rPr>
              <w:t>|</w:t>
            </w:r>
            <w:r w:rsidRPr="001F207D">
              <w:rPr>
                <w:rFonts w:hint="eastAsia"/>
                <w:color w:val="000000"/>
                <w:spacing w:val="3"/>
                <w:w w:val="20"/>
                <w:shd w:val="solid" w:color="000000" w:fill="000000"/>
                <w:fitText w:val="90" w:id="-1168382206"/>
                <w14:textFill>
                  <w14:solidFill>
                    <w14:srgbClr w14:val="000000">
                      <w14:alpha w14:val="100000"/>
                    </w14:srgbClr>
                  </w14:solidFill>
                </w14:textFill>
              </w:rPr>
              <w:t xml:space="preserve">　</w:t>
            </w:r>
            <w:r w:rsidR="001C7A5A" w:rsidRPr="004A0601">
              <w:t>%</w:t>
            </w:r>
          </w:p>
        </w:tc>
        <w:tc>
          <w:tcPr>
            <w:tcW w:w="1134" w:type="dxa"/>
            <w:shd w:val="clear" w:color="auto" w:fill="auto"/>
            <w:vAlign w:val="center"/>
          </w:tcPr>
          <w:p w14:paraId="07376230" w14:textId="3DBC7D30" w:rsidR="001C7A5A" w:rsidRPr="004A0601" w:rsidRDefault="001F207D" w:rsidP="00253C04">
            <w:pPr>
              <w:pStyle w:val="COMTabletext"/>
              <w:jc w:val="center"/>
            </w:pPr>
            <w:r w:rsidRPr="001F207D">
              <w:rPr>
                <w:rFonts w:hint="eastAsia"/>
                <w:color w:val="000000"/>
                <w:w w:val="20"/>
                <w:shd w:val="solid" w:color="000000" w:fill="000000"/>
                <w:fitText w:val="90" w:id="-1168382205"/>
                <w14:textFill>
                  <w14:solidFill>
                    <w14:srgbClr w14:val="000000">
                      <w14:alpha w14:val="100000"/>
                    </w14:srgbClr>
                  </w14:solidFill>
                </w14:textFill>
              </w:rPr>
              <w:t xml:space="preserve">　</w:t>
            </w:r>
            <w:r w:rsidRPr="001F207D">
              <w:rPr>
                <w:color w:val="000000"/>
                <w:w w:val="20"/>
                <w:shd w:val="solid" w:color="000000" w:fill="000000"/>
                <w:fitText w:val="90" w:id="-1168382205"/>
                <w14:textFill>
                  <w14:solidFill>
                    <w14:srgbClr w14:val="000000">
                      <w14:alpha w14:val="100000"/>
                    </w14:srgbClr>
                  </w14:solidFill>
                </w14:textFill>
              </w:rPr>
              <w:t>|</w:t>
            </w:r>
            <w:r w:rsidRPr="001F207D">
              <w:rPr>
                <w:rFonts w:hint="eastAsia"/>
                <w:color w:val="000000"/>
                <w:spacing w:val="3"/>
                <w:w w:val="20"/>
                <w:shd w:val="solid" w:color="000000" w:fill="000000"/>
                <w:fitText w:val="90" w:id="-1168382205"/>
                <w14:textFill>
                  <w14:solidFill>
                    <w14:srgbClr w14:val="000000">
                      <w14:alpha w14:val="100000"/>
                    </w14:srgbClr>
                  </w14:solidFill>
                </w14:textFill>
              </w:rPr>
              <w:t xml:space="preserve">　</w:t>
            </w:r>
            <w:r w:rsidR="001C7A5A" w:rsidRPr="004A0601">
              <w:t>%</w:t>
            </w:r>
          </w:p>
        </w:tc>
        <w:tc>
          <w:tcPr>
            <w:tcW w:w="1134" w:type="dxa"/>
            <w:shd w:val="clear" w:color="auto" w:fill="auto"/>
            <w:vAlign w:val="center"/>
          </w:tcPr>
          <w:p w14:paraId="72BE7A91" w14:textId="0FEA33EB" w:rsidR="001C7A5A" w:rsidRPr="004A0601" w:rsidRDefault="001F207D" w:rsidP="00253C04">
            <w:pPr>
              <w:pStyle w:val="COMTabletext"/>
              <w:jc w:val="center"/>
            </w:pPr>
            <w:r w:rsidRPr="001F207D">
              <w:rPr>
                <w:rFonts w:hint="eastAsia"/>
                <w:color w:val="000000"/>
                <w:w w:val="20"/>
                <w:shd w:val="solid" w:color="000000" w:fill="000000"/>
                <w:fitText w:val="90" w:id="-1168382204"/>
                <w14:textFill>
                  <w14:solidFill>
                    <w14:srgbClr w14:val="000000">
                      <w14:alpha w14:val="100000"/>
                    </w14:srgbClr>
                  </w14:solidFill>
                </w14:textFill>
              </w:rPr>
              <w:t xml:space="preserve">　</w:t>
            </w:r>
            <w:r w:rsidRPr="001F207D">
              <w:rPr>
                <w:color w:val="000000"/>
                <w:w w:val="20"/>
                <w:shd w:val="solid" w:color="000000" w:fill="000000"/>
                <w:fitText w:val="90" w:id="-1168382204"/>
                <w14:textFill>
                  <w14:solidFill>
                    <w14:srgbClr w14:val="000000">
                      <w14:alpha w14:val="100000"/>
                    </w14:srgbClr>
                  </w14:solidFill>
                </w14:textFill>
              </w:rPr>
              <w:t>|</w:t>
            </w:r>
            <w:r w:rsidRPr="001F207D">
              <w:rPr>
                <w:rFonts w:hint="eastAsia"/>
                <w:color w:val="000000"/>
                <w:spacing w:val="3"/>
                <w:w w:val="20"/>
                <w:shd w:val="solid" w:color="000000" w:fill="000000"/>
                <w:fitText w:val="90" w:id="-1168382204"/>
                <w14:textFill>
                  <w14:solidFill>
                    <w14:srgbClr w14:val="000000">
                      <w14:alpha w14:val="100000"/>
                    </w14:srgbClr>
                  </w14:solidFill>
                </w14:textFill>
              </w:rPr>
              <w:t xml:space="preserve">　</w:t>
            </w:r>
            <w:r w:rsidR="001C7A5A" w:rsidRPr="004A0601">
              <w:t>%</w:t>
            </w:r>
          </w:p>
        </w:tc>
        <w:tc>
          <w:tcPr>
            <w:tcW w:w="1276" w:type="dxa"/>
            <w:shd w:val="clear" w:color="auto" w:fill="auto"/>
            <w:vAlign w:val="center"/>
          </w:tcPr>
          <w:p w14:paraId="1070F02F" w14:textId="1BFB53F7" w:rsidR="001C7A5A" w:rsidRPr="004A0601" w:rsidRDefault="001F207D" w:rsidP="00253C04">
            <w:pPr>
              <w:pStyle w:val="COMTabletext"/>
              <w:jc w:val="center"/>
            </w:pPr>
            <w:r w:rsidRPr="001F207D">
              <w:rPr>
                <w:color w:val="000000"/>
                <w:shd w:val="solid" w:color="000000" w:fill="000000"/>
                <w14:textFill>
                  <w14:solidFill>
                    <w14:srgbClr w14:val="000000">
                      <w14:alpha w14:val="100000"/>
                    </w14:srgbClr>
                  </w14:solidFill>
                </w14:textFill>
              </w:rPr>
              <w:t>|</w:t>
            </w:r>
            <w:r w:rsidR="001C7A5A" w:rsidRPr="004A0601">
              <w:t>%</w:t>
            </w:r>
          </w:p>
        </w:tc>
        <w:tc>
          <w:tcPr>
            <w:tcW w:w="1276" w:type="dxa"/>
            <w:shd w:val="clear" w:color="auto" w:fill="auto"/>
            <w:vAlign w:val="center"/>
          </w:tcPr>
          <w:p w14:paraId="57BAF6F1" w14:textId="5F587FF6" w:rsidR="001C7A5A" w:rsidRPr="004A0601" w:rsidRDefault="001F207D" w:rsidP="00253C04">
            <w:pPr>
              <w:pStyle w:val="COMTabletext"/>
              <w:jc w:val="center"/>
            </w:pPr>
            <w:r w:rsidRPr="001F207D">
              <w:rPr>
                <w:color w:val="000000"/>
                <w:shd w:val="solid" w:color="000000" w:fill="000000"/>
                <w14:textFill>
                  <w14:solidFill>
                    <w14:srgbClr w14:val="000000">
                      <w14:alpha w14:val="100000"/>
                    </w14:srgbClr>
                  </w14:solidFill>
                </w14:textFill>
              </w:rPr>
              <w:t>|</w:t>
            </w:r>
            <w:r w:rsidR="001C7A5A" w:rsidRPr="004A0601">
              <w:t>%</w:t>
            </w:r>
          </w:p>
        </w:tc>
      </w:tr>
      <w:tr w:rsidR="001C7A5A" w:rsidRPr="00F2167D" w14:paraId="2F4766A9" w14:textId="77777777" w:rsidTr="004A0601">
        <w:tc>
          <w:tcPr>
            <w:tcW w:w="2410" w:type="dxa"/>
            <w:shd w:val="clear" w:color="auto" w:fill="auto"/>
            <w:vAlign w:val="center"/>
          </w:tcPr>
          <w:p w14:paraId="34B94656" w14:textId="77777777" w:rsidR="001C7A5A" w:rsidRPr="00F2167D" w:rsidRDefault="001C7A5A" w:rsidP="00253C04">
            <w:pPr>
              <w:pStyle w:val="COMTabletext"/>
            </w:pPr>
            <w:r w:rsidRPr="00F2167D">
              <w:t>Total tirzepatide scripts</w:t>
            </w:r>
          </w:p>
        </w:tc>
        <w:tc>
          <w:tcPr>
            <w:tcW w:w="1134" w:type="dxa"/>
            <w:shd w:val="clear" w:color="auto" w:fill="auto"/>
            <w:vAlign w:val="center"/>
          </w:tcPr>
          <w:p w14:paraId="42CC2310" w14:textId="22F27F60" w:rsidR="001C7A5A" w:rsidRPr="004A0601" w:rsidRDefault="001F207D" w:rsidP="00253C04">
            <w:pPr>
              <w:pStyle w:val="COMTabletext"/>
              <w:jc w:val="center"/>
              <w:rPr>
                <w:highlight w:val="darkGray"/>
              </w:rPr>
            </w:pPr>
            <w:r w:rsidRPr="001F207D">
              <w:rPr>
                <w:rFonts w:hint="eastAsia"/>
                <w:color w:val="000000"/>
                <w:w w:val="15"/>
                <w:shd w:val="solid" w:color="000000" w:fill="000000"/>
                <w:fitText w:val="30" w:id="-1168382203"/>
                <w14:textFill>
                  <w14:solidFill>
                    <w14:srgbClr w14:val="000000">
                      <w14:alpha w14:val="100000"/>
                    </w14:srgbClr>
                  </w14:solidFill>
                </w14:textFill>
              </w:rPr>
              <w:t xml:space="preserve">　</w:t>
            </w:r>
            <w:r w:rsidRPr="001F207D">
              <w:rPr>
                <w:color w:val="000000"/>
                <w:w w:val="15"/>
                <w:shd w:val="solid" w:color="000000" w:fill="000000"/>
                <w:fitText w:val="30" w:id="-1168382203"/>
                <w14:textFill>
                  <w14:solidFill>
                    <w14:srgbClr w14:val="000000">
                      <w14:alpha w14:val="100000"/>
                    </w14:srgbClr>
                  </w14:solidFill>
                </w14:textFill>
              </w:rPr>
              <w:t>|</w:t>
            </w:r>
            <w:r w:rsidRPr="001F207D">
              <w:rPr>
                <w:rFonts w:hint="eastAsia"/>
                <w:color w:val="000000"/>
                <w:spacing w:val="-45"/>
                <w:w w:val="15"/>
                <w:shd w:val="solid" w:color="000000" w:fill="000000"/>
                <w:fitText w:val="30" w:id="-1168382203"/>
                <w14:textFill>
                  <w14:solidFill>
                    <w14:srgbClr w14:val="000000">
                      <w14:alpha w14:val="100000"/>
                    </w14:srgbClr>
                  </w14:solidFill>
                </w14:textFill>
              </w:rPr>
              <w:t xml:space="preserve">　</w:t>
            </w:r>
            <w:r w:rsidR="00085AAE" w:rsidRPr="004A0601">
              <w:rPr>
                <w:rFonts w:cs="Arial Narrow"/>
                <w:sz w:val="18"/>
                <w:szCs w:val="18"/>
                <w:vertAlign w:val="superscript"/>
              </w:rPr>
              <w:t>2</w:t>
            </w:r>
          </w:p>
        </w:tc>
        <w:tc>
          <w:tcPr>
            <w:tcW w:w="1134" w:type="dxa"/>
            <w:shd w:val="clear" w:color="auto" w:fill="auto"/>
            <w:vAlign w:val="center"/>
          </w:tcPr>
          <w:p w14:paraId="2C6A0424" w14:textId="4B6A472C" w:rsidR="001C7A5A" w:rsidRPr="004A0601" w:rsidRDefault="001F207D" w:rsidP="00253C04">
            <w:pPr>
              <w:pStyle w:val="COMTabletext"/>
              <w:jc w:val="center"/>
              <w:rPr>
                <w:highlight w:val="darkGray"/>
              </w:rPr>
            </w:pPr>
            <w:r w:rsidRPr="001F207D">
              <w:rPr>
                <w:rFonts w:hint="eastAsia"/>
                <w:color w:val="000000"/>
                <w:w w:val="15"/>
                <w:shd w:val="solid" w:color="000000" w:fill="000000"/>
                <w:fitText w:val="30" w:id="-1168382202"/>
                <w14:textFill>
                  <w14:solidFill>
                    <w14:srgbClr w14:val="000000">
                      <w14:alpha w14:val="100000"/>
                    </w14:srgbClr>
                  </w14:solidFill>
                </w14:textFill>
              </w:rPr>
              <w:t xml:space="preserve">　</w:t>
            </w:r>
            <w:r w:rsidRPr="001F207D">
              <w:rPr>
                <w:color w:val="000000"/>
                <w:w w:val="15"/>
                <w:shd w:val="solid" w:color="000000" w:fill="000000"/>
                <w:fitText w:val="30" w:id="-1168382202"/>
                <w14:textFill>
                  <w14:solidFill>
                    <w14:srgbClr w14:val="000000">
                      <w14:alpha w14:val="100000"/>
                    </w14:srgbClr>
                  </w14:solidFill>
                </w14:textFill>
              </w:rPr>
              <w:t>|</w:t>
            </w:r>
            <w:r w:rsidRPr="001F207D">
              <w:rPr>
                <w:rFonts w:hint="eastAsia"/>
                <w:color w:val="000000"/>
                <w:spacing w:val="-45"/>
                <w:w w:val="15"/>
                <w:shd w:val="solid" w:color="000000" w:fill="000000"/>
                <w:fitText w:val="30" w:id="-1168382202"/>
                <w14:textFill>
                  <w14:solidFill>
                    <w14:srgbClr w14:val="000000">
                      <w14:alpha w14:val="100000"/>
                    </w14:srgbClr>
                  </w14:solidFill>
                </w14:textFill>
              </w:rPr>
              <w:t xml:space="preserve">　</w:t>
            </w:r>
            <w:r w:rsidR="00085AAE" w:rsidRPr="004A0601">
              <w:rPr>
                <w:rFonts w:cs="Arial Narrow"/>
                <w:sz w:val="18"/>
                <w:szCs w:val="18"/>
                <w:vertAlign w:val="superscript"/>
              </w:rPr>
              <w:t>6</w:t>
            </w:r>
          </w:p>
        </w:tc>
        <w:tc>
          <w:tcPr>
            <w:tcW w:w="1134" w:type="dxa"/>
            <w:shd w:val="clear" w:color="auto" w:fill="auto"/>
            <w:vAlign w:val="center"/>
          </w:tcPr>
          <w:p w14:paraId="7A2D9F0F" w14:textId="2C92E679" w:rsidR="001C7A5A" w:rsidRPr="004A0601" w:rsidRDefault="001F207D" w:rsidP="00253C04">
            <w:pPr>
              <w:pStyle w:val="COMTabletext"/>
              <w:jc w:val="center"/>
              <w:rPr>
                <w:highlight w:val="darkGray"/>
              </w:rPr>
            </w:pPr>
            <w:r w:rsidRPr="001F207D">
              <w:rPr>
                <w:rFonts w:hint="eastAsia"/>
                <w:color w:val="000000"/>
                <w:w w:val="15"/>
                <w:shd w:val="solid" w:color="000000" w:fill="000000"/>
                <w:fitText w:val="30" w:id="-1168382201"/>
                <w14:textFill>
                  <w14:solidFill>
                    <w14:srgbClr w14:val="000000">
                      <w14:alpha w14:val="100000"/>
                    </w14:srgbClr>
                  </w14:solidFill>
                </w14:textFill>
              </w:rPr>
              <w:t xml:space="preserve">　</w:t>
            </w:r>
            <w:r w:rsidRPr="001F207D">
              <w:rPr>
                <w:color w:val="000000"/>
                <w:w w:val="15"/>
                <w:shd w:val="solid" w:color="000000" w:fill="000000"/>
                <w:fitText w:val="30" w:id="-1168382201"/>
                <w14:textFill>
                  <w14:solidFill>
                    <w14:srgbClr w14:val="000000">
                      <w14:alpha w14:val="100000"/>
                    </w14:srgbClr>
                  </w14:solidFill>
                </w14:textFill>
              </w:rPr>
              <w:t>|</w:t>
            </w:r>
            <w:r w:rsidRPr="001F207D">
              <w:rPr>
                <w:rFonts w:hint="eastAsia"/>
                <w:color w:val="000000"/>
                <w:spacing w:val="-45"/>
                <w:w w:val="15"/>
                <w:shd w:val="solid" w:color="000000" w:fill="000000"/>
                <w:fitText w:val="30" w:id="-1168382201"/>
                <w14:textFill>
                  <w14:solidFill>
                    <w14:srgbClr w14:val="000000">
                      <w14:alpha w14:val="100000"/>
                    </w14:srgbClr>
                  </w14:solidFill>
                </w14:textFill>
              </w:rPr>
              <w:t xml:space="preserve">　</w:t>
            </w:r>
            <w:r w:rsidR="002D5E67" w:rsidRPr="004A0601">
              <w:rPr>
                <w:rFonts w:cs="Arial Narrow"/>
                <w:sz w:val="18"/>
                <w:szCs w:val="18"/>
                <w:vertAlign w:val="superscript"/>
              </w:rPr>
              <w:t>6</w:t>
            </w:r>
          </w:p>
        </w:tc>
        <w:tc>
          <w:tcPr>
            <w:tcW w:w="1134" w:type="dxa"/>
            <w:shd w:val="clear" w:color="auto" w:fill="auto"/>
            <w:vAlign w:val="center"/>
          </w:tcPr>
          <w:p w14:paraId="433BF550" w14:textId="363E1724" w:rsidR="001C7A5A" w:rsidRPr="004A0601" w:rsidRDefault="001F207D" w:rsidP="00253C04">
            <w:pPr>
              <w:pStyle w:val="COMTabletext"/>
              <w:jc w:val="center"/>
              <w:rPr>
                <w:highlight w:val="darkGray"/>
              </w:rPr>
            </w:pPr>
            <w:r w:rsidRPr="001F207D">
              <w:rPr>
                <w:rFonts w:hint="eastAsia"/>
                <w:color w:val="000000"/>
                <w:w w:val="15"/>
                <w:shd w:val="solid" w:color="000000" w:fill="000000"/>
                <w:fitText w:val="30" w:id="-1168382200"/>
                <w14:textFill>
                  <w14:solidFill>
                    <w14:srgbClr w14:val="000000">
                      <w14:alpha w14:val="100000"/>
                    </w14:srgbClr>
                  </w14:solidFill>
                </w14:textFill>
              </w:rPr>
              <w:t xml:space="preserve">　</w:t>
            </w:r>
            <w:r w:rsidRPr="001F207D">
              <w:rPr>
                <w:color w:val="000000"/>
                <w:w w:val="15"/>
                <w:shd w:val="solid" w:color="000000" w:fill="000000"/>
                <w:fitText w:val="30" w:id="-1168382200"/>
                <w14:textFill>
                  <w14:solidFill>
                    <w14:srgbClr w14:val="000000">
                      <w14:alpha w14:val="100000"/>
                    </w14:srgbClr>
                  </w14:solidFill>
                </w14:textFill>
              </w:rPr>
              <w:t>|</w:t>
            </w:r>
            <w:r w:rsidRPr="001F207D">
              <w:rPr>
                <w:rFonts w:hint="eastAsia"/>
                <w:color w:val="000000"/>
                <w:spacing w:val="-45"/>
                <w:w w:val="15"/>
                <w:shd w:val="solid" w:color="000000" w:fill="000000"/>
                <w:fitText w:val="30" w:id="-1168382200"/>
                <w14:textFill>
                  <w14:solidFill>
                    <w14:srgbClr w14:val="000000">
                      <w14:alpha w14:val="100000"/>
                    </w14:srgbClr>
                  </w14:solidFill>
                </w14:textFill>
              </w:rPr>
              <w:t xml:space="preserve">　</w:t>
            </w:r>
            <w:r w:rsidR="002D5E67" w:rsidRPr="004A0601">
              <w:rPr>
                <w:rFonts w:cs="Arial Narrow"/>
                <w:sz w:val="18"/>
                <w:szCs w:val="18"/>
                <w:vertAlign w:val="superscript"/>
              </w:rPr>
              <w:t>1</w:t>
            </w:r>
          </w:p>
        </w:tc>
        <w:tc>
          <w:tcPr>
            <w:tcW w:w="1276" w:type="dxa"/>
            <w:shd w:val="clear" w:color="auto" w:fill="auto"/>
            <w:vAlign w:val="center"/>
          </w:tcPr>
          <w:p w14:paraId="6E3EE96F" w14:textId="6FA31C6E" w:rsidR="001C7A5A" w:rsidRPr="004A0601" w:rsidRDefault="001F207D" w:rsidP="00253C04">
            <w:pPr>
              <w:pStyle w:val="COMTabletext"/>
              <w:jc w:val="center"/>
              <w:rPr>
                <w:highlight w:val="darkGray"/>
              </w:rPr>
            </w:pPr>
            <w:r w:rsidRPr="001F207D">
              <w:rPr>
                <w:color w:val="000000"/>
                <w:shd w:val="solid" w:color="000000" w:fill="000000"/>
                <w14:textFill>
                  <w14:solidFill>
                    <w14:srgbClr w14:val="000000">
                      <w14:alpha w14:val="100000"/>
                    </w14:srgbClr>
                  </w14:solidFill>
                </w14:textFill>
              </w:rPr>
              <w:t>|</w:t>
            </w:r>
            <w:r w:rsidR="002D5E67" w:rsidRPr="004A0601">
              <w:rPr>
                <w:rFonts w:cs="Arial Narrow"/>
                <w:sz w:val="18"/>
                <w:szCs w:val="18"/>
                <w:vertAlign w:val="superscript"/>
              </w:rPr>
              <w:t>1</w:t>
            </w:r>
          </w:p>
        </w:tc>
        <w:tc>
          <w:tcPr>
            <w:tcW w:w="1276" w:type="dxa"/>
            <w:shd w:val="clear" w:color="auto" w:fill="auto"/>
            <w:vAlign w:val="center"/>
          </w:tcPr>
          <w:p w14:paraId="7E8E2C53" w14:textId="50EE81FE" w:rsidR="001C7A5A" w:rsidRPr="004A0601" w:rsidRDefault="001F207D" w:rsidP="00253C04">
            <w:pPr>
              <w:pStyle w:val="COMTabletext"/>
              <w:jc w:val="center"/>
              <w:rPr>
                <w:highlight w:val="darkGray"/>
              </w:rPr>
            </w:pPr>
            <w:r w:rsidRPr="001F207D">
              <w:rPr>
                <w:color w:val="000000"/>
                <w:shd w:val="solid" w:color="000000" w:fill="000000"/>
                <w14:textFill>
                  <w14:solidFill>
                    <w14:srgbClr w14:val="000000">
                      <w14:alpha w14:val="100000"/>
                    </w14:srgbClr>
                  </w14:solidFill>
                </w14:textFill>
              </w:rPr>
              <w:t>|</w:t>
            </w:r>
            <w:r w:rsidR="002D5E67" w:rsidRPr="004A0601">
              <w:rPr>
                <w:rFonts w:cs="Arial Narrow"/>
                <w:sz w:val="18"/>
                <w:szCs w:val="18"/>
                <w:vertAlign w:val="superscript"/>
              </w:rPr>
              <w:t>1</w:t>
            </w:r>
          </w:p>
        </w:tc>
      </w:tr>
      <w:tr w:rsidR="001C7A5A" w:rsidRPr="00F2167D" w14:paraId="220443D5" w14:textId="77777777" w:rsidTr="004A0601">
        <w:tc>
          <w:tcPr>
            <w:tcW w:w="2410" w:type="dxa"/>
            <w:shd w:val="clear" w:color="auto" w:fill="auto"/>
            <w:vAlign w:val="center"/>
          </w:tcPr>
          <w:p w14:paraId="485B174A" w14:textId="49676BC1" w:rsidR="001C7A5A" w:rsidRPr="00F2167D" w:rsidRDefault="001C7A5A" w:rsidP="00253C04">
            <w:pPr>
              <w:pStyle w:val="COMTabletext"/>
              <w:rPr>
                <w:b/>
              </w:rPr>
            </w:pPr>
            <w:r w:rsidRPr="00F2167D">
              <w:t xml:space="preserve">Cost to PBS/RPBS less </w:t>
            </w:r>
            <w:r w:rsidR="00D25173" w:rsidRPr="00F2167D">
              <w:t>co-payment</w:t>
            </w:r>
            <w:r w:rsidR="00085AAE" w:rsidRPr="00F2167D">
              <w:t xml:space="preserve"> ($)</w:t>
            </w:r>
          </w:p>
        </w:tc>
        <w:tc>
          <w:tcPr>
            <w:tcW w:w="1134" w:type="dxa"/>
            <w:shd w:val="clear" w:color="auto" w:fill="auto"/>
            <w:vAlign w:val="center"/>
          </w:tcPr>
          <w:p w14:paraId="69994A25" w14:textId="5640D4E6" w:rsidR="001C7A5A" w:rsidRPr="004A0601" w:rsidRDefault="001F207D" w:rsidP="00253C04">
            <w:pPr>
              <w:pStyle w:val="COMTabletext"/>
              <w:jc w:val="center"/>
              <w:rPr>
                <w:bCs w:val="0"/>
                <w:highlight w:val="darkGray"/>
              </w:rPr>
            </w:pPr>
            <w:r w:rsidRPr="001F207D">
              <w:rPr>
                <w:rFonts w:hint="eastAsia"/>
                <w:bCs w:val="0"/>
                <w:color w:val="000000"/>
                <w:spacing w:val="30"/>
                <w:w w:val="15"/>
                <w:shd w:val="solid" w:color="000000" w:fill="000000"/>
                <w:fitText w:val="60" w:id="-1168382199"/>
                <w14:textFill>
                  <w14:solidFill>
                    <w14:srgbClr w14:val="000000">
                      <w14:alpha w14:val="100000"/>
                    </w14:srgbClr>
                  </w14:solidFill>
                </w14:textFill>
              </w:rPr>
              <w:t xml:space="preserve">　</w:t>
            </w:r>
            <w:r w:rsidRPr="001F207D">
              <w:rPr>
                <w:rFonts w:hint="eastAsia"/>
                <w:bCs w:val="0"/>
                <w:color w:val="000000"/>
                <w:spacing w:val="75"/>
                <w:w w:val="30"/>
                <w:shd w:val="solid" w:color="000000" w:fill="000000"/>
                <w:fitText w:val="135" w:id="-1168382198"/>
                <w14:textFill>
                  <w14:solidFill>
                    <w14:srgbClr w14:val="000000">
                      <w14:alpha w14:val="100000"/>
                    </w14:srgbClr>
                  </w14:solidFill>
                </w14:textFill>
              </w:rPr>
              <w:t xml:space="preserve">　</w:t>
            </w:r>
            <w:r w:rsidRPr="001F207D">
              <w:rPr>
                <w:bCs w:val="0"/>
                <w:color w:val="000000"/>
                <w:spacing w:val="199"/>
                <w:shd w:val="solid" w:color="000000" w:fill="000000"/>
                <w:fitText w:val="285" w:id="-1168382197"/>
                <w14:textFill>
                  <w14:solidFill>
                    <w14:srgbClr w14:val="000000">
                      <w14:alpha w14:val="100000"/>
                    </w14:srgbClr>
                  </w14:solidFill>
                </w14:textFill>
              </w:rPr>
              <w:t>|</w:t>
            </w:r>
            <w:r w:rsidRPr="001F207D">
              <w:rPr>
                <w:bCs w:val="0"/>
                <w:color w:val="000000"/>
                <w:spacing w:val="1"/>
                <w:shd w:val="solid" w:color="000000" w:fill="000000"/>
                <w:fitText w:val="285" w:id="-1168382197"/>
                <w14:textFill>
                  <w14:solidFill>
                    <w14:srgbClr w14:val="000000">
                      <w14:alpha w14:val="100000"/>
                    </w14:srgbClr>
                  </w14:solidFill>
                </w14:textFill>
              </w:rPr>
              <w:t>|</w:t>
            </w:r>
            <w:r w:rsidR="00085AAE" w:rsidRPr="004A0601">
              <w:rPr>
                <w:rFonts w:cs="Arial Narrow"/>
                <w:sz w:val="18"/>
                <w:szCs w:val="18"/>
                <w:vertAlign w:val="superscript"/>
              </w:rPr>
              <w:t>3</w:t>
            </w:r>
          </w:p>
        </w:tc>
        <w:tc>
          <w:tcPr>
            <w:tcW w:w="1134" w:type="dxa"/>
            <w:shd w:val="clear" w:color="auto" w:fill="auto"/>
            <w:vAlign w:val="center"/>
          </w:tcPr>
          <w:p w14:paraId="38BE6C98" w14:textId="2A9D238A" w:rsidR="001C7A5A" w:rsidRPr="004A0601" w:rsidRDefault="001F207D" w:rsidP="00253C04">
            <w:pPr>
              <w:pStyle w:val="COMTabletext"/>
              <w:jc w:val="center"/>
              <w:rPr>
                <w:bCs w:val="0"/>
                <w:highlight w:val="darkGray"/>
              </w:rPr>
            </w:pPr>
            <w:r w:rsidRPr="001F207D">
              <w:rPr>
                <w:rFonts w:hint="eastAsia"/>
                <w:bCs w:val="0"/>
                <w:color w:val="000000"/>
                <w:w w:val="15"/>
                <w:shd w:val="solid" w:color="000000" w:fill="000000"/>
                <w:fitText w:val="30" w:id="-1168382196"/>
                <w14:textFill>
                  <w14:solidFill>
                    <w14:srgbClr w14:val="000000">
                      <w14:alpha w14:val="100000"/>
                    </w14:srgbClr>
                  </w14:solidFill>
                </w14:textFill>
              </w:rPr>
              <w:t xml:space="preserve">　</w:t>
            </w:r>
            <w:r w:rsidRPr="001F207D">
              <w:rPr>
                <w:bCs w:val="0"/>
                <w:color w:val="000000"/>
                <w:w w:val="15"/>
                <w:shd w:val="solid" w:color="000000" w:fill="000000"/>
                <w:fitText w:val="30" w:id="-1168382196"/>
                <w14:textFill>
                  <w14:solidFill>
                    <w14:srgbClr w14:val="000000">
                      <w14:alpha w14:val="100000"/>
                    </w14:srgbClr>
                  </w14:solidFill>
                </w14:textFill>
              </w:rPr>
              <w:t>|</w:t>
            </w:r>
            <w:r w:rsidRPr="001F207D">
              <w:rPr>
                <w:rFonts w:hint="eastAsia"/>
                <w:bCs w:val="0"/>
                <w:color w:val="000000"/>
                <w:spacing w:val="-45"/>
                <w:w w:val="15"/>
                <w:shd w:val="solid" w:color="000000" w:fill="000000"/>
                <w:fitText w:val="30" w:id="-1168382196"/>
                <w14:textFill>
                  <w14:solidFill>
                    <w14:srgbClr w14:val="000000">
                      <w14:alpha w14:val="100000"/>
                    </w14:srgbClr>
                  </w14:solidFill>
                </w14:textFill>
              </w:rPr>
              <w:t xml:space="preserve">　</w:t>
            </w:r>
            <w:r w:rsidR="00085AAE" w:rsidRPr="004A0601">
              <w:rPr>
                <w:rFonts w:cs="Arial Narrow"/>
                <w:sz w:val="18"/>
                <w:szCs w:val="18"/>
                <w:vertAlign w:val="superscript"/>
              </w:rPr>
              <w:t>7</w:t>
            </w:r>
          </w:p>
        </w:tc>
        <w:tc>
          <w:tcPr>
            <w:tcW w:w="1134" w:type="dxa"/>
            <w:shd w:val="clear" w:color="auto" w:fill="auto"/>
            <w:vAlign w:val="center"/>
          </w:tcPr>
          <w:p w14:paraId="7C58E66C" w14:textId="477266EB" w:rsidR="001C7A5A" w:rsidRPr="004A0601" w:rsidRDefault="001F207D" w:rsidP="00253C04">
            <w:pPr>
              <w:pStyle w:val="COMTabletext"/>
              <w:jc w:val="center"/>
              <w:rPr>
                <w:bCs w:val="0"/>
                <w:highlight w:val="darkGray"/>
              </w:rPr>
            </w:pPr>
            <w:r w:rsidRPr="001F207D">
              <w:rPr>
                <w:rFonts w:hint="eastAsia"/>
                <w:bCs w:val="0"/>
                <w:color w:val="000000"/>
                <w:w w:val="15"/>
                <w:shd w:val="solid" w:color="000000" w:fill="000000"/>
                <w:fitText w:val="30" w:id="-1168382195"/>
                <w14:textFill>
                  <w14:solidFill>
                    <w14:srgbClr w14:val="000000">
                      <w14:alpha w14:val="100000"/>
                    </w14:srgbClr>
                  </w14:solidFill>
                </w14:textFill>
              </w:rPr>
              <w:t xml:space="preserve">　</w:t>
            </w:r>
            <w:r w:rsidRPr="001F207D">
              <w:rPr>
                <w:bCs w:val="0"/>
                <w:color w:val="000000"/>
                <w:w w:val="15"/>
                <w:shd w:val="solid" w:color="000000" w:fill="000000"/>
                <w:fitText w:val="30" w:id="-1168382195"/>
                <w14:textFill>
                  <w14:solidFill>
                    <w14:srgbClr w14:val="000000">
                      <w14:alpha w14:val="100000"/>
                    </w14:srgbClr>
                  </w14:solidFill>
                </w14:textFill>
              </w:rPr>
              <w:t>|</w:t>
            </w:r>
            <w:r w:rsidRPr="001F207D">
              <w:rPr>
                <w:rFonts w:hint="eastAsia"/>
                <w:bCs w:val="0"/>
                <w:color w:val="000000"/>
                <w:spacing w:val="-45"/>
                <w:w w:val="15"/>
                <w:shd w:val="solid" w:color="000000" w:fill="000000"/>
                <w:fitText w:val="30" w:id="-1168382195"/>
                <w14:textFill>
                  <w14:solidFill>
                    <w14:srgbClr w14:val="000000">
                      <w14:alpha w14:val="100000"/>
                    </w14:srgbClr>
                  </w14:solidFill>
                </w14:textFill>
              </w:rPr>
              <w:t xml:space="preserve">　</w:t>
            </w:r>
            <w:r w:rsidR="002D5E67" w:rsidRPr="004A0601">
              <w:rPr>
                <w:rFonts w:cs="Arial Narrow"/>
                <w:sz w:val="18"/>
                <w:szCs w:val="18"/>
                <w:vertAlign w:val="superscript"/>
              </w:rPr>
              <w:t>8</w:t>
            </w:r>
          </w:p>
        </w:tc>
        <w:tc>
          <w:tcPr>
            <w:tcW w:w="1134" w:type="dxa"/>
            <w:shd w:val="clear" w:color="auto" w:fill="auto"/>
            <w:vAlign w:val="center"/>
          </w:tcPr>
          <w:p w14:paraId="798CA9F4" w14:textId="00DAA3C3" w:rsidR="001C7A5A" w:rsidRPr="004A0601" w:rsidRDefault="001F207D" w:rsidP="00253C04">
            <w:pPr>
              <w:pStyle w:val="COMTabletext"/>
              <w:jc w:val="center"/>
              <w:rPr>
                <w:bCs w:val="0"/>
                <w:highlight w:val="darkGray"/>
              </w:rPr>
            </w:pPr>
            <w:r w:rsidRPr="001F207D">
              <w:rPr>
                <w:rFonts w:hint="eastAsia"/>
                <w:bCs w:val="0"/>
                <w:color w:val="000000"/>
                <w:w w:val="15"/>
                <w:shd w:val="solid" w:color="000000" w:fill="000000"/>
                <w:fitText w:val="30" w:id="-1168382194"/>
                <w14:textFill>
                  <w14:solidFill>
                    <w14:srgbClr w14:val="000000">
                      <w14:alpha w14:val="100000"/>
                    </w14:srgbClr>
                  </w14:solidFill>
                </w14:textFill>
              </w:rPr>
              <w:t xml:space="preserve">　</w:t>
            </w:r>
            <w:r w:rsidRPr="001F207D">
              <w:rPr>
                <w:bCs w:val="0"/>
                <w:color w:val="000000"/>
                <w:w w:val="15"/>
                <w:shd w:val="solid" w:color="000000" w:fill="000000"/>
                <w:fitText w:val="30" w:id="-1168382194"/>
                <w14:textFill>
                  <w14:solidFill>
                    <w14:srgbClr w14:val="000000">
                      <w14:alpha w14:val="100000"/>
                    </w14:srgbClr>
                  </w14:solidFill>
                </w14:textFill>
              </w:rPr>
              <w:t>|</w:t>
            </w:r>
            <w:r w:rsidRPr="001F207D">
              <w:rPr>
                <w:rFonts w:hint="eastAsia"/>
                <w:bCs w:val="0"/>
                <w:color w:val="000000"/>
                <w:spacing w:val="-45"/>
                <w:w w:val="15"/>
                <w:shd w:val="solid" w:color="000000" w:fill="000000"/>
                <w:fitText w:val="30" w:id="-1168382194"/>
                <w14:textFill>
                  <w14:solidFill>
                    <w14:srgbClr w14:val="000000">
                      <w14:alpha w14:val="100000"/>
                    </w14:srgbClr>
                  </w14:solidFill>
                </w14:textFill>
              </w:rPr>
              <w:t xml:space="preserve">　</w:t>
            </w:r>
            <w:r w:rsidR="002D5E67" w:rsidRPr="004A0601">
              <w:rPr>
                <w:rFonts w:cs="Arial Narrow"/>
                <w:sz w:val="18"/>
                <w:szCs w:val="18"/>
                <w:vertAlign w:val="superscript"/>
              </w:rPr>
              <w:t>8</w:t>
            </w:r>
          </w:p>
        </w:tc>
        <w:tc>
          <w:tcPr>
            <w:tcW w:w="1276" w:type="dxa"/>
            <w:shd w:val="clear" w:color="auto" w:fill="auto"/>
            <w:vAlign w:val="center"/>
          </w:tcPr>
          <w:p w14:paraId="2460E510" w14:textId="4C764BAE" w:rsidR="001C7A5A" w:rsidRPr="004A0601" w:rsidRDefault="001F207D" w:rsidP="00253C04">
            <w:pPr>
              <w:pStyle w:val="COMTabletext"/>
              <w:jc w:val="center"/>
              <w:rPr>
                <w:bCs w:val="0"/>
                <w:highlight w:val="darkGray"/>
              </w:rPr>
            </w:pPr>
            <w:r w:rsidRPr="001F207D">
              <w:rPr>
                <w:bCs w:val="0"/>
                <w:color w:val="000000"/>
                <w:shd w:val="solid" w:color="000000" w:fill="000000"/>
                <w14:textFill>
                  <w14:solidFill>
                    <w14:srgbClr w14:val="000000">
                      <w14:alpha w14:val="100000"/>
                    </w14:srgbClr>
                  </w14:solidFill>
                </w14:textFill>
              </w:rPr>
              <w:t>|</w:t>
            </w:r>
            <w:r w:rsidR="002D5E67" w:rsidRPr="004A0601">
              <w:rPr>
                <w:rFonts w:cs="Arial Narrow"/>
                <w:sz w:val="18"/>
                <w:szCs w:val="18"/>
                <w:vertAlign w:val="superscript"/>
              </w:rPr>
              <w:t>11</w:t>
            </w:r>
          </w:p>
        </w:tc>
        <w:tc>
          <w:tcPr>
            <w:tcW w:w="1276" w:type="dxa"/>
            <w:shd w:val="clear" w:color="auto" w:fill="auto"/>
            <w:vAlign w:val="center"/>
          </w:tcPr>
          <w:p w14:paraId="34404E30" w14:textId="6D95A82E" w:rsidR="001C7A5A" w:rsidRPr="004A0601" w:rsidRDefault="001F207D" w:rsidP="00253C04">
            <w:pPr>
              <w:pStyle w:val="COMTabletext"/>
              <w:jc w:val="center"/>
              <w:rPr>
                <w:bCs w:val="0"/>
                <w:highlight w:val="darkGray"/>
              </w:rPr>
            </w:pPr>
            <w:r w:rsidRPr="001F207D">
              <w:rPr>
                <w:bCs w:val="0"/>
                <w:color w:val="000000"/>
                <w:shd w:val="solid" w:color="000000" w:fill="000000"/>
                <w14:textFill>
                  <w14:solidFill>
                    <w14:srgbClr w14:val="000000">
                      <w14:alpha w14:val="100000"/>
                    </w14:srgbClr>
                  </w14:solidFill>
                </w14:textFill>
              </w:rPr>
              <w:t>|</w:t>
            </w:r>
            <w:r w:rsidR="002D5E67" w:rsidRPr="004A0601">
              <w:rPr>
                <w:rFonts w:cs="Arial Narrow"/>
                <w:sz w:val="18"/>
                <w:szCs w:val="18"/>
                <w:vertAlign w:val="superscript"/>
              </w:rPr>
              <w:t>11</w:t>
            </w:r>
          </w:p>
        </w:tc>
      </w:tr>
      <w:tr w:rsidR="001C7A5A" w:rsidRPr="00F2167D" w14:paraId="4AF74C21" w14:textId="77777777" w:rsidTr="004A0601">
        <w:tc>
          <w:tcPr>
            <w:tcW w:w="2410" w:type="dxa"/>
            <w:shd w:val="clear" w:color="auto" w:fill="auto"/>
            <w:vAlign w:val="center"/>
          </w:tcPr>
          <w:p w14:paraId="04493BFA" w14:textId="254ED060" w:rsidR="001C7A5A" w:rsidRPr="00F2167D" w:rsidRDefault="001C7A5A" w:rsidP="001C7A5A">
            <w:pPr>
              <w:pStyle w:val="COMTabletext"/>
            </w:pPr>
            <w:r w:rsidRPr="00F2167D">
              <w:t xml:space="preserve">Cost offset less </w:t>
            </w:r>
            <w:r w:rsidR="00D25173" w:rsidRPr="00F2167D">
              <w:t>co-payment</w:t>
            </w:r>
            <w:r w:rsidRPr="00F2167D">
              <w:t xml:space="preserve"> for substituted </w:t>
            </w:r>
            <w:proofErr w:type="gramStart"/>
            <w:r w:rsidRPr="00F2167D">
              <w:t xml:space="preserve">semaglutide </w:t>
            </w:r>
            <w:r w:rsidR="00085AAE" w:rsidRPr="00F2167D">
              <w:t xml:space="preserve"> (</w:t>
            </w:r>
            <w:proofErr w:type="gramEnd"/>
            <w:r w:rsidR="00085AAE" w:rsidRPr="00F2167D">
              <w:t>$)</w:t>
            </w:r>
          </w:p>
        </w:tc>
        <w:tc>
          <w:tcPr>
            <w:tcW w:w="1134" w:type="dxa"/>
            <w:shd w:val="clear" w:color="auto" w:fill="auto"/>
            <w:vAlign w:val="center"/>
          </w:tcPr>
          <w:p w14:paraId="088E9A20" w14:textId="121ED82E" w:rsidR="001C7A5A" w:rsidRPr="004A0601" w:rsidRDefault="001F207D" w:rsidP="001C7A5A">
            <w:pPr>
              <w:pStyle w:val="COMTabletext"/>
              <w:jc w:val="center"/>
              <w:rPr>
                <w:bCs w:val="0"/>
                <w:highlight w:val="darkGray"/>
              </w:rPr>
            </w:pPr>
            <w:r w:rsidRPr="001F207D">
              <w:rPr>
                <w:rFonts w:hint="eastAsia"/>
                <w:color w:val="000000"/>
                <w:spacing w:val="30"/>
                <w:w w:val="15"/>
                <w:shd w:val="solid" w:color="000000" w:fill="000000"/>
                <w:fitText w:val="60" w:id="-1168382193"/>
                <w14:textFill>
                  <w14:solidFill>
                    <w14:srgbClr w14:val="000000">
                      <w14:alpha w14:val="100000"/>
                    </w14:srgbClr>
                  </w14:solidFill>
                </w14:textFill>
              </w:rPr>
              <w:t xml:space="preserve">　</w:t>
            </w:r>
            <w:r w:rsidRPr="001F207D">
              <w:rPr>
                <w:rFonts w:hint="eastAsia"/>
                <w:color w:val="000000"/>
                <w:spacing w:val="75"/>
                <w:w w:val="30"/>
                <w:shd w:val="solid" w:color="000000" w:fill="000000"/>
                <w:fitText w:val="135" w:id="-1168382192"/>
                <w14:textFill>
                  <w14:solidFill>
                    <w14:srgbClr w14:val="000000">
                      <w14:alpha w14:val="100000"/>
                    </w14:srgbClr>
                  </w14:solidFill>
                </w14:textFill>
              </w:rPr>
              <w:t xml:space="preserve">　</w:t>
            </w:r>
            <w:r w:rsidRPr="001F207D">
              <w:rPr>
                <w:color w:val="000000"/>
                <w:spacing w:val="199"/>
                <w:shd w:val="solid" w:color="000000" w:fill="000000"/>
                <w:fitText w:val="285" w:id="-1168382208"/>
                <w14:textFill>
                  <w14:solidFill>
                    <w14:srgbClr w14:val="000000">
                      <w14:alpha w14:val="100000"/>
                    </w14:srgbClr>
                  </w14:solidFill>
                </w14:textFill>
              </w:rPr>
              <w:t>|</w:t>
            </w:r>
            <w:r w:rsidRPr="001F207D">
              <w:rPr>
                <w:color w:val="000000"/>
                <w:spacing w:val="1"/>
                <w:shd w:val="solid" w:color="000000" w:fill="000000"/>
                <w:fitText w:val="285" w:id="-1168382208"/>
                <w14:textFill>
                  <w14:solidFill>
                    <w14:srgbClr w14:val="000000">
                      <w14:alpha w14:val="100000"/>
                    </w14:srgbClr>
                  </w14:solidFill>
                </w14:textFill>
              </w:rPr>
              <w:t>|</w:t>
            </w:r>
            <w:r w:rsidR="00085AAE" w:rsidRPr="004A0601">
              <w:rPr>
                <w:rFonts w:cs="Arial Narrow"/>
                <w:sz w:val="18"/>
                <w:szCs w:val="18"/>
                <w:vertAlign w:val="superscript"/>
              </w:rPr>
              <w:t>4</w:t>
            </w:r>
          </w:p>
        </w:tc>
        <w:tc>
          <w:tcPr>
            <w:tcW w:w="1134" w:type="dxa"/>
            <w:shd w:val="clear" w:color="auto" w:fill="auto"/>
            <w:vAlign w:val="center"/>
          </w:tcPr>
          <w:p w14:paraId="61BB68DB" w14:textId="5E97ED22" w:rsidR="001C7A5A" w:rsidRPr="004A0601" w:rsidRDefault="001F207D" w:rsidP="001C7A5A">
            <w:pPr>
              <w:pStyle w:val="COMTabletext"/>
              <w:jc w:val="center"/>
              <w:rPr>
                <w:bCs w:val="0"/>
                <w:highlight w:val="darkGray"/>
              </w:rPr>
            </w:pPr>
            <w:r w:rsidRPr="001F207D">
              <w:rPr>
                <w:rFonts w:hint="eastAsia"/>
                <w:color w:val="000000"/>
                <w:w w:val="15"/>
                <w:shd w:val="solid" w:color="000000" w:fill="000000"/>
                <w:fitText w:val="30" w:id="-1168382207"/>
                <w14:textFill>
                  <w14:solidFill>
                    <w14:srgbClr w14:val="000000">
                      <w14:alpha w14:val="100000"/>
                    </w14:srgbClr>
                  </w14:solidFill>
                </w14:textFill>
              </w:rPr>
              <w:t xml:space="preserve">　</w:t>
            </w:r>
            <w:r w:rsidRPr="001F207D">
              <w:rPr>
                <w:color w:val="000000"/>
                <w:w w:val="15"/>
                <w:shd w:val="solid" w:color="000000" w:fill="000000"/>
                <w:fitText w:val="30" w:id="-1168382207"/>
                <w14:textFill>
                  <w14:solidFill>
                    <w14:srgbClr w14:val="000000">
                      <w14:alpha w14:val="100000"/>
                    </w14:srgbClr>
                  </w14:solidFill>
                </w14:textFill>
              </w:rPr>
              <w:t>|</w:t>
            </w:r>
            <w:r w:rsidRPr="001F207D">
              <w:rPr>
                <w:rFonts w:hint="eastAsia"/>
                <w:color w:val="000000"/>
                <w:spacing w:val="-45"/>
                <w:w w:val="15"/>
                <w:shd w:val="solid" w:color="000000" w:fill="000000"/>
                <w:fitText w:val="30" w:id="-1168382207"/>
                <w14:textFill>
                  <w14:solidFill>
                    <w14:srgbClr w14:val="000000">
                      <w14:alpha w14:val="100000"/>
                    </w14:srgbClr>
                  </w14:solidFill>
                </w14:textFill>
              </w:rPr>
              <w:t xml:space="preserve">　</w:t>
            </w:r>
            <w:r w:rsidR="002D5E67" w:rsidRPr="004A0601">
              <w:rPr>
                <w:rFonts w:cs="Arial Narrow"/>
                <w:sz w:val="18"/>
                <w:szCs w:val="18"/>
                <w:vertAlign w:val="superscript"/>
              </w:rPr>
              <w:t>4</w:t>
            </w:r>
          </w:p>
        </w:tc>
        <w:tc>
          <w:tcPr>
            <w:tcW w:w="1134" w:type="dxa"/>
            <w:shd w:val="clear" w:color="auto" w:fill="auto"/>
            <w:vAlign w:val="center"/>
          </w:tcPr>
          <w:p w14:paraId="6DB29257" w14:textId="438E26D2" w:rsidR="001C7A5A" w:rsidRPr="004A0601" w:rsidRDefault="001F207D" w:rsidP="001C7A5A">
            <w:pPr>
              <w:pStyle w:val="COMTabletext"/>
              <w:jc w:val="center"/>
              <w:rPr>
                <w:bCs w:val="0"/>
                <w:highlight w:val="darkGray"/>
              </w:rPr>
            </w:pPr>
            <w:r w:rsidRPr="001F207D">
              <w:rPr>
                <w:rFonts w:hint="eastAsia"/>
                <w:color w:val="000000"/>
                <w:w w:val="15"/>
                <w:shd w:val="solid" w:color="000000" w:fill="000000"/>
                <w:fitText w:val="30" w:id="-1168382206"/>
                <w14:textFill>
                  <w14:solidFill>
                    <w14:srgbClr w14:val="000000">
                      <w14:alpha w14:val="100000"/>
                    </w14:srgbClr>
                  </w14:solidFill>
                </w14:textFill>
              </w:rPr>
              <w:t xml:space="preserve">　</w:t>
            </w:r>
            <w:r w:rsidRPr="001F207D">
              <w:rPr>
                <w:color w:val="000000"/>
                <w:w w:val="15"/>
                <w:shd w:val="solid" w:color="000000" w:fill="000000"/>
                <w:fitText w:val="30" w:id="-1168382206"/>
                <w14:textFill>
                  <w14:solidFill>
                    <w14:srgbClr w14:val="000000">
                      <w14:alpha w14:val="100000"/>
                    </w14:srgbClr>
                  </w14:solidFill>
                </w14:textFill>
              </w:rPr>
              <w:t>|</w:t>
            </w:r>
            <w:r w:rsidRPr="001F207D">
              <w:rPr>
                <w:rFonts w:hint="eastAsia"/>
                <w:color w:val="000000"/>
                <w:spacing w:val="-45"/>
                <w:w w:val="15"/>
                <w:shd w:val="solid" w:color="000000" w:fill="000000"/>
                <w:fitText w:val="30" w:id="-1168382206"/>
                <w14:textFill>
                  <w14:solidFill>
                    <w14:srgbClr w14:val="000000">
                      <w14:alpha w14:val="100000"/>
                    </w14:srgbClr>
                  </w14:solidFill>
                </w14:textFill>
              </w:rPr>
              <w:t xml:space="preserve">　</w:t>
            </w:r>
            <w:r w:rsidR="002D5E67" w:rsidRPr="004A0601">
              <w:rPr>
                <w:rFonts w:cs="Arial Narrow"/>
                <w:sz w:val="18"/>
                <w:szCs w:val="18"/>
                <w:vertAlign w:val="superscript"/>
              </w:rPr>
              <w:t>4</w:t>
            </w:r>
          </w:p>
        </w:tc>
        <w:tc>
          <w:tcPr>
            <w:tcW w:w="1134" w:type="dxa"/>
            <w:shd w:val="clear" w:color="auto" w:fill="auto"/>
            <w:vAlign w:val="center"/>
          </w:tcPr>
          <w:p w14:paraId="76A50C50" w14:textId="3872DFB9" w:rsidR="001C7A5A" w:rsidRPr="004A0601" w:rsidRDefault="001F207D" w:rsidP="001C7A5A">
            <w:pPr>
              <w:pStyle w:val="COMTabletext"/>
              <w:jc w:val="center"/>
              <w:rPr>
                <w:bCs w:val="0"/>
                <w:highlight w:val="darkGray"/>
              </w:rPr>
            </w:pPr>
            <w:r w:rsidRPr="001F207D">
              <w:rPr>
                <w:rFonts w:hint="eastAsia"/>
                <w:color w:val="000000"/>
                <w:w w:val="15"/>
                <w:shd w:val="solid" w:color="000000" w:fill="000000"/>
                <w:fitText w:val="30" w:id="-1168382205"/>
                <w14:textFill>
                  <w14:solidFill>
                    <w14:srgbClr w14:val="000000">
                      <w14:alpha w14:val="100000"/>
                    </w14:srgbClr>
                  </w14:solidFill>
                </w14:textFill>
              </w:rPr>
              <w:t xml:space="preserve">　</w:t>
            </w:r>
            <w:r w:rsidRPr="001F207D">
              <w:rPr>
                <w:color w:val="000000"/>
                <w:w w:val="15"/>
                <w:shd w:val="solid" w:color="000000" w:fill="000000"/>
                <w:fitText w:val="30" w:id="-1168382205"/>
                <w14:textFill>
                  <w14:solidFill>
                    <w14:srgbClr w14:val="000000">
                      <w14:alpha w14:val="100000"/>
                    </w14:srgbClr>
                  </w14:solidFill>
                </w14:textFill>
              </w:rPr>
              <w:t>|</w:t>
            </w:r>
            <w:r w:rsidRPr="001F207D">
              <w:rPr>
                <w:rFonts w:hint="eastAsia"/>
                <w:color w:val="000000"/>
                <w:spacing w:val="-45"/>
                <w:w w:val="15"/>
                <w:shd w:val="solid" w:color="000000" w:fill="000000"/>
                <w:fitText w:val="30" w:id="-1168382205"/>
                <w14:textFill>
                  <w14:solidFill>
                    <w14:srgbClr w14:val="000000">
                      <w14:alpha w14:val="100000"/>
                    </w14:srgbClr>
                  </w14:solidFill>
                </w14:textFill>
              </w:rPr>
              <w:t xml:space="preserve">　</w:t>
            </w:r>
            <w:r w:rsidR="002D5E67" w:rsidRPr="004A0601">
              <w:rPr>
                <w:rFonts w:cs="Arial Narrow"/>
                <w:sz w:val="18"/>
                <w:szCs w:val="18"/>
                <w:vertAlign w:val="superscript"/>
              </w:rPr>
              <w:t>4</w:t>
            </w:r>
          </w:p>
        </w:tc>
        <w:tc>
          <w:tcPr>
            <w:tcW w:w="1276" w:type="dxa"/>
            <w:shd w:val="clear" w:color="auto" w:fill="auto"/>
            <w:vAlign w:val="center"/>
          </w:tcPr>
          <w:p w14:paraId="34D64AE1" w14:textId="34C77E83" w:rsidR="001C7A5A" w:rsidRPr="004A0601" w:rsidRDefault="001F207D" w:rsidP="001C7A5A">
            <w:pPr>
              <w:pStyle w:val="COMTabletext"/>
              <w:jc w:val="center"/>
              <w:rPr>
                <w:bCs w:val="0"/>
                <w:highlight w:val="darkGray"/>
              </w:rPr>
            </w:pPr>
            <w:r w:rsidRPr="001F207D">
              <w:rPr>
                <w:color w:val="000000"/>
                <w:shd w:val="solid" w:color="000000" w:fill="000000"/>
                <w14:textFill>
                  <w14:solidFill>
                    <w14:srgbClr w14:val="000000">
                      <w14:alpha w14:val="100000"/>
                    </w14:srgbClr>
                  </w14:solidFill>
                </w14:textFill>
              </w:rPr>
              <w:t>|</w:t>
            </w:r>
            <w:r w:rsidR="002D5E67" w:rsidRPr="004A0601">
              <w:rPr>
                <w:rFonts w:cs="Arial Narrow"/>
                <w:sz w:val="18"/>
                <w:szCs w:val="18"/>
                <w:vertAlign w:val="superscript"/>
              </w:rPr>
              <w:t>4</w:t>
            </w:r>
          </w:p>
        </w:tc>
        <w:tc>
          <w:tcPr>
            <w:tcW w:w="1276" w:type="dxa"/>
            <w:shd w:val="clear" w:color="auto" w:fill="auto"/>
            <w:vAlign w:val="center"/>
          </w:tcPr>
          <w:p w14:paraId="1C037048" w14:textId="33236534" w:rsidR="001C7A5A" w:rsidRPr="004A0601" w:rsidRDefault="001F207D" w:rsidP="001C7A5A">
            <w:pPr>
              <w:pStyle w:val="COMTabletext"/>
              <w:jc w:val="center"/>
              <w:rPr>
                <w:bCs w:val="0"/>
                <w:highlight w:val="darkGray"/>
              </w:rPr>
            </w:pPr>
            <w:r w:rsidRPr="001F207D">
              <w:rPr>
                <w:color w:val="000000"/>
                <w:shd w:val="solid" w:color="000000" w:fill="000000"/>
                <w14:textFill>
                  <w14:solidFill>
                    <w14:srgbClr w14:val="000000">
                      <w14:alpha w14:val="100000"/>
                    </w14:srgbClr>
                  </w14:solidFill>
                </w14:textFill>
              </w:rPr>
              <w:t>|</w:t>
            </w:r>
            <w:r w:rsidR="002D5E67" w:rsidRPr="004A0601">
              <w:rPr>
                <w:rFonts w:cs="Arial Narrow"/>
                <w:sz w:val="18"/>
                <w:szCs w:val="18"/>
                <w:vertAlign w:val="superscript"/>
              </w:rPr>
              <w:t>4</w:t>
            </w:r>
          </w:p>
        </w:tc>
      </w:tr>
      <w:tr w:rsidR="001C7A5A" w:rsidRPr="00F2167D" w14:paraId="1ACF3C4A" w14:textId="77777777" w:rsidTr="004A0601">
        <w:tc>
          <w:tcPr>
            <w:tcW w:w="2410" w:type="dxa"/>
            <w:shd w:val="clear" w:color="auto" w:fill="auto"/>
            <w:vAlign w:val="center"/>
          </w:tcPr>
          <w:p w14:paraId="12A8E91D" w14:textId="4A96A22F" w:rsidR="001C7A5A" w:rsidRPr="00F2167D" w:rsidRDefault="001C7A5A" w:rsidP="001C7A5A">
            <w:pPr>
              <w:pStyle w:val="COMTabletext"/>
            </w:pPr>
            <w:r w:rsidRPr="00F2167D">
              <w:t xml:space="preserve">Cost offset less </w:t>
            </w:r>
            <w:r w:rsidR="00D25173" w:rsidRPr="00F2167D">
              <w:t>co-payment</w:t>
            </w:r>
            <w:r w:rsidRPr="00F2167D">
              <w:t xml:space="preserve"> for substituted dulaglutide</w:t>
            </w:r>
            <w:r w:rsidR="00085AAE" w:rsidRPr="00F2167D">
              <w:t xml:space="preserve"> ($)</w:t>
            </w:r>
          </w:p>
        </w:tc>
        <w:tc>
          <w:tcPr>
            <w:tcW w:w="1134" w:type="dxa"/>
            <w:shd w:val="clear" w:color="auto" w:fill="auto"/>
            <w:vAlign w:val="center"/>
          </w:tcPr>
          <w:p w14:paraId="7503AE76" w14:textId="1A169C5C" w:rsidR="001C7A5A" w:rsidRPr="004A0601" w:rsidRDefault="001F207D" w:rsidP="001C7A5A">
            <w:pPr>
              <w:pStyle w:val="COMTabletext"/>
              <w:jc w:val="center"/>
              <w:rPr>
                <w:highlight w:val="darkGray"/>
              </w:rPr>
            </w:pPr>
            <w:r w:rsidRPr="001F207D">
              <w:rPr>
                <w:rFonts w:hint="eastAsia"/>
                <w:color w:val="000000"/>
                <w:spacing w:val="30"/>
                <w:w w:val="15"/>
                <w:shd w:val="solid" w:color="000000" w:fill="000000"/>
                <w:fitText w:val="60" w:id="-1168382204"/>
                <w14:textFill>
                  <w14:solidFill>
                    <w14:srgbClr w14:val="000000">
                      <w14:alpha w14:val="100000"/>
                    </w14:srgbClr>
                  </w14:solidFill>
                </w14:textFill>
              </w:rPr>
              <w:t xml:space="preserve">　</w:t>
            </w:r>
            <w:r w:rsidRPr="001F207D">
              <w:rPr>
                <w:rFonts w:hint="eastAsia"/>
                <w:color w:val="000000"/>
                <w:spacing w:val="75"/>
                <w:w w:val="30"/>
                <w:shd w:val="solid" w:color="000000" w:fill="000000"/>
                <w:fitText w:val="135" w:id="-1168382203"/>
                <w14:textFill>
                  <w14:solidFill>
                    <w14:srgbClr w14:val="000000">
                      <w14:alpha w14:val="100000"/>
                    </w14:srgbClr>
                  </w14:solidFill>
                </w14:textFill>
              </w:rPr>
              <w:t xml:space="preserve">　</w:t>
            </w:r>
            <w:r w:rsidRPr="001F207D">
              <w:rPr>
                <w:color w:val="000000"/>
                <w:spacing w:val="199"/>
                <w:shd w:val="solid" w:color="000000" w:fill="000000"/>
                <w:fitText w:val="285" w:id="-1168382202"/>
                <w14:textFill>
                  <w14:solidFill>
                    <w14:srgbClr w14:val="000000">
                      <w14:alpha w14:val="100000"/>
                    </w14:srgbClr>
                  </w14:solidFill>
                </w14:textFill>
              </w:rPr>
              <w:t>|</w:t>
            </w:r>
            <w:r w:rsidRPr="001F207D">
              <w:rPr>
                <w:color w:val="000000"/>
                <w:spacing w:val="1"/>
                <w:shd w:val="solid" w:color="000000" w:fill="000000"/>
                <w:fitText w:val="285" w:id="-1168382202"/>
                <w14:textFill>
                  <w14:solidFill>
                    <w14:srgbClr w14:val="000000">
                      <w14:alpha w14:val="100000"/>
                    </w14:srgbClr>
                  </w14:solidFill>
                </w14:textFill>
              </w:rPr>
              <w:t>|</w:t>
            </w:r>
            <w:r w:rsidR="00085AAE" w:rsidRPr="004A0601">
              <w:rPr>
                <w:rFonts w:cs="Arial Narrow"/>
                <w:sz w:val="18"/>
                <w:szCs w:val="18"/>
                <w:vertAlign w:val="superscript"/>
              </w:rPr>
              <w:t>4</w:t>
            </w:r>
          </w:p>
        </w:tc>
        <w:tc>
          <w:tcPr>
            <w:tcW w:w="1134" w:type="dxa"/>
            <w:shd w:val="clear" w:color="auto" w:fill="auto"/>
            <w:vAlign w:val="center"/>
          </w:tcPr>
          <w:p w14:paraId="2948D629" w14:textId="221FFFE3" w:rsidR="001C7A5A" w:rsidRPr="004A0601" w:rsidRDefault="001F207D" w:rsidP="001C7A5A">
            <w:pPr>
              <w:pStyle w:val="COMTabletext"/>
              <w:jc w:val="center"/>
              <w:rPr>
                <w:highlight w:val="darkGray"/>
              </w:rPr>
            </w:pPr>
            <w:r w:rsidRPr="001F207D">
              <w:rPr>
                <w:rFonts w:hint="eastAsia"/>
                <w:color w:val="000000"/>
                <w:w w:val="15"/>
                <w:shd w:val="solid" w:color="000000" w:fill="000000"/>
                <w:fitText w:val="30" w:id="-1168382201"/>
                <w14:textFill>
                  <w14:solidFill>
                    <w14:srgbClr w14:val="000000">
                      <w14:alpha w14:val="100000"/>
                    </w14:srgbClr>
                  </w14:solidFill>
                </w14:textFill>
              </w:rPr>
              <w:t xml:space="preserve">　</w:t>
            </w:r>
            <w:r w:rsidRPr="001F207D">
              <w:rPr>
                <w:color w:val="000000"/>
                <w:w w:val="15"/>
                <w:shd w:val="solid" w:color="000000" w:fill="000000"/>
                <w:fitText w:val="30" w:id="-1168382201"/>
                <w14:textFill>
                  <w14:solidFill>
                    <w14:srgbClr w14:val="000000">
                      <w14:alpha w14:val="100000"/>
                    </w14:srgbClr>
                  </w14:solidFill>
                </w14:textFill>
              </w:rPr>
              <w:t>|</w:t>
            </w:r>
            <w:r w:rsidRPr="001F207D">
              <w:rPr>
                <w:rFonts w:hint="eastAsia"/>
                <w:color w:val="000000"/>
                <w:spacing w:val="-45"/>
                <w:w w:val="15"/>
                <w:shd w:val="solid" w:color="000000" w:fill="000000"/>
                <w:fitText w:val="30" w:id="-1168382201"/>
                <w14:textFill>
                  <w14:solidFill>
                    <w14:srgbClr w14:val="000000">
                      <w14:alpha w14:val="100000"/>
                    </w14:srgbClr>
                  </w14:solidFill>
                </w14:textFill>
              </w:rPr>
              <w:t xml:space="preserve">　</w:t>
            </w:r>
            <w:r w:rsidR="002D5E67" w:rsidRPr="004A0601">
              <w:rPr>
                <w:rFonts w:cs="Arial Narrow"/>
                <w:sz w:val="18"/>
                <w:szCs w:val="18"/>
                <w:vertAlign w:val="superscript"/>
              </w:rPr>
              <w:t>4</w:t>
            </w:r>
          </w:p>
        </w:tc>
        <w:tc>
          <w:tcPr>
            <w:tcW w:w="1134" w:type="dxa"/>
            <w:shd w:val="clear" w:color="auto" w:fill="auto"/>
            <w:vAlign w:val="center"/>
          </w:tcPr>
          <w:p w14:paraId="6A4CAEF2" w14:textId="68899DDE" w:rsidR="001C7A5A" w:rsidRPr="004A0601" w:rsidRDefault="001F207D" w:rsidP="001C7A5A">
            <w:pPr>
              <w:pStyle w:val="COMTabletext"/>
              <w:jc w:val="center"/>
              <w:rPr>
                <w:highlight w:val="darkGray"/>
              </w:rPr>
            </w:pPr>
            <w:r w:rsidRPr="001F207D">
              <w:rPr>
                <w:rFonts w:hint="eastAsia"/>
                <w:color w:val="000000"/>
                <w:w w:val="15"/>
                <w:shd w:val="solid" w:color="000000" w:fill="000000"/>
                <w:fitText w:val="30" w:id="-1168382200"/>
                <w14:textFill>
                  <w14:solidFill>
                    <w14:srgbClr w14:val="000000">
                      <w14:alpha w14:val="100000"/>
                    </w14:srgbClr>
                  </w14:solidFill>
                </w14:textFill>
              </w:rPr>
              <w:t xml:space="preserve">　</w:t>
            </w:r>
            <w:r w:rsidRPr="001F207D">
              <w:rPr>
                <w:color w:val="000000"/>
                <w:w w:val="15"/>
                <w:shd w:val="solid" w:color="000000" w:fill="000000"/>
                <w:fitText w:val="30" w:id="-1168382200"/>
                <w14:textFill>
                  <w14:solidFill>
                    <w14:srgbClr w14:val="000000">
                      <w14:alpha w14:val="100000"/>
                    </w14:srgbClr>
                  </w14:solidFill>
                </w14:textFill>
              </w:rPr>
              <w:t>|</w:t>
            </w:r>
            <w:r w:rsidRPr="001F207D">
              <w:rPr>
                <w:rFonts w:hint="eastAsia"/>
                <w:color w:val="000000"/>
                <w:spacing w:val="-45"/>
                <w:w w:val="15"/>
                <w:shd w:val="solid" w:color="000000" w:fill="000000"/>
                <w:fitText w:val="30" w:id="-1168382200"/>
                <w14:textFill>
                  <w14:solidFill>
                    <w14:srgbClr w14:val="000000">
                      <w14:alpha w14:val="100000"/>
                    </w14:srgbClr>
                  </w14:solidFill>
                </w14:textFill>
              </w:rPr>
              <w:t xml:space="preserve">　</w:t>
            </w:r>
            <w:r w:rsidR="002D5E67" w:rsidRPr="004A0601">
              <w:rPr>
                <w:rFonts w:cs="Arial Narrow"/>
                <w:sz w:val="18"/>
                <w:szCs w:val="18"/>
                <w:vertAlign w:val="superscript"/>
              </w:rPr>
              <w:t>4</w:t>
            </w:r>
          </w:p>
        </w:tc>
        <w:tc>
          <w:tcPr>
            <w:tcW w:w="1134" w:type="dxa"/>
            <w:shd w:val="clear" w:color="auto" w:fill="auto"/>
            <w:vAlign w:val="center"/>
          </w:tcPr>
          <w:p w14:paraId="1AE061C4" w14:textId="37F5A143" w:rsidR="001C7A5A" w:rsidRPr="004A0601" w:rsidRDefault="001F207D" w:rsidP="001C7A5A">
            <w:pPr>
              <w:pStyle w:val="COMTabletext"/>
              <w:jc w:val="center"/>
              <w:rPr>
                <w:highlight w:val="darkGray"/>
              </w:rPr>
            </w:pPr>
            <w:r w:rsidRPr="001F207D">
              <w:rPr>
                <w:rFonts w:hint="eastAsia"/>
                <w:color w:val="000000"/>
                <w:w w:val="15"/>
                <w:shd w:val="solid" w:color="000000" w:fill="000000"/>
                <w:fitText w:val="30" w:id="-1168382199"/>
                <w14:textFill>
                  <w14:solidFill>
                    <w14:srgbClr w14:val="000000">
                      <w14:alpha w14:val="100000"/>
                    </w14:srgbClr>
                  </w14:solidFill>
                </w14:textFill>
              </w:rPr>
              <w:t xml:space="preserve">　</w:t>
            </w:r>
            <w:r w:rsidRPr="001F207D">
              <w:rPr>
                <w:color w:val="000000"/>
                <w:w w:val="15"/>
                <w:shd w:val="solid" w:color="000000" w:fill="000000"/>
                <w:fitText w:val="30" w:id="-1168382199"/>
                <w14:textFill>
                  <w14:solidFill>
                    <w14:srgbClr w14:val="000000">
                      <w14:alpha w14:val="100000"/>
                    </w14:srgbClr>
                  </w14:solidFill>
                </w14:textFill>
              </w:rPr>
              <w:t>|</w:t>
            </w:r>
            <w:r w:rsidRPr="001F207D">
              <w:rPr>
                <w:rFonts w:hint="eastAsia"/>
                <w:color w:val="000000"/>
                <w:spacing w:val="-45"/>
                <w:w w:val="15"/>
                <w:shd w:val="solid" w:color="000000" w:fill="000000"/>
                <w:fitText w:val="30" w:id="-1168382199"/>
                <w14:textFill>
                  <w14:solidFill>
                    <w14:srgbClr w14:val="000000">
                      <w14:alpha w14:val="100000"/>
                    </w14:srgbClr>
                  </w14:solidFill>
                </w14:textFill>
              </w:rPr>
              <w:t xml:space="preserve">　</w:t>
            </w:r>
            <w:r w:rsidR="002D5E67" w:rsidRPr="004A0601">
              <w:rPr>
                <w:rFonts w:cs="Arial Narrow"/>
                <w:sz w:val="18"/>
                <w:szCs w:val="18"/>
                <w:vertAlign w:val="superscript"/>
              </w:rPr>
              <w:t>4</w:t>
            </w:r>
          </w:p>
        </w:tc>
        <w:tc>
          <w:tcPr>
            <w:tcW w:w="1276" w:type="dxa"/>
            <w:shd w:val="clear" w:color="auto" w:fill="auto"/>
            <w:vAlign w:val="center"/>
          </w:tcPr>
          <w:p w14:paraId="2D136C9A" w14:textId="52F0F56C" w:rsidR="001C7A5A" w:rsidRPr="004A0601" w:rsidRDefault="001F207D" w:rsidP="001C7A5A">
            <w:pPr>
              <w:pStyle w:val="COMTabletext"/>
              <w:jc w:val="center"/>
              <w:rPr>
                <w:highlight w:val="darkGray"/>
              </w:rPr>
            </w:pPr>
            <w:r w:rsidRPr="001F207D">
              <w:rPr>
                <w:color w:val="000000"/>
                <w:shd w:val="solid" w:color="000000" w:fill="000000"/>
                <w14:textFill>
                  <w14:solidFill>
                    <w14:srgbClr w14:val="000000">
                      <w14:alpha w14:val="100000"/>
                    </w14:srgbClr>
                  </w14:solidFill>
                </w14:textFill>
              </w:rPr>
              <w:t>|</w:t>
            </w:r>
            <w:r w:rsidR="002D5E67" w:rsidRPr="004A0601">
              <w:rPr>
                <w:rFonts w:cs="Arial Narrow"/>
                <w:sz w:val="18"/>
                <w:szCs w:val="18"/>
                <w:vertAlign w:val="superscript"/>
              </w:rPr>
              <w:t>4</w:t>
            </w:r>
          </w:p>
        </w:tc>
        <w:tc>
          <w:tcPr>
            <w:tcW w:w="1276" w:type="dxa"/>
            <w:shd w:val="clear" w:color="auto" w:fill="auto"/>
            <w:vAlign w:val="center"/>
          </w:tcPr>
          <w:p w14:paraId="5D3A25F6" w14:textId="0A86BE92" w:rsidR="001C7A5A" w:rsidRPr="004A0601" w:rsidRDefault="001F207D" w:rsidP="001C7A5A">
            <w:pPr>
              <w:pStyle w:val="COMTabletext"/>
              <w:jc w:val="center"/>
              <w:rPr>
                <w:highlight w:val="darkGray"/>
              </w:rPr>
            </w:pPr>
            <w:r w:rsidRPr="001F207D">
              <w:rPr>
                <w:color w:val="000000"/>
                <w:shd w:val="solid" w:color="000000" w:fill="000000"/>
                <w14:textFill>
                  <w14:solidFill>
                    <w14:srgbClr w14:val="000000">
                      <w14:alpha w14:val="100000"/>
                    </w14:srgbClr>
                  </w14:solidFill>
                </w14:textFill>
              </w:rPr>
              <w:t>|</w:t>
            </w:r>
            <w:r w:rsidR="002D5E67" w:rsidRPr="004A0601">
              <w:rPr>
                <w:rFonts w:cs="Arial Narrow"/>
                <w:sz w:val="18"/>
                <w:szCs w:val="18"/>
                <w:vertAlign w:val="superscript"/>
              </w:rPr>
              <w:t>4</w:t>
            </w:r>
          </w:p>
        </w:tc>
      </w:tr>
      <w:tr w:rsidR="00E95E7E" w:rsidRPr="00F2167D" w14:paraId="0DF774E9" w14:textId="77777777" w:rsidTr="004A0601">
        <w:tc>
          <w:tcPr>
            <w:tcW w:w="2410" w:type="dxa"/>
            <w:shd w:val="clear" w:color="auto" w:fill="auto"/>
            <w:vAlign w:val="center"/>
          </w:tcPr>
          <w:p w14:paraId="22D915D7" w14:textId="2E96D268" w:rsidR="00E95E7E" w:rsidRPr="00F2167D" w:rsidRDefault="00E95E7E" w:rsidP="00E95E7E">
            <w:pPr>
              <w:pStyle w:val="COMTabletext"/>
            </w:pPr>
            <w:r w:rsidRPr="00F2167D">
              <w:rPr>
                <w:b/>
                <w:bCs w:val="0"/>
              </w:rPr>
              <w:t>Net PBS/RPBS cost</w:t>
            </w:r>
            <w:r w:rsidR="00085AAE" w:rsidRPr="00F2167D">
              <w:rPr>
                <w:b/>
                <w:bCs w:val="0"/>
              </w:rPr>
              <w:t xml:space="preserve"> ($)</w:t>
            </w:r>
          </w:p>
        </w:tc>
        <w:tc>
          <w:tcPr>
            <w:tcW w:w="1134" w:type="dxa"/>
            <w:shd w:val="clear" w:color="auto" w:fill="auto"/>
            <w:vAlign w:val="center"/>
          </w:tcPr>
          <w:p w14:paraId="7D27A8FA" w14:textId="1E270859" w:rsidR="00E95E7E" w:rsidRPr="004A0601" w:rsidRDefault="001F207D" w:rsidP="00E95E7E">
            <w:pPr>
              <w:pStyle w:val="COMTabletext"/>
              <w:jc w:val="center"/>
              <w:rPr>
                <w:highlight w:val="darkGray"/>
              </w:rPr>
            </w:pPr>
            <w:r w:rsidRPr="001F207D">
              <w:rPr>
                <w:rFonts w:hint="eastAsia"/>
                <w:b/>
                <w:bCs w:val="0"/>
                <w:color w:val="000000"/>
                <w:w w:val="20"/>
                <w:shd w:val="solid" w:color="000000" w:fill="000000"/>
                <w:fitText w:val="90" w:id="-1168382198"/>
                <w14:textFill>
                  <w14:solidFill>
                    <w14:srgbClr w14:val="000000">
                      <w14:alpha w14:val="100000"/>
                    </w14:srgbClr>
                  </w14:solidFill>
                </w14:textFill>
              </w:rPr>
              <w:t xml:space="preserve">　</w:t>
            </w:r>
            <w:r w:rsidRPr="001F207D">
              <w:rPr>
                <w:b/>
                <w:bCs w:val="0"/>
                <w:color w:val="000000"/>
                <w:w w:val="20"/>
                <w:shd w:val="solid" w:color="000000" w:fill="000000"/>
                <w:fitText w:val="90" w:id="-1168382198"/>
                <w14:textFill>
                  <w14:solidFill>
                    <w14:srgbClr w14:val="000000">
                      <w14:alpha w14:val="100000"/>
                    </w14:srgbClr>
                  </w14:solidFill>
                </w14:textFill>
              </w:rPr>
              <w:t>|</w:t>
            </w:r>
            <w:r w:rsidRPr="001F207D">
              <w:rPr>
                <w:rFonts w:hint="eastAsia"/>
                <w:b/>
                <w:bCs w:val="0"/>
                <w:color w:val="000000"/>
                <w:spacing w:val="2"/>
                <w:w w:val="20"/>
                <w:shd w:val="solid" w:color="000000" w:fill="000000"/>
                <w:fitText w:val="90" w:id="-1168382198"/>
                <w14:textFill>
                  <w14:solidFill>
                    <w14:srgbClr w14:val="000000">
                      <w14:alpha w14:val="100000"/>
                    </w14:srgbClr>
                  </w14:solidFill>
                </w14:textFill>
              </w:rPr>
              <w:t xml:space="preserve">　</w:t>
            </w:r>
            <w:r w:rsidR="00085AAE" w:rsidRPr="004A0601">
              <w:rPr>
                <w:rFonts w:cs="Arial Narrow"/>
                <w:sz w:val="18"/>
                <w:szCs w:val="18"/>
                <w:vertAlign w:val="superscript"/>
              </w:rPr>
              <w:t>5</w:t>
            </w:r>
          </w:p>
        </w:tc>
        <w:tc>
          <w:tcPr>
            <w:tcW w:w="1134" w:type="dxa"/>
            <w:shd w:val="clear" w:color="auto" w:fill="auto"/>
            <w:vAlign w:val="center"/>
          </w:tcPr>
          <w:p w14:paraId="758A70C9" w14:textId="5D3F7151" w:rsidR="00E95E7E" w:rsidRPr="004A0601" w:rsidRDefault="001F207D" w:rsidP="00E95E7E">
            <w:pPr>
              <w:pStyle w:val="COMTabletext"/>
              <w:jc w:val="center"/>
              <w:rPr>
                <w:highlight w:val="darkGray"/>
              </w:rPr>
            </w:pPr>
            <w:r w:rsidRPr="001F207D">
              <w:rPr>
                <w:rFonts w:hint="eastAsia"/>
                <w:b/>
                <w:bCs w:val="0"/>
                <w:color w:val="000000"/>
                <w:w w:val="20"/>
                <w:shd w:val="solid" w:color="000000" w:fill="000000"/>
                <w:fitText w:val="90" w:id="-1168382197"/>
                <w14:textFill>
                  <w14:solidFill>
                    <w14:srgbClr w14:val="000000">
                      <w14:alpha w14:val="100000"/>
                    </w14:srgbClr>
                  </w14:solidFill>
                </w14:textFill>
              </w:rPr>
              <w:t xml:space="preserve">　</w:t>
            </w:r>
            <w:r w:rsidRPr="001F207D">
              <w:rPr>
                <w:b/>
                <w:bCs w:val="0"/>
                <w:color w:val="000000"/>
                <w:w w:val="20"/>
                <w:shd w:val="solid" w:color="000000" w:fill="000000"/>
                <w:fitText w:val="90" w:id="-1168382197"/>
                <w14:textFill>
                  <w14:solidFill>
                    <w14:srgbClr w14:val="000000">
                      <w14:alpha w14:val="100000"/>
                    </w14:srgbClr>
                  </w14:solidFill>
                </w14:textFill>
              </w:rPr>
              <w:t>|</w:t>
            </w:r>
            <w:r w:rsidRPr="001F207D">
              <w:rPr>
                <w:rFonts w:hint="eastAsia"/>
                <w:b/>
                <w:bCs w:val="0"/>
                <w:color w:val="000000"/>
                <w:spacing w:val="2"/>
                <w:w w:val="20"/>
                <w:shd w:val="solid" w:color="000000" w:fill="000000"/>
                <w:fitText w:val="90" w:id="-1168382197"/>
                <w14:textFill>
                  <w14:solidFill>
                    <w14:srgbClr w14:val="000000">
                      <w14:alpha w14:val="100000"/>
                    </w14:srgbClr>
                  </w14:solidFill>
                </w14:textFill>
              </w:rPr>
              <w:t xml:space="preserve">　</w:t>
            </w:r>
            <w:r w:rsidR="002D5E67" w:rsidRPr="004A0601">
              <w:rPr>
                <w:rFonts w:cs="Arial Narrow"/>
                <w:sz w:val="18"/>
                <w:szCs w:val="18"/>
                <w:vertAlign w:val="superscript"/>
              </w:rPr>
              <w:t>3</w:t>
            </w:r>
          </w:p>
        </w:tc>
        <w:tc>
          <w:tcPr>
            <w:tcW w:w="1134" w:type="dxa"/>
            <w:shd w:val="clear" w:color="auto" w:fill="auto"/>
            <w:vAlign w:val="center"/>
          </w:tcPr>
          <w:p w14:paraId="5B15B37F" w14:textId="404457C4" w:rsidR="00E95E7E" w:rsidRPr="004A0601" w:rsidRDefault="001F207D" w:rsidP="00E95E7E">
            <w:pPr>
              <w:pStyle w:val="COMTabletext"/>
              <w:jc w:val="center"/>
              <w:rPr>
                <w:highlight w:val="darkGray"/>
              </w:rPr>
            </w:pPr>
            <w:r w:rsidRPr="001F207D">
              <w:rPr>
                <w:rFonts w:hint="eastAsia"/>
                <w:b/>
                <w:bCs w:val="0"/>
                <w:color w:val="000000"/>
                <w:w w:val="20"/>
                <w:shd w:val="solid" w:color="000000" w:fill="000000"/>
                <w:fitText w:val="90" w:id="-1168382196"/>
                <w14:textFill>
                  <w14:solidFill>
                    <w14:srgbClr w14:val="000000">
                      <w14:alpha w14:val="100000"/>
                    </w14:srgbClr>
                  </w14:solidFill>
                </w14:textFill>
              </w:rPr>
              <w:t xml:space="preserve">　</w:t>
            </w:r>
            <w:r w:rsidRPr="001F207D">
              <w:rPr>
                <w:b/>
                <w:bCs w:val="0"/>
                <w:color w:val="000000"/>
                <w:w w:val="20"/>
                <w:shd w:val="solid" w:color="000000" w:fill="000000"/>
                <w:fitText w:val="90" w:id="-1168382196"/>
                <w14:textFill>
                  <w14:solidFill>
                    <w14:srgbClr w14:val="000000">
                      <w14:alpha w14:val="100000"/>
                    </w14:srgbClr>
                  </w14:solidFill>
                </w14:textFill>
              </w:rPr>
              <w:t>|</w:t>
            </w:r>
            <w:r w:rsidRPr="001F207D">
              <w:rPr>
                <w:rFonts w:hint="eastAsia"/>
                <w:b/>
                <w:bCs w:val="0"/>
                <w:color w:val="000000"/>
                <w:spacing w:val="2"/>
                <w:w w:val="20"/>
                <w:shd w:val="solid" w:color="000000" w:fill="000000"/>
                <w:fitText w:val="90" w:id="-1168382196"/>
                <w14:textFill>
                  <w14:solidFill>
                    <w14:srgbClr w14:val="000000">
                      <w14:alpha w14:val="100000"/>
                    </w14:srgbClr>
                  </w14:solidFill>
                </w14:textFill>
              </w:rPr>
              <w:t xml:space="preserve">　</w:t>
            </w:r>
            <w:r w:rsidR="002D5E67" w:rsidRPr="004A0601">
              <w:rPr>
                <w:rFonts w:cs="Arial Narrow"/>
                <w:sz w:val="18"/>
                <w:szCs w:val="18"/>
                <w:vertAlign w:val="superscript"/>
              </w:rPr>
              <w:t>9</w:t>
            </w:r>
          </w:p>
        </w:tc>
        <w:tc>
          <w:tcPr>
            <w:tcW w:w="1134" w:type="dxa"/>
            <w:shd w:val="clear" w:color="auto" w:fill="auto"/>
            <w:vAlign w:val="center"/>
          </w:tcPr>
          <w:p w14:paraId="6A93FF4D" w14:textId="7F12B261" w:rsidR="00E95E7E" w:rsidRPr="004A0601" w:rsidRDefault="001F207D" w:rsidP="00E95E7E">
            <w:pPr>
              <w:pStyle w:val="COMTabletext"/>
              <w:jc w:val="center"/>
              <w:rPr>
                <w:highlight w:val="darkGray"/>
              </w:rPr>
            </w:pPr>
            <w:r w:rsidRPr="001F207D">
              <w:rPr>
                <w:rFonts w:hint="eastAsia"/>
                <w:b/>
                <w:bCs w:val="0"/>
                <w:color w:val="000000"/>
                <w:w w:val="20"/>
                <w:shd w:val="solid" w:color="000000" w:fill="000000"/>
                <w:fitText w:val="90" w:id="-1168382195"/>
                <w14:textFill>
                  <w14:solidFill>
                    <w14:srgbClr w14:val="000000">
                      <w14:alpha w14:val="100000"/>
                    </w14:srgbClr>
                  </w14:solidFill>
                </w14:textFill>
              </w:rPr>
              <w:t xml:space="preserve">　</w:t>
            </w:r>
            <w:r w:rsidRPr="001F207D">
              <w:rPr>
                <w:b/>
                <w:bCs w:val="0"/>
                <w:color w:val="000000"/>
                <w:w w:val="20"/>
                <w:shd w:val="solid" w:color="000000" w:fill="000000"/>
                <w:fitText w:val="90" w:id="-1168382195"/>
                <w14:textFill>
                  <w14:solidFill>
                    <w14:srgbClr w14:val="000000">
                      <w14:alpha w14:val="100000"/>
                    </w14:srgbClr>
                  </w14:solidFill>
                </w14:textFill>
              </w:rPr>
              <w:t>|</w:t>
            </w:r>
            <w:r w:rsidRPr="001F207D">
              <w:rPr>
                <w:rFonts w:hint="eastAsia"/>
                <w:b/>
                <w:bCs w:val="0"/>
                <w:color w:val="000000"/>
                <w:spacing w:val="2"/>
                <w:w w:val="20"/>
                <w:shd w:val="solid" w:color="000000" w:fill="000000"/>
                <w:fitText w:val="90" w:id="-1168382195"/>
                <w14:textFill>
                  <w14:solidFill>
                    <w14:srgbClr w14:val="000000">
                      <w14:alpha w14:val="100000"/>
                    </w14:srgbClr>
                  </w14:solidFill>
                </w14:textFill>
              </w:rPr>
              <w:t xml:space="preserve">　</w:t>
            </w:r>
            <w:r w:rsidR="002D5E67" w:rsidRPr="004A0601">
              <w:rPr>
                <w:rFonts w:cs="Arial Narrow"/>
                <w:sz w:val="18"/>
                <w:szCs w:val="18"/>
                <w:vertAlign w:val="superscript"/>
              </w:rPr>
              <w:t>9</w:t>
            </w:r>
          </w:p>
        </w:tc>
        <w:tc>
          <w:tcPr>
            <w:tcW w:w="1276" w:type="dxa"/>
            <w:shd w:val="clear" w:color="auto" w:fill="auto"/>
            <w:vAlign w:val="center"/>
          </w:tcPr>
          <w:p w14:paraId="4AB629F4" w14:textId="4DE3EC35" w:rsidR="00E95E7E" w:rsidRPr="004A0601" w:rsidRDefault="001F207D" w:rsidP="00E95E7E">
            <w:pPr>
              <w:pStyle w:val="COMTabletext"/>
              <w:jc w:val="center"/>
              <w:rPr>
                <w:highlight w:val="darkGray"/>
              </w:rPr>
            </w:pPr>
            <w:r w:rsidRPr="00185CBC">
              <w:rPr>
                <w:rFonts w:hint="eastAsia"/>
                <w:b/>
                <w:bCs w:val="0"/>
                <w:color w:val="000000"/>
                <w:w w:val="15"/>
                <w:shd w:val="solid" w:color="000000" w:fill="000000"/>
                <w:fitText w:val="15" w:id="-1168382194"/>
                <w14:textFill>
                  <w14:solidFill>
                    <w14:srgbClr w14:val="000000">
                      <w14:alpha w14:val="100000"/>
                    </w14:srgbClr>
                  </w14:solidFill>
                </w14:textFill>
              </w:rPr>
              <w:t xml:space="preserve">　</w:t>
            </w:r>
            <w:r w:rsidRPr="00185CBC">
              <w:rPr>
                <w:b/>
                <w:bCs w:val="0"/>
                <w:color w:val="000000"/>
                <w:w w:val="15"/>
                <w:shd w:val="solid" w:color="000000" w:fill="000000"/>
                <w:fitText w:val="15" w:id="-1168382194"/>
                <w14:textFill>
                  <w14:solidFill>
                    <w14:srgbClr w14:val="000000">
                      <w14:alpha w14:val="100000"/>
                    </w14:srgbClr>
                  </w14:solidFill>
                </w14:textFill>
              </w:rPr>
              <w:t>|</w:t>
            </w:r>
            <w:r w:rsidRPr="00185CBC">
              <w:rPr>
                <w:rFonts w:hint="eastAsia"/>
                <w:b/>
                <w:bCs w:val="0"/>
                <w:color w:val="000000"/>
                <w:spacing w:val="-51"/>
                <w:w w:val="15"/>
                <w:shd w:val="solid" w:color="000000" w:fill="000000"/>
                <w:fitText w:val="15" w:id="-1168382194"/>
                <w14:textFill>
                  <w14:solidFill>
                    <w14:srgbClr w14:val="000000">
                      <w14:alpha w14:val="100000"/>
                    </w14:srgbClr>
                  </w14:solidFill>
                </w14:textFill>
              </w:rPr>
              <w:t xml:space="preserve">　</w:t>
            </w:r>
            <w:r w:rsidR="002D5E67" w:rsidRPr="004A0601">
              <w:rPr>
                <w:rFonts w:cs="Arial Narrow"/>
                <w:sz w:val="18"/>
                <w:szCs w:val="18"/>
                <w:vertAlign w:val="superscript"/>
              </w:rPr>
              <w:t>7</w:t>
            </w:r>
          </w:p>
        </w:tc>
        <w:tc>
          <w:tcPr>
            <w:tcW w:w="1276" w:type="dxa"/>
            <w:shd w:val="clear" w:color="auto" w:fill="auto"/>
            <w:vAlign w:val="center"/>
          </w:tcPr>
          <w:p w14:paraId="49744E95" w14:textId="3D863F36" w:rsidR="00E95E7E" w:rsidRPr="004A0601" w:rsidRDefault="001F207D" w:rsidP="00E95E7E">
            <w:pPr>
              <w:pStyle w:val="COMTabletext"/>
              <w:jc w:val="center"/>
              <w:rPr>
                <w:highlight w:val="darkGray"/>
              </w:rPr>
            </w:pPr>
            <w:r w:rsidRPr="00185CBC">
              <w:rPr>
                <w:rFonts w:hint="eastAsia"/>
                <w:b/>
                <w:bCs w:val="0"/>
                <w:color w:val="000000"/>
                <w:w w:val="15"/>
                <w:shd w:val="solid" w:color="000000" w:fill="000000"/>
                <w:fitText w:val="15" w:id="-1168382193"/>
                <w14:textFill>
                  <w14:solidFill>
                    <w14:srgbClr w14:val="000000">
                      <w14:alpha w14:val="100000"/>
                    </w14:srgbClr>
                  </w14:solidFill>
                </w14:textFill>
              </w:rPr>
              <w:t xml:space="preserve">　</w:t>
            </w:r>
            <w:r w:rsidRPr="00185CBC">
              <w:rPr>
                <w:b/>
                <w:bCs w:val="0"/>
                <w:color w:val="000000"/>
                <w:w w:val="15"/>
                <w:shd w:val="solid" w:color="000000" w:fill="000000"/>
                <w:fitText w:val="15" w:id="-1168382193"/>
                <w14:textFill>
                  <w14:solidFill>
                    <w14:srgbClr w14:val="000000">
                      <w14:alpha w14:val="100000"/>
                    </w14:srgbClr>
                  </w14:solidFill>
                </w14:textFill>
              </w:rPr>
              <w:t>|</w:t>
            </w:r>
            <w:r w:rsidRPr="00185CBC">
              <w:rPr>
                <w:rFonts w:hint="eastAsia"/>
                <w:b/>
                <w:bCs w:val="0"/>
                <w:color w:val="000000"/>
                <w:spacing w:val="-51"/>
                <w:w w:val="15"/>
                <w:shd w:val="solid" w:color="000000" w:fill="000000"/>
                <w:fitText w:val="15" w:id="-1168382193"/>
                <w14:textFill>
                  <w14:solidFill>
                    <w14:srgbClr w14:val="000000">
                      <w14:alpha w14:val="100000"/>
                    </w14:srgbClr>
                  </w14:solidFill>
                </w14:textFill>
              </w:rPr>
              <w:t xml:space="preserve">　</w:t>
            </w:r>
            <w:r w:rsidR="00BE2AAB" w:rsidRPr="004A0601">
              <w:rPr>
                <w:rFonts w:cs="Arial Narrow"/>
                <w:sz w:val="18"/>
                <w:szCs w:val="18"/>
                <w:vertAlign w:val="superscript"/>
              </w:rPr>
              <w:t>7</w:t>
            </w:r>
          </w:p>
        </w:tc>
      </w:tr>
    </w:tbl>
    <w:p w14:paraId="18AB054B" w14:textId="374AC750" w:rsidR="001C7A5A" w:rsidRPr="00FA1E86" w:rsidRDefault="001C7A5A" w:rsidP="001C7A5A">
      <w:pPr>
        <w:pStyle w:val="COMTablefooter"/>
      </w:pPr>
      <w:r w:rsidRPr="00FA1E86">
        <w:t>Source: Table 4.2-2 p312; Table 4.2-3 p 314; p 4.2-4 314; Table 4.2-7 p317; Table 4.2-8 p317</w:t>
      </w:r>
      <w:r w:rsidR="00E95E7E" w:rsidRPr="00FA1E86">
        <w:t>; Table 4.3-1 p319; Table 4.3-2 p320; Table 4.4-1 p321 of the submission</w:t>
      </w:r>
    </w:p>
    <w:p w14:paraId="20BA5800" w14:textId="1B33E735" w:rsidR="00EC2D33" w:rsidRDefault="001C7A5A" w:rsidP="004A0601">
      <w:pPr>
        <w:pStyle w:val="COMTablefooter"/>
        <w:spacing w:after="0"/>
      </w:pPr>
      <w:r w:rsidRPr="00FA1E86">
        <w:t>Abbreviations: DPMQ, dispensed price per maximum quantity; GLP-1 RA glucagon-like peptide-1 receptor agonists; PBS, Pharmaceutical Benefits Scheme; RPBS, Repatriation Pharmaceutical Benefits Scheme</w:t>
      </w:r>
    </w:p>
    <w:p w14:paraId="0649176B" w14:textId="77777777" w:rsidR="00085AAE" w:rsidRPr="00F2167D" w:rsidRDefault="00085AAE" w:rsidP="004A0601">
      <w:pPr>
        <w:tabs>
          <w:tab w:val="center" w:pos="4513"/>
          <w:tab w:val="right" w:pos="9026"/>
        </w:tabs>
        <w:autoSpaceDE w:val="0"/>
        <w:autoSpaceDN w:val="0"/>
        <w:adjustRightInd w:val="0"/>
        <w:rPr>
          <w:rFonts w:ascii="Arial Narrow" w:hAnsi="Arial Narrow" w:cs="Arial Narrow"/>
          <w:i/>
          <w:iCs/>
          <w:sz w:val="18"/>
          <w:szCs w:val="18"/>
        </w:rPr>
      </w:pPr>
      <w:r w:rsidRPr="00F2167D">
        <w:rPr>
          <w:rFonts w:ascii="Arial Narrow" w:hAnsi="Arial Narrow" w:cs="Arial Narrow"/>
          <w:i/>
          <w:iCs/>
          <w:sz w:val="18"/>
          <w:szCs w:val="18"/>
        </w:rPr>
        <w:t>The redacted values correspond to the following ranges:</w:t>
      </w:r>
    </w:p>
    <w:p w14:paraId="3D142AD4" w14:textId="1D7E34D7" w:rsidR="00085AAE" w:rsidRPr="00F2167D" w:rsidRDefault="00085AAE" w:rsidP="004A0601">
      <w:pPr>
        <w:tabs>
          <w:tab w:val="center" w:pos="4513"/>
          <w:tab w:val="right" w:pos="9026"/>
        </w:tabs>
        <w:autoSpaceDE w:val="0"/>
        <w:autoSpaceDN w:val="0"/>
        <w:adjustRightInd w:val="0"/>
        <w:rPr>
          <w:rFonts w:ascii="Arial Narrow" w:hAnsi="Arial Narrow" w:cs="Arial Narrow"/>
          <w:i/>
          <w:iCs/>
          <w:sz w:val="18"/>
          <w:szCs w:val="18"/>
        </w:rPr>
      </w:pPr>
      <w:r w:rsidRPr="004A0601">
        <w:rPr>
          <w:rFonts w:ascii="Arial Narrow" w:hAnsi="Arial Narrow" w:cs="Arial Narrow"/>
          <w:i/>
          <w:iCs/>
          <w:sz w:val="18"/>
          <w:szCs w:val="18"/>
          <w:vertAlign w:val="superscript"/>
        </w:rPr>
        <w:t>1</w:t>
      </w:r>
      <w:r w:rsidRPr="004A0601">
        <w:rPr>
          <w:rFonts w:ascii="Arial Narrow" w:hAnsi="Arial Narrow" w:cs="Arial Narrow"/>
          <w:i/>
          <w:iCs/>
          <w:sz w:val="18"/>
          <w:szCs w:val="18"/>
        </w:rPr>
        <w:t xml:space="preserve"> 2,000,000 to &lt; 3,000,000</w:t>
      </w:r>
    </w:p>
    <w:p w14:paraId="49BBE161" w14:textId="7D2B0BE7" w:rsidR="00085AAE" w:rsidRPr="00F2167D" w:rsidRDefault="00085AAE" w:rsidP="00085AAE">
      <w:pPr>
        <w:autoSpaceDE w:val="0"/>
        <w:autoSpaceDN w:val="0"/>
        <w:adjustRightInd w:val="0"/>
        <w:jc w:val="left"/>
        <w:rPr>
          <w:rFonts w:ascii="Arial Narrow" w:hAnsi="Arial Narrow" w:cs="Arial Narrow"/>
          <w:i/>
          <w:iCs/>
          <w:sz w:val="18"/>
          <w:szCs w:val="18"/>
        </w:rPr>
      </w:pPr>
      <w:r w:rsidRPr="004A0601">
        <w:rPr>
          <w:rFonts w:ascii="Arial Narrow" w:hAnsi="Arial Narrow" w:cs="Arial Narrow"/>
          <w:i/>
          <w:iCs/>
          <w:sz w:val="18"/>
          <w:szCs w:val="18"/>
          <w:vertAlign w:val="superscript"/>
        </w:rPr>
        <w:t>2</w:t>
      </w:r>
      <w:r w:rsidRPr="004A0601">
        <w:rPr>
          <w:rFonts w:ascii="Arial Narrow" w:hAnsi="Arial Narrow" w:cs="Arial Narrow"/>
          <w:i/>
          <w:iCs/>
          <w:sz w:val="18"/>
          <w:szCs w:val="18"/>
        </w:rPr>
        <w:t xml:space="preserve"> 700,000 to &lt; 800,000</w:t>
      </w:r>
    </w:p>
    <w:p w14:paraId="47C22253" w14:textId="05EA3A18" w:rsidR="00085AAE" w:rsidRPr="00F2167D" w:rsidRDefault="00085AAE" w:rsidP="00085AAE">
      <w:pPr>
        <w:autoSpaceDE w:val="0"/>
        <w:autoSpaceDN w:val="0"/>
        <w:adjustRightInd w:val="0"/>
        <w:jc w:val="left"/>
        <w:rPr>
          <w:rFonts w:ascii="Arial Narrow" w:hAnsi="Arial Narrow" w:cs="Arial Narrow"/>
          <w:i/>
          <w:iCs/>
          <w:sz w:val="18"/>
          <w:szCs w:val="18"/>
        </w:rPr>
      </w:pPr>
      <w:r w:rsidRPr="004A0601">
        <w:rPr>
          <w:rFonts w:ascii="Arial Narrow" w:hAnsi="Arial Narrow" w:cs="Arial Narrow"/>
          <w:i/>
          <w:iCs/>
          <w:sz w:val="18"/>
          <w:szCs w:val="18"/>
          <w:vertAlign w:val="superscript"/>
        </w:rPr>
        <w:t xml:space="preserve">3 </w:t>
      </w:r>
      <w:r w:rsidRPr="004A0601">
        <w:rPr>
          <w:rFonts w:ascii="Arial Narrow" w:hAnsi="Arial Narrow" w:cs="Arial Narrow"/>
          <w:i/>
          <w:iCs/>
          <w:sz w:val="18"/>
          <w:szCs w:val="18"/>
        </w:rPr>
        <w:t>$100 million to &lt; $200 million</w:t>
      </w:r>
    </w:p>
    <w:p w14:paraId="7DABAD0E" w14:textId="5BC1ADE6" w:rsidR="00085AAE" w:rsidRPr="00F2167D" w:rsidRDefault="00085AAE" w:rsidP="00085AAE">
      <w:pPr>
        <w:autoSpaceDE w:val="0"/>
        <w:autoSpaceDN w:val="0"/>
        <w:adjustRightInd w:val="0"/>
        <w:jc w:val="left"/>
        <w:rPr>
          <w:rFonts w:ascii="Arial Narrow" w:hAnsi="Arial Narrow" w:cs="Arial Narrow"/>
          <w:i/>
          <w:iCs/>
          <w:sz w:val="18"/>
          <w:szCs w:val="18"/>
        </w:rPr>
      </w:pPr>
      <w:r w:rsidRPr="004A0601">
        <w:rPr>
          <w:rFonts w:ascii="Arial Narrow" w:hAnsi="Arial Narrow" w:cs="Arial Narrow"/>
          <w:i/>
          <w:iCs/>
          <w:sz w:val="18"/>
          <w:szCs w:val="18"/>
          <w:vertAlign w:val="superscript"/>
        </w:rPr>
        <w:t xml:space="preserve">4 </w:t>
      </w:r>
      <w:r w:rsidRPr="004A0601">
        <w:rPr>
          <w:rFonts w:ascii="Arial Narrow" w:hAnsi="Arial Narrow" w:cs="Arial Narrow"/>
          <w:i/>
          <w:iCs/>
          <w:sz w:val="18"/>
          <w:szCs w:val="18"/>
        </w:rPr>
        <w:t>net cost saving</w:t>
      </w:r>
    </w:p>
    <w:p w14:paraId="3E1AE94C" w14:textId="5B42AFEE" w:rsidR="00085AAE" w:rsidRPr="00F2167D" w:rsidRDefault="00085AAE" w:rsidP="00085AAE">
      <w:pPr>
        <w:autoSpaceDE w:val="0"/>
        <w:autoSpaceDN w:val="0"/>
        <w:adjustRightInd w:val="0"/>
        <w:jc w:val="left"/>
        <w:rPr>
          <w:rFonts w:ascii="Arial Narrow" w:hAnsi="Arial Narrow" w:cs="Arial Narrow"/>
          <w:i/>
          <w:iCs/>
          <w:sz w:val="18"/>
          <w:szCs w:val="18"/>
        </w:rPr>
      </w:pPr>
      <w:r w:rsidRPr="004A0601">
        <w:rPr>
          <w:rFonts w:ascii="Arial Narrow" w:hAnsi="Arial Narrow" w:cs="Arial Narrow"/>
          <w:i/>
          <w:iCs/>
          <w:sz w:val="18"/>
          <w:szCs w:val="18"/>
          <w:vertAlign w:val="superscript"/>
        </w:rPr>
        <w:t>5</w:t>
      </w:r>
      <w:r w:rsidRPr="004A0601">
        <w:rPr>
          <w:rFonts w:ascii="Arial Narrow" w:hAnsi="Arial Narrow" w:cs="Arial Narrow"/>
          <w:i/>
          <w:iCs/>
          <w:sz w:val="18"/>
          <w:szCs w:val="18"/>
        </w:rPr>
        <w:t xml:space="preserve"> $90 million to &lt; $100 million</w:t>
      </w:r>
    </w:p>
    <w:p w14:paraId="2974E226" w14:textId="34DE541C" w:rsidR="00085AAE" w:rsidRPr="00F2167D" w:rsidRDefault="00085AAE" w:rsidP="00085AAE">
      <w:pPr>
        <w:autoSpaceDE w:val="0"/>
        <w:autoSpaceDN w:val="0"/>
        <w:adjustRightInd w:val="0"/>
        <w:jc w:val="left"/>
        <w:rPr>
          <w:rFonts w:ascii="Arial Narrow" w:hAnsi="Arial Narrow" w:cs="Arial Narrow"/>
          <w:i/>
          <w:iCs/>
          <w:sz w:val="18"/>
          <w:szCs w:val="18"/>
        </w:rPr>
      </w:pPr>
      <w:r w:rsidRPr="004A0601">
        <w:rPr>
          <w:rFonts w:ascii="Arial Narrow" w:hAnsi="Arial Narrow" w:cs="Arial Narrow"/>
          <w:i/>
          <w:iCs/>
          <w:sz w:val="18"/>
          <w:szCs w:val="18"/>
          <w:vertAlign w:val="superscript"/>
        </w:rPr>
        <w:t xml:space="preserve">6 </w:t>
      </w:r>
      <w:r w:rsidRPr="004A0601">
        <w:rPr>
          <w:rFonts w:ascii="Arial Narrow" w:hAnsi="Arial Narrow" w:cs="Arial Narrow"/>
          <w:i/>
          <w:iCs/>
          <w:sz w:val="18"/>
          <w:szCs w:val="18"/>
        </w:rPr>
        <w:t>1,000,000 to &lt; 2,000,000</w:t>
      </w:r>
    </w:p>
    <w:p w14:paraId="0414A7F8" w14:textId="3363CCF9" w:rsidR="00085AAE" w:rsidRPr="00F2167D" w:rsidRDefault="00085AAE" w:rsidP="00085AAE">
      <w:pPr>
        <w:autoSpaceDE w:val="0"/>
        <w:autoSpaceDN w:val="0"/>
        <w:adjustRightInd w:val="0"/>
        <w:jc w:val="left"/>
        <w:rPr>
          <w:rFonts w:ascii="Arial Narrow" w:hAnsi="Arial Narrow" w:cs="Arial Narrow"/>
          <w:i/>
          <w:iCs/>
          <w:sz w:val="18"/>
          <w:szCs w:val="18"/>
        </w:rPr>
      </w:pPr>
      <w:r w:rsidRPr="004A0601">
        <w:rPr>
          <w:rFonts w:ascii="Arial Narrow" w:hAnsi="Arial Narrow" w:cs="Arial Narrow"/>
          <w:i/>
          <w:iCs/>
          <w:sz w:val="18"/>
          <w:szCs w:val="18"/>
          <w:vertAlign w:val="superscript"/>
        </w:rPr>
        <w:t xml:space="preserve">7 </w:t>
      </w:r>
      <w:r w:rsidR="002D5E67" w:rsidRPr="004A0601">
        <w:rPr>
          <w:rFonts w:ascii="Arial Narrow" w:hAnsi="Arial Narrow" w:cs="Arial Narrow"/>
          <w:i/>
          <w:iCs/>
          <w:sz w:val="18"/>
          <w:szCs w:val="18"/>
        </w:rPr>
        <w:t>$300 million to &lt; $400 million</w:t>
      </w:r>
    </w:p>
    <w:p w14:paraId="277C989B" w14:textId="68DC16CD" w:rsidR="00085AAE" w:rsidRPr="00F2167D" w:rsidRDefault="00085AAE" w:rsidP="00085AAE">
      <w:pPr>
        <w:autoSpaceDE w:val="0"/>
        <w:autoSpaceDN w:val="0"/>
        <w:adjustRightInd w:val="0"/>
        <w:jc w:val="left"/>
        <w:rPr>
          <w:rFonts w:ascii="Arial Narrow" w:hAnsi="Arial Narrow" w:cs="Arial Narrow"/>
          <w:i/>
          <w:iCs/>
          <w:sz w:val="18"/>
          <w:szCs w:val="18"/>
        </w:rPr>
      </w:pPr>
      <w:r w:rsidRPr="004A0601">
        <w:rPr>
          <w:rFonts w:ascii="Arial Narrow" w:hAnsi="Arial Narrow" w:cs="Arial Narrow"/>
          <w:sz w:val="18"/>
          <w:szCs w:val="18"/>
          <w:vertAlign w:val="superscript"/>
        </w:rPr>
        <w:t xml:space="preserve">8 </w:t>
      </w:r>
      <w:r w:rsidR="002D5E67" w:rsidRPr="004A0601">
        <w:rPr>
          <w:rFonts w:ascii="Arial Narrow" w:hAnsi="Arial Narrow" w:cs="Arial Narrow"/>
          <w:i/>
          <w:iCs/>
          <w:sz w:val="18"/>
          <w:szCs w:val="18"/>
        </w:rPr>
        <w:t>$400 million to &lt; $500 million</w:t>
      </w:r>
    </w:p>
    <w:p w14:paraId="71F73F08" w14:textId="300489D0" w:rsidR="00085AAE" w:rsidRPr="00F2167D" w:rsidRDefault="00085AAE" w:rsidP="00085AAE">
      <w:pPr>
        <w:autoSpaceDE w:val="0"/>
        <w:autoSpaceDN w:val="0"/>
        <w:adjustRightInd w:val="0"/>
        <w:jc w:val="left"/>
        <w:rPr>
          <w:rFonts w:ascii="Arial Narrow" w:hAnsi="Arial Narrow" w:cs="Arial Narrow"/>
          <w:i/>
          <w:iCs/>
          <w:sz w:val="18"/>
          <w:szCs w:val="18"/>
        </w:rPr>
      </w:pPr>
      <w:r w:rsidRPr="004A0601">
        <w:rPr>
          <w:rFonts w:ascii="Arial Narrow" w:hAnsi="Arial Narrow" w:cs="Arial Narrow"/>
          <w:sz w:val="18"/>
          <w:szCs w:val="18"/>
          <w:vertAlign w:val="superscript"/>
        </w:rPr>
        <w:t>9</w:t>
      </w:r>
      <w:r w:rsidR="002D5E67" w:rsidRPr="004A0601">
        <w:rPr>
          <w:rFonts w:ascii="Arial Narrow" w:hAnsi="Arial Narrow" w:cs="Arial Narrow"/>
          <w:i/>
          <w:iCs/>
          <w:sz w:val="18"/>
          <w:szCs w:val="18"/>
        </w:rPr>
        <w:t>$200 million to &lt; $300 million</w:t>
      </w:r>
    </w:p>
    <w:p w14:paraId="353A161C" w14:textId="3E29EFB8" w:rsidR="00085AAE" w:rsidRPr="00F2167D" w:rsidRDefault="00085AAE" w:rsidP="00085AAE">
      <w:pPr>
        <w:autoSpaceDE w:val="0"/>
        <w:autoSpaceDN w:val="0"/>
        <w:adjustRightInd w:val="0"/>
        <w:jc w:val="left"/>
        <w:rPr>
          <w:rFonts w:ascii="Arial Narrow" w:hAnsi="Arial Narrow" w:cs="Arial Narrow"/>
          <w:i/>
          <w:iCs/>
          <w:sz w:val="18"/>
          <w:szCs w:val="18"/>
        </w:rPr>
      </w:pPr>
      <w:r w:rsidRPr="004A0601">
        <w:rPr>
          <w:rFonts w:ascii="Arial Narrow" w:hAnsi="Arial Narrow" w:cs="Arial Narrow"/>
          <w:i/>
          <w:iCs/>
          <w:sz w:val="18"/>
          <w:szCs w:val="18"/>
          <w:vertAlign w:val="superscript"/>
        </w:rPr>
        <w:t>10</w:t>
      </w:r>
      <w:r w:rsidRPr="004A0601">
        <w:rPr>
          <w:rFonts w:ascii="Arial Narrow" w:hAnsi="Arial Narrow" w:cs="Arial Narrow"/>
          <w:i/>
          <w:iCs/>
          <w:sz w:val="18"/>
          <w:szCs w:val="18"/>
        </w:rPr>
        <w:t xml:space="preserve"> </w:t>
      </w:r>
      <w:r w:rsidR="002D5E67" w:rsidRPr="004A0601">
        <w:rPr>
          <w:rFonts w:ascii="Arial Narrow" w:hAnsi="Arial Narrow" w:cs="Arial Narrow"/>
          <w:i/>
          <w:iCs/>
          <w:sz w:val="18"/>
          <w:szCs w:val="18"/>
        </w:rPr>
        <w:t>3,000,000 to &lt; 4,000,000</w:t>
      </w:r>
    </w:p>
    <w:p w14:paraId="106F01EC" w14:textId="276D716E" w:rsidR="00085AAE" w:rsidRPr="00F2167D" w:rsidRDefault="00085AAE" w:rsidP="001921CA">
      <w:pPr>
        <w:autoSpaceDE w:val="0"/>
        <w:autoSpaceDN w:val="0"/>
        <w:adjustRightInd w:val="0"/>
        <w:spacing w:after="120"/>
        <w:jc w:val="left"/>
        <w:rPr>
          <w:rFonts w:ascii="Arial Narrow" w:hAnsi="Arial Narrow" w:cs="Arial Narrow"/>
          <w:i/>
          <w:iCs/>
          <w:sz w:val="18"/>
          <w:szCs w:val="18"/>
        </w:rPr>
      </w:pPr>
      <w:r w:rsidRPr="004A0601">
        <w:rPr>
          <w:rFonts w:ascii="Arial Narrow" w:hAnsi="Arial Narrow" w:cs="Arial Narrow"/>
          <w:i/>
          <w:iCs/>
          <w:sz w:val="18"/>
          <w:szCs w:val="18"/>
          <w:vertAlign w:val="superscript"/>
        </w:rPr>
        <w:t>11</w:t>
      </w:r>
      <w:r w:rsidRPr="004A0601">
        <w:rPr>
          <w:rFonts w:ascii="Arial Narrow" w:hAnsi="Arial Narrow" w:cs="Arial Narrow"/>
          <w:i/>
          <w:iCs/>
          <w:sz w:val="18"/>
          <w:szCs w:val="18"/>
        </w:rPr>
        <w:t xml:space="preserve"> </w:t>
      </w:r>
      <w:r w:rsidR="002D5E67" w:rsidRPr="004A0601">
        <w:rPr>
          <w:rFonts w:ascii="Arial Narrow" w:hAnsi="Arial Narrow" w:cs="Arial Narrow"/>
          <w:i/>
          <w:iCs/>
          <w:sz w:val="18"/>
          <w:szCs w:val="18"/>
        </w:rPr>
        <w:t>$500 million to &lt; $600 million</w:t>
      </w:r>
    </w:p>
    <w:p w14:paraId="576A59DA" w14:textId="4AB4BE47" w:rsidR="0044540F" w:rsidRDefault="0044540F" w:rsidP="00D244B6">
      <w:pPr>
        <w:pStyle w:val="COMexecsumnumberedpara"/>
      </w:pPr>
      <w:r w:rsidRPr="00FA1E86">
        <w:t xml:space="preserve">The net cost to the PBS/RPBS was </w:t>
      </w:r>
      <w:r w:rsidR="001819DC" w:rsidRPr="001819DC">
        <w:t>$90 million to &lt; $100 million</w:t>
      </w:r>
      <w:r w:rsidR="00F2167D">
        <w:t xml:space="preserve"> </w:t>
      </w:r>
      <w:r w:rsidRPr="00FA1E86">
        <w:t xml:space="preserve">in Year 1, increasing to </w:t>
      </w:r>
      <w:r w:rsidR="001819DC" w:rsidRPr="001819DC">
        <w:t>$300 million to &lt; $400 million</w:t>
      </w:r>
      <w:r w:rsidR="00F2167D">
        <w:t xml:space="preserve"> i</w:t>
      </w:r>
      <w:r w:rsidRPr="00FA1E86">
        <w:t xml:space="preserve">n Year 6, with a cumulative net cost of </w:t>
      </w:r>
      <w:r w:rsidR="001819DC" w:rsidRPr="001819DC">
        <w:t>&gt; $1 billion</w:t>
      </w:r>
      <w:r w:rsidR="00F2167D">
        <w:t xml:space="preserve"> </w:t>
      </w:r>
      <w:r w:rsidRPr="00FA1E86">
        <w:t>over the first 6 years of listing.</w:t>
      </w:r>
    </w:p>
    <w:p w14:paraId="3E83F9C5" w14:textId="729678AB" w:rsidR="00EC2D33" w:rsidRDefault="0044540F" w:rsidP="00253C04">
      <w:pPr>
        <w:pStyle w:val="COMexecsumnumberedpara"/>
      </w:pPr>
      <w:bookmarkStart w:id="66" w:name="_Ref141265641"/>
      <w:r w:rsidRPr="00E5541A">
        <w:t xml:space="preserve">The estimates presented in the submission were largely uninformative as they were based on historical growth trends for GLP-1 RA therapies which </w:t>
      </w:r>
      <w:r w:rsidR="00723B32">
        <w:t>we</w:t>
      </w:r>
      <w:r w:rsidRPr="00E5541A">
        <w:t xml:space="preserve">re unlikely to reflect the utilisation of GLP-1 RA therapies in the future. The PBAC recently recommended revisions to the GLP-1 RA restrictions which are intended to narrow eligibility to patients who have previously failed SGLT2 inhibitor therapies (due to inadequate response, </w:t>
      </w:r>
      <w:proofErr w:type="gramStart"/>
      <w:r w:rsidRPr="00E5541A">
        <w:t>intolerance</w:t>
      </w:r>
      <w:proofErr w:type="gramEnd"/>
      <w:r w:rsidRPr="00E5541A">
        <w:t xml:space="preserve"> or contraindication) while also requiring a higher authority level for treatment initiation in order to reduce use outside of restrictions (para 5.15, PBS restrictions for type 2 diabetes mellitus medicines, March 2023 PBAC meeting).</w:t>
      </w:r>
      <w:r w:rsidR="00B630C5">
        <w:t xml:space="preserve"> </w:t>
      </w:r>
      <w:r w:rsidR="00B630C5" w:rsidRPr="00BC7837">
        <w:t xml:space="preserve">The PSCR stated that it is difficult to predict the likely future use of GLP-1 RA therapies resulting from the proposed changes in restriction and product shortages. The ESC agreed with the evaluation that the historical growth rates are unlikely to reflect the utilisation of these medicines in the future. </w:t>
      </w:r>
      <w:r w:rsidR="000A21C5" w:rsidRPr="00BC7837">
        <w:t xml:space="preserve">The ESC </w:t>
      </w:r>
      <w:r w:rsidR="000A21C5">
        <w:t xml:space="preserve">also </w:t>
      </w:r>
      <w:r w:rsidR="000A21C5" w:rsidRPr="00BC7837">
        <w:t xml:space="preserve">noted product shortages are of ongoing concern and considered tirzepatide was likely to be met with the same or </w:t>
      </w:r>
      <w:r w:rsidR="000A21C5" w:rsidRPr="00BC7837">
        <w:lastRenderedPageBreak/>
        <w:t>even greater enthusiasm for weight loss as semaglutide</w:t>
      </w:r>
      <w:r w:rsidR="000A21C5" w:rsidRPr="00BC7837">
        <w:rPr>
          <w:rStyle w:val="FootnoteReference"/>
        </w:rPr>
        <w:footnoteReference w:id="4"/>
      </w:r>
      <w:r w:rsidR="000A21C5" w:rsidRPr="00BC7837">
        <w:t>.</w:t>
      </w:r>
      <w:r w:rsidR="00FC0EF3">
        <w:t xml:space="preserve">The pre-PBAC </w:t>
      </w:r>
      <w:proofErr w:type="gramStart"/>
      <w:r w:rsidR="00FC0EF3">
        <w:t>response  maintained</w:t>
      </w:r>
      <w:proofErr w:type="gramEnd"/>
      <w:r w:rsidR="006357F1">
        <w:t xml:space="preserve"> </w:t>
      </w:r>
      <w:r w:rsidR="009C4423">
        <w:t>that</w:t>
      </w:r>
      <w:r w:rsidR="00FC0EF3">
        <w:t xml:space="preserve">, </w:t>
      </w:r>
      <w:r w:rsidR="009C4423">
        <w:t>in the absence of alternative sources</w:t>
      </w:r>
      <w:r w:rsidR="00FC0EF3">
        <w:t xml:space="preserve"> and in line with current clinical practice</w:t>
      </w:r>
      <w:r w:rsidR="009C4423">
        <w:t>, the use of historical data to estimate predicted utilisation</w:t>
      </w:r>
      <w:r w:rsidR="00FC0EF3">
        <w:t xml:space="preserve"> </w:t>
      </w:r>
      <w:r w:rsidR="009C4423">
        <w:t>remain</w:t>
      </w:r>
      <w:r w:rsidR="006357F1">
        <w:t>ed</w:t>
      </w:r>
      <w:r w:rsidR="009C4423">
        <w:t xml:space="preserve"> the </w:t>
      </w:r>
      <w:r w:rsidR="006357F1">
        <w:t>best source of evidence.</w:t>
      </w:r>
      <w:bookmarkEnd w:id="66"/>
    </w:p>
    <w:p w14:paraId="1253792B" w14:textId="27CEAB07" w:rsidR="00B630C5" w:rsidRPr="00BC7837" w:rsidRDefault="00E26C94" w:rsidP="003707F4">
      <w:pPr>
        <w:pStyle w:val="COMexecsumnumberedpara"/>
      </w:pPr>
      <w:bookmarkStart w:id="67" w:name="_Ref141435343"/>
      <w:r w:rsidRPr="00BC7837">
        <w:t xml:space="preserve">The ESC noted the </w:t>
      </w:r>
      <w:r w:rsidR="003707F4" w:rsidRPr="00BC7837">
        <w:t xml:space="preserve">brief </w:t>
      </w:r>
      <w:r w:rsidRPr="00BC7837">
        <w:t>sensitivity analyses presented in the submission.</w:t>
      </w:r>
      <w:r w:rsidR="003707F4" w:rsidRPr="00BC7837">
        <w:t xml:space="preserve"> </w:t>
      </w:r>
      <w:r w:rsidR="00B630C5" w:rsidRPr="00BC7837">
        <w:t>The ESC considered that given the level of uncertainty and the magnitude of the estimated cost, it would be informative to have more ranges considered for key parameters in the sensitivity analyses, which considered projected GLP-1 RA market size, the expected proportion of GLP-1 RA use with insulin and tirzepatide uptake rates.</w:t>
      </w:r>
      <w:bookmarkEnd w:id="67"/>
    </w:p>
    <w:p w14:paraId="7B67AF92" w14:textId="77C09618" w:rsidR="00CC223A" w:rsidRPr="00FA1E86" w:rsidRDefault="00576972" w:rsidP="00CC223A">
      <w:pPr>
        <w:pStyle w:val="COMH2-non-numbered"/>
      </w:pPr>
      <w:bookmarkStart w:id="68" w:name="_Toc22897648"/>
      <w:bookmarkStart w:id="69" w:name="_Toc135227817"/>
      <w:r w:rsidRPr="00FA1E86">
        <w:t>Quality Use of Medicines</w:t>
      </w:r>
      <w:bookmarkEnd w:id="68"/>
      <w:bookmarkEnd w:id="69"/>
    </w:p>
    <w:p w14:paraId="506937DA" w14:textId="052270C8" w:rsidR="00CC223A" w:rsidRPr="00FA1E86" w:rsidRDefault="00CC223A" w:rsidP="00CC223A">
      <w:pPr>
        <w:pStyle w:val="COMexecsumnumberedpara"/>
      </w:pPr>
      <w:r w:rsidRPr="00FA1E86">
        <w:t>The submission stated that the sponsor will undertake pharmacovigilance activities to manage any risks associated with tirzepatide treatment.</w:t>
      </w:r>
    </w:p>
    <w:p w14:paraId="2A7121FA" w14:textId="77777777" w:rsidR="00EC2D33" w:rsidRDefault="00CC223A" w:rsidP="00CC223A">
      <w:pPr>
        <w:pStyle w:val="COMexecsumnumberedpara"/>
      </w:pPr>
      <w:r w:rsidRPr="00E5541A">
        <w:t>Expert advice provided with the submission raised concerns regarding the need for pharmacies to stock the six different tirzepatide dose strengths as well as concerns about the reliable supply of each dose strength in order to allow for adequate dose titration.</w:t>
      </w:r>
      <w:r w:rsidR="00A24ED4">
        <w:t xml:space="preserve"> </w:t>
      </w:r>
      <w:r w:rsidRPr="00E5541A">
        <w:t>During the evaluation, it was noted that tirzepatide has been subject to drug shortages in the United States due to increased demand (FDA drug shortage list, 22 March 2023).</w:t>
      </w:r>
    </w:p>
    <w:p w14:paraId="6BADFBDE" w14:textId="77777777" w:rsidR="00EC2D33" w:rsidRDefault="00CC223A" w:rsidP="00CC223A">
      <w:pPr>
        <w:pStyle w:val="COMexecsumnumberedpara"/>
      </w:pPr>
      <w:r w:rsidRPr="00E5541A">
        <w:t xml:space="preserve">Additionally, the submission has not addressed the use of tirzepatide 2.5 mg, 7.5 </w:t>
      </w:r>
      <w:proofErr w:type="gramStart"/>
      <w:r w:rsidRPr="00E5541A">
        <w:t>mg</w:t>
      </w:r>
      <w:proofErr w:type="gramEnd"/>
      <w:r w:rsidRPr="00E5541A">
        <w:t xml:space="preserve"> and 12.5 mg as maintenance doses despite requesting sufficient repeats to cover 6 months of therapy with these dose strengths.</w:t>
      </w:r>
    </w:p>
    <w:p w14:paraId="1CBBEF56" w14:textId="51314EEF" w:rsidR="009B080F" w:rsidRPr="00FA1E86" w:rsidRDefault="00576972" w:rsidP="009B080F">
      <w:pPr>
        <w:pStyle w:val="COMH2-non-numbered"/>
      </w:pPr>
      <w:bookmarkStart w:id="70" w:name="_Toc22897649"/>
      <w:bookmarkStart w:id="71" w:name="_Toc135227818"/>
      <w:r w:rsidRPr="00FA1E86">
        <w:t>Financial Management – Risk Sharing Arrangements</w:t>
      </w:r>
      <w:bookmarkEnd w:id="70"/>
      <w:bookmarkEnd w:id="71"/>
    </w:p>
    <w:p w14:paraId="00A6E798" w14:textId="77777777" w:rsidR="00EC2D33" w:rsidRDefault="009B080F" w:rsidP="00400438">
      <w:pPr>
        <w:pStyle w:val="COMexecsumnumberedpara"/>
      </w:pPr>
      <w:r w:rsidRPr="00FA1E86">
        <w:t>The submission did not propose a risk-sharing arrangement.</w:t>
      </w:r>
    </w:p>
    <w:p w14:paraId="4FA7694B" w14:textId="4AE65064" w:rsidR="00422C04" w:rsidRDefault="00422C04" w:rsidP="00422C04">
      <w:pPr>
        <w:pStyle w:val="COMexecsumnumberedpara"/>
        <w:numPr>
          <w:ilvl w:val="0"/>
          <w:numId w:val="0"/>
        </w:numPr>
        <w:ind w:left="720"/>
        <w:rPr>
          <w:i/>
          <w:iCs/>
        </w:rPr>
      </w:pPr>
      <w:r w:rsidRPr="00422C04">
        <w:rPr>
          <w:i/>
          <w:iCs/>
        </w:rPr>
        <w:t>For more detail on PBAC’s view, see section 7 PBAC outcome.</w:t>
      </w:r>
    </w:p>
    <w:p w14:paraId="5D5805D0" w14:textId="77777777" w:rsidR="00422C04" w:rsidRPr="004870AD" w:rsidRDefault="00422C04" w:rsidP="004A0601">
      <w:pPr>
        <w:pStyle w:val="COMH1numbered"/>
      </w:pPr>
      <w:bookmarkStart w:id="72" w:name="_Hlk76381249"/>
      <w:bookmarkStart w:id="73" w:name="_Hlk76377955"/>
      <w:r w:rsidRPr="00422C04">
        <w:t>PBAC Outcome</w:t>
      </w:r>
    </w:p>
    <w:p w14:paraId="35959E0D" w14:textId="39413FB5" w:rsidR="00AC1207" w:rsidRPr="00AC1207" w:rsidRDefault="00AC1207" w:rsidP="00AC1207">
      <w:pPr>
        <w:widowControl w:val="0"/>
        <w:numPr>
          <w:ilvl w:val="1"/>
          <w:numId w:val="4"/>
        </w:numPr>
        <w:spacing w:after="120"/>
        <w:rPr>
          <w:rFonts w:asciiTheme="minorHAnsi" w:hAnsiTheme="minorHAnsi"/>
          <w:bCs/>
          <w:iCs/>
          <w:snapToGrid w:val="0"/>
          <w:lang w:val="en-GB" w:eastAsia="en-US"/>
        </w:rPr>
      </w:pPr>
      <w:r w:rsidRPr="00AC1207">
        <w:rPr>
          <w:rFonts w:asciiTheme="minorHAnsi" w:hAnsiTheme="minorHAnsi"/>
          <w:bCs/>
          <w:iCs/>
          <w:snapToGrid w:val="0"/>
          <w:lang w:val="en-GB" w:eastAsia="en-US"/>
        </w:rPr>
        <w:t xml:space="preserve">The PBAC </w:t>
      </w:r>
      <w:r w:rsidRPr="00AC1207">
        <w:rPr>
          <w:rFonts w:asciiTheme="minorHAnsi" w:hAnsiTheme="minorHAnsi"/>
          <w:iCs/>
          <w:snapToGrid w:val="0"/>
          <w:lang w:val="en-GB" w:eastAsia="en-US"/>
        </w:rPr>
        <w:t xml:space="preserve">did not recommend </w:t>
      </w:r>
      <w:r w:rsidRPr="00AC1207">
        <w:rPr>
          <w:rFonts w:asciiTheme="minorHAnsi" w:hAnsiTheme="minorHAnsi"/>
          <w:bCs/>
          <w:iCs/>
          <w:snapToGrid w:val="0"/>
          <w:lang w:val="en-GB" w:eastAsia="en-US"/>
        </w:rPr>
        <w:t>tirzepatide</w:t>
      </w:r>
      <w:r>
        <w:rPr>
          <w:rFonts w:asciiTheme="minorHAnsi" w:hAnsiTheme="minorHAnsi"/>
          <w:bCs/>
          <w:iCs/>
          <w:snapToGrid w:val="0"/>
          <w:lang w:val="en-GB" w:eastAsia="en-US"/>
        </w:rPr>
        <w:t xml:space="preserve"> </w:t>
      </w:r>
      <w:r w:rsidRPr="00AC1207">
        <w:rPr>
          <w:rFonts w:asciiTheme="minorHAnsi" w:hAnsiTheme="minorHAnsi"/>
          <w:bCs/>
          <w:iCs/>
          <w:snapToGrid w:val="0"/>
          <w:lang w:val="en-GB" w:eastAsia="en-US"/>
        </w:rPr>
        <w:t>for the treatment of adult patients with inadequately controlled type 2 diabetes as dual therapy in combination with metformin. The PBAC considered that tirzepatide 10 mg once weekly and tirzepatide 15 mg once weekly w</w:t>
      </w:r>
      <w:r w:rsidR="00B71E27">
        <w:rPr>
          <w:rFonts w:asciiTheme="minorHAnsi" w:hAnsiTheme="minorHAnsi"/>
          <w:bCs/>
          <w:iCs/>
          <w:snapToGrid w:val="0"/>
          <w:lang w:val="en-GB" w:eastAsia="en-US"/>
        </w:rPr>
        <w:t>ere</w:t>
      </w:r>
      <w:r w:rsidRPr="00AC1207">
        <w:rPr>
          <w:rFonts w:asciiTheme="minorHAnsi" w:hAnsiTheme="minorHAnsi"/>
          <w:bCs/>
          <w:iCs/>
          <w:snapToGrid w:val="0"/>
          <w:lang w:val="en-GB" w:eastAsia="en-US"/>
        </w:rPr>
        <w:t xml:space="preserve"> superior in terms of effectiveness for glycaemic benefits and short-term weight loss compared to semaglutide 1 mg once weekly, but this claim </w:t>
      </w:r>
      <w:proofErr w:type="gramStart"/>
      <w:r w:rsidRPr="00AC1207">
        <w:rPr>
          <w:rFonts w:asciiTheme="minorHAnsi" w:hAnsiTheme="minorHAnsi"/>
          <w:bCs/>
          <w:iCs/>
          <w:snapToGrid w:val="0"/>
          <w:lang w:val="en-GB" w:eastAsia="en-US"/>
        </w:rPr>
        <w:t>was not supported</w:t>
      </w:r>
      <w:proofErr w:type="gramEnd"/>
      <w:r w:rsidRPr="00AC1207">
        <w:rPr>
          <w:rFonts w:asciiTheme="minorHAnsi" w:hAnsiTheme="minorHAnsi"/>
          <w:bCs/>
          <w:iCs/>
          <w:snapToGrid w:val="0"/>
          <w:lang w:val="en-GB" w:eastAsia="en-US"/>
        </w:rPr>
        <w:t xml:space="preserve"> for tirzepatide 5 mg once weekly compared to semaglutide 1 mg once weekly. The PBAC considered the non-inferior safety claim </w:t>
      </w:r>
      <w:proofErr w:type="gramStart"/>
      <w:r w:rsidRPr="00AC1207">
        <w:rPr>
          <w:rFonts w:asciiTheme="minorHAnsi" w:hAnsiTheme="minorHAnsi"/>
          <w:bCs/>
          <w:iCs/>
          <w:snapToGrid w:val="0"/>
          <w:lang w:val="en-GB" w:eastAsia="en-US"/>
        </w:rPr>
        <w:t>was not adequately supported</w:t>
      </w:r>
      <w:proofErr w:type="gramEnd"/>
      <w:r w:rsidRPr="00AC1207">
        <w:rPr>
          <w:rFonts w:asciiTheme="minorHAnsi" w:hAnsiTheme="minorHAnsi"/>
          <w:bCs/>
          <w:iCs/>
          <w:snapToGrid w:val="0"/>
          <w:lang w:val="en-GB" w:eastAsia="en-US"/>
        </w:rPr>
        <w:t xml:space="preserve"> for any of the comparisons. The PBAC considered that the incremental cost-</w:t>
      </w:r>
      <w:r w:rsidRPr="00AC1207">
        <w:rPr>
          <w:rFonts w:asciiTheme="minorHAnsi" w:hAnsiTheme="minorHAnsi"/>
          <w:bCs/>
          <w:iCs/>
          <w:snapToGrid w:val="0"/>
          <w:lang w:val="en-GB" w:eastAsia="en-US"/>
        </w:rPr>
        <w:lastRenderedPageBreak/>
        <w:t xml:space="preserve">effectiveness ratio </w:t>
      </w:r>
      <w:r w:rsidR="00FE2AA6">
        <w:rPr>
          <w:rFonts w:asciiTheme="minorHAnsi" w:hAnsiTheme="minorHAnsi"/>
          <w:bCs/>
          <w:iCs/>
          <w:snapToGrid w:val="0"/>
          <w:lang w:val="en-GB" w:eastAsia="en-US"/>
        </w:rPr>
        <w:t xml:space="preserve">(ICER) </w:t>
      </w:r>
      <w:r w:rsidRPr="00AC1207">
        <w:rPr>
          <w:rFonts w:asciiTheme="minorHAnsi" w:hAnsiTheme="minorHAnsi"/>
          <w:bCs/>
          <w:iCs/>
          <w:snapToGrid w:val="0"/>
          <w:lang w:val="en-GB" w:eastAsia="en-US"/>
        </w:rPr>
        <w:t xml:space="preserve">was high, inadequately justified, and uncertain. The PBAC advised that a revised economic model including a substantial price reduction would </w:t>
      </w:r>
      <w:proofErr w:type="gramStart"/>
      <w:r w:rsidRPr="00AC1207">
        <w:rPr>
          <w:rFonts w:asciiTheme="minorHAnsi" w:hAnsiTheme="minorHAnsi"/>
          <w:bCs/>
          <w:iCs/>
          <w:snapToGrid w:val="0"/>
          <w:lang w:val="en-GB" w:eastAsia="en-US"/>
        </w:rPr>
        <w:t>be required</w:t>
      </w:r>
      <w:proofErr w:type="gramEnd"/>
      <w:r w:rsidRPr="00AC1207">
        <w:rPr>
          <w:rFonts w:asciiTheme="minorHAnsi" w:hAnsiTheme="minorHAnsi"/>
          <w:bCs/>
          <w:iCs/>
          <w:snapToGrid w:val="0"/>
          <w:lang w:val="en-GB" w:eastAsia="en-US"/>
        </w:rPr>
        <w:t xml:space="preserve"> for the proposed listing to be considered cost-effective. </w:t>
      </w:r>
      <w:bookmarkStart w:id="74" w:name="_Hlk141263995"/>
      <w:r w:rsidRPr="00AC1207">
        <w:rPr>
          <w:rFonts w:asciiTheme="minorHAnsi" w:hAnsiTheme="minorHAnsi"/>
          <w:bCs/>
          <w:iCs/>
          <w:snapToGrid w:val="0"/>
          <w:lang w:val="en-GB" w:eastAsia="en-US"/>
        </w:rPr>
        <w:t xml:space="preserve">The PBAC also considered that the </w:t>
      </w:r>
      <w:proofErr w:type="gramStart"/>
      <w:r w:rsidRPr="00AC1207">
        <w:rPr>
          <w:rFonts w:asciiTheme="minorHAnsi" w:hAnsiTheme="minorHAnsi"/>
          <w:bCs/>
          <w:iCs/>
          <w:snapToGrid w:val="0"/>
          <w:lang w:val="en-GB" w:eastAsia="en-US"/>
        </w:rPr>
        <w:t>financial impact</w:t>
      </w:r>
      <w:proofErr w:type="gramEnd"/>
      <w:r w:rsidRPr="00AC1207">
        <w:rPr>
          <w:rFonts w:asciiTheme="minorHAnsi" w:hAnsiTheme="minorHAnsi"/>
          <w:bCs/>
          <w:iCs/>
          <w:snapToGrid w:val="0"/>
          <w:lang w:val="en-GB" w:eastAsia="en-US"/>
        </w:rPr>
        <w:t xml:space="preserve"> was extremely high at the requested price and uncertain.</w:t>
      </w:r>
    </w:p>
    <w:bookmarkEnd w:id="74"/>
    <w:p w14:paraId="25C76DB2" w14:textId="283DC3C9" w:rsidR="001B00F0" w:rsidRDefault="001B00F0" w:rsidP="00433E9F">
      <w:pPr>
        <w:widowControl w:val="0"/>
        <w:numPr>
          <w:ilvl w:val="1"/>
          <w:numId w:val="4"/>
        </w:numPr>
        <w:spacing w:after="120"/>
        <w:rPr>
          <w:rFonts w:asciiTheme="minorHAnsi" w:hAnsiTheme="minorHAnsi"/>
          <w:snapToGrid w:val="0"/>
          <w:lang w:val="en-GB" w:eastAsia="en-US"/>
        </w:rPr>
      </w:pPr>
      <w:r>
        <w:rPr>
          <w:rFonts w:asciiTheme="minorHAnsi" w:hAnsiTheme="minorHAnsi"/>
          <w:snapToGrid w:val="0"/>
          <w:lang w:val="en-GB" w:eastAsia="en-US"/>
        </w:rPr>
        <w:t>The PBAC considered the primary reason for this outcome was due to the economic evaluation provided.</w:t>
      </w:r>
    </w:p>
    <w:p w14:paraId="7FF5B1DE" w14:textId="2AF924D6" w:rsidR="00607AD4" w:rsidRPr="00607AD4" w:rsidRDefault="00607AD4" w:rsidP="00433E9F">
      <w:pPr>
        <w:widowControl w:val="0"/>
        <w:numPr>
          <w:ilvl w:val="1"/>
          <w:numId w:val="4"/>
        </w:numPr>
        <w:spacing w:after="120"/>
        <w:rPr>
          <w:rFonts w:asciiTheme="minorHAnsi" w:hAnsiTheme="minorHAnsi"/>
          <w:snapToGrid w:val="0"/>
          <w:lang w:val="en-GB" w:eastAsia="en-US"/>
        </w:rPr>
      </w:pPr>
      <w:r>
        <w:rPr>
          <w:rFonts w:asciiTheme="minorHAnsi" w:hAnsiTheme="minorHAnsi"/>
          <w:snapToGrid w:val="0"/>
          <w:lang w:val="en-GB" w:eastAsia="en-US"/>
        </w:rPr>
        <w:t xml:space="preserve">The PBAC noted </w:t>
      </w:r>
      <w:r w:rsidR="00433E9F">
        <w:rPr>
          <w:rFonts w:asciiTheme="minorHAnsi" w:hAnsiTheme="minorHAnsi"/>
          <w:snapToGrid w:val="0"/>
          <w:lang w:val="en-GB" w:eastAsia="en-US"/>
        </w:rPr>
        <w:t xml:space="preserve">the comments from individuals, health care professionals and organisations which highlighted </w:t>
      </w:r>
      <w:r w:rsidR="00433E9F">
        <w:rPr>
          <w:rFonts w:cs="Calibri"/>
        </w:rPr>
        <w:t xml:space="preserve">benefits of treatment with tirzepatide including </w:t>
      </w:r>
      <w:r w:rsidR="00DA06C9">
        <w:rPr>
          <w:rFonts w:cs="Calibri"/>
        </w:rPr>
        <w:t xml:space="preserve">significant reduction in </w:t>
      </w:r>
      <w:r w:rsidR="00433E9F">
        <w:rPr>
          <w:rFonts w:cs="Calibri"/>
        </w:rPr>
        <w:t>glycated haemoglobin (HbA1c) and weight loss. The comments also highlighted the importance of having multiple therapeutic options for Australians living with difficult to manage type 2 diabetes</w:t>
      </w:r>
      <w:r w:rsidR="00770F86">
        <w:rPr>
          <w:rFonts w:cs="Calibri"/>
        </w:rPr>
        <w:t xml:space="preserve"> to address supply shortages. The PBAC specifically noted and was sympathetic to the notion proposed by the National Aboriginal Community Controlled Health Organisation (NACCHO) that </w:t>
      </w:r>
      <w:r w:rsidR="00770F86" w:rsidRPr="00FA1E86">
        <w:t xml:space="preserve">glucagon-like peptide-1 (GLP-1) </w:t>
      </w:r>
      <w:r w:rsidR="00770F86">
        <w:t>analogues</w:t>
      </w:r>
      <w:r w:rsidR="00770F86">
        <w:rPr>
          <w:rFonts w:cs="Calibri"/>
        </w:rPr>
        <w:t xml:space="preserve"> and tirzepatide be included on the PBS list for Aboriginal and Torres Strait Islander peoples under a Streamline Authority for those with type 2 diabetes or pre-diabetes with obesity with no further restrictions (see paragraph </w:t>
      </w:r>
      <w:r w:rsidR="00770F86">
        <w:rPr>
          <w:rFonts w:cs="Calibri"/>
        </w:rPr>
        <w:fldChar w:fldCharType="begin" w:fldLock="1"/>
      </w:r>
      <w:r w:rsidR="00770F86">
        <w:rPr>
          <w:rFonts w:cs="Calibri"/>
        </w:rPr>
        <w:instrText xml:space="preserve"> REF _Ref140742542 \r \h </w:instrText>
      </w:r>
      <w:r w:rsidR="00770F86">
        <w:rPr>
          <w:rFonts w:cs="Calibri"/>
        </w:rPr>
      </w:r>
      <w:r w:rsidR="00770F86">
        <w:rPr>
          <w:rFonts w:cs="Calibri"/>
        </w:rPr>
        <w:fldChar w:fldCharType="separate"/>
      </w:r>
      <w:r w:rsidR="00391E15">
        <w:rPr>
          <w:rFonts w:cs="Calibri"/>
        </w:rPr>
        <w:t>6.6</w:t>
      </w:r>
      <w:r w:rsidR="00770F86">
        <w:rPr>
          <w:rFonts w:cs="Calibri"/>
        </w:rPr>
        <w:fldChar w:fldCharType="end"/>
      </w:r>
      <w:r w:rsidR="00770F86">
        <w:rPr>
          <w:rFonts w:cs="Calibri"/>
        </w:rPr>
        <w:t xml:space="preserve">). </w:t>
      </w:r>
      <w:r w:rsidR="00DA06C9">
        <w:rPr>
          <w:rFonts w:cs="Calibri"/>
        </w:rPr>
        <w:t>The PBAC would welcome a proposal to address t</w:t>
      </w:r>
      <w:r w:rsidR="00280732">
        <w:rPr>
          <w:rFonts w:cs="Calibri"/>
        </w:rPr>
        <w:t xml:space="preserve">he needs of this higher risk group of patients </w:t>
      </w:r>
      <w:r w:rsidR="00DA06C9">
        <w:rPr>
          <w:rFonts w:cs="Calibri"/>
        </w:rPr>
        <w:t>in a future resubmission.</w:t>
      </w:r>
    </w:p>
    <w:p w14:paraId="4B0D9E12" w14:textId="3D0F55CF" w:rsidR="00AC1207" w:rsidRPr="0083519D" w:rsidRDefault="00607AD4" w:rsidP="00433E9F">
      <w:pPr>
        <w:widowControl w:val="0"/>
        <w:numPr>
          <w:ilvl w:val="1"/>
          <w:numId w:val="4"/>
        </w:numPr>
        <w:spacing w:after="120"/>
        <w:rPr>
          <w:rFonts w:asciiTheme="minorHAnsi" w:hAnsiTheme="minorHAnsi"/>
          <w:snapToGrid w:val="0"/>
          <w:lang w:val="en-GB" w:eastAsia="en-US"/>
        </w:rPr>
      </w:pPr>
      <w:r w:rsidRPr="00FA1E86">
        <w:t xml:space="preserve">The </w:t>
      </w:r>
      <w:r>
        <w:t xml:space="preserve">PBAC considered that the nomination of </w:t>
      </w:r>
      <w:r w:rsidRPr="00FA1E86">
        <w:t xml:space="preserve">semaglutide </w:t>
      </w:r>
      <w:r>
        <w:t xml:space="preserve">as the </w:t>
      </w:r>
      <w:r w:rsidRPr="00FA1E86">
        <w:t>main comparator and dulaglutide as a secondary comparator</w:t>
      </w:r>
      <w:r>
        <w:t xml:space="preserve"> was appropriate</w:t>
      </w:r>
      <w:r w:rsidRPr="00FA1E86">
        <w:t>.</w:t>
      </w:r>
    </w:p>
    <w:p w14:paraId="2CC915CA" w14:textId="0F93877A" w:rsidR="00A51F09" w:rsidRPr="008B6E6F" w:rsidRDefault="0083519D" w:rsidP="008B6E6F">
      <w:pPr>
        <w:widowControl w:val="0"/>
        <w:numPr>
          <w:ilvl w:val="1"/>
          <w:numId w:val="4"/>
        </w:numPr>
        <w:spacing w:after="120"/>
        <w:rPr>
          <w:rFonts w:asciiTheme="minorHAnsi" w:hAnsiTheme="minorHAnsi"/>
          <w:snapToGrid w:val="0"/>
          <w:lang w:val="en-GB" w:eastAsia="en-US"/>
        </w:rPr>
      </w:pPr>
      <w:r>
        <w:t>With respect to the restriction</w:t>
      </w:r>
      <w:r w:rsidR="00A51F09">
        <w:t xml:space="preserve">, </w:t>
      </w:r>
      <w:r w:rsidR="00272A28">
        <w:t>the PBAC considered the requested alignment of the restriction with the March 2023 PBAC review of the T2DM restrictions was appropriate. T</w:t>
      </w:r>
      <w:r w:rsidR="00A51F09">
        <w:t xml:space="preserve">he PBAC </w:t>
      </w:r>
      <w:r w:rsidR="005A438B">
        <w:t>noted the number of repeats for titration doses are not limited for semaglutide</w:t>
      </w:r>
      <w:r w:rsidR="00B2478C">
        <w:t>,</w:t>
      </w:r>
      <w:r w:rsidR="005A438B">
        <w:t xml:space="preserve"> </w:t>
      </w:r>
      <w:r w:rsidR="004C4DA6">
        <w:t>however,</w:t>
      </w:r>
      <w:r w:rsidR="005A438B">
        <w:t xml:space="preserve"> </w:t>
      </w:r>
      <w:r w:rsidR="00B2478C">
        <w:t xml:space="preserve">given multiple titration phases for tirzepatide the PBAC </w:t>
      </w:r>
      <w:r w:rsidR="00A51F09">
        <w:t xml:space="preserve">agreed with the ESC that one repeat would be </w:t>
      </w:r>
      <w:r w:rsidR="00B2478C">
        <w:t xml:space="preserve">most appropriate </w:t>
      </w:r>
      <w:r w:rsidR="00A51F09">
        <w:t>for the 2.5 mg, 7.5</w:t>
      </w:r>
      <w:r w:rsidR="002E55A6">
        <w:t> </w:t>
      </w:r>
      <w:r w:rsidR="00A51F09">
        <w:t xml:space="preserve">mg and 12.5 mg dose strengths </w:t>
      </w:r>
      <w:r w:rsidR="00B2478C">
        <w:t>of tirzep</w:t>
      </w:r>
      <w:r w:rsidR="00A81C3A">
        <w:t>a</w:t>
      </w:r>
      <w:r w:rsidR="00B2478C">
        <w:t xml:space="preserve">tide </w:t>
      </w:r>
      <w:r w:rsidR="00A51F09">
        <w:t>which are used for titration purposes</w:t>
      </w:r>
      <w:r w:rsidR="005A438B">
        <w:t xml:space="preserve"> </w:t>
      </w:r>
      <w:r w:rsidR="00B2478C">
        <w:t xml:space="preserve">only </w:t>
      </w:r>
      <w:r w:rsidR="008B6E6F">
        <w:t xml:space="preserve">(see paragraph </w:t>
      </w:r>
      <w:r w:rsidR="008B6E6F">
        <w:fldChar w:fldCharType="begin" w:fldLock="1"/>
      </w:r>
      <w:r w:rsidR="008B6E6F">
        <w:instrText xml:space="preserve"> REF _Ref140751513 \r \h </w:instrText>
      </w:r>
      <w:r w:rsidR="008B6E6F">
        <w:fldChar w:fldCharType="separate"/>
      </w:r>
      <w:r w:rsidR="00391E15">
        <w:t>3.3</w:t>
      </w:r>
      <w:r w:rsidR="008B6E6F">
        <w:fldChar w:fldCharType="end"/>
      </w:r>
      <w:r w:rsidR="008B6E6F">
        <w:t>)</w:t>
      </w:r>
      <w:r w:rsidR="00A51F09">
        <w:t>.</w:t>
      </w:r>
      <w:r w:rsidR="008B6E6F">
        <w:t xml:space="preserve"> In addition, the PBAC agreed with the ESC that it </w:t>
      </w:r>
      <w:r w:rsidR="005A438B">
        <w:t xml:space="preserve">was likely that </w:t>
      </w:r>
      <w:r w:rsidR="00544C04">
        <w:t>clinicians</w:t>
      </w:r>
      <w:r w:rsidR="005A438B">
        <w:t xml:space="preserve"> would want to also use</w:t>
      </w:r>
      <w:r w:rsidR="00A51F09" w:rsidRPr="008B6E6F">
        <w:rPr>
          <w:rFonts w:asciiTheme="minorHAnsi" w:hAnsiTheme="minorHAnsi"/>
          <w:bCs/>
          <w:iCs/>
          <w:snapToGrid w:val="0"/>
          <w:lang w:val="en-GB" w:eastAsia="en-US"/>
        </w:rPr>
        <w:t xml:space="preserve"> tirzepatide </w:t>
      </w:r>
      <w:r w:rsidR="005A438B">
        <w:rPr>
          <w:rFonts w:asciiTheme="minorHAnsi" w:hAnsiTheme="minorHAnsi"/>
          <w:bCs/>
          <w:iCs/>
          <w:snapToGrid w:val="0"/>
          <w:lang w:val="en-GB" w:eastAsia="en-US"/>
        </w:rPr>
        <w:t xml:space="preserve">in </w:t>
      </w:r>
      <w:r w:rsidR="005A438B" w:rsidRPr="008B6E6F">
        <w:rPr>
          <w:rFonts w:asciiTheme="minorHAnsi" w:hAnsiTheme="minorHAnsi"/>
          <w:bCs/>
          <w:iCs/>
          <w:snapToGrid w:val="0"/>
          <w:lang w:val="en-GB" w:eastAsia="en-US"/>
        </w:rPr>
        <w:t xml:space="preserve">combination </w:t>
      </w:r>
      <w:r w:rsidR="00A51F09" w:rsidRPr="008B6E6F">
        <w:rPr>
          <w:rFonts w:asciiTheme="minorHAnsi" w:hAnsiTheme="minorHAnsi"/>
          <w:bCs/>
          <w:iCs/>
          <w:snapToGrid w:val="0"/>
          <w:lang w:val="en-GB" w:eastAsia="en-US"/>
        </w:rPr>
        <w:t>with sulfonylurea or insulin given available clinical data within the type 2 diabetes trial program (SURPASS-4, SURPASS-5, SURPASS-AP-COMBO)</w:t>
      </w:r>
      <w:r w:rsidR="008B6E6F">
        <w:rPr>
          <w:rFonts w:asciiTheme="minorHAnsi" w:hAnsiTheme="minorHAnsi"/>
          <w:bCs/>
          <w:iCs/>
          <w:snapToGrid w:val="0"/>
          <w:lang w:val="en-GB" w:eastAsia="en-US"/>
        </w:rPr>
        <w:t xml:space="preserve"> and </w:t>
      </w:r>
      <w:r w:rsidR="0033176A">
        <w:rPr>
          <w:rFonts w:asciiTheme="minorHAnsi" w:hAnsiTheme="minorHAnsi"/>
          <w:bCs/>
          <w:iCs/>
          <w:snapToGrid w:val="0"/>
          <w:lang w:val="en-GB" w:eastAsia="en-US"/>
        </w:rPr>
        <w:t xml:space="preserve">thus </w:t>
      </w:r>
      <w:r w:rsidR="008B6E6F">
        <w:rPr>
          <w:rFonts w:asciiTheme="minorHAnsi" w:hAnsiTheme="minorHAnsi"/>
          <w:bCs/>
          <w:iCs/>
          <w:snapToGrid w:val="0"/>
          <w:lang w:val="en-GB" w:eastAsia="en-US"/>
        </w:rPr>
        <w:t>the</w:t>
      </w:r>
      <w:r w:rsidR="0033176A">
        <w:rPr>
          <w:rFonts w:asciiTheme="minorHAnsi" w:hAnsiTheme="minorHAnsi"/>
          <w:bCs/>
          <w:iCs/>
          <w:snapToGrid w:val="0"/>
          <w:lang w:val="en-GB" w:eastAsia="en-US"/>
        </w:rPr>
        <w:t>re</w:t>
      </w:r>
      <w:r w:rsidR="008B6E6F">
        <w:rPr>
          <w:rFonts w:asciiTheme="minorHAnsi" w:hAnsiTheme="minorHAnsi"/>
          <w:bCs/>
          <w:iCs/>
          <w:snapToGrid w:val="0"/>
          <w:lang w:val="en-GB" w:eastAsia="en-US"/>
        </w:rPr>
        <w:t xml:space="preserve"> </w:t>
      </w:r>
      <w:r w:rsidR="0033176A">
        <w:rPr>
          <w:rFonts w:asciiTheme="minorHAnsi" w:hAnsiTheme="minorHAnsi"/>
          <w:bCs/>
          <w:iCs/>
          <w:snapToGrid w:val="0"/>
          <w:lang w:val="en-GB" w:eastAsia="en-US"/>
        </w:rPr>
        <w:t xml:space="preserve">was a high risk of </w:t>
      </w:r>
      <w:r w:rsidR="008B6E6F">
        <w:rPr>
          <w:rFonts w:asciiTheme="minorHAnsi" w:hAnsiTheme="minorHAnsi"/>
          <w:bCs/>
          <w:iCs/>
          <w:snapToGrid w:val="0"/>
          <w:lang w:val="en-GB" w:eastAsia="en-US"/>
        </w:rPr>
        <w:t>use in clinical practice</w:t>
      </w:r>
      <w:r w:rsidR="0033176A">
        <w:rPr>
          <w:rFonts w:asciiTheme="minorHAnsi" w:hAnsiTheme="minorHAnsi"/>
          <w:bCs/>
          <w:iCs/>
          <w:snapToGrid w:val="0"/>
          <w:lang w:val="en-GB" w:eastAsia="en-US"/>
        </w:rPr>
        <w:t xml:space="preserve"> beyond the proposed restriction</w:t>
      </w:r>
      <w:r w:rsidR="00A51F09" w:rsidRPr="008B6E6F">
        <w:rPr>
          <w:rFonts w:asciiTheme="minorHAnsi" w:hAnsiTheme="minorHAnsi"/>
          <w:bCs/>
          <w:iCs/>
          <w:snapToGrid w:val="0"/>
          <w:lang w:val="en-GB" w:eastAsia="en-US"/>
        </w:rPr>
        <w:t>.</w:t>
      </w:r>
      <w:r w:rsidR="0033176A">
        <w:rPr>
          <w:rFonts w:asciiTheme="minorHAnsi" w:hAnsiTheme="minorHAnsi"/>
          <w:bCs/>
          <w:iCs/>
          <w:snapToGrid w:val="0"/>
          <w:lang w:val="en-GB" w:eastAsia="en-US"/>
        </w:rPr>
        <w:t xml:space="preserve"> It </w:t>
      </w:r>
      <w:proofErr w:type="gramStart"/>
      <w:r w:rsidR="0033176A">
        <w:rPr>
          <w:rFonts w:asciiTheme="minorHAnsi" w:hAnsiTheme="minorHAnsi"/>
          <w:bCs/>
          <w:iCs/>
          <w:snapToGrid w:val="0"/>
          <w:lang w:val="en-GB" w:eastAsia="en-US"/>
        </w:rPr>
        <w:t>was noted</w:t>
      </w:r>
      <w:proofErr w:type="gramEnd"/>
      <w:r w:rsidR="0033176A">
        <w:rPr>
          <w:rFonts w:asciiTheme="minorHAnsi" w:hAnsiTheme="minorHAnsi"/>
          <w:bCs/>
          <w:iCs/>
          <w:snapToGrid w:val="0"/>
          <w:lang w:val="en-GB" w:eastAsia="en-US"/>
        </w:rPr>
        <w:t xml:space="preserve"> that no Risk Sharing Arrangement (RSA) had been proposed in the submission.</w:t>
      </w:r>
    </w:p>
    <w:p w14:paraId="511BDF8F" w14:textId="77777777" w:rsidR="00EC2D33" w:rsidRDefault="008B6E6F" w:rsidP="00061ABF">
      <w:pPr>
        <w:pStyle w:val="COMexecsumnumberedpara"/>
        <w:rPr>
          <w:bCs/>
          <w:iCs/>
          <w:lang w:val="en-GB" w:eastAsia="en-US"/>
        </w:rPr>
      </w:pPr>
      <w:r w:rsidRPr="00F20036">
        <w:rPr>
          <w:bCs/>
          <w:iCs/>
          <w:lang w:val="en-GB" w:eastAsia="en-US"/>
        </w:rPr>
        <w:t>The PBAC noted the</w:t>
      </w:r>
      <w:r>
        <w:rPr>
          <w:bCs/>
          <w:iCs/>
          <w:lang w:val="en-GB" w:eastAsia="en-US"/>
        </w:rPr>
        <w:t xml:space="preserve"> key clinical trials, SURPASS-2 </w:t>
      </w:r>
      <w:r w:rsidR="00F20036">
        <w:rPr>
          <w:bCs/>
          <w:iCs/>
          <w:lang w:val="en-GB" w:eastAsia="en-US"/>
        </w:rPr>
        <w:t xml:space="preserve">(tirzepatide vs semaglutide) </w:t>
      </w:r>
      <w:r>
        <w:rPr>
          <w:bCs/>
          <w:iCs/>
          <w:lang w:val="en-GB" w:eastAsia="en-US"/>
        </w:rPr>
        <w:t>and SUSTAIN 7</w:t>
      </w:r>
      <w:r w:rsidR="00F20036">
        <w:rPr>
          <w:bCs/>
          <w:iCs/>
          <w:lang w:val="en-GB" w:eastAsia="en-US"/>
        </w:rPr>
        <w:t xml:space="preserve"> (semaglutide vs dulaglutide)</w:t>
      </w:r>
      <w:r>
        <w:rPr>
          <w:bCs/>
          <w:iCs/>
          <w:lang w:val="en-GB" w:eastAsia="en-US"/>
        </w:rPr>
        <w:t xml:space="preserve">, were open-label </w:t>
      </w:r>
      <w:r w:rsidR="007F3A52">
        <w:rPr>
          <w:bCs/>
          <w:iCs/>
          <w:lang w:val="en-GB" w:eastAsia="en-US"/>
        </w:rPr>
        <w:t xml:space="preserve">randomised active-control trials and </w:t>
      </w:r>
      <w:r w:rsidR="00195B8A">
        <w:rPr>
          <w:bCs/>
          <w:iCs/>
          <w:lang w:val="en-GB" w:eastAsia="en-US"/>
        </w:rPr>
        <w:t xml:space="preserve">that there was differential discontinuation between arms in the SURPASS-2 trial. The PBAC </w:t>
      </w:r>
      <w:r w:rsidR="007F3A52">
        <w:rPr>
          <w:bCs/>
          <w:iCs/>
          <w:lang w:val="en-GB" w:eastAsia="en-US"/>
        </w:rPr>
        <w:t xml:space="preserve">agreed with the </w:t>
      </w:r>
      <w:r w:rsidR="00195B8A">
        <w:rPr>
          <w:bCs/>
          <w:iCs/>
          <w:lang w:val="en-GB" w:eastAsia="en-US"/>
        </w:rPr>
        <w:t>evaluation and ESC</w:t>
      </w:r>
      <w:r w:rsidR="007F3A52">
        <w:rPr>
          <w:bCs/>
          <w:iCs/>
          <w:lang w:val="en-GB" w:eastAsia="en-US"/>
        </w:rPr>
        <w:t xml:space="preserve"> that the risk of bias </w:t>
      </w:r>
      <w:r w:rsidR="00195B8A">
        <w:rPr>
          <w:bCs/>
          <w:iCs/>
          <w:lang w:val="en-GB" w:eastAsia="en-US"/>
        </w:rPr>
        <w:t xml:space="preserve">in the key trials </w:t>
      </w:r>
      <w:r w:rsidR="007F3A52">
        <w:rPr>
          <w:bCs/>
          <w:iCs/>
          <w:lang w:val="en-GB" w:eastAsia="en-US"/>
        </w:rPr>
        <w:t>was high.</w:t>
      </w:r>
    </w:p>
    <w:p w14:paraId="63F23676" w14:textId="29C10B4B" w:rsidR="00061ABF" w:rsidRPr="00065852" w:rsidRDefault="00061ABF" w:rsidP="00061ABF">
      <w:pPr>
        <w:pStyle w:val="COMexecsumnumberedpara"/>
      </w:pPr>
      <w:r>
        <w:rPr>
          <w:bCs/>
          <w:iCs/>
          <w:lang w:val="en-GB" w:eastAsia="en-US"/>
        </w:rPr>
        <w:t xml:space="preserve">The PBAC noted </w:t>
      </w:r>
      <w:r w:rsidR="00E25060">
        <w:rPr>
          <w:bCs/>
          <w:iCs/>
          <w:lang w:val="en-GB" w:eastAsia="en-US"/>
        </w:rPr>
        <w:t>the</w:t>
      </w:r>
      <w:r w:rsidR="007F3A52">
        <w:rPr>
          <w:bCs/>
          <w:iCs/>
          <w:lang w:val="en-GB" w:eastAsia="en-US"/>
        </w:rPr>
        <w:t xml:space="preserve"> </w:t>
      </w:r>
      <w:r w:rsidRPr="00065852">
        <w:t>submission described tirzepatide 5 mg once weekly as superior in terms of efficacy compared to semaglutide 0.5 mg once weekly</w:t>
      </w:r>
      <w:r>
        <w:t xml:space="preserve"> and tirzepatide 10</w:t>
      </w:r>
      <w:r w:rsidR="002E55A6">
        <w:t> </w:t>
      </w:r>
      <w:r>
        <w:t>mg or 15 mg once weekly as superior to semaglutide 1 mg once weekly</w:t>
      </w:r>
      <w:r w:rsidR="009B2252">
        <w:t xml:space="preserve"> based on HbA1c </w:t>
      </w:r>
      <w:r w:rsidR="009B2252">
        <w:lastRenderedPageBreak/>
        <w:t>and weight loss benefits</w:t>
      </w:r>
      <w:r>
        <w:t xml:space="preserve">. While the submission did not make a clinical claim for </w:t>
      </w:r>
      <w:r w:rsidRPr="00065852">
        <w:t>tirzepatide 5 mg once weekly versus semaglutide 1 mg once weekl</w:t>
      </w:r>
      <w:r>
        <w:t xml:space="preserve">y, the PBAC </w:t>
      </w:r>
      <w:r w:rsidR="00E25060">
        <w:t xml:space="preserve">agreed with the ESC that </w:t>
      </w:r>
      <w:r>
        <w:t xml:space="preserve">this comparison </w:t>
      </w:r>
      <w:r w:rsidR="00E25060">
        <w:t>remained</w:t>
      </w:r>
      <w:r>
        <w:t xml:space="preserve"> relevant </w:t>
      </w:r>
      <w:r w:rsidRPr="00061ABF">
        <w:t>given that submission requested a higher price for low dose tirzepatide compared to high dose semaglutide (see paragraph</w:t>
      </w:r>
      <w:r w:rsidR="00B71E27">
        <w:t xml:space="preserve"> </w:t>
      </w:r>
      <w:r w:rsidR="00B71E27">
        <w:fldChar w:fldCharType="begin" w:fldLock="1"/>
      </w:r>
      <w:r w:rsidR="00B71E27">
        <w:instrText xml:space="preserve"> REF _Ref141699205 \r \h </w:instrText>
      </w:r>
      <w:r w:rsidR="00B71E27">
        <w:fldChar w:fldCharType="separate"/>
      </w:r>
      <w:r w:rsidR="00391E15">
        <w:t>6.49</w:t>
      </w:r>
      <w:r w:rsidR="00B71E27">
        <w:fldChar w:fldCharType="end"/>
      </w:r>
      <w:r w:rsidR="00B71E27">
        <w:t>)</w:t>
      </w:r>
      <w:r w:rsidRPr="00061ABF">
        <w:t>.</w:t>
      </w:r>
    </w:p>
    <w:p w14:paraId="754EF67D" w14:textId="6DC64A3A" w:rsidR="00557996" w:rsidRPr="00265B0E" w:rsidRDefault="00195B8A" w:rsidP="00265B0E">
      <w:pPr>
        <w:pStyle w:val="COMexecsumnumberedpara"/>
        <w:rPr>
          <w:bCs/>
          <w:iCs/>
          <w:lang w:val="en-GB" w:eastAsia="en-US"/>
        </w:rPr>
      </w:pPr>
      <w:r w:rsidRPr="00061ABF">
        <w:rPr>
          <w:lang w:val="en-GB" w:eastAsia="en-US"/>
        </w:rPr>
        <w:t xml:space="preserve">The PBAC </w:t>
      </w:r>
      <w:r w:rsidR="00EC4552">
        <w:rPr>
          <w:lang w:val="en-GB" w:eastAsia="en-US"/>
        </w:rPr>
        <w:t>noted</w:t>
      </w:r>
      <w:r w:rsidRPr="00061ABF">
        <w:rPr>
          <w:lang w:val="en-GB" w:eastAsia="en-US"/>
        </w:rPr>
        <w:t xml:space="preserve"> the results of the SURPASS-2 trial </w:t>
      </w:r>
      <w:r w:rsidR="00BB6663" w:rsidRPr="00061ABF">
        <w:rPr>
          <w:lang w:val="en-GB" w:eastAsia="en-US"/>
        </w:rPr>
        <w:t xml:space="preserve">indicated </w:t>
      </w:r>
      <w:r w:rsidR="00BB6663">
        <w:t>t</w:t>
      </w:r>
      <w:r w:rsidR="00BB6663" w:rsidRPr="00FA1E86">
        <w:t xml:space="preserve">reatment with tirzepatide 5 mg, 10 mg </w:t>
      </w:r>
      <w:r w:rsidR="00F240FD">
        <w:t>or</w:t>
      </w:r>
      <w:r w:rsidR="00BB6663" w:rsidRPr="00FA1E86">
        <w:t xml:space="preserve"> 15 mg was associated with statistically significant reductions in HbA1c from baseline to Week 40 compared with semaglutide 1 mg.</w:t>
      </w:r>
      <w:r w:rsidR="00BB6663">
        <w:t xml:space="preserve"> </w:t>
      </w:r>
      <w:r w:rsidR="00E25060">
        <w:t xml:space="preserve">The PBAC noted </w:t>
      </w:r>
      <w:r w:rsidR="00EC4552">
        <w:t xml:space="preserve">that, while </w:t>
      </w:r>
      <w:r w:rsidR="00E25060">
        <w:t xml:space="preserve">statistically significant reductions were evident using both </w:t>
      </w:r>
      <w:r w:rsidR="0055157D">
        <w:t>treatment regimen estimand and efficacy estimand analyses</w:t>
      </w:r>
      <w:r w:rsidR="00EC4552">
        <w:t xml:space="preserve">, the nominated minimal clinically important difference </w:t>
      </w:r>
      <w:r w:rsidR="00F240FD">
        <w:t xml:space="preserve">(MCID) </w:t>
      </w:r>
      <w:r w:rsidR="00EC4552">
        <w:t>was only exceeded for tirzepatide 10 mg or 15 mg compared to semaglutide 1 mg using the efficacy est</w:t>
      </w:r>
      <w:r w:rsidR="00F240FD">
        <w:t>imand</w:t>
      </w:r>
      <w:r w:rsidR="0055157D">
        <w:t>.</w:t>
      </w:r>
      <w:r w:rsidR="00F240FD">
        <w:t xml:space="preserve"> </w:t>
      </w:r>
      <w:r w:rsidR="00BE0640">
        <w:t>The PBAC noted ESC advice that the efficacy estimand analyses presented in the submission may be considered a legitimate approach</w:t>
      </w:r>
      <w:r w:rsidR="00115BD3">
        <w:t xml:space="preserve"> (see paragraph </w:t>
      </w:r>
      <w:r w:rsidR="00115BD3">
        <w:fldChar w:fldCharType="begin" w:fldLock="1"/>
      </w:r>
      <w:r w:rsidR="00115BD3">
        <w:instrText xml:space="preserve"> REF _Ref141699277 \r \h </w:instrText>
      </w:r>
      <w:r w:rsidR="00115BD3">
        <w:fldChar w:fldCharType="separate"/>
      </w:r>
      <w:r w:rsidR="00391E15">
        <w:t>6.20</w:t>
      </w:r>
      <w:r w:rsidR="00115BD3">
        <w:fldChar w:fldCharType="end"/>
      </w:r>
      <w:r w:rsidR="00115BD3">
        <w:t>)</w:t>
      </w:r>
      <w:r w:rsidR="00BE0640">
        <w:t xml:space="preserve">. </w:t>
      </w:r>
      <w:r w:rsidR="004E464A">
        <w:t xml:space="preserve">The PBAC also noted the treatment with </w:t>
      </w:r>
      <w:r w:rsidR="004E464A" w:rsidRPr="00FA1E86">
        <w:t xml:space="preserve">tirzepatide 10 mg </w:t>
      </w:r>
      <w:r w:rsidR="00F240FD">
        <w:t>and</w:t>
      </w:r>
      <w:r w:rsidR="004E464A" w:rsidRPr="00FA1E86">
        <w:t xml:space="preserve"> 15 mg weekly was associated with a statistically significant increase in the proportion of patients achieving &lt;7.0%</w:t>
      </w:r>
      <w:r w:rsidR="004E464A">
        <w:t xml:space="preserve"> and &lt;5.7% HbA1c </w:t>
      </w:r>
      <w:r w:rsidR="004E464A" w:rsidRPr="00FA1E86">
        <w:t>targets compared to semaglutide</w:t>
      </w:r>
      <w:r w:rsidR="004E464A">
        <w:t xml:space="preserve"> 1 mg weekly.</w:t>
      </w:r>
    </w:p>
    <w:p w14:paraId="467C39AD" w14:textId="644889D3" w:rsidR="00557996" w:rsidRPr="004E464A" w:rsidRDefault="00557996" w:rsidP="00061ABF">
      <w:pPr>
        <w:widowControl w:val="0"/>
        <w:numPr>
          <w:ilvl w:val="1"/>
          <w:numId w:val="4"/>
        </w:numPr>
        <w:spacing w:after="120"/>
        <w:rPr>
          <w:rFonts w:asciiTheme="minorHAnsi" w:hAnsiTheme="minorHAnsi"/>
          <w:bCs/>
          <w:iCs/>
          <w:snapToGrid w:val="0"/>
          <w:lang w:val="en-GB" w:eastAsia="en-US"/>
        </w:rPr>
      </w:pPr>
      <w:r w:rsidRPr="00061ABF">
        <w:rPr>
          <w:rFonts w:asciiTheme="minorHAnsi" w:hAnsiTheme="minorHAnsi"/>
          <w:snapToGrid w:val="0"/>
          <w:lang w:val="en-GB" w:eastAsia="en-US"/>
        </w:rPr>
        <w:t xml:space="preserve">The PBAC considered the results of the SURPASS-2 trial indicated </w:t>
      </w:r>
      <w:r>
        <w:t>t</w:t>
      </w:r>
      <w:r w:rsidRPr="00FA1E86">
        <w:t xml:space="preserve">reatment with tirzepatide 5 mg, 10 mg and 15 mg was associated with statistically significant </w:t>
      </w:r>
      <w:r w:rsidR="004E464A">
        <w:t xml:space="preserve">short-term </w:t>
      </w:r>
      <w:r w:rsidRPr="00FA1E86">
        <w:t>reductions in body weight at Week 40</w:t>
      </w:r>
      <w:r>
        <w:t xml:space="preserve"> (treatment regimen estimand)</w:t>
      </w:r>
      <w:r w:rsidRPr="00FA1E86">
        <w:t>, with treatment differences of -1.9</w:t>
      </w:r>
      <w:r>
        <w:t xml:space="preserve"> kg (95% CI -2.8, -1.0), -3.6 kg (95% CI -4.5, -2.7) and</w:t>
      </w:r>
      <w:r w:rsidRPr="00FA1E86">
        <w:t xml:space="preserve"> -5.5</w:t>
      </w:r>
      <w:r w:rsidR="002E55A6">
        <w:t> </w:t>
      </w:r>
      <w:r w:rsidRPr="00FA1E86">
        <w:t xml:space="preserve">kg </w:t>
      </w:r>
      <w:r>
        <w:t xml:space="preserve">(95% CI -6.4, -4.6) respectively </w:t>
      </w:r>
      <w:r w:rsidRPr="00FA1E86">
        <w:t xml:space="preserve">compared to semaglutide 1 mg. </w:t>
      </w:r>
      <w:r>
        <w:t xml:space="preserve">The PBAC noted that </w:t>
      </w:r>
      <w:r w:rsidR="00265B0E" w:rsidRPr="00065852">
        <w:t>treatment differences for tirzepatide 10 mg and 15 mg versus semaglutide 1</w:t>
      </w:r>
      <w:r w:rsidR="002E55A6">
        <w:t> </w:t>
      </w:r>
      <w:r w:rsidR="00265B0E" w:rsidRPr="00065852">
        <w:t xml:space="preserve">mg </w:t>
      </w:r>
      <w:r w:rsidR="004E464A">
        <w:t xml:space="preserve">were </w:t>
      </w:r>
      <w:r w:rsidR="00265B0E" w:rsidRPr="00065852">
        <w:t>clinically important, with point estimates exceeding the nominated MCID of 3</w:t>
      </w:r>
      <w:r w:rsidR="002E55A6">
        <w:t> </w:t>
      </w:r>
      <w:r w:rsidR="00265B0E" w:rsidRPr="00065852">
        <w:t>kg.</w:t>
      </w:r>
    </w:p>
    <w:p w14:paraId="31BABD00" w14:textId="77777777" w:rsidR="00EC2D33" w:rsidRDefault="00BE0640" w:rsidP="00C30AA0">
      <w:pPr>
        <w:pStyle w:val="COMexecsumnumberedpara"/>
      </w:pPr>
      <w:r>
        <w:t xml:space="preserve">Noting that the </w:t>
      </w:r>
      <w:r w:rsidRPr="00672E6E">
        <w:t xml:space="preserve">clinical claim of superiority was based on </w:t>
      </w:r>
      <w:proofErr w:type="gramStart"/>
      <w:r w:rsidRPr="00672E6E">
        <w:t>HbA1c</w:t>
      </w:r>
      <w:proofErr w:type="gramEnd"/>
      <w:r w:rsidRPr="00672E6E">
        <w:t xml:space="preserve"> and weight </w:t>
      </w:r>
      <w:r w:rsidRPr="00885FE5">
        <w:t>loss benefits</w:t>
      </w:r>
      <w:r>
        <w:t xml:space="preserve"> the PBAC highlighted that the long-term comparative efficacy of tirzepatide is unknown, with only short-term data presented from the key trial (40 weeks). </w:t>
      </w:r>
      <w:r w:rsidR="00C30AA0">
        <w:t>T</w:t>
      </w:r>
      <w:r w:rsidRPr="00885FE5">
        <w:t>he PBAC</w:t>
      </w:r>
      <w:r w:rsidR="00C30AA0">
        <w:t xml:space="preserve"> reaffirmed previous advice that </w:t>
      </w:r>
      <w:r w:rsidRPr="00885FE5">
        <w:t>the clinical relevance of change in HbA1c may shift</w:t>
      </w:r>
      <w:r w:rsidR="00C30AA0">
        <w:t xml:space="preserve"> </w:t>
      </w:r>
      <w:r w:rsidRPr="00885FE5">
        <w:t>in the context of changing treatment algorithms based on patient-centred outcomes</w:t>
      </w:r>
      <w:r w:rsidR="00C30AA0">
        <w:t xml:space="preserve"> </w:t>
      </w:r>
      <w:r w:rsidR="00C30AA0" w:rsidRPr="00065852">
        <w:t>(para 7.5, semaglutide PSD, November 2019 PBAC meeting)</w:t>
      </w:r>
      <w:r w:rsidRPr="00885FE5">
        <w:t xml:space="preserve">. The PBAC </w:t>
      </w:r>
      <w:r w:rsidR="00C30AA0">
        <w:t>also reaffirmed previous</w:t>
      </w:r>
      <w:r w:rsidRPr="00885FE5">
        <w:t xml:space="preserve"> concerns regarding the lack of long-term data supporting reductions in downstream complications for treatments claiming weight loss benefits</w:t>
      </w:r>
      <w:r w:rsidR="00C30AA0">
        <w:t xml:space="preserve"> </w:t>
      </w:r>
      <w:r w:rsidR="00C30AA0" w:rsidRPr="00065852">
        <w:t>(semaglutide for obesity PSD, March 2022 PBAC meeting; semaglutide for type 2 diabetes PSD, November 2019 PBAC meeting</w:t>
      </w:r>
      <w:r w:rsidR="00C30AA0">
        <w:t>)</w:t>
      </w:r>
      <w:r w:rsidRPr="00885FE5">
        <w:t xml:space="preserve">. </w:t>
      </w:r>
      <w:r w:rsidR="00C30AA0">
        <w:t xml:space="preserve">However, based on HbA1c and short-term weight loss benefits </w:t>
      </w:r>
      <w:r w:rsidR="004E464A" w:rsidRPr="00C30AA0">
        <w:rPr>
          <w:lang w:val="en-GB" w:eastAsia="en-US"/>
        </w:rPr>
        <w:t>the PBAC considered that tirzepatide 10 mg once weekly and tirzepatide 15 mg once weekly was superior in terms of effectiveness compared to semaglutide 1 mg once weekly, but this claim was not supported for tirzepatide 5</w:t>
      </w:r>
      <w:r w:rsidR="00115BD3">
        <w:rPr>
          <w:lang w:val="en-GB" w:eastAsia="en-US"/>
        </w:rPr>
        <w:t> </w:t>
      </w:r>
      <w:r w:rsidR="004E464A" w:rsidRPr="00C30AA0">
        <w:rPr>
          <w:lang w:val="en-GB" w:eastAsia="en-US"/>
        </w:rPr>
        <w:t xml:space="preserve">mg once weekly compared to semaglutide 1 mg once weekly. </w:t>
      </w:r>
      <w:r w:rsidR="004E464A" w:rsidRPr="00D72028">
        <w:t>The</w:t>
      </w:r>
      <w:r w:rsidR="004E464A" w:rsidRPr="00C30AA0">
        <w:rPr>
          <w:szCs w:val="20"/>
        </w:rPr>
        <w:t xml:space="preserve"> PBAC considered that the claim of superior comparative effectiveness was reasonable </w:t>
      </w:r>
      <w:r w:rsidR="00834E1E" w:rsidRPr="00C30AA0">
        <w:rPr>
          <w:szCs w:val="20"/>
        </w:rPr>
        <w:t xml:space="preserve">for </w:t>
      </w:r>
      <w:r w:rsidR="004E464A" w:rsidRPr="00BC7837">
        <w:t>tirzepatide 5</w:t>
      </w:r>
      <w:r w:rsidR="00115BD3">
        <w:t> </w:t>
      </w:r>
      <w:r w:rsidR="004E464A" w:rsidRPr="00BC7837">
        <w:t>mg once weekly compared to semaglutide 0.5 mg</w:t>
      </w:r>
      <w:r w:rsidR="00834E1E">
        <w:t xml:space="preserve"> once weekly.</w:t>
      </w:r>
    </w:p>
    <w:p w14:paraId="43690173" w14:textId="4DDC4941" w:rsidR="00EC2D33" w:rsidRDefault="009850AD" w:rsidP="005B2A58">
      <w:pPr>
        <w:pStyle w:val="COMexecsumnumberedpara"/>
        <w:rPr>
          <w:szCs w:val="20"/>
        </w:rPr>
      </w:pPr>
      <w:r w:rsidRPr="00885FE5">
        <w:t>T</w:t>
      </w:r>
      <w:r>
        <w:t xml:space="preserve">he PBAC </w:t>
      </w:r>
      <w:r w:rsidR="005B2A58">
        <w:t>noted</w:t>
      </w:r>
      <w:r w:rsidRPr="00885FE5">
        <w:t xml:space="preserve"> the higher incidence </w:t>
      </w:r>
      <w:r w:rsidR="005B2A58">
        <w:t xml:space="preserve">of </w:t>
      </w:r>
      <w:r w:rsidRPr="00885FE5">
        <w:t>serious adverse events and adverse events leading to discontinuation</w:t>
      </w:r>
      <w:r w:rsidR="005B2A58">
        <w:t xml:space="preserve"> for t</w:t>
      </w:r>
      <w:r w:rsidR="005B2A58" w:rsidRPr="00885FE5">
        <w:t xml:space="preserve">irzepatide 5 mg, 10 mg and 15 mg once weekly </w:t>
      </w:r>
      <w:r w:rsidR="005B2A58" w:rsidRPr="00885FE5">
        <w:lastRenderedPageBreak/>
        <w:t>compared to semaglutide 1 mg once weekly</w:t>
      </w:r>
      <w:r w:rsidRPr="00885FE5">
        <w:t>.</w:t>
      </w:r>
      <w:r w:rsidR="005B2A58">
        <w:t xml:space="preserve"> The PBAC also noted the higher incidence of treatment-related adverse events and gastrointestinal events for tirzepatide </w:t>
      </w:r>
      <w:r w:rsidR="005B2A58" w:rsidRPr="00885FE5">
        <w:t>10</w:t>
      </w:r>
      <w:r w:rsidR="002E55A6">
        <w:t> </w:t>
      </w:r>
      <w:r w:rsidR="005B2A58" w:rsidRPr="00885FE5">
        <w:t>mg and 15 mg once weekly compared to semaglutide 1 mg once weekly</w:t>
      </w:r>
      <w:r w:rsidR="005B2A58">
        <w:t>.</w:t>
      </w:r>
      <w:r w:rsidRPr="00885FE5">
        <w:t xml:space="preserve"> </w:t>
      </w:r>
      <w:r w:rsidR="00D02995">
        <w:t xml:space="preserve">The PBAC </w:t>
      </w:r>
      <w:r w:rsidR="00516557">
        <w:t xml:space="preserve">noted the inflexible dosing in the trial setting contributed to side-effects experienced at the higher doses but also </w:t>
      </w:r>
      <w:r w:rsidR="00D02995">
        <w:t>considered the</w:t>
      </w:r>
      <w:r w:rsidR="00115BD3">
        <w:t>se</w:t>
      </w:r>
      <w:r w:rsidR="00D02995">
        <w:t xml:space="preserve"> side effects may limit titration to </w:t>
      </w:r>
      <w:r w:rsidR="00115BD3">
        <w:t>higher</w:t>
      </w:r>
      <w:r w:rsidR="00D02995">
        <w:t xml:space="preserve"> doses</w:t>
      </w:r>
      <w:r w:rsidR="00516557">
        <w:t xml:space="preserve"> in clinical practice.</w:t>
      </w:r>
      <w:r w:rsidR="00D02995">
        <w:t xml:space="preserve"> </w:t>
      </w:r>
      <w:r w:rsidR="00516557">
        <w:t>O</w:t>
      </w:r>
      <w:r w:rsidR="00D02995">
        <w:t>verall</w:t>
      </w:r>
      <w:r w:rsidR="007248BB">
        <w:t>,</w:t>
      </w:r>
      <w:r w:rsidR="00D02995">
        <w:t xml:space="preserve"> </w:t>
      </w:r>
      <w:r w:rsidR="00516557">
        <w:rPr>
          <w:szCs w:val="20"/>
        </w:rPr>
        <w:t>t</w:t>
      </w:r>
      <w:r w:rsidR="005B2A58" w:rsidRPr="00FD1106">
        <w:rPr>
          <w:szCs w:val="20"/>
        </w:rPr>
        <w:t>he PBAC considered that the claim of non-inferior</w:t>
      </w:r>
      <w:r w:rsidR="005B2A58">
        <w:rPr>
          <w:szCs w:val="20"/>
        </w:rPr>
        <w:t xml:space="preserve"> </w:t>
      </w:r>
      <w:r w:rsidR="005B2A58" w:rsidRPr="00FD1106">
        <w:rPr>
          <w:szCs w:val="20"/>
        </w:rPr>
        <w:t>comparative safety was not adequately supported by the data</w:t>
      </w:r>
      <w:r w:rsidR="005B2A58">
        <w:rPr>
          <w:szCs w:val="20"/>
        </w:rPr>
        <w:t xml:space="preserve"> for any of the comparisons</w:t>
      </w:r>
      <w:r w:rsidR="005B2A58" w:rsidRPr="00FD1106">
        <w:rPr>
          <w:szCs w:val="20"/>
        </w:rPr>
        <w:t>.</w:t>
      </w:r>
    </w:p>
    <w:p w14:paraId="1EAF6574" w14:textId="77777777" w:rsidR="00EC2D33" w:rsidRDefault="001A7F7D" w:rsidP="00A27BBD">
      <w:pPr>
        <w:pStyle w:val="COMexecsumnumberedpara"/>
        <w:rPr>
          <w:iCs/>
        </w:rPr>
      </w:pPr>
      <w:r w:rsidRPr="00D02995">
        <w:t xml:space="preserve">The </w:t>
      </w:r>
      <w:r w:rsidR="00567DD8" w:rsidRPr="00D02995">
        <w:t>PBAC</w:t>
      </w:r>
      <w:r w:rsidR="00567DD8">
        <w:t xml:space="preserve"> noted the </w:t>
      </w:r>
      <w:r w:rsidRPr="00364395">
        <w:t>submission presented</w:t>
      </w:r>
      <w:r w:rsidRPr="00FA1E86">
        <w:t xml:space="preserve"> a modelled economic evaluation of tirzepatide 10 mg and 15 mg weekly compared to semaglutide 1 mg weekly</w:t>
      </w:r>
      <w:r w:rsidR="00C4783C">
        <w:t>,</w:t>
      </w:r>
      <w:r w:rsidR="00CF7036">
        <w:t xml:space="preserve"> </w:t>
      </w:r>
      <w:r w:rsidR="00C4783C">
        <w:t>and</w:t>
      </w:r>
      <w:r w:rsidR="00567DD8">
        <w:t xml:space="preserve"> the evaluation provided an </w:t>
      </w:r>
      <w:r w:rsidRPr="00065852">
        <w:rPr>
          <w:iCs/>
        </w:rPr>
        <w:t xml:space="preserve">additional </w:t>
      </w:r>
      <w:r>
        <w:rPr>
          <w:iCs/>
        </w:rPr>
        <w:t>analysis</w:t>
      </w:r>
      <w:r w:rsidRPr="00065852">
        <w:rPr>
          <w:iCs/>
        </w:rPr>
        <w:t xml:space="preserve"> of tirzepatide 5 mg weekly versus semaglutide 1 mg weekly</w:t>
      </w:r>
      <w:r w:rsidR="00567DD8">
        <w:rPr>
          <w:iCs/>
        </w:rPr>
        <w:t xml:space="preserve">. </w:t>
      </w:r>
      <w:r w:rsidR="00A27BBD" w:rsidRPr="00A27BBD">
        <w:rPr>
          <w:iCs/>
        </w:rPr>
        <w:t xml:space="preserve">The PBAC considered the additional analysis informative given the </w:t>
      </w:r>
      <w:r w:rsidR="00A27BBD" w:rsidRPr="00182CD3">
        <w:rPr>
          <w:iCs/>
        </w:rPr>
        <w:t>use of a flat pricing structure (see paragraph</w:t>
      </w:r>
      <w:r w:rsidR="00A27BBD" w:rsidRPr="00A27BBD">
        <w:rPr>
          <w:iCs/>
        </w:rPr>
        <w:t xml:space="preserve"> </w:t>
      </w:r>
      <w:r w:rsidR="00657B16" w:rsidRPr="00061ABF">
        <w:fldChar w:fldCharType="begin" w:fldLock="1"/>
      </w:r>
      <w:r w:rsidR="00657B16" w:rsidRPr="00061ABF">
        <w:instrText xml:space="preserve"> REF _Ref137392070 \r \h </w:instrText>
      </w:r>
      <w:r w:rsidR="00657B16">
        <w:instrText xml:space="preserve"> \* MERGEFORMAT </w:instrText>
      </w:r>
      <w:r w:rsidR="00657B16" w:rsidRPr="00061ABF">
        <w:fldChar w:fldCharType="separate"/>
      </w:r>
      <w:r w:rsidR="00391E15">
        <w:t>6.58</w:t>
      </w:r>
      <w:r w:rsidR="00657B16" w:rsidRPr="00061ABF">
        <w:fldChar w:fldCharType="end"/>
      </w:r>
      <w:r w:rsidR="00A27BBD" w:rsidRPr="00A27BBD">
        <w:rPr>
          <w:iCs/>
        </w:rPr>
        <w:t>).</w:t>
      </w:r>
    </w:p>
    <w:p w14:paraId="5C5AAE5D" w14:textId="77777777" w:rsidR="00EC2D33" w:rsidRDefault="00567DD8" w:rsidP="00A27BBD">
      <w:pPr>
        <w:pStyle w:val="COMexecsumnumberedpara"/>
        <w:rPr>
          <w:bCs/>
          <w:iCs/>
          <w:lang w:val="en-GB" w:eastAsia="en-US"/>
        </w:rPr>
      </w:pPr>
      <w:bookmarkStart w:id="75" w:name="_Ref141433754"/>
      <w:r w:rsidRPr="00A27BBD">
        <w:rPr>
          <w:iCs/>
        </w:rPr>
        <w:t xml:space="preserve">The modelled circumstances of use were based on assumptions of </w:t>
      </w:r>
      <w:r w:rsidRPr="00A27BBD">
        <w:rPr>
          <w:bCs/>
          <w:iCs/>
          <w:lang w:val="en-GB" w:eastAsia="en-US"/>
        </w:rPr>
        <w:t>fixed dosing of GLP</w:t>
      </w:r>
      <w:r w:rsidR="00115BD3">
        <w:rPr>
          <w:bCs/>
          <w:iCs/>
          <w:lang w:val="en-GB" w:eastAsia="en-US"/>
        </w:rPr>
        <w:noBreakHyphen/>
      </w:r>
      <w:r w:rsidRPr="00A27BBD">
        <w:rPr>
          <w:bCs/>
          <w:iCs/>
          <w:lang w:val="en-GB" w:eastAsia="en-US"/>
        </w:rPr>
        <w:t>1 RA/GIP and insulin therapies, perfect persistence, low threshold for insulin intensification</w:t>
      </w:r>
      <w:r w:rsidR="00CF7036" w:rsidRPr="00A27BBD">
        <w:rPr>
          <w:bCs/>
          <w:iCs/>
          <w:lang w:val="en-GB" w:eastAsia="en-US"/>
        </w:rPr>
        <w:t xml:space="preserve"> (HbA1c &gt; 7.5%)</w:t>
      </w:r>
      <w:r w:rsidRPr="00A27BBD">
        <w:rPr>
          <w:bCs/>
          <w:iCs/>
          <w:lang w:val="en-GB" w:eastAsia="en-US"/>
        </w:rPr>
        <w:t xml:space="preserve"> and no concomitant use of GLP-1 RA and insulin therapies. The PBAC </w:t>
      </w:r>
      <w:r w:rsidR="00CF7036" w:rsidRPr="00A27BBD">
        <w:rPr>
          <w:bCs/>
          <w:iCs/>
          <w:lang w:val="en-GB" w:eastAsia="en-US"/>
        </w:rPr>
        <w:t xml:space="preserve">noted that 8.3% to 13.2% of patients in the SURPASS-2 trial discontinued therapy (see </w:t>
      </w:r>
      <w:r w:rsidR="00CF7036" w:rsidRPr="00A27BBD">
        <w:rPr>
          <w:bCs/>
          <w:iCs/>
          <w:lang w:val="en-GB" w:eastAsia="en-US"/>
        </w:rPr>
        <w:fldChar w:fldCharType="begin" w:fldLock="1"/>
      </w:r>
      <w:r w:rsidR="00CF7036" w:rsidRPr="00A27BBD">
        <w:rPr>
          <w:bCs/>
          <w:iCs/>
          <w:lang w:val="en-GB" w:eastAsia="en-US"/>
        </w:rPr>
        <w:instrText xml:space="preserve"> REF _Ref104805122 \h </w:instrText>
      </w:r>
      <w:r w:rsidR="00CF7036" w:rsidRPr="00A27BBD">
        <w:rPr>
          <w:bCs/>
          <w:iCs/>
          <w:lang w:val="en-GB" w:eastAsia="en-US"/>
        </w:rPr>
      </w:r>
      <w:r w:rsidR="00CF7036" w:rsidRPr="00A27BBD">
        <w:rPr>
          <w:bCs/>
          <w:iCs/>
          <w:lang w:val="en-GB" w:eastAsia="en-US"/>
        </w:rPr>
        <w:fldChar w:fldCharType="separate"/>
      </w:r>
      <w:r w:rsidR="00A656E0" w:rsidRPr="00FA1E86">
        <w:t xml:space="preserve">Table </w:t>
      </w:r>
      <w:r w:rsidR="00A656E0">
        <w:rPr>
          <w:noProof/>
        </w:rPr>
        <w:t>12</w:t>
      </w:r>
      <w:r w:rsidR="00CF7036" w:rsidRPr="00A27BBD">
        <w:rPr>
          <w:bCs/>
          <w:iCs/>
          <w:lang w:val="en-GB" w:eastAsia="en-US"/>
        </w:rPr>
        <w:fldChar w:fldCharType="end"/>
      </w:r>
      <w:r w:rsidR="00CF7036" w:rsidRPr="00A27BBD">
        <w:rPr>
          <w:bCs/>
          <w:iCs/>
          <w:lang w:val="en-GB" w:eastAsia="en-US"/>
        </w:rPr>
        <w:t>)</w:t>
      </w:r>
      <w:r w:rsidR="007C5429" w:rsidRPr="00A27BBD">
        <w:rPr>
          <w:bCs/>
          <w:iCs/>
          <w:lang w:val="en-GB" w:eastAsia="en-US"/>
        </w:rPr>
        <w:t xml:space="preserve">. In addition, the PBAC </w:t>
      </w:r>
      <w:r w:rsidR="00CF7036" w:rsidRPr="00A27BBD">
        <w:rPr>
          <w:bCs/>
          <w:iCs/>
          <w:lang w:val="en-GB" w:eastAsia="en-US"/>
        </w:rPr>
        <w:t>agreed with the ESC that in clinical practice the threshold for conversion to insulin would more likely be a HbA1c of at least 8.0% due to patients’ reluctance to commence insulin. As such</w:t>
      </w:r>
      <w:r w:rsidR="004F2536" w:rsidRPr="00A27BBD">
        <w:rPr>
          <w:bCs/>
          <w:iCs/>
          <w:lang w:val="en-GB" w:eastAsia="en-US"/>
        </w:rPr>
        <w:t>,</w:t>
      </w:r>
      <w:r w:rsidR="00CF7036" w:rsidRPr="00A27BBD">
        <w:rPr>
          <w:bCs/>
          <w:iCs/>
          <w:lang w:val="en-GB" w:eastAsia="en-US"/>
        </w:rPr>
        <w:t xml:space="preserve"> the PBAC considered the</w:t>
      </w:r>
      <w:r w:rsidR="004F2536" w:rsidRPr="00A27BBD">
        <w:rPr>
          <w:bCs/>
          <w:iCs/>
          <w:lang w:val="en-GB" w:eastAsia="en-US"/>
        </w:rPr>
        <w:t xml:space="preserve"> submissions</w:t>
      </w:r>
      <w:r w:rsidR="00CF7036" w:rsidRPr="00A27BBD">
        <w:rPr>
          <w:bCs/>
          <w:iCs/>
          <w:lang w:val="en-GB" w:eastAsia="en-US"/>
        </w:rPr>
        <w:t xml:space="preserve"> assumptions regarding modelled circumstances of use </w:t>
      </w:r>
      <w:r w:rsidR="00D03532">
        <w:rPr>
          <w:bCs/>
          <w:iCs/>
          <w:lang w:val="en-GB" w:eastAsia="en-US"/>
        </w:rPr>
        <w:t>are unlikely to</w:t>
      </w:r>
      <w:r w:rsidRPr="00A27BBD">
        <w:rPr>
          <w:bCs/>
          <w:iCs/>
          <w:lang w:val="en-GB" w:eastAsia="en-US"/>
        </w:rPr>
        <w:t xml:space="preserve"> reflect Australian clinical practice</w:t>
      </w:r>
      <w:r w:rsidR="00CF7036" w:rsidRPr="00A27BBD">
        <w:rPr>
          <w:bCs/>
          <w:iCs/>
          <w:lang w:val="en-GB" w:eastAsia="en-US"/>
        </w:rPr>
        <w:t>.</w:t>
      </w:r>
      <w:bookmarkEnd w:id="75"/>
    </w:p>
    <w:p w14:paraId="35BA6AA9" w14:textId="77777777" w:rsidR="00EC2D33" w:rsidRDefault="00C4783C" w:rsidP="00360242">
      <w:pPr>
        <w:pStyle w:val="COMexecsumnumberedpara"/>
      </w:pPr>
      <w:r w:rsidRPr="00065852">
        <w:t>The submission estimated the drift in HbA1c values over time based on the United Kingdom Prospective Diabetes Study Outcome Model 2 risk equation</w:t>
      </w:r>
      <w:r w:rsidR="000D18F3">
        <w:t xml:space="preserve"> and assumed no drift for other biomarkers</w:t>
      </w:r>
      <w:r w:rsidR="002C03BD">
        <w:t xml:space="preserve"> (see </w:t>
      </w:r>
      <w:r w:rsidR="002C03BD">
        <w:fldChar w:fldCharType="begin" w:fldLock="1"/>
      </w:r>
      <w:r w:rsidR="002C03BD">
        <w:instrText xml:space="preserve"> REF _Ref104805122 \h </w:instrText>
      </w:r>
      <w:r w:rsidR="002C03BD">
        <w:fldChar w:fldCharType="separate"/>
      </w:r>
      <w:r w:rsidR="00A656E0" w:rsidRPr="00FA1E86">
        <w:t xml:space="preserve">Table </w:t>
      </w:r>
      <w:r w:rsidR="00A656E0">
        <w:rPr>
          <w:noProof/>
        </w:rPr>
        <w:t>12</w:t>
      </w:r>
      <w:r w:rsidR="002C03BD">
        <w:fldChar w:fldCharType="end"/>
      </w:r>
      <w:r w:rsidR="002C03BD">
        <w:t>)</w:t>
      </w:r>
      <w:r w:rsidRPr="00065852">
        <w:t xml:space="preserve">. </w:t>
      </w:r>
      <w:r w:rsidR="000D18F3">
        <w:t xml:space="preserve">The PBAC considered the assumption of no drift in other biomarkers </w:t>
      </w:r>
      <w:r w:rsidR="00A27BBD">
        <w:t xml:space="preserve">in the economic model </w:t>
      </w:r>
      <w:r w:rsidR="000D18F3">
        <w:t>was not clinically appropriate</w:t>
      </w:r>
      <w:r w:rsidR="00356FAF">
        <w:t xml:space="preserve"> and, based on the results presented in the sensitivity analysis (see </w:t>
      </w:r>
      <w:r w:rsidR="002C03BD">
        <w:fldChar w:fldCharType="begin" w:fldLock="1"/>
      </w:r>
      <w:r w:rsidR="002C03BD">
        <w:instrText xml:space="preserve"> REF _Ref134181638 \h </w:instrText>
      </w:r>
      <w:r w:rsidR="002C03BD">
        <w:fldChar w:fldCharType="separate"/>
      </w:r>
      <w:r w:rsidR="00A656E0" w:rsidRPr="00FA1E86">
        <w:t xml:space="preserve">Table </w:t>
      </w:r>
      <w:r w:rsidR="00A656E0">
        <w:rPr>
          <w:noProof/>
        </w:rPr>
        <w:t>14</w:t>
      </w:r>
      <w:r w:rsidR="002C03BD">
        <w:fldChar w:fldCharType="end"/>
      </w:r>
      <w:r w:rsidR="00356FAF">
        <w:t>), favoured tirzepatide.</w:t>
      </w:r>
    </w:p>
    <w:p w14:paraId="05AC4038" w14:textId="77777777" w:rsidR="00EC2D33" w:rsidRDefault="00356FAF" w:rsidP="00360242">
      <w:pPr>
        <w:pStyle w:val="COMexecsumnumberedpara"/>
        <w:rPr>
          <w:rFonts w:cstheme="minorHAnsi"/>
        </w:rPr>
      </w:pPr>
      <w:bookmarkStart w:id="76" w:name="_Ref141433839"/>
      <w:r w:rsidRPr="00360242">
        <w:rPr>
          <w:bCs/>
          <w:iCs/>
          <w:lang w:val="en-GB" w:eastAsia="en-US"/>
        </w:rPr>
        <w:t xml:space="preserve">The PBAC </w:t>
      </w:r>
      <w:r w:rsidR="006C4422" w:rsidRPr="00360242">
        <w:rPr>
          <w:bCs/>
          <w:iCs/>
          <w:lang w:val="en-GB" w:eastAsia="en-US"/>
        </w:rPr>
        <w:t>noted</w:t>
      </w:r>
      <w:r w:rsidRPr="00360242">
        <w:rPr>
          <w:bCs/>
          <w:iCs/>
          <w:lang w:val="en-GB" w:eastAsia="en-US"/>
        </w:rPr>
        <w:t xml:space="preserve"> </w:t>
      </w:r>
      <w:r w:rsidR="006C4422" w:rsidRPr="00360242">
        <w:rPr>
          <w:bCs/>
          <w:iCs/>
          <w:lang w:val="en-GB" w:eastAsia="en-US"/>
        </w:rPr>
        <w:t xml:space="preserve">the concerns raised by the ESC regarding the approach taken by the submission to </w:t>
      </w:r>
      <w:r w:rsidR="00AE52E6" w:rsidRPr="00360242">
        <w:rPr>
          <w:bCs/>
          <w:iCs/>
          <w:lang w:val="en-GB" w:eastAsia="en-US"/>
        </w:rPr>
        <w:t>applying weight</w:t>
      </w:r>
      <w:r w:rsidRPr="00360242">
        <w:rPr>
          <w:bCs/>
          <w:iCs/>
          <w:lang w:val="en-GB" w:eastAsia="en-US"/>
        </w:rPr>
        <w:t>-based utility/disutility values</w:t>
      </w:r>
      <w:r w:rsidR="006C4422" w:rsidRPr="00360242">
        <w:rPr>
          <w:bCs/>
          <w:iCs/>
          <w:lang w:val="en-GB" w:eastAsia="en-US"/>
        </w:rPr>
        <w:t xml:space="preserve"> (see paragraph </w:t>
      </w:r>
      <w:r w:rsidR="006C4422" w:rsidRPr="00360242">
        <w:rPr>
          <w:bCs/>
          <w:iCs/>
          <w:lang w:val="en-GB" w:eastAsia="en-US"/>
        </w:rPr>
        <w:fldChar w:fldCharType="begin" w:fldLock="1"/>
      </w:r>
      <w:r w:rsidR="006C4422" w:rsidRPr="00360242">
        <w:rPr>
          <w:bCs/>
          <w:iCs/>
          <w:lang w:val="en-GB" w:eastAsia="en-US"/>
        </w:rPr>
        <w:instrText xml:space="preserve"> REF _Ref137628695 \r \h </w:instrText>
      </w:r>
      <w:r w:rsidR="006C4422" w:rsidRPr="00360242">
        <w:rPr>
          <w:bCs/>
          <w:iCs/>
          <w:lang w:val="en-GB" w:eastAsia="en-US"/>
        </w:rPr>
      </w:r>
      <w:r w:rsidR="006C4422" w:rsidRPr="00360242">
        <w:rPr>
          <w:bCs/>
          <w:iCs/>
          <w:lang w:val="en-GB" w:eastAsia="en-US"/>
        </w:rPr>
        <w:fldChar w:fldCharType="separate"/>
      </w:r>
      <w:r w:rsidR="00391E15">
        <w:rPr>
          <w:bCs/>
          <w:iCs/>
          <w:lang w:val="en-GB" w:eastAsia="en-US"/>
        </w:rPr>
        <w:t>6.72</w:t>
      </w:r>
      <w:r w:rsidR="006C4422" w:rsidRPr="00360242">
        <w:rPr>
          <w:bCs/>
          <w:iCs/>
          <w:lang w:val="en-GB" w:eastAsia="en-US"/>
        </w:rPr>
        <w:fldChar w:fldCharType="end"/>
      </w:r>
      <w:r w:rsidR="006C4422" w:rsidRPr="00360242">
        <w:rPr>
          <w:bCs/>
          <w:iCs/>
          <w:lang w:val="en-GB" w:eastAsia="en-US"/>
        </w:rPr>
        <w:t>)</w:t>
      </w:r>
      <w:r w:rsidR="00A605CF">
        <w:rPr>
          <w:bCs/>
          <w:iCs/>
          <w:lang w:val="en-GB" w:eastAsia="en-US"/>
        </w:rPr>
        <w:t xml:space="preserve"> and considered the modelled approach unreliable</w:t>
      </w:r>
      <w:r w:rsidR="006C4422" w:rsidRPr="00360242">
        <w:rPr>
          <w:bCs/>
          <w:iCs/>
          <w:lang w:val="en-GB" w:eastAsia="en-US"/>
        </w:rPr>
        <w:t>.</w:t>
      </w:r>
      <w:r w:rsidR="00FE2AA6">
        <w:rPr>
          <w:bCs/>
          <w:iCs/>
          <w:lang w:val="en-GB" w:eastAsia="en-US"/>
        </w:rPr>
        <w:t xml:space="preserve"> T</w:t>
      </w:r>
      <w:r w:rsidR="00360242">
        <w:rPr>
          <w:bCs/>
          <w:iCs/>
          <w:lang w:val="en-GB" w:eastAsia="en-US"/>
        </w:rPr>
        <w:t xml:space="preserve">he PBAC </w:t>
      </w:r>
      <w:r w:rsidR="00FE2AA6">
        <w:rPr>
          <w:bCs/>
          <w:iCs/>
          <w:lang w:val="en-GB" w:eastAsia="en-US"/>
        </w:rPr>
        <w:t xml:space="preserve">also noted the concerns raised by the ESC regarding the </w:t>
      </w:r>
      <w:r w:rsidR="00360242">
        <w:rPr>
          <w:bCs/>
          <w:iCs/>
          <w:lang w:val="en-GB" w:eastAsia="en-US"/>
        </w:rPr>
        <w:t xml:space="preserve">application of a </w:t>
      </w:r>
      <w:r w:rsidR="00FE2AA6">
        <w:rPr>
          <w:bCs/>
          <w:iCs/>
          <w:lang w:val="en-GB" w:eastAsia="en-US"/>
        </w:rPr>
        <w:t>flat</w:t>
      </w:r>
      <w:r w:rsidR="00360242">
        <w:rPr>
          <w:bCs/>
          <w:iCs/>
          <w:lang w:val="en-GB" w:eastAsia="en-US"/>
        </w:rPr>
        <w:t xml:space="preserve"> rate disutility value </w:t>
      </w:r>
      <w:r w:rsidR="00FE2AA6">
        <w:rPr>
          <w:bCs/>
          <w:iCs/>
          <w:lang w:val="en-GB" w:eastAsia="en-US"/>
        </w:rPr>
        <w:t xml:space="preserve">of 0.005 </w:t>
      </w:r>
      <w:r w:rsidR="00360242">
        <w:rPr>
          <w:bCs/>
          <w:iCs/>
          <w:lang w:val="en-GB" w:eastAsia="en-US"/>
        </w:rPr>
        <w:t xml:space="preserve">per </w:t>
      </w:r>
      <w:r w:rsidR="00FE2AA6" w:rsidRPr="00FE2AA6">
        <w:t>non-severe daytime hypoglycaemic episode</w:t>
      </w:r>
      <w:r w:rsidR="00FE2AA6">
        <w:t xml:space="preserve"> (see paragraph </w:t>
      </w:r>
      <w:r w:rsidR="00FE2AA6">
        <w:fldChar w:fldCharType="begin" w:fldLock="1"/>
      </w:r>
      <w:r w:rsidR="00FE2AA6">
        <w:instrText xml:space="preserve"> REF _Ref141200160 \r \h </w:instrText>
      </w:r>
      <w:r w:rsidR="00FE2AA6">
        <w:fldChar w:fldCharType="separate"/>
      </w:r>
      <w:r w:rsidR="00391E15">
        <w:t>6.73</w:t>
      </w:r>
      <w:r w:rsidR="00FE2AA6">
        <w:fldChar w:fldCharType="end"/>
      </w:r>
      <w:r w:rsidR="00FE2AA6">
        <w:t>).</w:t>
      </w:r>
      <w:r w:rsidR="00DE772D">
        <w:t xml:space="preserve"> </w:t>
      </w:r>
      <w:r w:rsidR="00360242" w:rsidRPr="00885FE5">
        <w:t xml:space="preserve">The </w:t>
      </w:r>
      <w:r w:rsidR="00360242">
        <w:t xml:space="preserve">PBAC </w:t>
      </w:r>
      <w:r w:rsidR="00FE2AA6">
        <w:t xml:space="preserve">agreed with the ESC that the flat rate disutility value lacked face validity and that the submission also </w:t>
      </w:r>
      <w:r w:rsidR="00360242" w:rsidRPr="00885FE5">
        <w:t>substantial</w:t>
      </w:r>
      <w:r w:rsidR="005A25C7">
        <w:t>ly</w:t>
      </w:r>
      <w:r w:rsidR="00360242" w:rsidRPr="00885FE5">
        <w:t xml:space="preserve"> overestimat</w:t>
      </w:r>
      <w:r w:rsidR="00FE2AA6">
        <w:t xml:space="preserve">ed </w:t>
      </w:r>
      <w:r w:rsidR="00360242" w:rsidRPr="00885FE5">
        <w:t>hypoglycaemia rates with insulin compared to GLP</w:t>
      </w:r>
      <w:r w:rsidR="00360242" w:rsidRPr="00885FE5">
        <w:noBreakHyphen/>
        <w:t>1 RA/GIP therapies (1,400 versus 0.47-2.12 per 100 patient years)</w:t>
      </w:r>
      <w:r w:rsidR="00FE2AA6">
        <w:t xml:space="preserve">. The PBAC </w:t>
      </w:r>
      <w:r w:rsidR="00115BD3">
        <w:t>noted</w:t>
      </w:r>
      <w:r w:rsidR="00A27BBD">
        <w:t xml:space="preserve"> the ESC</w:t>
      </w:r>
      <w:r w:rsidR="00FE2AA6">
        <w:t xml:space="preserve"> </w:t>
      </w:r>
      <w:r w:rsidR="00115BD3">
        <w:t xml:space="preserve">advised </w:t>
      </w:r>
      <w:r w:rsidR="00FE2AA6">
        <w:t xml:space="preserve">that </w:t>
      </w:r>
      <w:r w:rsidR="00360242" w:rsidRPr="00FE2AA6">
        <w:rPr>
          <w:rFonts w:cstheme="minorHAnsi"/>
        </w:rPr>
        <w:t>the high rate of hypoglycaemia events when combined with the application of a high flat rate disutility value per event was an important driver of the model.</w:t>
      </w:r>
      <w:bookmarkEnd w:id="76"/>
    </w:p>
    <w:p w14:paraId="70FD7922" w14:textId="1F0AF22C" w:rsidR="00EC2D33" w:rsidRDefault="00A27BBD" w:rsidP="00E561C6">
      <w:pPr>
        <w:pStyle w:val="COMexecsumnumberedpara"/>
        <w:rPr>
          <w:iCs/>
        </w:rPr>
      </w:pPr>
      <w:bookmarkStart w:id="77" w:name="_Ref141266944"/>
      <w:r>
        <w:t xml:space="preserve">The PBAC noted that </w:t>
      </w:r>
      <w:r w:rsidR="00E561C6" w:rsidRPr="00FA1E86">
        <w:t xml:space="preserve">treatment with tirzepatide was associated with an incremental cost per QALY gained of </w:t>
      </w:r>
      <w:r w:rsidR="001819DC" w:rsidRPr="001819DC">
        <w:t>$115,000 to &lt; $135,000</w:t>
      </w:r>
      <w:r w:rsidR="001921CA">
        <w:t xml:space="preserve"> </w:t>
      </w:r>
      <w:r w:rsidR="00E561C6" w:rsidRPr="00FA1E86">
        <w:t>for the 5</w:t>
      </w:r>
      <w:r w:rsidR="001819DC">
        <w:t> </w:t>
      </w:r>
      <w:r w:rsidR="00E561C6" w:rsidRPr="00FA1E86">
        <w:t xml:space="preserve">mg dose, </w:t>
      </w:r>
      <w:r w:rsidR="001819DC" w:rsidRPr="001819DC">
        <w:lastRenderedPageBreak/>
        <w:t>$55,000 to &lt; $75,000</w:t>
      </w:r>
      <w:r w:rsidR="001921CA">
        <w:t xml:space="preserve"> </w:t>
      </w:r>
      <w:r w:rsidR="00E561C6" w:rsidRPr="00FA1E86">
        <w:t xml:space="preserve">for the 10 mg dose and </w:t>
      </w:r>
      <w:r w:rsidR="001819DC" w:rsidRPr="001819DC">
        <w:t>$45,000 to &lt; $55,000</w:t>
      </w:r>
      <w:r w:rsidR="001921CA">
        <w:t xml:space="preserve"> </w:t>
      </w:r>
      <w:r w:rsidR="00E561C6" w:rsidRPr="00FA1E86">
        <w:t>for the 15</w:t>
      </w:r>
      <w:r w:rsidR="001819DC">
        <w:t> </w:t>
      </w:r>
      <w:r w:rsidR="00E561C6" w:rsidRPr="00FA1E86">
        <w:t>mg dose compared to semaglutide 1 mg weekly.</w:t>
      </w:r>
      <w:r w:rsidR="00E561C6">
        <w:t xml:space="preserve"> </w:t>
      </w:r>
      <w:r w:rsidR="00E561C6" w:rsidRPr="00E561C6">
        <w:t>The</w:t>
      </w:r>
      <w:r w:rsidR="00E561C6">
        <w:t xml:space="preserve"> PBAC agreed with the</w:t>
      </w:r>
      <w:r w:rsidR="00E561C6" w:rsidRPr="00E561C6">
        <w:t xml:space="preserve"> ESC that the ICERs per QALY </w:t>
      </w:r>
      <w:r w:rsidR="00516557">
        <w:t xml:space="preserve">gained </w:t>
      </w:r>
      <w:r w:rsidR="00E561C6" w:rsidRPr="00E561C6">
        <w:t>were high, particularly for those based on lower doses, and all ICERs were likely under-estimated due to optimistic assumptions, particularly around utility weights and insulin intensification</w:t>
      </w:r>
      <w:r w:rsidR="00E561C6">
        <w:t xml:space="preserve">. </w:t>
      </w:r>
      <w:r w:rsidR="006660F0" w:rsidRPr="00E561C6">
        <w:rPr>
          <w:iCs/>
        </w:rPr>
        <w:t xml:space="preserve">The PBAC agreed with the ESC that optimistic assumptions around utility weights, biomarker drift and insulin intensification should be addressed </w:t>
      </w:r>
      <w:r w:rsidR="00115BD3">
        <w:rPr>
          <w:iCs/>
        </w:rPr>
        <w:t>in</w:t>
      </w:r>
      <w:r w:rsidR="00516557">
        <w:rPr>
          <w:iCs/>
        </w:rPr>
        <w:t xml:space="preserve"> a</w:t>
      </w:r>
      <w:r w:rsidR="006660F0" w:rsidRPr="00E561C6">
        <w:rPr>
          <w:iCs/>
        </w:rPr>
        <w:t xml:space="preserve"> revised base case that incorporated:</w:t>
      </w:r>
      <w:bookmarkEnd w:id="77"/>
    </w:p>
    <w:p w14:paraId="210815D1" w14:textId="3C284C22" w:rsidR="006660F0" w:rsidRPr="00BC7837" w:rsidRDefault="006660F0" w:rsidP="006660F0">
      <w:pPr>
        <w:pStyle w:val="COMexecsumnumberedpara"/>
        <w:numPr>
          <w:ilvl w:val="0"/>
          <w:numId w:val="13"/>
        </w:numPr>
        <w:spacing w:after="60"/>
        <w:rPr>
          <w:iCs/>
        </w:rPr>
      </w:pPr>
      <w:r w:rsidRPr="00BC7837">
        <w:rPr>
          <w:iCs/>
        </w:rPr>
        <w:t>Constant eGFR treatment effects</w:t>
      </w:r>
    </w:p>
    <w:p w14:paraId="4E39AE7E" w14:textId="77777777" w:rsidR="006660F0" w:rsidRPr="00BC7837" w:rsidRDefault="006660F0" w:rsidP="006660F0">
      <w:pPr>
        <w:pStyle w:val="COMexecsumnumberedpara"/>
        <w:numPr>
          <w:ilvl w:val="0"/>
          <w:numId w:val="13"/>
        </w:numPr>
        <w:spacing w:after="60"/>
        <w:rPr>
          <w:iCs/>
        </w:rPr>
      </w:pPr>
      <w:r w:rsidRPr="00BC7837">
        <w:rPr>
          <w:iCs/>
        </w:rPr>
        <w:t>UKPDS drift for all biomarkers</w:t>
      </w:r>
    </w:p>
    <w:p w14:paraId="15E80120" w14:textId="77777777" w:rsidR="006660F0" w:rsidRPr="00BC7837" w:rsidRDefault="006660F0" w:rsidP="006660F0">
      <w:pPr>
        <w:pStyle w:val="COMexecsumnumberedpara"/>
        <w:numPr>
          <w:ilvl w:val="0"/>
          <w:numId w:val="13"/>
        </w:numPr>
        <w:spacing w:after="60"/>
        <w:rPr>
          <w:iCs/>
        </w:rPr>
      </w:pPr>
      <w:r w:rsidRPr="00BC7837">
        <w:rPr>
          <w:iCs/>
        </w:rPr>
        <w:t>Insulin intensification at HbA1c 8.0%</w:t>
      </w:r>
    </w:p>
    <w:p w14:paraId="3F282325" w14:textId="77777777" w:rsidR="00EC2D33" w:rsidRDefault="006660F0" w:rsidP="006660F0">
      <w:pPr>
        <w:pStyle w:val="COMexecsumnumberedpara"/>
        <w:numPr>
          <w:ilvl w:val="0"/>
          <w:numId w:val="13"/>
        </w:numPr>
        <w:spacing w:after="60"/>
        <w:rPr>
          <w:iCs/>
        </w:rPr>
      </w:pPr>
      <w:r w:rsidRPr="00BC7837">
        <w:rPr>
          <w:iCs/>
        </w:rPr>
        <w:t>Reduced hypoglycaemia disutility to -0.003 per event.</w:t>
      </w:r>
    </w:p>
    <w:p w14:paraId="01E51EE9" w14:textId="283152B1" w:rsidR="00EC2D33" w:rsidRDefault="006660F0" w:rsidP="006660F0">
      <w:pPr>
        <w:pStyle w:val="COMexecsumnumberedpara"/>
        <w:numPr>
          <w:ilvl w:val="0"/>
          <w:numId w:val="0"/>
        </w:numPr>
        <w:ind w:left="720"/>
        <w:rPr>
          <w:bCs/>
          <w:iCs/>
          <w:lang w:val="en-GB" w:eastAsia="en-US"/>
        </w:rPr>
      </w:pPr>
      <w:r w:rsidRPr="00BC7837">
        <w:rPr>
          <w:iCs/>
        </w:rPr>
        <w:t xml:space="preserve">The </w:t>
      </w:r>
      <w:r>
        <w:rPr>
          <w:iCs/>
        </w:rPr>
        <w:t>PBAC noted</w:t>
      </w:r>
      <w:r w:rsidRPr="00BC7837">
        <w:rPr>
          <w:iCs/>
        </w:rPr>
        <w:t xml:space="preserve"> that </w:t>
      </w:r>
      <w:r w:rsidR="00A605CF">
        <w:rPr>
          <w:iCs/>
        </w:rPr>
        <w:t xml:space="preserve">even without addressing all the issues regarding circumstances of use (paragraph </w:t>
      </w:r>
      <w:r w:rsidR="00A605CF">
        <w:rPr>
          <w:iCs/>
        </w:rPr>
        <w:fldChar w:fldCharType="begin" w:fldLock="1"/>
      </w:r>
      <w:r w:rsidR="00A605CF">
        <w:rPr>
          <w:iCs/>
        </w:rPr>
        <w:instrText xml:space="preserve"> REF _Ref141433754 \r \h </w:instrText>
      </w:r>
      <w:r w:rsidR="00A605CF">
        <w:rPr>
          <w:iCs/>
        </w:rPr>
      </w:r>
      <w:r w:rsidR="00A605CF">
        <w:rPr>
          <w:iCs/>
        </w:rPr>
        <w:fldChar w:fldCharType="separate"/>
      </w:r>
      <w:r w:rsidR="00391E15">
        <w:rPr>
          <w:iCs/>
        </w:rPr>
        <w:t>7.13</w:t>
      </w:r>
      <w:r w:rsidR="00A605CF">
        <w:rPr>
          <w:iCs/>
        </w:rPr>
        <w:fldChar w:fldCharType="end"/>
      </w:r>
      <w:r w:rsidR="00A605CF">
        <w:rPr>
          <w:iCs/>
        </w:rPr>
        <w:t xml:space="preserve">) or weight-based utility/disutility (paragraph </w:t>
      </w:r>
      <w:r w:rsidR="00A605CF">
        <w:rPr>
          <w:iCs/>
        </w:rPr>
        <w:fldChar w:fldCharType="begin" w:fldLock="1"/>
      </w:r>
      <w:r w:rsidR="00A605CF">
        <w:rPr>
          <w:iCs/>
        </w:rPr>
        <w:instrText xml:space="preserve"> REF _Ref141433839 \r \h </w:instrText>
      </w:r>
      <w:r w:rsidR="00A605CF">
        <w:rPr>
          <w:iCs/>
        </w:rPr>
      </w:r>
      <w:r w:rsidR="00A605CF">
        <w:rPr>
          <w:iCs/>
        </w:rPr>
        <w:fldChar w:fldCharType="separate"/>
      </w:r>
      <w:r w:rsidR="00391E15">
        <w:rPr>
          <w:iCs/>
        </w:rPr>
        <w:t>7.15</w:t>
      </w:r>
      <w:r w:rsidR="00A605CF">
        <w:rPr>
          <w:iCs/>
        </w:rPr>
        <w:fldChar w:fldCharType="end"/>
      </w:r>
      <w:r w:rsidR="00A605CF">
        <w:rPr>
          <w:iCs/>
        </w:rPr>
        <w:t xml:space="preserve">) </w:t>
      </w:r>
      <w:r w:rsidR="00A605CF" w:rsidRPr="00BC7837">
        <w:rPr>
          <w:iCs/>
        </w:rPr>
        <w:t>th</w:t>
      </w:r>
      <w:r w:rsidR="00A605CF">
        <w:rPr>
          <w:iCs/>
        </w:rPr>
        <w:t xml:space="preserve">e scenario analyses based on the 4 points above </w:t>
      </w:r>
      <w:r w:rsidRPr="00BC7837">
        <w:rPr>
          <w:iCs/>
        </w:rPr>
        <w:t xml:space="preserve">increased the base case ICER from </w:t>
      </w:r>
      <w:r w:rsidR="001819DC" w:rsidRPr="001819DC">
        <w:rPr>
          <w:iCs/>
        </w:rPr>
        <w:t>$115,000 to &lt; $135,000</w:t>
      </w:r>
      <w:r w:rsidR="00F2167D">
        <w:rPr>
          <w:iCs/>
        </w:rPr>
        <w:t xml:space="preserve"> </w:t>
      </w:r>
      <w:r w:rsidRPr="00BC7837">
        <w:rPr>
          <w:iCs/>
        </w:rPr>
        <w:t xml:space="preserve">to </w:t>
      </w:r>
      <w:r w:rsidR="001819DC" w:rsidRPr="001819DC">
        <w:rPr>
          <w:iCs/>
        </w:rPr>
        <w:t>$255,000 to &lt; $355,000</w:t>
      </w:r>
      <w:r w:rsidR="00F2167D">
        <w:rPr>
          <w:iCs/>
        </w:rPr>
        <w:t xml:space="preserve"> </w:t>
      </w:r>
      <w:r w:rsidRPr="00BC7837">
        <w:rPr>
          <w:iCs/>
        </w:rPr>
        <w:t xml:space="preserve">per QALY gained for the 5 mg dose, from </w:t>
      </w:r>
      <w:r w:rsidR="001819DC" w:rsidRPr="001819DC">
        <w:rPr>
          <w:iCs/>
        </w:rPr>
        <w:t xml:space="preserve">$55,000 to &lt; $75,000 </w:t>
      </w:r>
      <w:r w:rsidRPr="00BC7837">
        <w:rPr>
          <w:iCs/>
        </w:rPr>
        <w:t xml:space="preserve">to </w:t>
      </w:r>
      <w:r w:rsidR="001819DC" w:rsidRPr="001819DC">
        <w:rPr>
          <w:iCs/>
        </w:rPr>
        <w:t>$115,000 to &lt; $135,000</w:t>
      </w:r>
      <w:r w:rsidR="00F2167D">
        <w:rPr>
          <w:iCs/>
        </w:rPr>
        <w:t xml:space="preserve"> </w:t>
      </w:r>
      <w:r w:rsidRPr="00BC7837">
        <w:rPr>
          <w:iCs/>
        </w:rPr>
        <w:t xml:space="preserve">per QALY gained for the 10 mg dose and from </w:t>
      </w:r>
      <w:r w:rsidR="001819DC" w:rsidRPr="001819DC">
        <w:rPr>
          <w:iCs/>
        </w:rPr>
        <w:t>$45,000 to &lt; $55,000</w:t>
      </w:r>
      <w:r w:rsidR="00F2167D">
        <w:rPr>
          <w:iCs/>
        </w:rPr>
        <w:t xml:space="preserve"> </w:t>
      </w:r>
      <w:r w:rsidRPr="00BC7837">
        <w:rPr>
          <w:iCs/>
        </w:rPr>
        <w:t xml:space="preserve">to </w:t>
      </w:r>
      <w:r w:rsidR="001819DC" w:rsidRPr="001819DC">
        <w:rPr>
          <w:iCs/>
        </w:rPr>
        <w:t>$75,000 to &lt; $95,000</w:t>
      </w:r>
      <w:r w:rsidR="00F2167D">
        <w:rPr>
          <w:iCs/>
        </w:rPr>
        <w:t xml:space="preserve"> </w:t>
      </w:r>
      <w:r w:rsidRPr="00BC7837">
        <w:rPr>
          <w:iCs/>
        </w:rPr>
        <w:t xml:space="preserve">per QALY gained for the 15 mg dose. </w:t>
      </w:r>
      <w:r w:rsidRPr="00AC1207">
        <w:rPr>
          <w:bCs/>
          <w:iCs/>
          <w:lang w:val="en-GB" w:eastAsia="en-US"/>
        </w:rPr>
        <w:t xml:space="preserve">The PBAC considered that the </w:t>
      </w:r>
      <w:r>
        <w:rPr>
          <w:bCs/>
          <w:iCs/>
          <w:lang w:val="en-GB" w:eastAsia="en-US"/>
        </w:rPr>
        <w:t>resulting ICERs</w:t>
      </w:r>
      <w:r w:rsidRPr="00AC1207">
        <w:rPr>
          <w:bCs/>
          <w:iCs/>
          <w:lang w:val="en-GB" w:eastAsia="en-US"/>
        </w:rPr>
        <w:t xml:space="preserve"> w</w:t>
      </w:r>
      <w:r>
        <w:rPr>
          <w:bCs/>
          <w:iCs/>
          <w:lang w:val="en-GB" w:eastAsia="en-US"/>
        </w:rPr>
        <w:t>ere</w:t>
      </w:r>
      <w:r w:rsidRPr="00AC1207">
        <w:rPr>
          <w:bCs/>
          <w:iCs/>
          <w:lang w:val="en-GB" w:eastAsia="en-US"/>
        </w:rPr>
        <w:t xml:space="preserve"> high</w:t>
      </w:r>
      <w:r>
        <w:rPr>
          <w:bCs/>
          <w:iCs/>
          <w:lang w:val="en-GB" w:eastAsia="en-US"/>
        </w:rPr>
        <w:t xml:space="preserve"> and </w:t>
      </w:r>
      <w:r w:rsidRPr="00AC1207">
        <w:rPr>
          <w:bCs/>
          <w:iCs/>
          <w:lang w:val="en-GB" w:eastAsia="en-US"/>
        </w:rPr>
        <w:t>advised that a</w:t>
      </w:r>
      <w:r w:rsidR="00B3159F">
        <w:rPr>
          <w:bCs/>
          <w:iCs/>
          <w:lang w:val="en-GB" w:eastAsia="en-US"/>
        </w:rPr>
        <w:t>n ICER in the order of $30,000 per QALY would be appropriate. As such, the PBAC noted a</w:t>
      </w:r>
      <w:r w:rsidRPr="00AC1207">
        <w:rPr>
          <w:bCs/>
          <w:iCs/>
          <w:lang w:val="en-GB" w:eastAsia="en-US"/>
        </w:rPr>
        <w:t xml:space="preserve"> substantial price reduction would </w:t>
      </w:r>
      <w:proofErr w:type="gramStart"/>
      <w:r w:rsidRPr="00AC1207">
        <w:rPr>
          <w:bCs/>
          <w:iCs/>
          <w:lang w:val="en-GB" w:eastAsia="en-US"/>
        </w:rPr>
        <w:t>be required</w:t>
      </w:r>
      <w:proofErr w:type="gramEnd"/>
      <w:r w:rsidRPr="00AC1207">
        <w:rPr>
          <w:bCs/>
          <w:iCs/>
          <w:lang w:val="en-GB" w:eastAsia="en-US"/>
        </w:rPr>
        <w:t xml:space="preserve"> for the proposed listing to be considered cost-effective.</w:t>
      </w:r>
    </w:p>
    <w:p w14:paraId="2643EF43" w14:textId="01D92174" w:rsidR="001B41B8" w:rsidRPr="00981EAB" w:rsidRDefault="00BF229B" w:rsidP="00981EAB">
      <w:pPr>
        <w:pStyle w:val="COMexecsumnumberedpara"/>
        <w:rPr>
          <w:rFonts w:cstheme="minorHAnsi"/>
        </w:rPr>
      </w:pPr>
      <w:bookmarkStart w:id="78" w:name="_Ref141267064"/>
      <w:r w:rsidRPr="00BF229B">
        <w:rPr>
          <w:rFonts w:cstheme="minorHAnsi"/>
        </w:rPr>
        <w:t xml:space="preserve">The </w:t>
      </w:r>
      <w:r>
        <w:rPr>
          <w:rFonts w:cstheme="minorHAnsi"/>
        </w:rPr>
        <w:t xml:space="preserve">PBAC </w:t>
      </w:r>
      <w:r w:rsidR="00FC0EF3">
        <w:rPr>
          <w:rFonts w:cstheme="minorHAnsi"/>
        </w:rPr>
        <w:t>noted</w:t>
      </w:r>
      <w:r>
        <w:rPr>
          <w:rFonts w:cstheme="minorHAnsi"/>
        </w:rPr>
        <w:t xml:space="preserve"> concerns </w:t>
      </w:r>
      <w:r w:rsidR="00FC0EF3">
        <w:rPr>
          <w:rFonts w:cstheme="minorHAnsi"/>
        </w:rPr>
        <w:t xml:space="preserve">raised by the evaluation and the ESC regarding the </w:t>
      </w:r>
      <w:r w:rsidR="00981EAB">
        <w:rPr>
          <w:rFonts w:cstheme="minorHAnsi"/>
        </w:rPr>
        <w:t xml:space="preserve">use of historical growth trends </w:t>
      </w:r>
      <w:r w:rsidR="00FC0EF3">
        <w:rPr>
          <w:rFonts w:cstheme="minorHAnsi"/>
        </w:rPr>
        <w:t xml:space="preserve">of GLP-1 </w:t>
      </w:r>
      <w:r w:rsidR="00981EAB">
        <w:rPr>
          <w:rFonts w:cstheme="minorHAnsi"/>
        </w:rPr>
        <w:t>analogues</w:t>
      </w:r>
      <w:r w:rsidR="00A605CF">
        <w:rPr>
          <w:rFonts w:cstheme="minorHAnsi"/>
        </w:rPr>
        <w:t xml:space="preserve"> to estimate the PBS usage and financial implications of </w:t>
      </w:r>
      <w:r w:rsidR="00C73797">
        <w:rPr>
          <w:rFonts w:cstheme="minorHAnsi"/>
        </w:rPr>
        <w:t>a</w:t>
      </w:r>
      <w:r w:rsidR="00A605CF">
        <w:rPr>
          <w:rFonts w:cstheme="minorHAnsi"/>
        </w:rPr>
        <w:t xml:space="preserve"> tirzepatide listing</w:t>
      </w:r>
      <w:r w:rsidR="00FC0EF3">
        <w:rPr>
          <w:rFonts w:cstheme="minorHAnsi"/>
        </w:rPr>
        <w:t xml:space="preserve"> given </w:t>
      </w:r>
      <w:r w:rsidR="00981EAB">
        <w:rPr>
          <w:rFonts w:cstheme="minorHAnsi"/>
        </w:rPr>
        <w:t xml:space="preserve">recent recommendations </w:t>
      </w:r>
      <w:r w:rsidRPr="00BF229B">
        <w:rPr>
          <w:rFonts w:cstheme="minorHAnsi"/>
        </w:rPr>
        <w:t xml:space="preserve">to narrow eligibility </w:t>
      </w:r>
      <w:r w:rsidR="00981EAB">
        <w:rPr>
          <w:rFonts w:cstheme="minorHAnsi"/>
        </w:rPr>
        <w:t xml:space="preserve">of such therapies (see paragraph </w:t>
      </w:r>
      <w:r w:rsidR="00981EAB">
        <w:rPr>
          <w:rFonts w:cstheme="minorHAnsi"/>
        </w:rPr>
        <w:fldChar w:fldCharType="begin" w:fldLock="1"/>
      </w:r>
      <w:r w:rsidR="00981EAB">
        <w:rPr>
          <w:rFonts w:cstheme="minorHAnsi"/>
        </w:rPr>
        <w:instrText xml:space="preserve"> REF _Ref141265641 \r \h </w:instrText>
      </w:r>
      <w:r w:rsidR="00981EAB">
        <w:rPr>
          <w:rFonts w:cstheme="minorHAnsi"/>
        </w:rPr>
      </w:r>
      <w:r w:rsidR="00981EAB">
        <w:rPr>
          <w:rFonts w:cstheme="minorHAnsi"/>
        </w:rPr>
        <w:fldChar w:fldCharType="separate"/>
      </w:r>
      <w:r w:rsidR="00391E15">
        <w:rPr>
          <w:rFonts w:cstheme="minorHAnsi"/>
        </w:rPr>
        <w:t>6.92</w:t>
      </w:r>
      <w:r w:rsidR="00981EAB">
        <w:rPr>
          <w:rFonts w:cstheme="minorHAnsi"/>
        </w:rPr>
        <w:fldChar w:fldCharType="end"/>
      </w:r>
      <w:r w:rsidR="00981EAB">
        <w:rPr>
          <w:rFonts w:cstheme="minorHAnsi"/>
        </w:rPr>
        <w:t xml:space="preserve">). </w:t>
      </w:r>
      <w:r w:rsidR="00610FAE">
        <w:rPr>
          <w:rFonts w:cstheme="minorHAnsi"/>
        </w:rPr>
        <w:t>The PBAC agreed with the ESC that a</w:t>
      </w:r>
      <w:r w:rsidR="00610FAE" w:rsidRPr="00610FAE">
        <w:rPr>
          <w:rFonts w:cstheme="minorHAnsi"/>
        </w:rPr>
        <w:t>dditional sensitivity analyses in this area may assist in understanding some of the uncertainty regarding future growth in GLP-1 RA use</w:t>
      </w:r>
      <w:r w:rsidR="00B75EA0">
        <w:rPr>
          <w:rFonts w:cstheme="minorHAnsi"/>
        </w:rPr>
        <w:t xml:space="preserve"> (see paragraph </w:t>
      </w:r>
      <w:r w:rsidR="001337D0">
        <w:rPr>
          <w:rFonts w:cstheme="minorHAnsi"/>
        </w:rPr>
        <w:fldChar w:fldCharType="begin" w:fldLock="1"/>
      </w:r>
      <w:r w:rsidR="001337D0">
        <w:rPr>
          <w:rFonts w:cstheme="minorHAnsi"/>
        </w:rPr>
        <w:instrText xml:space="preserve"> REF _Ref141435343 \r \h </w:instrText>
      </w:r>
      <w:r w:rsidR="001337D0">
        <w:rPr>
          <w:rFonts w:cstheme="minorHAnsi"/>
        </w:rPr>
      </w:r>
      <w:r w:rsidR="001337D0">
        <w:rPr>
          <w:rFonts w:cstheme="minorHAnsi"/>
        </w:rPr>
        <w:fldChar w:fldCharType="separate"/>
      </w:r>
      <w:r w:rsidR="00391E15">
        <w:rPr>
          <w:rFonts w:cstheme="minorHAnsi"/>
        </w:rPr>
        <w:t>6.93</w:t>
      </w:r>
      <w:r w:rsidR="001337D0">
        <w:rPr>
          <w:rFonts w:cstheme="minorHAnsi"/>
        </w:rPr>
        <w:fldChar w:fldCharType="end"/>
      </w:r>
      <w:r w:rsidR="001337D0">
        <w:rPr>
          <w:rFonts w:cstheme="minorHAnsi"/>
        </w:rPr>
        <w:t>)</w:t>
      </w:r>
      <w:r w:rsidR="00610FAE">
        <w:rPr>
          <w:rFonts w:cstheme="minorHAnsi"/>
        </w:rPr>
        <w:t xml:space="preserve">. </w:t>
      </w:r>
      <w:r w:rsidR="001B41B8" w:rsidRPr="001B41B8">
        <w:t xml:space="preserve">The PBAC considered that the financial impact was </w:t>
      </w:r>
      <w:r w:rsidR="00981EAB">
        <w:t xml:space="preserve">uncertain and </w:t>
      </w:r>
      <w:r w:rsidR="001B41B8" w:rsidRPr="001B41B8">
        <w:t>extremely high at the requested price.</w:t>
      </w:r>
      <w:bookmarkEnd w:id="78"/>
    </w:p>
    <w:p w14:paraId="106CBE00" w14:textId="77777777" w:rsidR="00EC2D33" w:rsidRDefault="00981EAB" w:rsidP="00981EAB">
      <w:pPr>
        <w:pStyle w:val="COMexecsumnumberedpara"/>
      </w:pPr>
      <w:r>
        <w:t>The PBAC considered a resubmission for tirzepatide should address the following issues:</w:t>
      </w:r>
    </w:p>
    <w:p w14:paraId="402C180C" w14:textId="45B9B212" w:rsidR="00EC2D33" w:rsidRDefault="00610FAE" w:rsidP="00981EAB">
      <w:pPr>
        <w:pStyle w:val="COMexecsumnumberedpara"/>
        <w:numPr>
          <w:ilvl w:val="0"/>
          <w:numId w:val="13"/>
        </w:numPr>
        <w:spacing w:after="60"/>
        <w:rPr>
          <w:rFonts w:cstheme="minorHAnsi"/>
        </w:rPr>
      </w:pPr>
      <w:r>
        <w:rPr>
          <w:rFonts w:cstheme="minorHAnsi"/>
        </w:rPr>
        <w:t xml:space="preserve">Provide an economic model </w:t>
      </w:r>
      <w:r w:rsidR="001337D0">
        <w:rPr>
          <w:rFonts w:cstheme="minorHAnsi"/>
        </w:rPr>
        <w:t xml:space="preserve">which </w:t>
      </w:r>
      <w:r w:rsidR="0009259A">
        <w:rPr>
          <w:rFonts w:cstheme="minorHAnsi"/>
        </w:rPr>
        <w:t xml:space="preserve">addresses the issues regarding circumstances of use (see paragraph </w:t>
      </w:r>
      <w:r w:rsidR="0009259A">
        <w:rPr>
          <w:rFonts w:cstheme="minorHAnsi"/>
        </w:rPr>
        <w:fldChar w:fldCharType="begin" w:fldLock="1"/>
      </w:r>
      <w:r w:rsidR="0009259A">
        <w:rPr>
          <w:rFonts w:cstheme="minorHAnsi"/>
        </w:rPr>
        <w:instrText xml:space="preserve"> REF _Ref141433754 \r \h </w:instrText>
      </w:r>
      <w:r w:rsidR="0009259A">
        <w:rPr>
          <w:rFonts w:cstheme="minorHAnsi"/>
        </w:rPr>
      </w:r>
      <w:r w:rsidR="0009259A">
        <w:rPr>
          <w:rFonts w:cstheme="minorHAnsi"/>
        </w:rPr>
        <w:fldChar w:fldCharType="separate"/>
      </w:r>
      <w:r w:rsidR="00391E15">
        <w:rPr>
          <w:rFonts w:cstheme="minorHAnsi"/>
        </w:rPr>
        <w:t>7.13</w:t>
      </w:r>
      <w:r w:rsidR="0009259A">
        <w:rPr>
          <w:rFonts w:cstheme="minorHAnsi"/>
        </w:rPr>
        <w:fldChar w:fldCharType="end"/>
      </w:r>
      <w:r w:rsidR="0009259A">
        <w:rPr>
          <w:rFonts w:cstheme="minorHAnsi"/>
        </w:rPr>
        <w:t xml:space="preserve">) and weight-based utility/disutility (see paragraph </w:t>
      </w:r>
      <w:r w:rsidR="0009259A">
        <w:rPr>
          <w:rFonts w:cstheme="minorHAnsi"/>
        </w:rPr>
        <w:fldChar w:fldCharType="begin" w:fldLock="1"/>
      </w:r>
      <w:r w:rsidR="0009259A">
        <w:rPr>
          <w:rFonts w:cstheme="minorHAnsi"/>
        </w:rPr>
        <w:instrText xml:space="preserve"> REF _Ref141433839 \r \h </w:instrText>
      </w:r>
      <w:r w:rsidR="0009259A">
        <w:rPr>
          <w:rFonts w:cstheme="minorHAnsi"/>
        </w:rPr>
      </w:r>
      <w:r w:rsidR="0009259A">
        <w:rPr>
          <w:rFonts w:cstheme="minorHAnsi"/>
        </w:rPr>
        <w:fldChar w:fldCharType="separate"/>
      </w:r>
      <w:r w:rsidR="00391E15">
        <w:rPr>
          <w:rFonts w:cstheme="minorHAnsi"/>
        </w:rPr>
        <w:t>7.15</w:t>
      </w:r>
      <w:r w:rsidR="0009259A">
        <w:rPr>
          <w:rFonts w:cstheme="minorHAnsi"/>
        </w:rPr>
        <w:fldChar w:fldCharType="end"/>
      </w:r>
      <w:r w:rsidR="0009259A">
        <w:rPr>
          <w:rFonts w:cstheme="minorHAnsi"/>
        </w:rPr>
        <w:t xml:space="preserve">), </w:t>
      </w:r>
      <w:r w:rsidR="001337D0">
        <w:rPr>
          <w:rFonts w:cstheme="minorHAnsi"/>
        </w:rPr>
        <w:t>includes</w:t>
      </w:r>
      <w:r>
        <w:rPr>
          <w:rFonts w:cstheme="minorHAnsi"/>
        </w:rPr>
        <w:t xml:space="preserve"> </w:t>
      </w:r>
      <w:r w:rsidR="001337D0">
        <w:rPr>
          <w:rFonts w:cstheme="minorHAnsi"/>
        </w:rPr>
        <w:t>revisions</w:t>
      </w:r>
      <w:r>
        <w:rPr>
          <w:rFonts w:cstheme="minorHAnsi"/>
        </w:rPr>
        <w:t xml:space="preserve"> outlined in paragraph </w:t>
      </w:r>
      <w:r>
        <w:rPr>
          <w:rFonts w:cstheme="minorHAnsi"/>
        </w:rPr>
        <w:fldChar w:fldCharType="begin" w:fldLock="1"/>
      </w:r>
      <w:r>
        <w:rPr>
          <w:rFonts w:cstheme="minorHAnsi"/>
        </w:rPr>
        <w:instrText xml:space="preserve"> REF _Ref141266944 \r \h </w:instrText>
      </w:r>
      <w:r>
        <w:rPr>
          <w:rFonts w:cstheme="minorHAnsi"/>
        </w:rPr>
      </w:r>
      <w:r>
        <w:rPr>
          <w:rFonts w:cstheme="minorHAnsi"/>
        </w:rPr>
        <w:fldChar w:fldCharType="separate"/>
      </w:r>
      <w:r w:rsidR="00391E15">
        <w:rPr>
          <w:rFonts w:cstheme="minorHAnsi"/>
        </w:rPr>
        <w:t>7.16</w:t>
      </w:r>
      <w:r>
        <w:rPr>
          <w:rFonts w:cstheme="minorHAnsi"/>
        </w:rPr>
        <w:fldChar w:fldCharType="end"/>
      </w:r>
      <w:r w:rsidR="0009259A">
        <w:rPr>
          <w:rFonts w:cstheme="minorHAnsi"/>
        </w:rPr>
        <w:t xml:space="preserve"> </w:t>
      </w:r>
      <w:r>
        <w:rPr>
          <w:rFonts w:cstheme="minorHAnsi"/>
        </w:rPr>
        <w:t xml:space="preserve">and a </w:t>
      </w:r>
      <w:r w:rsidR="00516557">
        <w:rPr>
          <w:rFonts w:cstheme="minorHAnsi"/>
        </w:rPr>
        <w:t xml:space="preserve">substantial </w:t>
      </w:r>
      <w:r>
        <w:rPr>
          <w:rFonts w:cstheme="minorHAnsi"/>
        </w:rPr>
        <w:t>price</w:t>
      </w:r>
      <w:r w:rsidR="001337D0">
        <w:rPr>
          <w:rFonts w:cstheme="minorHAnsi"/>
        </w:rPr>
        <w:t xml:space="preserve"> reduction</w:t>
      </w:r>
      <w:r>
        <w:rPr>
          <w:rFonts w:cstheme="minorHAnsi"/>
        </w:rPr>
        <w:t xml:space="preserve"> that results in an ICER in the order of $30,000 per QALY; and</w:t>
      </w:r>
    </w:p>
    <w:p w14:paraId="69FD6CBB" w14:textId="36C1B43B" w:rsidR="00DA34AC" w:rsidRPr="00610FAE" w:rsidRDefault="00610FAE" w:rsidP="00DA34AC">
      <w:pPr>
        <w:pStyle w:val="3-BodyText"/>
        <w:numPr>
          <w:ilvl w:val="0"/>
          <w:numId w:val="13"/>
        </w:numPr>
      </w:pPr>
      <w:r>
        <w:t xml:space="preserve">Provide revised financial estimates incorporating a revised price and addressing the issues outlined in </w:t>
      </w:r>
      <w:r>
        <w:fldChar w:fldCharType="begin" w:fldLock="1"/>
      </w:r>
      <w:r>
        <w:instrText xml:space="preserve"> REF _Ref141267064 \r \h </w:instrText>
      </w:r>
      <w:r>
        <w:fldChar w:fldCharType="separate"/>
      </w:r>
      <w:r w:rsidR="00B71E27">
        <w:t>7.17</w:t>
      </w:r>
      <w:r>
        <w:fldChar w:fldCharType="end"/>
      </w:r>
      <w:r w:rsidR="00DA34AC">
        <w:rPr>
          <w:lang w:val="en-GB"/>
        </w:rPr>
        <w:t>.</w:t>
      </w:r>
    </w:p>
    <w:p w14:paraId="17162444" w14:textId="357E710F" w:rsidR="00422C04" w:rsidRPr="00610FAE" w:rsidRDefault="00610FAE" w:rsidP="00610FAE">
      <w:pPr>
        <w:pStyle w:val="3-BodyText"/>
        <w:ind w:firstLine="0"/>
      </w:pPr>
      <w:r>
        <w:t>The resubmission may be lodged at any future standard due date for PBAC submissions using the standard re-entry pathway.</w:t>
      </w:r>
    </w:p>
    <w:p w14:paraId="718D3CC9" w14:textId="77777777" w:rsidR="00EC2D33" w:rsidRDefault="00422C04" w:rsidP="00AC1207">
      <w:pPr>
        <w:widowControl w:val="0"/>
        <w:numPr>
          <w:ilvl w:val="1"/>
          <w:numId w:val="4"/>
        </w:numPr>
        <w:spacing w:after="120"/>
        <w:jc w:val="left"/>
        <w:rPr>
          <w:rFonts w:asciiTheme="minorHAnsi" w:hAnsiTheme="minorHAnsi"/>
          <w:bCs/>
          <w:snapToGrid w:val="0"/>
          <w:lang w:val="en-GB" w:eastAsia="en-US"/>
        </w:rPr>
      </w:pPr>
      <w:r w:rsidRPr="00422C04">
        <w:rPr>
          <w:rFonts w:asciiTheme="minorHAnsi" w:hAnsiTheme="minorHAnsi"/>
          <w:bCs/>
          <w:snapToGrid w:val="0"/>
          <w:lang w:val="en-GB" w:eastAsia="en-US"/>
        </w:rPr>
        <w:t>The PBAC noted that this submission is</w:t>
      </w:r>
      <w:r w:rsidR="00AC1207">
        <w:rPr>
          <w:rFonts w:asciiTheme="minorHAnsi" w:hAnsiTheme="minorHAnsi"/>
          <w:bCs/>
          <w:snapToGrid w:val="0"/>
          <w:lang w:val="en-GB" w:eastAsia="en-US"/>
        </w:rPr>
        <w:t xml:space="preserve"> </w:t>
      </w:r>
      <w:r w:rsidRPr="00422C04">
        <w:rPr>
          <w:rFonts w:asciiTheme="minorHAnsi" w:hAnsiTheme="minorHAnsi"/>
          <w:bCs/>
          <w:snapToGrid w:val="0"/>
          <w:lang w:val="en-GB" w:eastAsia="en-US"/>
        </w:rPr>
        <w:t>eligible for an Independent Review.</w:t>
      </w:r>
    </w:p>
    <w:p w14:paraId="4C9D0DFF" w14:textId="76A34B50" w:rsidR="00422C04" w:rsidRPr="00422C04" w:rsidRDefault="00422C04" w:rsidP="001921CA">
      <w:pPr>
        <w:widowControl w:val="0"/>
        <w:spacing w:after="120"/>
        <w:jc w:val="left"/>
        <w:rPr>
          <w:rFonts w:asciiTheme="minorHAnsi" w:hAnsiTheme="minorHAnsi"/>
          <w:b/>
          <w:bCs/>
          <w:snapToGrid w:val="0"/>
          <w:lang w:val="en-GB" w:eastAsia="en-US"/>
        </w:rPr>
      </w:pPr>
      <w:r w:rsidRPr="00422C04">
        <w:rPr>
          <w:rFonts w:asciiTheme="minorHAnsi" w:hAnsiTheme="minorHAnsi"/>
          <w:b/>
          <w:bCs/>
          <w:snapToGrid w:val="0"/>
          <w:lang w:val="en-GB" w:eastAsia="en-US"/>
        </w:rPr>
        <w:lastRenderedPageBreak/>
        <w:t>Outcome:</w:t>
      </w:r>
    </w:p>
    <w:p w14:paraId="402EC86D" w14:textId="0A194C72" w:rsidR="00422C04" w:rsidRDefault="00422C04" w:rsidP="00422C04">
      <w:pPr>
        <w:spacing w:after="120"/>
        <w:rPr>
          <w:rFonts w:asciiTheme="minorHAnsi" w:hAnsiTheme="minorHAnsi"/>
          <w:bCs/>
          <w:snapToGrid w:val="0"/>
          <w:lang w:val="en-GB" w:eastAsia="en-US"/>
        </w:rPr>
      </w:pPr>
      <w:r w:rsidRPr="00422C04">
        <w:rPr>
          <w:rFonts w:asciiTheme="minorHAnsi" w:hAnsiTheme="minorHAnsi"/>
          <w:bCs/>
          <w:snapToGrid w:val="0"/>
          <w:lang w:val="en-GB" w:eastAsia="en-US"/>
        </w:rPr>
        <w:t>Not recommended</w:t>
      </w:r>
    </w:p>
    <w:p w14:paraId="07965994" w14:textId="5A55601F" w:rsidR="00584C1D" w:rsidRDefault="00584C1D" w:rsidP="00422C04">
      <w:pPr>
        <w:spacing w:after="120"/>
        <w:rPr>
          <w:rFonts w:asciiTheme="minorHAnsi" w:hAnsiTheme="minorHAnsi"/>
          <w:bCs/>
          <w:snapToGrid w:val="0"/>
          <w:lang w:val="en-GB" w:eastAsia="en-US"/>
        </w:rPr>
      </w:pPr>
    </w:p>
    <w:p w14:paraId="5DBD3A97" w14:textId="785F944A" w:rsidR="00584C1D" w:rsidRPr="004870AD" w:rsidRDefault="00584C1D" w:rsidP="004A0601">
      <w:pPr>
        <w:pStyle w:val="COMH1numbered"/>
      </w:pPr>
      <w:r w:rsidRPr="00584C1D">
        <w:t>Context for Decision</w:t>
      </w:r>
    </w:p>
    <w:p w14:paraId="3F7DA280" w14:textId="77777777" w:rsidR="00584C1D" w:rsidRPr="007129F2" w:rsidRDefault="00584C1D" w:rsidP="00584C1D">
      <w:pPr>
        <w:spacing w:after="120"/>
        <w:ind w:left="720"/>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w:t>
      </w:r>
      <w:proofErr w:type="gramStart"/>
      <w:r w:rsidRPr="007129F2">
        <w:rPr>
          <w:rFonts w:asciiTheme="minorHAnsi" w:hAnsiTheme="minorHAnsi"/>
          <w:bCs/>
          <w:lang w:val="en-GB"/>
        </w:rPr>
        <w:t>be made</w:t>
      </w:r>
      <w:proofErr w:type="gramEnd"/>
      <w:r w:rsidRPr="007129F2">
        <w:rPr>
          <w:rFonts w:asciiTheme="minorHAnsi" w:hAnsiTheme="minorHAnsi"/>
          <w:bCs/>
          <w:lang w:val="en-GB"/>
        </w:rPr>
        <w:t xml:space="preserve"> available through the PBS. The PBAC welcomes applications containing </w:t>
      </w:r>
      <w:proofErr w:type="gramStart"/>
      <w:r w:rsidRPr="007129F2">
        <w:rPr>
          <w:rFonts w:asciiTheme="minorHAnsi" w:hAnsiTheme="minorHAnsi"/>
          <w:bCs/>
          <w:lang w:val="en-GB"/>
        </w:rPr>
        <w:t>new information</w:t>
      </w:r>
      <w:proofErr w:type="gramEnd"/>
      <w:r w:rsidRPr="007129F2">
        <w:rPr>
          <w:rFonts w:asciiTheme="minorHAnsi" w:hAnsiTheme="minorHAnsi"/>
          <w:bCs/>
          <w:lang w:val="en-GB"/>
        </w:rPr>
        <w:t xml:space="preserve"> at any time.</w:t>
      </w:r>
    </w:p>
    <w:p w14:paraId="51CFD4B4" w14:textId="3A4F2102" w:rsidR="00584C1D" w:rsidRPr="004870AD" w:rsidRDefault="00584C1D" w:rsidP="004A0601">
      <w:pPr>
        <w:pStyle w:val="COMH1numbered"/>
      </w:pPr>
      <w:r w:rsidRPr="00584C1D">
        <w:t>Sponsor’s Comment</w:t>
      </w:r>
    </w:p>
    <w:p w14:paraId="38013615" w14:textId="77777777" w:rsidR="00584C1D" w:rsidRPr="001179AC" w:rsidRDefault="00584C1D" w:rsidP="00584C1D">
      <w:pPr>
        <w:spacing w:after="120"/>
        <w:ind w:left="426" w:firstLine="294"/>
        <w:rPr>
          <w:rFonts w:asciiTheme="minorHAnsi" w:hAnsiTheme="minorHAnsi"/>
          <w:bCs/>
        </w:rPr>
      </w:pPr>
      <w:r w:rsidRPr="00C07617">
        <w:rPr>
          <w:rFonts w:asciiTheme="minorHAnsi" w:hAnsiTheme="minorHAnsi"/>
          <w:bCs/>
        </w:rPr>
        <w:t>The sponsor had no comment.</w:t>
      </w:r>
    </w:p>
    <w:bookmarkEnd w:id="72"/>
    <w:bookmarkEnd w:id="73"/>
    <w:sectPr w:rsidR="00584C1D" w:rsidRPr="001179AC" w:rsidSect="00E84844">
      <w:headerReference w:type="default" r:id="rId11"/>
      <w:footerReference w:type="default" r:id="rId12"/>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A652" w14:textId="77777777" w:rsidR="00253C04" w:rsidRDefault="00253C04" w:rsidP="00124A51">
      <w:r>
        <w:separator/>
      </w:r>
    </w:p>
    <w:p w14:paraId="50CC6FFB" w14:textId="77777777" w:rsidR="00253C04" w:rsidRDefault="00253C04"/>
    <w:p w14:paraId="4DF0C201" w14:textId="77777777" w:rsidR="00253C04" w:rsidRDefault="00253C04"/>
  </w:endnote>
  <w:endnote w:type="continuationSeparator" w:id="0">
    <w:p w14:paraId="0E15574A" w14:textId="77777777" w:rsidR="00253C04" w:rsidRDefault="00253C04" w:rsidP="00124A51">
      <w:r>
        <w:continuationSeparator/>
      </w:r>
    </w:p>
    <w:p w14:paraId="63C25805" w14:textId="77777777" w:rsidR="00253C04" w:rsidRDefault="00253C04"/>
    <w:p w14:paraId="31B7A31D" w14:textId="77777777" w:rsidR="00253C04" w:rsidRDefault="00253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67DAD566" w:rsidR="00253C04" w:rsidRDefault="00253C04" w:rsidP="00753B29">
    <w:pPr>
      <w:jc w:val="center"/>
    </w:pPr>
  </w:p>
  <w:p w14:paraId="37484CD3" w14:textId="43307495" w:rsidR="00253C04" w:rsidRPr="007C1CD9" w:rsidRDefault="00C06886" w:rsidP="00753B29">
    <w:pPr>
      <w:jc w:val="center"/>
    </w:pPr>
    <w:sdt>
      <w:sdtPr>
        <w:id w:val="1036156457"/>
        <w:docPartObj>
          <w:docPartGallery w:val="Page Numbers (Bottom of Page)"/>
          <w:docPartUnique/>
        </w:docPartObj>
      </w:sdtPr>
      <w:sdtEndPr>
        <w:rPr>
          <w:noProof/>
        </w:rPr>
      </w:sdtEndPr>
      <w:sdtContent>
        <w:r w:rsidR="00253C04" w:rsidRPr="00BC7837">
          <w:rPr>
            <w:b/>
            <w:bCs/>
          </w:rPr>
          <w:fldChar w:fldCharType="begin"/>
        </w:r>
        <w:r w:rsidR="00253C04" w:rsidRPr="00BC7837">
          <w:rPr>
            <w:b/>
            <w:bCs/>
          </w:rPr>
          <w:instrText xml:space="preserve"> PAGE   \* MERGEFORMAT </w:instrText>
        </w:r>
        <w:r w:rsidR="00253C04" w:rsidRPr="00BC7837">
          <w:rPr>
            <w:b/>
            <w:bCs/>
          </w:rPr>
          <w:fldChar w:fldCharType="separate"/>
        </w:r>
        <w:r w:rsidR="00253C04" w:rsidRPr="00BC7837">
          <w:rPr>
            <w:b/>
            <w:bCs/>
            <w:noProof/>
          </w:rPr>
          <w:t>42</w:t>
        </w:r>
        <w:r w:rsidR="00253C04" w:rsidRPr="00BC7837">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0FA8" w14:textId="77777777" w:rsidR="00253C04" w:rsidRDefault="00253C04" w:rsidP="00124A51">
      <w:r>
        <w:separator/>
      </w:r>
    </w:p>
    <w:p w14:paraId="5FB78ACD" w14:textId="77777777" w:rsidR="00253C04" w:rsidRDefault="00253C04"/>
    <w:p w14:paraId="1F54D475" w14:textId="77777777" w:rsidR="00253C04" w:rsidRDefault="00253C04"/>
  </w:footnote>
  <w:footnote w:type="continuationSeparator" w:id="0">
    <w:p w14:paraId="5C24A2C8" w14:textId="77777777" w:rsidR="00253C04" w:rsidRDefault="00253C04" w:rsidP="00124A51">
      <w:r>
        <w:continuationSeparator/>
      </w:r>
    </w:p>
    <w:p w14:paraId="0485A827" w14:textId="77777777" w:rsidR="00253C04" w:rsidRDefault="00253C04"/>
    <w:p w14:paraId="16909D50" w14:textId="77777777" w:rsidR="00253C04" w:rsidRDefault="00253C04"/>
  </w:footnote>
  <w:footnote w:id="1">
    <w:p w14:paraId="7F95BA57" w14:textId="77777777" w:rsidR="00253C04" w:rsidRDefault="00253C04" w:rsidP="00DE09FC">
      <w:pPr>
        <w:pStyle w:val="FootnoteText"/>
      </w:pPr>
      <w:r>
        <w:rPr>
          <w:rStyle w:val="FootnoteReference"/>
        </w:rPr>
        <w:footnoteRef/>
      </w:r>
      <w:r>
        <w:t xml:space="preserve"> </w:t>
      </w:r>
      <w:r w:rsidRPr="00FA1E86">
        <w:rPr>
          <w:szCs w:val="18"/>
        </w:rPr>
        <w:t xml:space="preserve">Frias JP, Davies M, Rosenstock J et al. Tirzepatide versus </w:t>
      </w:r>
      <w:r>
        <w:rPr>
          <w:szCs w:val="18"/>
        </w:rPr>
        <w:t>s</w:t>
      </w:r>
      <w:r w:rsidRPr="00FA1E86">
        <w:rPr>
          <w:szCs w:val="18"/>
        </w:rPr>
        <w:t xml:space="preserve">emaglutide </w:t>
      </w:r>
      <w:r>
        <w:rPr>
          <w:szCs w:val="18"/>
        </w:rPr>
        <w:t>o</w:t>
      </w:r>
      <w:r w:rsidRPr="00FA1E86">
        <w:rPr>
          <w:szCs w:val="18"/>
        </w:rPr>
        <w:t xml:space="preserve">nce </w:t>
      </w:r>
      <w:r>
        <w:rPr>
          <w:szCs w:val="18"/>
        </w:rPr>
        <w:t>w</w:t>
      </w:r>
      <w:r w:rsidRPr="00FA1E86">
        <w:rPr>
          <w:szCs w:val="18"/>
        </w:rPr>
        <w:t xml:space="preserve">eekly in </w:t>
      </w:r>
      <w:r>
        <w:rPr>
          <w:szCs w:val="18"/>
        </w:rPr>
        <w:t>p</w:t>
      </w:r>
      <w:r w:rsidRPr="00FA1E86">
        <w:rPr>
          <w:szCs w:val="18"/>
        </w:rPr>
        <w:t xml:space="preserve">atients with Type 2 </w:t>
      </w:r>
      <w:r>
        <w:rPr>
          <w:szCs w:val="18"/>
        </w:rPr>
        <w:t>d</w:t>
      </w:r>
      <w:r w:rsidRPr="00FA1E86">
        <w:rPr>
          <w:szCs w:val="18"/>
        </w:rPr>
        <w:t>iabetes</w:t>
      </w:r>
      <w:r>
        <w:rPr>
          <w:szCs w:val="18"/>
        </w:rPr>
        <w:t xml:space="preserve">. </w:t>
      </w:r>
      <w:r w:rsidRPr="00606220">
        <w:rPr>
          <w:i/>
          <w:iCs/>
          <w:szCs w:val="18"/>
        </w:rPr>
        <w:t xml:space="preserve">NEJM </w:t>
      </w:r>
      <w:r>
        <w:rPr>
          <w:szCs w:val="18"/>
        </w:rPr>
        <w:t xml:space="preserve">2021; </w:t>
      </w:r>
      <w:r w:rsidRPr="00FA1E86">
        <w:rPr>
          <w:szCs w:val="18"/>
        </w:rPr>
        <w:t>385:503-15</w:t>
      </w:r>
      <w:r>
        <w:rPr>
          <w:szCs w:val="18"/>
        </w:rPr>
        <w:t>.</w:t>
      </w:r>
    </w:p>
  </w:footnote>
  <w:footnote w:id="2">
    <w:p w14:paraId="19A1FD2B" w14:textId="777CC6B6" w:rsidR="00253C04" w:rsidRPr="001F3ADC" w:rsidRDefault="00253C04">
      <w:pPr>
        <w:pStyle w:val="FootnoteText"/>
      </w:pPr>
      <w:r w:rsidRPr="001F3ADC">
        <w:rPr>
          <w:rStyle w:val="FootnoteReference"/>
        </w:rPr>
        <w:footnoteRef/>
      </w:r>
      <w:r w:rsidRPr="001F3ADC">
        <w:t xml:space="preserve"> ICH Harmonised Guideline, November2019, Addendum on estimands and sensitivity analysis in clinical trials to the guideline on statistical principles for clinical trials E9(R1): </w:t>
      </w:r>
      <w:hyperlink r:id="rId1" w:history="1">
        <w:r w:rsidRPr="001F3ADC">
          <w:rPr>
            <w:rStyle w:val="Hyperlink"/>
          </w:rPr>
          <w:t>https://database.ich.org/sites/default/files/E9-R1_Step4_Guideline_2019_1203.pdf</w:t>
        </w:r>
      </w:hyperlink>
    </w:p>
  </w:footnote>
  <w:footnote w:id="3">
    <w:p w14:paraId="61E46869" w14:textId="3DC56417" w:rsidR="00B911B9" w:rsidRDefault="00B911B9">
      <w:pPr>
        <w:pStyle w:val="FootnoteText"/>
      </w:pPr>
      <w:r>
        <w:rPr>
          <w:rStyle w:val="FootnoteReference"/>
        </w:rPr>
        <w:footnoteRef/>
      </w:r>
      <w:r>
        <w:t xml:space="preserve"> </w:t>
      </w:r>
      <w:r w:rsidRPr="00D01FBB">
        <w:rPr>
          <w:i/>
          <w:iCs/>
        </w:rPr>
        <w:t>Note that the results presented in Paragraph 6.36 are derived from post-hoc analyses conducted by the applicant specifically for the purposes of informing the PBAC consideration. These analyses were not part of the pre-specified statistical plan for Study SURPASS-2 and SUSTAIN-7. Interpretation of the results and their application should therefore be limited to seeking to understand the basis for the PBAC outcome and should not be used for any other purpose.</w:t>
      </w:r>
    </w:p>
  </w:footnote>
  <w:footnote w:id="4">
    <w:p w14:paraId="04AD49A5" w14:textId="77777777" w:rsidR="00253C04" w:rsidRDefault="00253C04" w:rsidP="000A21C5">
      <w:pPr>
        <w:pStyle w:val="FootnoteText"/>
      </w:pPr>
      <w:r w:rsidRPr="000961EC">
        <w:rPr>
          <w:rStyle w:val="FootnoteReference"/>
          <w:i/>
          <w:iCs/>
        </w:rPr>
        <w:footnoteRef/>
      </w:r>
      <w:r w:rsidRPr="000961EC">
        <w:rPr>
          <w:i/>
          <w:iCs/>
        </w:rPr>
        <w:t xml:space="preserve"> Jastreboff, </w:t>
      </w:r>
      <w:r>
        <w:rPr>
          <w:i/>
          <w:iCs/>
        </w:rPr>
        <w:t>A</w:t>
      </w:r>
      <w:r w:rsidRPr="000961EC">
        <w:rPr>
          <w:i/>
          <w:iCs/>
        </w:rPr>
        <w:t xml:space="preserve">. </w:t>
      </w:r>
      <w:r>
        <w:rPr>
          <w:i/>
          <w:iCs/>
        </w:rPr>
        <w:t>M</w:t>
      </w:r>
      <w:r w:rsidRPr="000961EC">
        <w:rPr>
          <w:i/>
          <w:iCs/>
        </w:rPr>
        <w:t xml:space="preserve">., </w:t>
      </w:r>
      <w:r w:rsidRPr="000961EC">
        <w:t>et al</w:t>
      </w:r>
      <w:r w:rsidRPr="000961EC">
        <w:rPr>
          <w:i/>
          <w:iCs/>
        </w:rPr>
        <w:t>. (20</w:t>
      </w:r>
      <w:r>
        <w:rPr>
          <w:i/>
          <w:iCs/>
        </w:rPr>
        <w:t>22</w:t>
      </w:r>
      <w:r w:rsidRPr="000961EC">
        <w:rPr>
          <w:i/>
          <w:iCs/>
        </w:rPr>
        <w:t>). "</w:t>
      </w:r>
      <w:r w:rsidRPr="000961EC">
        <w:t xml:space="preserve"> </w:t>
      </w:r>
      <w:r w:rsidRPr="000961EC">
        <w:rPr>
          <w:i/>
          <w:iCs/>
        </w:rPr>
        <w:t>Tirzepatide Once Weekly for the Treatment of Obesity." N Engl J Med 387</w:t>
      </w:r>
      <w:r>
        <w:rPr>
          <w:i/>
          <w:iCs/>
        </w:rPr>
        <w:t>(3)</w:t>
      </w:r>
      <w:r w:rsidRPr="000961EC">
        <w:rPr>
          <w:i/>
          <w:iCs/>
        </w:rPr>
        <w:t>:205-216.</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38F6FC76" w:rsidR="00253C04" w:rsidRPr="00195452" w:rsidRDefault="00F9775C" w:rsidP="00316194">
    <w:pPr>
      <w:jc w:val="center"/>
      <w:rPr>
        <w:rFonts w:asciiTheme="minorHAnsi" w:hAnsiTheme="minorHAnsi"/>
        <w:i/>
        <w:color w:val="808080"/>
      </w:rPr>
    </w:pPr>
    <w:r w:rsidRPr="00F9775C">
      <w:rPr>
        <w:rFonts w:asciiTheme="minorHAnsi" w:hAnsiTheme="minorHAnsi"/>
        <w:i/>
        <w:color w:val="808080"/>
      </w:rPr>
      <w:t xml:space="preserve">Public Summary Document </w:t>
    </w:r>
    <w:r>
      <w:rPr>
        <w:rFonts w:asciiTheme="minorHAnsi" w:hAnsiTheme="minorHAnsi"/>
        <w:i/>
        <w:color w:val="808080"/>
      </w:rPr>
      <w:t xml:space="preserve">- </w:t>
    </w:r>
    <w:r w:rsidR="00253C04">
      <w:rPr>
        <w:rFonts w:asciiTheme="minorHAnsi" w:hAnsiTheme="minorHAnsi"/>
        <w:i/>
        <w:color w:val="808080"/>
      </w:rPr>
      <w:t xml:space="preserve">July 2023 </w:t>
    </w:r>
    <w:r w:rsidR="00253C04" w:rsidRPr="00195452">
      <w:rPr>
        <w:rFonts w:asciiTheme="minorHAnsi" w:hAnsiTheme="minorHAnsi"/>
        <w:i/>
        <w:color w:val="808080"/>
      </w:rPr>
      <w:t>PBAC Meeting</w:t>
    </w:r>
  </w:p>
  <w:p w14:paraId="03AF943B" w14:textId="77777777" w:rsidR="00253C04" w:rsidRPr="008C7ECB" w:rsidRDefault="00253C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3EC6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BD07EF"/>
    <w:multiLevelType w:val="multilevel"/>
    <w:tmpl w:val="A5868B8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bullet"/>
      <w:lvlText w:val=""/>
      <w:lvlJc w:val="left"/>
      <w:pPr>
        <w:ind w:left="360" w:hanging="360"/>
      </w:pPr>
      <w:rPr>
        <w:rFonts w:ascii="Symbol" w:hAnsi="Symbol"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FA0E14"/>
    <w:multiLevelType w:val="multilevel"/>
    <w:tmpl w:val="9BA0DDBE"/>
    <w:styleLink w:val="CurrentList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FD7956"/>
    <w:multiLevelType w:val="hybridMultilevel"/>
    <w:tmpl w:val="391A2874"/>
    <w:lvl w:ilvl="0" w:tplc="4C0A9330">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A10A3E"/>
    <w:multiLevelType w:val="hybridMultilevel"/>
    <w:tmpl w:val="DD3284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085FD6"/>
    <w:multiLevelType w:val="hybridMultilevel"/>
    <w:tmpl w:val="0248F5B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3EA3C16"/>
    <w:multiLevelType w:val="hybridMultilevel"/>
    <w:tmpl w:val="A5E83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FB219F8"/>
    <w:multiLevelType w:val="hybridMultilevel"/>
    <w:tmpl w:val="6CA0CEB4"/>
    <w:lvl w:ilvl="0" w:tplc="4F38898A">
      <w:start w:val="1"/>
      <w:numFmt w:val="bullet"/>
      <w:pStyle w:val="COMexecsummmainissue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212A88"/>
    <w:multiLevelType w:val="hybridMultilevel"/>
    <w:tmpl w:val="80CA4490"/>
    <w:lvl w:ilvl="0" w:tplc="0C090001">
      <w:start w:val="1"/>
      <w:numFmt w:val="bullet"/>
      <w:lvlText w:val=""/>
      <w:lvlJc w:val="left"/>
      <w:pPr>
        <w:ind w:left="1080" w:hanging="360"/>
      </w:pPr>
      <w:rPr>
        <w:rFonts w:ascii="Symbol" w:hAnsi="Symbol" w:hint="default"/>
      </w:rPr>
    </w:lvl>
    <w:lvl w:ilvl="1" w:tplc="C164CDB2">
      <w:numFmt w:val="bullet"/>
      <w:lvlText w:val="•"/>
      <w:lvlJc w:val="left"/>
      <w:pPr>
        <w:ind w:left="1800" w:hanging="360"/>
      </w:pPr>
      <w:rPr>
        <w:rFonts w:ascii="Arial Narrow" w:eastAsiaTheme="majorEastAsia" w:hAnsi="Arial Narrow" w:cstheme="majorBidi" w:hint="default"/>
        <w:i w:val="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A54E95"/>
    <w:multiLevelType w:val="hybridMultilevel"/>
    <w:tmpl w:val="0CD2227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A9F4AD9"/>
    <w:multiLevelType w:val="multilevel"/>
    <w:tmpl w:val="63182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9A0A9D"/>
    <w:multiLevelType w:val="hybridMultilevel"/>
    <w:tmpl w:val="A7667EC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D67A6"/>
    <w:multiLevelType w:val="hybridMultilevel"/>
    <w:tmpl w:val="2278B226"/>
    <w:lvl w:ilvl="0" w:tplc="0FF80736">
      <w:start w:val="1"/>
      <w:numFmt w:val="bullet"/>
      <w:pStyle w:val="ListParagraph"/>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F1BDA"/>
    <w:multiLevelType w:val="hybridMultilevel"/>
    <w:tmpl w:val="50B496EC"/>
    <w:lvl w:ilvl="0" w:tplc="399A3B2E">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1D168CA"/>
    <w:multiLevelType w:val="hybridMultilevel"/>
    <w:tmpl w:val="CF626F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2146A85"/>
    <w:multiLevelType w:val="hybridMultilevel"/>
    <w:tmpl w:val="20A239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BA7BB1"/>
    <w:multiLevelType w:val="hybridMultilevel"/>
    <w:tmpl w:val="A4CCB1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4162E78"/>
    <w:multiLevelType w:val="hybridMultilevel"/>
    <w:tmpl w:val="9C02A74A"/>
    <w:styleLink w:val="Style23"/>
    <w:lvl w:ilvl="0" w:tplc="366A03AC">
      <w:start w:val="1"/>
      <w:numFmt w:val="bullet"/>
      <w:lvlText w:val=""/>
      <w:lvlJc w:val="left"/>
      <w:pPr>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4D033C"/>
    <w:multiLevelType w:val="multilevel"/>
    <w:tmpl w:val="85AED71A"/>
    <w:lvl w:ilvl="0">
      <w:start w:val="1"/>
      <w:numFmt w:val="decimal"/>
      <w:pStyle w:val="COMH1numbered"/>
      <w:lvlText w:val="%1"/>
      <w:lvlJc w:val="left"/>
      <w:pPr>
        <w:ind w:left="720" w:hanging="720"/>
      </w:pPr>
      <w:rPr>
        <w:rFonts w:hint="default"/>
        <w:b/>
      </w:rPr>
    </w:lvl>
    <w:lvl w:ilvl="1">
      <w:start w:val="1"/>
      <w:numFmt w:val="decimal"/>
      <w:pStyle w:val="COMexecsumnumberedpara"/>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61810280">
    <w:abstractNumId w:val="17"/>
  </w:num>
  <w:num w:numId="2" w16cid:durableId="541673413">
    <w:abstractNumId w:val="18"/>
  </w:num>
  <w:num w:numId="3" w16cid:durableId="14575707">
    <w:abstractNumId w:val="0"/>
  </w:num>
  <w:num w:numId="4" w16cid:durableId="630599188">
    <w:abstractNumId w:val="29"/>
  </w:num>
  <w:num w:numId="5" w16cid:durableId="99568589">
    <w:abstractNumId w:val="9"/>
  </w:num>
  <w:num w:numId="6" w16cid:durableId="1897471306">
    <w:abstractNumId w:val="28"/>
  </w:num>
  <w:num w:numId="7" w16cid:durableId="111481936">
    <w:abstractNumId w:val="24"/>
  </w:num>
  <w:num w:numId="8" w16cid:durableId="720326439">
    <w:abstractNumId w:val="27"/>
  </w:num>
  <w:num w:numId="9" w16cid:durableId="1759056824">
    <w:abstractNumId w:val="23"/>
  </w:num>
  <w:num w:numId="10" w16cid:durableId="780153753">
    <w:abstractNumId w:val="10"/>
  </w:num>
  <w:num w:numId="11" w16cid:durableId="1909680401">
    <w:abstractNumId w:val="7"/>
  </w:num>
  <w:num w:numId="12" w16cid:durableId="1861969990">
    <w:abstractNumId w:val="5"/>
  </w:num>
  <w:num w:numId="13" w16cid:durableId="214776607">
    <w:abstractNumId w:val="13"/>
  </w:num>
  <w:num w:numId="14" w16cid:durableId="1272934609">
    <w:abstractNumId w:val="19"/>
  </w:num>
  <w:num w:numId="15" w16cid:durableId="2090806784">
    <w:abstractNumId w:val="4"/>
  </w:num>
  <w:num w:numId="16" w16cid:durableId="1325744721">
    <w:abstractNumId w:val="25"/>
  </w:num>
  <w:num w:numId="17" w16cid:durableId="1314916671">
    <w:abstractNumId w:val="3"/>
  </w:num>
  <w:num w:numId="18" w16cid:durableId="1199122956">
    <w:abstractNumId w:val="20"/>
  </w:num>
  <w:num w:numId="19" w16cid:durableId="1401056847">
    <w:abstractNumId w:val="21"/>
  </w:num>
  <w:num w:numId="20" w16cid:durableId="1433934766">
    <w:abstractNumId w:val="6"/>
  </w:num>
  <w:num w:numId="21" w16cid:durableId="66344380">
    <w:abstractNumId w:val="1"/>
  </w:num>
  <w:num w:numId="22" w16cid:durableId="1134325415">
    <w:abstractNumId w:val="12"/>
  </w:num>
  <w:num w:numId="23" w16cid:durableId="1088231627">
    <w:abstractNumId w:val="15"/>
  </w:num>
  <w:num w:numId="24" w16cid:durableId="677852045">
    <w:abstractNumId w:val="11"/>
  </w:num>
  <w:num w:numId="25" w16cid:durableId="195528552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3106039">
    <w:abstractNumId w:val="26"/>
  </w:num>
  <w:num w:numId="27" w16cid:durableId="1599017774">
    <w:abstractNumId w:val="29"/>
  </w:num>
  <w:num w:numId="28" w16cid:durableId="871965338">
    <w:abstractNumId w:val="29"/>
  </w:num>
  <w:num w:numId="29" w16cid:durableId="1807506606">
    <w:abstractNumId w:val="29"/>
  </w:num>
  <w:num w:numId="30" w16cid:durableId="493955048">
    <w:abstractNumId w:val="29"/>
  </w:num>
  <w:num w:numId="31" w16cid:durableId="1998340885">
    <w:abstractNumId w:val="29"/>
  </w:num>
  <w:num w:numId="32" w16cid:durableId="1077946959">
    <w:abstractNumId w:val="29"/>
  </w:num>
  <w:num w:numId="33" w16cid:durableId="2057580386">
    <w:abstractNumId w:val="29"/>
  </w:num>
  <w:num w:numId="34" w16cid:durableId="1153302851">
    <w:abstractNumId w:val="16"/>
  </w:num>
  <w:num w:numId="35" w16cid:durableId="810446841">
    <w:abstractNumId w:val="2"/>
  </w:num>
  <w:num w:numId="36" w16cid:durableId="345517542">
    <w:abstractNumId w:val="29"/>
  </w:num>
  <w:num w:numId="37" w16cid:durableId="1426076131">
    <w:abstractNumId w:val="14"/>
  </w:num>
  <w:num w:numId="38" w16cid:durableId="1595459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8947566">
    <w:abstractNumId w:val="13"/>
  </w:num>
  <w:num w:numId="40" w16cid:durableId="109595596">
    <w:abstractNumId w:val="8"/>
  </w:num>
  <w:num w:numId="41" w16cid:durableId="192621424">
    <w:abstractNumId w:val="29"/>
  </w:num>
  <w:num w:numId="42" w16cid:durableId="861556018">
    <w:abstractNumId w:val="29"/>
  </w:num>
  <w:num w:numId="43" w16cid:durableId="439110853">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8EE"/>
    <w:rsid w:val="00000FF8"/>
    <w:rsid w:val="0000110B"/>
    <w:rsid w:val="000017B8"/>
    <w:rsid w:val="00001B45"/>
    <w:rsid w:val="00001C42"/>
    <w:rsid w:val="00001D13"/>
    <w:rsid w:val="00002394"/>
    <w:rsid w:val="00002824"/>
    <w:rsid w:val="00002D35"/>
    <w:rsid w:val="00003499"/>
    <w:rsid w:val="0000371D"/>
    <w:rsid w:val="000039B7"/>
    <w:rsid w:val="00003E51"/>
    <w:rsid w:val="000056B9"/>
    <w:rsid w:val="00005A84"/>
    <w:rsid w:val="0000639A"/>
    <w:rsid w:val="000063F7"/>
    <w:rsid w:val="000075AB"/>
    <w:rsid w:val="00007988"/>
    <w:rsid w:val="000109C3"/>
    <w:rsid w:val="000113CE"/>
    <w:rsid w:val="0001175F"/>
    <w:rsid w:val="00011F0D"/>
    <w:rsid w:val="00013247"/>
    <w:rsid w:val="000132CE"/>
    <w:rsid w:val="00013394"/>
    <w:rsid w:val="00013574"/>
    <w:rsid w:val="0001461C"/>
    <w:rsid w:val="000148F2"/>
    <w:rsid w:val="000149E3"/>
    <w:rsid w:val="0001546F"/>
    <w:rsid w:val="000154CE"/>
    <w:rsid w:val="0001568A"/>
    <w:rsid w:val="00015886"/>
    <w:rsid w:val="000159B2"/>
    <w:rsid w:val="00015A48"/>
    <w:rsid w:val="0001625C"/>
    <w:rsid w:val="000162EF"/>
    <w:rsid w:val="00017AD7"/>
    <w:rsid w:val="00020548"/>
    <w:rsid w:val="000207C9"/>
    <w:rsid w:val="00020C4C"/>
    <w:rsid w:val="000211B8"/>
    <w:rsid w:val="00021362"/>
    <w:rsid w:val="0002185B"/>
    <w:rsid w:val="00021D8A"/>
    <w:rsid w:val="00021F9F"/>
    <w:rsid w:val="0002225F"/>
    <w:rsid w:val="00022508"/>
    <w:rsid w:val="00022517"/>
    <w:rsid w:val="00023479"/>
    <w:rsid w:val="00023763"/>
    <w:rsid w:val="000237CD"/>
    <w:rsid w:val="00023AB6"/>
    <w:rsid w:val="0002418F"/>
    <w:rsid w:val="00024EB5"/>
    <w:rsid w:val="00024F28"/>
    <w:rsid w:val="000251C7"/>
    <w:rsid w:val="00025404"/>
    <w:rsid w:val="000258EA"/>
    <w:rsid w:val="00025EB5"/>
    <w:rsid w:val="00026255"/>
    <w:rsid w:val="0002642F"/>
    <w:rsid w:val="0002684D"/>
    <w:rsid w:val="00026AC7"/>
    <w:rsid w:val="00026FA3"/>
    <w:rsid w:val="000273FA"/>
    <w:rsid w:val="000274B8"/>
    <w:rsid w:val="00027FBF"/>
    <w:rsid w:val="0003075E"/>
    <w:rsid w:val="00030A52"/>
    <w:rsid w:val="00031654"/>
    <w:rsid w:val="00031D56"/>
    <w:rsid w:val="00031E04"/>
    <w:rsid w:val="00032557"/>
    <w:rsid w:val="00032B6C"/>
    <w:rsid w:val="00032EA1"/>
    <w:rsid w:val="00033863"/>
    <w:rsid w:val="0003409B"/>
    <w:rsid w:val="0003426E"/>
    <w:rsid w:val="000348F3"/>
    <w:rsid w:val="000355F5"/>
    <w:rsid w:val="0003594F"/>
    <w:rsid w:val="00035DC0"/>
    <w:rsid w:val="00036351"/>
    <w:rsid w:val="000365EB"/>
    <w:rsid w:val="00036829"/>
    <w:rsid w:val="00037912"/>
    <w:rsid w:val="00040895"/>
    <w:rsid w:val="00040A09"/>
    <w:rsid w:val="00040B0A"/>
    <w:rsid w:val="00040D09"/>
    <w:rsid w:val="000410A0"/>
    <w:rsid w:val="000412FF"/>
    <w:rsid w:val="000416AF"/>
    <w:rsid w:val="0004178D"/>
    <w:rsid w:val="000418BC"/>
    <w:rsid w:val="00042371"/>
    <w:rsid w:val="000435EE"/>
    <w:rsid w:val="00043895"/>
    <w:rsid w:val="00043972"/>
    <w:rsid w:val="00043AF6"/>
    <w:rsid w:val="00043C37"/>
    <w:rsid w:val="000440AF"/>
    <w:rsid w:val="0004444E"/>
    <w:rsid w:val="0004477B"/>
    <w:rsid w:val="00044C5B"/>
    <w:rsid w:val="00044DC0"/>
    <w:rsid w:val="00045017"/>
    <w:rsid w:val="0004526D"/>
    <w:rsid w:val="00045A2B"/>
    <w:rsid w:val="00046278"/>
    <w:rsid w:val="0004682A"/>
    <w:rsid w:val="0004698F"/>
    <w:rsid w:val="00046CDD"/>
    <w:rsid w:val="00046D64"/>
    <w:rsid w:val="00046E06"/>
    <w:rsid w:val="0004764E"/>
    <w:rsid w:val="000477F0"/>
    <w:rsid w:val="00047DBE"/>
    <w:rsid w:val="000503C6"/>
    <w:rsid w:val="000508C2"/>
    <w:rsid w:val="0005110C"/>
    <w:rsid w:val="000528EB"/>
    <w:rsid w:val="000539D0"/>
    <w:rsid w:val="0005450B"/>
    <w:rsid w:val="00054621"/>
    <w:rsid w:val="000546D7"/>
    <w:rsid w:val="00054A3D"/>
    <w:rsid w:val="00054A8D"/>
    <w:rsid w:val="00054EC0"/>
    <w:rsid w:val="0005513D"/>
    <w:rsid w:val="0005680F"/>
    <w:rsid w:val="000568DF"/>
    <w:rsid w:val="00056ECF"/>
    <w:rsid w:val="0005714B"/>
    <w:rsid w:val="00057C6A"/>
    <w:rsid w:val="00060039"/>
    <w:rsid w:val="000604AB"/>
    <w:rsid w:val="000604DF"/>
    <w:rsid w:val="0006103B"/>
    <w:rsid w:val="000610A6"/>
    <w:rsid w:val="00061263"/>
    <w:rsid w:val="00061ABF"/>
    <w:rsid w:val="00062324"/>
    <w:rsid w:val="000637F7"/>
    <w:rsid w:val="00063EFB"/>
    <w:rsid w:val="000653B5"/>
    <w:rsid w:val="00065782"/>
    <w:rsid w:val="00065852"/>
    <w:rsid w:val="000662E7"/>
    <w:rsid w:val="00066360"/>
    <w:rsid w:val="00066481"/>
    <w:rsid w:val="00066AF8"/>
    <w:rsid w:val="00066DA1"/>
    <w:rsid w:val="0007063E"/>
    <w:rsid w:val="00070B82"/>
    <w:rsid w:val="00070C48"/>
    <w:rsid w:val="00070EBE"/>
    <w:rsid w:val="00071248"/>
    <w:rsid w:val="000716D3"/>
    <w:rsid w:val="00071D78"/>
    <w:rsid w:val="000720B9"/>
    <w:rsid w:val="000733DF"/>
    <w:rsid w:val="000737F7"/>
    <w:rsid w:val="00073F0D"/>
    <w:rsid w:val="00074717"/>
    <w:rsid w:val="00074DF9"/>
    <w:rsid w:val="00074FCE"/>
    <w:rsid w:val="000761BE"/>
    <w:rsid w:val="0007672F"/>
    <w:rsid w:val="0007679F"/>
    <w:rsid w:val="00076B54"/>
    <w:rsid w:val="000774F0"/>
    <w:rsid w:val="0007790C"/>
    <w:rsid w:val="00080275"/>
    <w:rsid w:val="000806E9"/>
    <w:rsid w:val="00080909"/>
    <w:rsid w:val="000812CA"/>
    <w:rsid w:val="000815C9"/>
    <w:rsid w:val="00081AB6"/>
    <w:rsid w:val="00081E63"/>
    <w:rsid w:val="000824E6"/>
    <w:rsid w:val="0008258D"/>
    <w:rsid w:val="00082C7A"/>
    <w:rsid w:val="00083E99"/>
    <w:rsid w:val="0008456C"/>
    <w:rsid w:val="00084FA8"/>
    <w:rsid w:val="00085526"/>
    <w:rsid w:val="000856C5"/>
    <w:rsid w:val="00085AAE"/>
    <w:rsid w:val="00085C31"/>
    <w:rsid w:val="00086420"/>
    <w:rsid w:val="00086720"/>
    <w:rsid w:val="000869AB"/>
    <w:rsid w:val="0008747B"/>
    <w:rsid w:val="0008791F"/>
    <w:rsid w:val="000902D9"/>
    <w:rsid w:val="00090479"/>
    <w:rsid w:val="00090761"/>
    <w:rsid w:val="00090C7E"/>
    <w:rsid w:val="00090CED"/>
    <w:rsid w:val="00091018"/>
    <w:rsid w:val="000911AC"/>
    <w:rsid w:val="000912E7"/>
    <w:rsid w:val="00091E6E"/>
    <w:rsid w:val="0009259A"/>
    <w:rsid w:val="00092600"/>
    <w:rsid w:val="0009262B"/>
    <w:rsid w:val="00092B3C"/>
    <w:rsid w:val="00093310"/>
    <w:rsid w:val="00093937"/>
    <w:rsid w:val="00093A82"/>
    <w:rsid w:val="00093D11"/>
    <w:rsid w:val="00094122"/>
    <w:rsid w:val="0009445C"/>
    <w:rsid w:val="0009498B"/>
    <w:rsid w:val="00094A52"/>
    <w:rsid w:val="00095200"/>
    <w:rsid w:val="0009575C"/>
    <w:rsid w:val="00095C43"/>
    <w:rsid w:val="00095FE5"/>
    <w:rsid w:val="000961EC"/>
    <w:rsid w:val="00096284"/>
    <w:rsid w:val="00096594"/>
    <w:rsid w:val="00096FE3"/>
    <w:rsid w:val="00097C85"/>
    <w:rsid w:val="00097E0A"/>
    <w:rsid w:val="000A02F8"/>
    <w:rsid w:val="000A0A13"/>
    <w:rsid w:val="000A0CD4"/>
    <w:rsid w:val="000A0EDF"/>
    <w:rsid w:val="000A112E"/>
    <w:rsid w:val="000A166A"/>
    <w:rsid w:val="000A1AC2"/>
    <w:rsid w:val="000A1BC0"/>
    <w:rsid w:val="000A21C5"/>
    <w:rsid w:val="000A22C1"/>
    <w:rsid w:val="000A27FF"/>
    <w:rsid w:val="000A2F9E"/>
    <w:rsid w:val="000A3004"/>
    <w:rsid w:val="000A398E"/>
    <w:rsid w:val="000A3E47"/>
    <w:rsid w:val="000A522B"/>
    <w:rsid w:val="000A6039"/>
    <w:rsid w:val="000A6130"/>
    <w:rsid w:val="000A6280"/>
    <w:rsid w:val="000A643E"/>
    <w:rsid w:val="000A684E"/>
    <w:rsid w:val="000A6AB9"/>
    <w:rsid w:val="000A6FF3"/>
    <w:rsid w:val="000A7453"/>
    <w:rsid w:val="000A74F3"/>
    <w:rsid w:val="000A7A80"/>
    <w:rsid w:val="000A7D08"/>
    <w:rsid w:val="000A7FC0"/>
    <w:rsid w:val="000B0121"/>
    <w:rsid w:val="000B0670"/>
    <w:rsid w:val="000B0E75"/>
    <w:rsid w:val="000B11C9"/>
    <w:rsid w:val="000B1510"/>
    <w:rsid w:val="000B1592"/>
    <w:rsid w:val="000B1CA5"/>
    <w:rsid w:val="000B1DBE"/>
    <w:rsid w:val="000B1FAF"/>
    <w:rsid w:val="000B2DCB"/>
    <w:rsid w:val="000B30B3"/>
    <w:rsid w:val="000B33FC"/>
    <w:rsid w:val="000B3507"/>
    <w:rsid w:val="000B3648"/>
    <w:rsid w:val="000B3FA7"/>
    <w:rsid w:val="000B4AD3"/>
    <w:rsid w:val="000B5CE0"/>
    <w:rsid w:val="000B61FF"/>
    <w:rsid w:val="000B6A89"/>
    <w:rsid w:val="000B6CAC"/>
    <w:rsid w:val="000B7427"/>
    <w:rsid w:val="000B7612"/>
    <w:rsid w:val="000B762C"/>
    <w:rsid w:val="000B78AE"/>
    <w:rsid w:val="000B7AA8"/>
    <w:rsid w:val="000C0579"/>
    <w:rsid w:val="000C086E"/>
    <w:rsid w:val="000C096F"/>
    <w:rsid w:val="000C0DF8"/>
    <w:rsid w:val="000C1913"/>
    <w:rsid w:val="000C2CD2"/>
    <w:rsid w:val="000C38CA"/>
    <w:rsid w:val="000C3DF9"/>
    <w:rsid w:val="000C3F06"/>
    <w:rsid w:val="000C41C6"/>
    <w:rsid w:val="000C43AC"/>
    <w:rsid w:val="000C4A80"/>
    <w:rsid w:val="000C4CF2"/>
    <w:rsid w:val="000C4D1F"/>
    <w:rsid w:val="000C4EE6"/>
    <w:rsid w:val="000C4F8F"/>
    <w:rsid w:val="000C5026"/>
    <w:rsid w:val="000C56A0"/>
    <w:rsid w:val="000C624C"/>
    <w:rsid w:val="000C66A8"/>
    <w:rsid w:val="000C6713"/>
    <w:rsid w:val="000C677C"/>
    <w:rsid w:val="000C6857"/>
    <w:rsid w:val="000C69F4"/>
    <w:rsid w:val="000C73F2"/>
    <w:rsid w:val="000C777C"/>
    <w:rsid w:val="000C7905"/>
    <w:rsid w:val="000D00B9"/>
    <w:rsid w:val="000D02B6"/>
    <w:rsid w:val="000D05D3"/>
    <w:rsid w:val="000D06CE"/>
    <w:rsid w:val="000D0CA5"/>
    <w:rsid w:val="000D0CE2"/>
    <w:rsid w:val="000D1869"/>
    <w:rsid w:val="000D18F3"/>
    <w:rsid w:val="000D19E2"/>
    <w:rsid w:val="000D1BFC"/>
    <w:rsid w:val="000D1D5D"/>
    <w:rsid w:val="000D281A"/>
    <w:rsid w:val="000D2848"/>
    <w:rsid w:val="000D29B3"/>
    <w:rsid w:val="000D2C04"/>
    <w:rsid w:val="000D326A"/>
    <w:rsid w:val="000D34C6"/>
    <w:rsid w:val="000D3D43"/>
    <w:rsid w:val="000D439A"/>
    <w:rsid w:val="000D4483"/>
    <w:rsid w:val="000D51FB"/>
    <w:rsid w:val="000D53DE"/>
    <w:rsid w:val="000D55B8"/>
    <w:rsid w:val="000D5895"/>
    <w:rsid w:val="000D5E8C"/>
    <w:rsid w:val="000D6801"/>
    <w:rsid w:val="000D6B57"/>
    <w:rsid w:val="000D704B"/>
    <w:rsid w:val="000D7923"/>
    <w:rsid w:val="000D7EC1"/>
    <w:rsid w:val="000D7FD2"/>
    <w:rsid w:val="000E00D3"/>
    <w:rsid w:val="000E045C"/>
    <w:rsid w:val="000E0640"/>
    <w:rsid w:val="000E0A59"/>
    <w:rsid w:val="000E0DC0"/>
    <w:rsid w:val="000E1094"/>
    <w:rsid w:val="000E135D"/>
    <w:rsid w:val="000E155B"/>
    <w:rsid w:val="000E17F3"/>
    <w:rsid w:val="000E19E8"/>
    <w:rsid w:val="000E1B6A"/>
    <w:rsid w:val="000E2286"/>
    <w:rsid w:val="000E2665"/>
    <w:rsid w:val="000E3937"/>
    <w:rsid w:val="000E3FAD"/>
    <w:rsid w:val="000E40F5"/>
    <w:rsid w:val="000E4300"/>
    <w:rsid w:val="000E4311"/>
    <w:rsid w:val="000E4946"/>
    <w:rsid w:val="000E4BF5"/>
    <w:rsid w:val="000E4C65"/>
    <w:rsid w:val="000E534C"/>
    <w:rsid w:val="000E59B6"/>
    <w:rsid w:val="000E5BFB"/>
    <w:rsid w:val="000E5D51"/>
    <w:rsid w:val="000E6138"/>
    <w:rsid w:val="000E6A32"/>
    <w:rsid w:val="000E6CC8"/>
    <w:rsid w:val="000E7553"/>
    <w:rsid w:val="000E78DA"/>
    <w:rsid w:val="000F00BA"/>
    <w:rsid w:val="000F04C5"/>
    <w:rsid w:val="000F0B15"/>
    <w:rsid w:val="000F0FE4"/>
    <w:rsid w:val="000F1FA5"/>
    <w:rsid w:val="000F316A"/>
    <w:rsid w:val="000F3522"/>
    <w:rsid w:val="000F3721"/>
    <w:rsid w:val="000F3790"/>
    <w:rsid w:val="000F3C74"/>
    <w:rsid w:val="000F481E"/>
    <w:rsid w:val="000F4BB8"/>
    <w:rsid w:val="000F4F26"/>
    <w:rsid w:val="000F4FA9"/>
    <w:rsid w:val="000F53FB"/>
    <w:rsid w:val="000F5A02"/>
    <w:rsid w:val="000F676E"/>
    <w:rsid w:val="000F6B4F"/>
    <w:rsid w:val="000F710A"/>
    <w:rsid w:val="000F7127"/>
    <w:rsid w:val="000F7457"/>
    <w:rsid w:val="000F78A6"/>
    <w:rsid w:val="000F7B54"/>
    <w:rsid w:val="001000B3"/>
    <w:rsid w:val="00100244"/>
    <w:rsid w:val="00100A90"/>
    <w:rsid w:val="00100F8A"/>
    <w:rsid w:val="00101824"/>
    <w:rsid w:val="00101E6C"/>
    <w:rsid w:val="001021C7"/>
    <w:rsid w:val="00103FA8"/>
    <w:rsid w:val="0010452E"/>
    <w:rsid w:val="00104808"/>
    <w:rsid w:val="00105784"/>
    <w:rsid w:val="00105AE2"/>
    <w:rsid w:val="001060C6"/>
    <w:rsid w:val="001060DB"/>
    <w:rsid w:val="00106822"/>
    <w:rsid w:val="00106B80"/>
    <w:rsid w:val="00106C14"/>
    <w:rsid w:val="00106E75"/>
    <w:rsid w:val="001076BE"/>
    <w:rsid w:val="0011032E"/>
    <w:rsid w:val="0011083E"/>
    <w:rsid w:val="001115FC"/>
    <w:rsid w:val="00111CE6"/>
    <w:rsid w:val="0011219C"/>
    <w:rsid w:val="00112E62"/>
    <w:rsid w:val="0011348B"/>
    <w:rsid w:val="001136B5"/>
    <w:rsid w:val="00113A64"/>
    <w:rsid w:val="00113AF1"/>
    <w:rsid w:val="00114950"/>
    <w:rsid w:val="00114AE1"/>
    <w:rsid w:val="00114F13"/>
    <w:rsid w:val="00114FBA"/>
    <w:rsid w:val="00115982"/>
    <w:rsid w:val="00115BD3"/>
    <w:rsid w:val="00115EE2"/>
    <w:rsid w:val="001162BE"/>
    <w:rsid w:val="00116C53"/>
    <w:rsid w:val="00117460"/>
    <w:rsid w:val="00117532"/>
    <w:rsid w:val="00117FF5"/>
    <w:rsid w:val="00120777"/>
    <w:rsid w:val="00121250"/>
    <w:rsid w:val="00121799"/>
    <w:rsid w:val="00121E6E"/>
    <w:rsid w:val="001222B7"/>
    <w:rsid w:val="001222FC"/>
    <w:rsid w:val="001228FD"/>
    <w:rsid w:val="00123902"/>
    <w:rsid w:val="00123A5D"/>
    <w:rsid w:val="001244CD"/>
    <w:rsid w:val="00124728"/>
    <w:rsid w:val="00124A51"/>
    <w:rsid w:val="00124D72"/>
    <w:rsid w:val="00125435"/>
    <w:rsid w:val="0012557D"/>
    <w:rsid w:val="00125FDB"/>
    <w:rsid w:val="00126621"/>
    <w:rsid w:val="0012699C"/>
    <w:rsid w:val="00126B1D"/>
    <w:rsid w:val="001270F7"/>
    <w:rsid w:val="00127945"/>
    <w:rsid w:val="001301E9"/>
    <w:rsid w:val="00130278"/>
    <w:rsid w:val="00130FEE"/>
    <w:rsid w:val="00130FF0"/>
    <w:rsid w:val="0013116C"/>
    <w:rsid w:val="001312C4"/>
    <w:rsid w:val="00131D82"/>
    <w:rsid w:val="001326F6"/>
    <w:rsid w:val="00132B22"/>
    <w:rsid w:val="00132B33"/>
    <w:rsid w:val="00132C9A"/>
    <w:rsid w:val="001337D0"/>
    <w:rsid w:val="00133CA8"/>
    <w:rsid w:val="00133D36"/>
    <w:rsid w:val="00133FFE"/>
    <w:rsid w:val="00134134"/>
    <w:rsid w:val="00134374"/>
    <w:rsid w:val="00134D2B"/>
    <w:rsid w:val="001358A6"/>
    <w:rsid w:val="00135E40"/>
    <w:rsid w:val="00136ACA"/>
    <w:rsid w:val="00136B51"/>
    <w:rsid w:val="00137645"/>
    <w:rsid w:val="00137CE9"/>
    <w:rsid w:val="00137D27"/>
    <w:rsid w:val="0014015A"/>
    <w:rsid w:val="00140481"/>
    <w:rsid w:val="0014076D"/>
    <w:rsid w:val="001407FD"/>
    <w:rsid w:val="00140C11"/>
    <w:rsid w:val="00140E99"/>
    <w:rsid w:val="00141717"/>
    <w:rsid w:val="001421AF"/>
    <w:rsid w:val="00142423"/>
    <w:rsid w:val="00142728"/>
    <w:rsid w:val="00142871"/>
    <w:rsid w:val="001438C0"/>
    <w:rsid w:val="00143F67"/>
    <w:rsid w:val="00144087"/>
    <w:rsid w:val="0014455B"/>
    <w:rsid w:val="00144BB8"/>
    <w:rsid w:val="001450EB"/>
    <w:rsid w:val="00145234"/>
    <w:rsid w:val="00145540"/>
    <w:rsid w:val="001456B0"/>
    <w:rsid w:val="00145BFB"/>
    <w:rsid w:val="00146561"/>
    <w:rsid w:val="001470BA"/>
    <w:rsid w:val="0014749D"/>
    <w:rsid w:val="00147E64"/>
    <w:rsid w:val="00150C6E"/>
    <w:rsid w:val="001515FB"/>
    <w:rsid w:val="00151B38"/>
    <w:rsid w:val="00152EB5"/>
    <w:rsid w:val="001530B2"/>
    <w:rsid w:val="00153381"/>
    <w:rsid w:val="001537FF"/>
    <w:rsid w:val="00154657"/>
    <w:rsid w:val="001547AB"/>
    <w:rsid w:val="00154A29"/>
    <w:rsid w:val="00155AB9"/>
    <w:rsid w:val="001561E7"/>
    <w:rsid w:val="00156325"/>
    <w:rsid w:val="00156851"/>
    <w:rsid w:val="00156F8F"/>
    <w:rsid w:val="00157130"/>
    <w:rsid w:val="001576B1"/>
    <w:rsid w:val="00160017"/>
    <w:rsid w:val="0016047B"/>
    <w:rsid w:val="001605B8"/>
    <w:rsid w:val="0016074F"/>
    <w:rsid w:val="00160A4C"/>
    <w:rsid w:val="00160E28"/>
    <w:rsid w:val="0016283E"/>
    <w:rsid w:val="00162913"/>
    <w:rsid w:val="0016379C"/>
    <w:rsid w:val="00163E81"/>
    <w:rsid w:val="00163EFF"/>
    <w:rsid w:val="00163F66"/>
    <w:rsid w:val="001644A4"/>
    <w:rsid w:val="0016478E"/>
    <w:rsid w:val="00164AD4"/>
    <w:rsid w:val="001651D8"/>
    <w:rsid w:val="0016591C"/>
    <w:rsid w:val="00165A95"/>
    <w:rsid w:val="00165BB3"/>
    <w:rsid w:val="00165EC4"/>
    <w:rsid w:val="001661FB"/>
    <w:rsid w:val="0016676C"/>
    <w:rsid w:val="00167092"/>
    <w:rsid w:val="001671A0"/>
    <w:rsid w:val="00167657"/>
    <w:rsid w:val="0016767F"/>
    <w:rsid w:val="00167DD4"/>
    <w:rsid w:val="001706F5"/>
    <w:rsid w:val="0017101E"/>
    <w:rsid w:val="001716A5"/>
    <w:rsid w:val="00171FE9"/>
    <w:rsid w:val="00172ACB"/>
    <w:rsid w:val="00173565"/>
    <w:rsid w:val="00173B07"/>
    <w:rsid w:val="00174CC0"/>
    <w:rsid w:val="00174F98"/>
    <w:rsid w:val="001751FA"/>
    <w:rsid w:val="00175329"/>
    <w:rsid w:val="001765D7"/>
    <w:rsid w:val="001766E5"/>
    <w:rsid w:val="001772F5"/>
    <w:rsid w:val="00180C6F"/>
    <w:rsid w:val="00180EE4"/>
    <w:rsid w:val="001812C5"/>
    <w:rsid w:val="00181917"/>
    <w:rsid w:val="001819DC"/>
    <w:rsid w:val="00181C10"/>
    <w:rsid w:val="00181D9C"/>
    <w:rsid w:val="00181F3B"/>
    <w:rsid w:val="00182591"/>
    <w:rsid w:val="001825F4"/>
    <w:rsid w:val="00182770"/>
    <w:rsid w:val="00182B1C"/>
    <w:rsid w:val="00182CD3"/>
    <w:rsid w:val="00183041"/>
    <w:rsid w:val="00183053"/>
    <w:rsid w:val="00183107"/>
    <w:rsid w:val="0018368E"/>
    <w:rsid w:val="0018376B"/>
    <w:rsid w:val="001837FF"/>
    <w:rsid w:val="00183B18"/>
    <w:rsid w:val="00183B97"/>
    <w:rsid w:val="00183D5D"/>
    <w:rsid w:val="001842C9"/>
    <w:rsid w:val="0018434B"/>
    <w:rsid w:val="00184B0E"/>
    <w:rsid w:val="0018520E"/>
    <w:rsid w:val="00185612"/>
    <w:rsid w:val="00185750"/>
    <w:rsid w:val="00185CBC"/>
    <w:rsid w:val="00185D54"/>
    <w:rsid w:val="00187137"/>
    <w:rsid w:val="0018752F"/>
    <w:rsid w:val="001876B5"/>
    <w:rsid w:val="00187BD4"/>
    <w:rsid w:val="0019046B"/>
    <w:rsid w:val="00191924"/>
    <w:rsid w:val="001921CA"/>
    <w:rsid w:val="001925C1"/>
    <w:rsid w:val="001931F5"/>
    <w:rsid w:val="00193758"/>
    <w:rsid w:val="00193838"/>
    <w:rsid w:val="001939EE"/>
    <w:rsid w:val="00194334"/>
    <w:rsid w:val="001944FC"/>
    <w:rsid w:val="001949CE"/>
    <w:rsid w:val="00194AD8"/>
    <w:rsid w:val="00195222"/>
    <w:rsid w:val="00195401"/>
    <w:rsid w:val="00195452"/>
    <w:rsid w:val="001954CD"/>
    <w:rsid w:val="001958BB"/>
    <w:rsid w:val="00195B8A"/>
    <w:rsid w:val="0019622F"/>
    <w:rsid w:val="001975D8"/>
    <w:rsid w:val="00197A7B"/>
    <w:rsid w:val="001A0351"/>
    <w:rsid w:val="001A056E"/>
    <w:rsid w:val="001A0F0F"/>
    <w:rsid w:val="001A0F15"/>
    <w:rsid w:val="001A13B2"/>
    <w:rsid w:val="001A15AE"/>
    <w:rsid w:val="001A178E"/>
    <w:rsid w:val="001A1F84"/>
    <w:rsid w:val="001A23A4"/>
    <w:rsid w:val="001A2489"/>
    <w:rsid w:val="001A2A59"/>
    <w:rsid w:val="001A2EBC"/>
    <w:rsid w:val="001A2F97"/>
    <w:rsid w:val="001A38A7"/>
    <w:rsid w:val="001A393B"/>
    <w:rsid w:val="001A3FEB"/>
    <w:rsid w:val="001A43FA"/>
    <w:rsid w:val="001A47C5"/>
    <w:rsid w:val="001A48C9"/>
    <w:rsid w:val="001A57A8"/>
    <w:rsid w:val="001A59FB"/>
    <w:rsid w:val="001A5D35"/>
    <w:rsid w:val="001A5E9E"/>
    <w:rsid w:val="001A5FE6"/>
    <w:rsid w:val="001A5FFD"/>
    <w:rsid w:val="001A61EF"/>
    <w:rsid w:val="001A6354"/>
    <w:rsid w:val="001A6366"/>
    <w:rsid w:val="001A652E"/>
    <w:rsid w:val="001A6B74"/>
    <w:rsid w:val="001A6E6F"/>
    <w:rsid w:val="001A7149"/>
    <w:rsid w:val="001A7AE8"/>
    <w:rsid w:val="001A7D29"/>
    <w:rsid w:val="001A7E5C"/>
    <w:rsid w:val="001A7F7D"/>
    <w:rsid w:val="001B00F0"/>
    <w:rsid w:val="001B035F"/>
    <w:rsid w:val="001B0418"/>
    <w:rsid w:val="001B1692"/>
    <w:rsid w:val="001B1ABF"/>
    <w:rsid w:val="001B1CB8"/>
    <w:rsid w:val="001B204E"/>
    <w:rsid w:val="001B2372"/>
    <w:rsid w:val="001B32D1"/>
    <w:rsid w:val="001B3443"/>
    <w:rsid w:val="001B347B"/>
    <w:rsid w:val="001B3E56"/>
    <w:rsid w:val="001B41B8"/>
    <w:rsid w:val="001B4D20"/>
    <w:rsid w:val="001B558C"/>
    <w:rsid w:val="001B6A42"/>
    <w:rsid w:val="001B7164"/>
    <w:rsid w:val="001B79C3"/>
    <w:rsid w:val="001B7A48"/>
    <w:rsid w:val="001B7A4F"/>
    <w:rsid w:val="001B7F84"/>
    <w:rsid w:val="001C0274"/>
    <w:rsid w:val="001C0DD9"/>
    <w:rsid w:val="001C1188"/>
    <w:rsid w:val="001C1349"/>
    <w:rsid w:val="001C1A1C"/>
    <w:rsid w:val="001C1EDF"/>
    <w:rsid w:val="001C216E"/>
    <w:rsid w:val="001C2321"/>
    <w:rsid w:val="001C2980"/>
    <w:rsid w:val="001C2A9B"/>
    <w:rsid w:val="001C3300"/>
    <w:rsid w:val="001C33A9"/>
    <w:rsid w:val="001C3DD6"/>
    <w:rsid w:val="001C402B"/>
    <w:rsid w:val="001C4299"/>
    <w:rsid w:val="001C47E5"/>
    <w:rsid w:val="001C4874"/>
    <w:rsid w:val="001C5BBB"/>
    <w:rsid w:val="001C5F94"/>
    <w:rsid w:val="001C62C7"/>
    <w:rsid w:val="001C662E"/>
    <w:rsid w:val="001C6772"/>
    <w:rsid w:val="001C6E66"/>
    <w:rsid w:val="001C6F24"/>
    <w:rsid w:val="001C7A5A"/>
    <w:rsid w:val="001C7B8C"/>
    <w:rsid w:val="001C7D86"/>
    <w:rsid w:val="001C7E16"/>
    <w:rsid w:val="001D0D59"/>
    <w:rsid w:val="001D1100"/>
    <w:rsid w:val="001D1391"/>
    <w:rsid w:val="001D190C"/>
    <w:rsid w:val="001D1E5C"/>
    <w:rsid w:val="001D1F4F"/>
    <w:rsid w:val="001D25D7"/>
    <w:rsid w:val="001D2DE7"/>
    <w:rsid w:val="001D4085"/>
    <w:rsid w:val="001D50B2"/>
    <w:rsid w:val="001D53B2"/>
    <w:rsid w:val="001D5440"/>
    <w:rsid w:val="001D5608"/>
    <w:rsid w:val="001D6E6D"/>
    <w:rsid w:val="001D6FED"/>
    <w:rsid w:val="001D71F4"/>
    <w:rsid w:val="001D7645"/>
    <w:rsid w:val="001D7CD1"/>
    <w:rsid w:val="001E04E0"/>
    <w:rsid w:val="001E184E"/>
    <w:rsid w:val="001E1A4C"/>
    <w:rsid w:val="001E1A94"/>
    <w:rsid w:val="001E1D6D"/>
    <w:rsid w:val="001E1E86"/>
    <w:rsid w:val="001E238E"/>
    <w:rsid w:val="001E2483"/>
    <w:rsid w:val="001E2A54"/>
    <w:rsid w:val="001E2B1E"/>
    <w:rsid w:val="001E2CFF"/>
    <w:rsid w:val="001E2D77"/>
    <w:rsid w:val="001E2DF3"/>
    <w:rsid w:val="001E2F02"/>
    <w:rsid w:val="001E2F24"/>
    <w:rsid w:val="001E30D4"/>
    <w:rsid w:val="001E3122"/>
    <w:rsid w:val="001E34DF"/>
    <w:rsid w:val="001E3978"/>
    <w:rsid w:val="001E4003"/>
    <w:rsid w:val="001E4818"/>
    <w:rsid w:val="001E4C2A"/>
    <w:rsid w:val="001E5013"/>
    <w:rsid w:val="001E52EB"/>
    <w:rsid w:val="001E5794"/>
    <w:rsid w:val="001E5D7C"/>
    <w:rsid w:val="001E61D2"/>
    <w:rsid w:val="001E6B16"/>
    <w:rsid w:val="001E740C"/>
    <w:rsid w:val="001E7744"/>
    <w:rsid w:val="001E7974"/>
    <w:rsid w:val="001F0FAE"/>
    <w:rsid w:val="001F1235"/>
    <w:rsid w:val="001F1A80"/>
    <w:rsid w:val="001F1CB3"/>
    <w:rsid w:val="001F1E25"/>
    <w:rsid w:val="001F207D"/>
    <w:rsid w:val="001F23B3"/>
    <w:rsid w:val="001F25B2"/>
    <w:rsid w:val="001F2BD9"/>
    <w:rsid w:val="001F35DB"/>
    <w:rsid w:val="001F3655"/>
    <w:rsid w:val="001F36AC"/>
    <w:rsid w:val="001F38B5"/>
    <w:rsid w:val="001F3ADC"/>
    <w:rsid w:val="001F3C51"/>
    <w:rsid w:val="001F3E86"/>
    <w:rsid w:val="001F4081"/>
    <w:rsid w:val="001F4B29"/>
    <w:rsid w:val="001F554B"/>
    <w:rsid w:val="001F68C1"/>
    <w:rsid w:val="001F6EE2"/>
    <w:rsid w:val="001F7361"/>
    <w:rsid w:val="001F74F1"/>
    <w:rsid w:val="001F7B8A"/>
    <w:rsid w:val="001F7BB9"/>
    <w:rsid w:val="001F7CCD"/>
    <w:rsid w:val="00200103"/>
    <w:rsid w:val="00200131"/>
    <w:rsid w:val="00200341"/>
    <w:rsid w:val="002006B2"/>
    <w:rsid w:val="002008A0"/>
    <w:rsid w:val="00200989"/>
    <w:rsid w:val="00200B36"/>
    <w:rsid w:val="002011B0"/>
    <w:rsid w:val="002019CD"/>
    <w:rsid w:val="00202340"/>
    <w:rsid w:val="002024CE"/>
    <w:rsid w:val="00203181"/>
    <w:rsid w:val="00203365"/>
    <w:rsid w:val="0020366B"/>
    <w:rsid w:val="00203783"/>
    <w:rsid w:val="0020385F"/>
    <w:rsid w:val="00204141"/>
    <w:rsid w:val="00204418"/>
    <w:rsid w:val="00204EDA"/>
    <w:rsid w:val="002068A0"/>
    <w:rsid w:val="002069D7"/>
    <w:rsid w:val="00206C54"/>
    <w:rsid w:val="00207021"/>
    <w:rsid w:val="0020732F"/>
    <w:rsid w:val="00207D00"/>
    <w:rsid w:val="002100E2"/>
    <w:rsid w:val="002105C1"/>
    <w:rsid w:val="0021097D"/>
    <w:rsid w:val="00210BA6"/>
    <w:rsid w:val="002116FD"/>
    <w:rsid w:val="00211D4E"/>
    <w:rsid w:val="00211D74"/>
    <w:rsid w:val="002120D9"/>
    <w:rsid w:val="00212128"/>
    <w:rsid w:val="0021215C"/>
    <w:rsid w:val="00212933"/>
    <w:rsid w:val="002129EB"/>
    <w:rsid w:val="0021358A"/>
    <w:rsid w:val="00213AFB"/>
    <w:rsid w:val="00213EF5"/>
    <w:rsid w:val="002149B3"/>
    <w:rsid w:val="00215A66"/>
    <w:rsid w:val="00215E4B"/>
    <w:rsid w:val="0021635C"/>
    <w:rsid w:val="002163AE"/>
    <w:rsid w:val="00216711"/>
    <w:rsid w:val="00216AAC"/>
    <w:rsid w:val="00216BF5"/>
    <w:rsid w:val="0021711D"/>
    <w:rsid w:val="0021767B"/>
    <w:rsid w:val="00217FDD"/>
    <w:rsid w:val="002221ED"/>
    <w:rsid w:val="0022376A"/>
    <w:rsid w:val="00223B49"/>
    <w:rsid w:val="00223D5A"/>
    <w:rsid w:val="0022402A"/>
    <w:rsid w:val="00224DD4"/>
    <w:rsid w:val="002254C5"/>
    <w:rsid w:val="002262BB"/>
    <w:rsid w:val="0022683D"/>
    <w:rsid w:val="00226B53"/>
    <w:rsid w:val="00226CF8"/>
    <w:rsid w:val="002270B8"/>
    <w:rsid w:val="002278A0"/>
    <w:rsid w:val="00227CE0"/>
    <w:rsid w:val="00230049"/>
    <w:rsid w:val="002301BF"/>
    <w:rsid w:val="002304D6"/>
    <w:rsid w:val="0023092D"/>
    <w:rsid w:val="002309CC"/>
    <w:rsid w:val="00230C3C"/>
    <w:rsid w:val="00230C3D"/>
    <w:rsid w:val="002316B1"/>
    <w:rsid w:val="00231BA9"/>
    <w:rsid w:val="00231DC8"/>
    <w:rsid w:val="0023209F"/>
    <w:rsid w:val="002320DB"/>
    <w:rsid w:val="00232E80"/>
    <w:rsid w:val="00232E8E"/>
    <w:rsid w:val="00232FA6"/>
    <w:rsid w:val="0023313E"/>
    <w:rsid w:val="00233462"/>
    <w:rsid w:val="00233C01"/>
    <w:rsid w:val="00233DD9"/>
    <w:rsid w:val="00234001"/>
    <w:rsid w:val="0023413C"/>
    <w:rsid w:val="002346F0"/>
    <w:rsid w:val="002349DE"/>
    <w:rsid w:val="00234B7C"/>
    <w:rsid w:val="00235228"/>
    <w:rsid w:val="002358E5"/>
    <w:rsid w:val="00235A54"/>
    <w:rsid w:val="0023629D"/>
    <w:rsid w:val="002367E8"/>
    <w:rsid w:val="00236C9E"/>
    <w:rsid w:val="00236F49"/>
    <w:rsid w:val="00237255"/>
    <w:rsid w:val="002377B5"/>
    <w:rsid w:val="00237EAB"/>
    <w:rsid w:val="00237EB3"/>
    <w:rsid w:val="00240182"/>
    <w:rsid w:val="00240523"/>
    <w:rsid w:val="00240D41"/>
    <w:rsid w:val="0024174A"/>
    <w:rsid w:val="00241922"/>
    <w:rsid w:val="00242190"/>
    <w:rsid w:val="0024244C"/>
    <w:rsid w:val="002424AF"/>
    <w:rsid w:val="00242792"/>
    <w:rsid w:val="002427F5"/>
    <w:rsid w:val="002429B6"/>
    <w:rsid w:val="00242E67"/>
    <w:rsid w:val="00243277"/>
    <w:rsid w:val="002439DC"/>
    <w:rsid w:val="00244052"/>
    <w:rsid w:val="00244126"/>
    <w:rsid w:val="002441D2"/>
    <w:rsid w:val="00244356"/>
    <w:rsid w:val="00244DC8"/>
    <w:rsid w:val="00245059"/>
    <w:rsid w:val="002450A1"/>
    <w:rsid w:val="00245130"/>
    <w:rsid w:val="002454B8"/>
    <w:rsid w:val="0024561E"/>
    <w:rsid w:val="002458BA"/>
    <w:rsid w:val="00245900"/>
    <w:rsid w:val="00245CE9"/>
    <w:rsid w:val="00245F8A"/>
    <w:rsid w:val="00245FD0"/>
    <w:rsid w:val="0024636C"/>
    <w:rsid w:val="0024648F"/>
    <w:rsid w:val="00246E44"/>
    <w:rsid w:val="002476B6"/>
    <w:rsid w:val="00247925"/>
    <w:rsid w:val="00247E9E"/>
    <w:rsid w:val="00250258"/>
    <w:rsid w:val="002502DE"/>
    <w:rsid w:val="002504C6"/>
    <w:rsid w:val="00250D11"/>
    <w:rsid w:val="00250FE6"/>
    <w:rsid w:val="00251006"/>
    <w:rsid w:val="002512C8"/>
    <w:rsid w:val="002524D5"/>
    <w:rsid w:val="0025260A"/>
    <w:rsid w:val="00253B1D"/>
    <w:rsid w:val="00253B4A"/>
    <w:rsid w:val="00253C04"/>
    <w:rsid w:val="00253E4C"/>
    <w:rsid w:val="00254473"/>
    <w:rsid w:val="002547F9"/>
    <w:rsid w:val="00254D7E"/>
    <w:rsid w:val="00254DCF"/>
    <w:rsid w:val="0025534B"/>
    <w:rsid w:val="00255937"/>
    <w:rsid w:val="00255B09"/>
    <w:rsid w:val="00255BB7"/>
    <w:rsid w:val="00255F1A"/>
    <w:rsid w:val="00256802"/>
    <w:rsid w:val="0025681F"/>
    <w:rsid w:val="00257213"/>
    <w:rsid w:val="00257541"/>
    <w:rsid w:val="00257A39"/>
    <w:rsid w:val="00257AC4"/>
    <w:rsid w:val="00257BBE"/>
    <w:rsid w:val="002600CD"/>
    <w:rsid w:val="0026018C"/>
    <w:rsid w:val="002604B7"/>
    <w:rsid w:val="002613E2"/>
    <w:rsid w:val="00261EEF"/>
    <w:rsid w:val="002627D8"/>
    <w:rsid w:val="00262A1A"/>
    <w:rsid w:val="00262A87"/>
    <w:rsid w:val="00262F11"/>
    <w:rsid w:val="002632A1"/>
    <w:rsid w:val="00264D26"/>
    <w:rsid w:val="00264FAE"/>
    <w:rsid w:val="002656D4"/>
    <w:rsid w:val="00265799"/>
    <w:rsid w:val="00265B0E"/>
    <w:rsid w:val="00267630"/>
    <w:rsid w:val="00267642"/>
    <w:rsid w:val="00267777"/>
    <w:rsid w:val="00267A04"/>
    <w:rsid w:val="00267AEA"/>
    <w:rsid w:val="002700E6"/>
    <w:rsid w:val="002700F7"/>
    <w:rsid w:val="00270939"/>
    <w:rsid w:val="00271669"/>
    <w:rsid w:val="0027215C"/>
    <w:rsid w:val="0027294B"/>
    <w:rsid w:val="00272A28"/>
    <w:rsid w:val="00273C52"/>
    <w:rsid w:val="00273EB4"/>
    <w:rsid w:val="00273F29"/>
    <w:rsid w:val="00274682"/>
    <w:rsid w:val="0027494C"/>
    <w:rsid w:val="00275158"/>
    <w:rsid w:val="00275C5A"/>
    <w:rsid w:val="00275D2D"/>
    <w:rsid w:val="00275E87"/>
    <w:rsid w:val="00277158"/>
    <w:rsid w:val="00277198"/>
    <w:rsid w:val="002771F0"/>
    <w:rsid w:val="00277721"/>
    <w:rsid w:val="00277D7B"/>
    <w:rsid w:val="00280732"/>
    <w:rsid w:val="00281014"/>
    <w:rsid w:val="002823F8"/>
    <w:rsid w:val="00282516"/>
    <w:rsid w:val="00283081"/>
    <w:rsid w:val="002830A1"/>
    <w:rsid w:val="00283B6D"/>
    <w:rsid w:val="00283D7A"/>
    <w:rsid w:val="002843DE"/>
    <w:rsid w:val="00284955"/>
    <w:rsid w:val="002849CC"/>
    <w:rsid w:val="00285BCE"/>
    <w:rsid w:val="00286368"/>
    <w:rsid w:val="00286423"/>
    <w:rsid w:val="0028665D"/>
    <w:rsid w:val="00286C00"/>
    <w:rsid w:val="0028715C"/>
    <w:rsid w:val="00287BA9"/>
    <w:rsid w:val="0029094D"/>
    <w:rsid w:val="002913EB"/>
    <w:rsid w:val="0029169F"/>
    <w:rsid w:val="002917AC"/>
    <w:rsid w:val="00292389"/>
    <w:rsid w:val="0029251D"/>
    <w:rsid w:val="00292AFC"/>
    <w:rsid w:val="002933B0"/>
    <w:rsid w:val="0029359F"/>
    <w:rsid w:val="00293732"/>
    <w:rsid w:val="002948C0"/>
    <w:rsid w:val="00294D2D"/>
    <w:rsid w:val="00294F06"/>
    <w:rsid w:val="00294FA7"/>
    <w:rsid w:val="0029502D"/>
    <w:rsid w:val="00295505"/>
    <w:rsid w:val="00296790"/>
    <w:rsid w:val="00297C52"/>
    <w:rsid w:val="00297E91"/>
    <w:rsid w:val="00297FC3"/>
    <w:rsid w:val="002A002E"/>
    <w:rsid w:val="002A0428"/>
    <w:rsid w:val="002A04FD"/>
    <w:rsid w:val="002A05D2"/>
    <w:rsid w:val="002A14AB"/>
    <w:rsid w:val="002A1B9E"/>
    <w:rsid w:val="002A2517"/>
    <w:rsid w:val="002A25AD"/>
    <w:rsid w:val="002A2ADE"/>
    <w:rsid w:val="002A2F50"/>
    <w:rsid w:val="002A34AB"/>
    <w:rsid w:val="002A3835"/>
    <w:rsid w:val="002A4018"/>
    <w:rsid w:val="002A4370"/>
    <w:rsid w:val="002A4F47"/>
    <w:rsid w:val="002A6C44"/>
    <w:rsid w:val="002A7095"/>
    <w:rsid w:val="002A7943"/>
    <w:rsid w:val="002A7AE3"/>
    <w:rsid w:val="002B02BF"/>
    <w:rsid w:val="002B05A1"/>
    <w:rsid w:val="002B09A4"/>
    <w:rsid w:val="002B1134"/>
    <w:rsid w:val="002B161F"/>
    <w:rsid w:val="002B1C1F"/>
    <w:rsid w:val="002B2122"/>
    <w:rsid w:val="002B22E3"/>
    <w:rsid w:val="002B2355"/>
    <w:rsid w:val="002B2508"/>
    <w:rsid w:val="002B324B"/>
    <w:rsid w:val="002B3C1D"/>
    <w:rsid w:val="002B3FE0"/>
    <w:rsid w:val="002B412C"/>
    <w:rsid w:val="002B432F"/>
    <w:rsid w:val="002B527F"/>
    <w:rsid w:val="002B5685"/>
    <w:rsid w:val="002B5A42"/>
    <w:rsid w:val="002B5B8E"/>
    <w:rsid w:val="002B5DA6"/>
    <w:rsid w:val="002B62B3"/>
    <w:rsid w:val="002B6754"/>
    <w:rsid w:val="002B6834"/>
    <w:rsid w:val="002B6CCE"/>
    <w:rsid w:val="002B6D7D"/>
    <w:rsid w:val="002B7287"/>
    <w:rsid w:val="002B7809"/>
    <w:rsid w:val="002C03BD"/>
    <w:rsid w:val="002C054E"/>
    <w:rsid w:val="002C0E18"/>
    <w:rsid w:val="002C1367"/>
    <w:rsid w:val="002C1556"/>
    <w:rsid w:val="002C1802"/>
    <w:rsid w:val="002C1835"/>
    <w:rsid w:val="002C2274"/>
    <w:rsid w:val="002C2510"/>
    <w:rsid w:val="002C2775"/>
    <w:rsid w:val="002C2787"/>
    <w:rsid w:val="002C27C1"/>
    <w:rsid w:val="002C2F90"/>
    <w:rsid w:val="002C33A3"/>
    <w:rsid w:val="002C36E3"/>
    <w:rsid w:val="002C3C9D"/>
    <w:rsid w:val="002C480F"/>
    <w:rsid w:val="002C5099"/>
    <w:rsid w:val="002C5889"/>
    <w:rsid w:val="002C5F29"/>
    <w:rsid w:val="002C5F40"/>
    <w:rsid w:val="002C71CE"/>
    <w:rsid w:val="002C7860"/>
    <w:rsid w:val="002C796C"/>
    <w:rsid w:val="002C7A18"/>
    <w:rsid w:val="002C7C5F"/>
    <w:rsid w:val="002D08F8"/>
    <w:rsid w:val="002D0DEE"/>
    <w:rsid w:val="002D1737"/>
    <w:rsid w:val="002D1D7A"/>
    <w:rsid w:val="002D24E3"/>
    <w:rsid w:val="002D2947"/>
    <w:rsid w:val="002D2B82"/>
    <w:rsid w:val="002D366C"/>
    <w:rsid w:val="002D4001"/>
    <w:rsid w:val="002D563C"/>
    <w:rsid w:val="002D577C"/>
    <w:rsid w:val="002D5E67"/>
    <w:rsid w:val="002D5FDD"/>
    <w:rsid w:val="002D683B"/>
    <w:rsid w:val="002D7140"/>
    <w:rsid w:val="002D7832"/>
    <w:rsid w:val="002D7DDD"/>
    <w:rsid w:val="002D7E4A"/>
    <w:rsid w:val="002D7F84"/>
    <w:rsid w:val="002E01AC"/>
    <w:rsid w:val="002E0BF9"/>
    <w:rsid w:val="002E1071"/>
    <w:rsid w:val="002E15B9"/>
    <w:rsid w:val="002E2158"/>
    <w:rsid w:val="002E2ADA"/>
    <w:rsid w:val="002E2D3C"/>
    <w:rsid w:val="002E3430"/>
    <w:rsid w:val="002E3A0D"/>
    <w:rsid w:val="002E3BA3"/>
    <w:rsid w:val="002E3D77"/>
    <w:rsid w:val="002E473A"/>
    <w:rsid w:val="002E4F02"/>
    <w:rsid w:val="002E55A6"/>
    <w:rsid w:val="002E55DF"/>
    <w:rsid w:val="002E6626"/>
    <w:rsid w:val="002E6DA6"/>
    <w:rsid w:val="002E7722"/>
    <w:rsid w:val="002E7B7D"/>
    <w:rsid w:val="002F02F2"/>
    <w:rsid w:val="002F07BA"/>
    <w:rsid w:val="002F0A7B"/>
    <w:rsid w:val="002F0DA9"/>
    <w:rsid w:val="002F1014"/>
    <w:rsid w:val="002F12EC"/>
    <w:rsid w:val="002F1725"/>
    <w:rsid w:val="002F1797"/>
    <w:rsid w:val="002F1E3B"/>
    <w:rsid w:val="002F1E89"/>
    <w:rsid w:val="002F3B80"/>
    <w:rsid w:val="002F3C6A"/>
    <w:rsid w:val="002F3DC6"/>
    <w:rsid w:val="002F5011"/>
    <w:rsid w:val="002F565A"/>
    <w:rsid w:val="002F643C"/>
    <w:rsid w:val="002F6F1E"/>
    <w:rsid w:val="002F71C0"/>
    <w:rsid w:val="002F74F1"/>
    <w:rsid w:val="002F7B05"/>
    <w:rsid w:val="003006BD"/>
    <w:rsid w:val="00300994"/>
    <w:rsid w:val="00301017"/>
    <w:rsid w:val="0030131A"/>
    <w:rsid w:val="0030155F"/>
    <w:rsid w:val="00301BC7"/>
    <w:rsid w:val="003021A6"/>
    <w:rsid w:val="0030246F"/>
    <w:rsid w:val="0030286A"/>
    <w:rsid w:val="0030293B"/>
    <w:rsid w:val="003030CC"/>
    <w:rsid w:val="003031B4"/>
    <w:rsid w:val="003037D7"/>
    <w:rsid w:val="00304057"/>
    <w:rsid w:val="00304294"/>
    <w:rsid w:val="003055C7"/>
    <w:rsid w:val="0030587B"/>
    <w:rsid w:val="00305D19"/>
    <w:rsid w:val="00306156"/>
    <w:rsid w:val="00306214"/>
    <w:rsid w:val="00306514"/>
    <w:rsid w:val="00306B8E"/>
    <w:rsid w:val="00306C6D"/>
    <w:rsid w:val="00306D98"/>
    <w:rsid w:val="00307673"/>
    <w:rsid w:val="0030786C"/>
    <w:rsid w:val="003078D4"/>
    <w:rsid w:val="003079AF"/>
    <w:rsid w:val="00307C1B"/>
    <w:rsid w:val="00310290"/>
    <w:rsid w:val="0031031A"/>
    <w:rsid w:val="00310981"/>
    <w:rsid w:val="0031123C"/>
    <w:rsid w:val="00311264"/>
    <w:rsid w:val="00311737"/>
    <w:rsid w:val="00311A5B"/>
    <w:rsid w:val="00311D9B"/>
    <w:rsid w:val="003124D9"/>
    <w:rsid w:val="00312594"/>
    <w:rsid w:val="00312756"/>
    <w:rsid w:val="00312E62"/>
    <w:rsid w:val="003132B0"/>
    <w:rsid w:val="003140AB"/>
    <w:rsid w:val="0031480E"/>
    <w:rsid w:val="00314904"/>
    <w:rsid w:val="00314AF8"/>
    <w:rsid w:val="00314CC5"/>
    <w:rsid w:val="00314D08"/>
    <w:rsid w:val="00315498"/>
    <w:rsid w:val="00316194"/>
    <w:rsid w:val="00316474"/>
    <w:rsid w:val="003209DA"/>
    <w:rsid w:val="00321197"/>
    <w:rsid w:val="0032196F"/>
    <w:rsid w:val="00322107"/>
    <w:rsid w:val="00322355"/>
    <w:rsid w:val="0032259D"/>
    <w:rsid w:val="00322846"/>
    <w:rsid w:val="00323A1B"/>
    <w:rsid w:val="003249D0"/>
    <w:rsid w:val="00324A44"/>
    <w:rsid w:val="00325F92"/>
    <w:rsid w:val="00326DA7"/>
    <w:rsid w:val="003270E4"/>
    <w:rsid w:val="00330422"/>
    <w:rsid w:val="00330C0B"/>
    <w:rsid w:val="00330DAA"/>
    <w:rsid w:val="00330E56"/>
    <w:rsid w:val="00330F5C"/>
    <w:rsid w:val="0033176A"/>
    <w:rsid w:val="0033295F"/>
    <w:rsid w:val="0033297B"/>
    <w:rsid w:val="00333129"/>
    <w:rsid w:val="00333532"/>
    <w:rsid w:val="00333588"/>
    <w:rsid w:val="003336AA"/>
    <w:rsid w:val="003336EB"/>
    <w:rsid w:val="0033426E"/>
    <w:rsid w:val="00334A67"/>
    <w:rsid w:val="0033557D"/>
    <w:rsid w:val="003355F5"/>
    <w:rsid w:val="00335817"/>
    <w:rsid w:val="00335AF5"/>
    <w:rsid w:val="00336611"/>
    <w:rsid w:val="003366C9"/>
    <w:rsid w:val="00337118"/>
    <w:rsid w:val="003371B0"/>
    <w:rsid w:val="00337B5B"/>
    <w:rsid w:val="00337C08"/>
    <w:rsid w:val="00337D1B"/>
    <w:rsid w:val="003400AE"/>
    <w:rsid w:val="00340DF1"/>
    <w:rsid w:val="00341D99"/>
    <w:rsid w:val="0034204D"/>
    <w:rsid w:val="003422B3"/>
    <w:rsid w:val="00343222"/>
    <w:rsid w:val="00343246"/>
    <w:rsid w:val="003433A1"/>
    <w:rsid w:val="00343735"/>
    <w:rsid w:val="00343AFC"/>
    <w:rsid w:val="00344431"/>
    <w:rsid w:val="00344607"/>
    <w:rsid w:val="00344ADD"/>
    <w:rsid w:val="00344D36"/>
    <w:rsid w:val="003450DE"/>
    <w:rsid w:val="00345114"/>
    <w:rsid w:val="003451C6"/>
    <w:rsid w:val="003454D8"/>
    <w:rsid w:val="0034585F"/>
    <w:rsid w:val="003464E1"/>
    <w:rsid w:val="00346D36"/>
    <w:rsid w:val="0035039D"/>
    <w:rsid w:val="003507CC"/>
    <w:rsid w:val="0035139B"/>
    <w:rsid w:val="00351603"/>
    <w:rsid w:val="003517F9"/>
    <w:rsid w:val="00351BA9"/>
    <w:rsid w:val="00351CC2"/>
    <w:rsid w:val="00351EE6"/>
    <w:rsid w:val="00351F90"/>
    <w:rsid w:val="00352209"/>
    <w:rsid w:val="00352FEB"/>
    <w:rsid w:val="00353992"/>
    <w:rsid w:val="00353E47"/>
    <w:rsid w:val="00354F64"/>
    <w:rsid w:val="0035518A"/>
    <w:rsid w:val="0035528E"/>
    <w:rsid w:val="00355653"/>
    <w:rsid w:val="00355915"/>
    <w:rsid w:val="00355920"/>
    <w:rsid w:val="00355AA0"/>
    <w:rsid w:val="00355EF4"/>
    <w:rsid w:val="00355F49"/>
    <w:rsid w:val="00355FB4"/>
    <w:rsid w:val="0035620E"/>
    <w:rsid w:val="00356851"/>
    <w:rsid w:val="0035686D"/>
    <w:rsid w:val="00356FAF"/>
    <w:rsid w:val="003575BE"/>
    <w:rsid w:val="00357C44"/>
    <w:rsid w:val="00357D6E"/>
    <w:rsid w:val="00360242"/>
    <w:rsid w:val="00360345"/>
    <w:rsid w:val="0036042A"/>
    <w:rsid w:val="00360D99"/>
    <w:rsid w:val="003615F5"/>
    <w:rsid w:val="00361A05"/>
    <w:rsid w:val="00362038"/>
    <w:rsid w:val="003624C4"/>
    <w:rsid w:val="00362967"/>
    <w:rsid w:val="00362ABB"/>
    <w:rsid w:val="003631EF"/>
    <w:rsid w:val="003632A2"/>
    <w:rsid w:val="00363B00"/>
    <w:rsid w:val="00363E6D"/>
    <w:rsid w:val="00364395"/>
    <w:rsid w:val="00364425"/>
    <w:rsid w:val="003647EA"/>
    <w:rsid w:val="003654AC"/>
    <w:rsid w:val="003662F4"/>
    <w:rsid w:val="00366326"/>
    <w:rsid w:val="00367E94"/>
    <w:rsid w:val="003707F4"/>
    <w:rsid w:val="003710CF"/>
    <w:rsid w:val="0037111A"/>
    <w:rsid w:val="0037146D"/>
    <w:rsid w:val="00371B26"/>
    <w:rsid w:val="00371F98"/>
    <w:rsid w:val="00372579"/>
    <w:rsid w:val="003727B9"/>
    <w:rsid w:val="00373548"/>
    <w:rsid w:val="0037358A"/>
    <w:rsid w:val="00373F10"/>
    <w:rsid w:val="00373F13"/>
    <w:rsid w:val="0037464C"/>
    <w:rsid w:val="00374C32"/>
    <w:rsid w:val="00374EA8"/>
    <w:rsid w:val="00375031"/>
    <w:rsid w:val="003750F6"/>
    <w:rsid w:val="003753DF"/>
    <w:rsid w:val="00375633"/>
    <w:rsid w:val="00375DEC"/>
    <w:rsid w:val="00375FAD"/>
    <w:rsid w:val="003760FC"/>
    <w:rsid w:val="00376147"/>
    <w:rsid w:val="003766F1"/>
    <w:rsid w:val="00376B35"/>
    <w:rsid w:val="00376FC3"/>
    <w:rsid w:val="00377B6C"/>
    <w:rsid w:val="00380750"/>
    <w:rsid w:val="00380867"/>
    <w:rsid w:val="00380BDA"/>
    <w:rsid w:val="00380E74"/>
    <w:rsid w:val="00381C6B"/>
    <w:rsid w:val="00382A26"/>
    <w:rsid w:val="00382B6A"/>
    <w:rsid w:val="00382C5E"/>
    <w:rsid w:val="00382E93"/>
    <w:rsid w:val="00383062"/>
    <w:rsid w:val="0038365C"/>
    <w:rsid w:val="0038369B"/>
    <w:rsid w:val="00383B78"/>
    <w:rsid w:val="00384449"/>
    <w:rsid w:val="00384F4D"/>
    <w:rsid w:val="003857BD"/>
    <w:rsid w:val="00385A9D"/>
    <w:rsid w:val="003861F5"/>
    <w:rsid w:val="00386C0A"/>
    <w:rsid w:val="00386E68"/>
    <w:rsid w:val="00387121"/>
    <w:rsid w:val="00387A66"/>
    <w:rsid w:val="00387F6B"/>
    <w:rsid w:val="003902B1"/>
    <w:rsid w:val="003906A8"/>
    <w:rsid w:val="003906FF"/>
    <w:rsid w:val="00390D17"/>
    <w:rsid w:val="0039116B"/>
    <w:rsid w:val="0039149B"/>
    <w:rsid w:val="0039179C"/>
    <w:rsid w:val="00391E15"/>
    <w:rsid w:val="00392BF9"/>
    <w:rsid w:val="00392D17"/>
    <w:rsid w:val="00392ED2"/>
    <w:rsid w:val="00393E23"/>
    <w:rsid w:val="0039406E"/>
    <w:rsid w:val="00394942"/>
    <w:rsid w:val="0039553A"/>
    <w:rsid w:val="00395740"/>
    <w:rsid w:val="00395874"/>
    <w:rsid w:val="0039616E"/>
    <w:rsid w:val="00396896"/>
    <w:rsid w:val="00396E3A"/>
    <w:rsid w:val="00396FD0"/>
    <w:rsid w:val="00397850"/>
    <w:rsid w:val="00397991"/>
    <w:rsid w:val="003A0511"/>
    <w:rsid w:val="003A0F57"/>
    <w:rsid w:val="003A15D3"/>
    <w:rsid w:val="003A1A7A"/>
    <w:rsid w:val="003A234A"/>
    <w:rsid w:val="003A2392"/>
    <w:rsid w:val="003A23E7"/>
    <w:rsid w:val="003A2446"/>
    <w:rsid w:val="003A2831"/>
    <w:rsid w:val="003A3CB6"/>
    <w:rsid w:val="003A3ED1"/>
    <w:rsid w:val="003A3FA2"/>
    <w:rsid w:val="003A44DB"/>
    <w:rsid w:val="003A4C14"/>
    <w:rsid w:val="003A58B6"/>
    <w:rsid w:val="003A6368"/>
    <w:rsid w:val="003A6D3D"/>
    <w:rsid w:val="003A6DB6"/>
    <w:rsid w:val="003A723D"/>
    <w:rsid w:val="003B0722"/>
    <w:rsid w:val="003B0B77"/>
    <w:rsid w:val="003B100F"/>
    <w:rsid w:val="003B11FB"/>
    <w:rsid w:val="003B13ED"/>
    <w:rsid w:val="003B141B"/>
    <w:rsid w:val="003B144B"/>
    <w:rsid w:val="003B15BF"/>
    <w:rsid w:val="003B1A92"/>
    <w:rsid w:val="003B1C8C"/>
    <w:rsid w:val="003B1CEC"/>
    <w:rsid w:val="003B21AB"/>
    <w:rsid w:val="003B26EC"/>
    <w:rsid w:val="003B31C9"/>
    <w:rsid w:val="003B322F"/>
    <w:rsid w:val="003B32A5"/>
    <w:rsid w:val="003B3971"/>
    <w:rsid w:val="003B3FD0"/>
    <w:rsid w:val="003B4B41"/>
    <w:rsid w:val="003B4CE4"/>
    <w:rsid w:val="003B55D1"/>
    <w:rsid w:val="003B57BF"/>
    <w:rsid w:val="003B5B61"/>
    <w:rsid w:val="003B6A51"/>
    <w:rsid w:val="003B6CF9"/>
    <w:rsid w:val="003B7402"/>
    <w:rsid w:val="003B760B"/>
    <w:rsid w:val="003C0C50"/>
    <w:rsid w:val="003C0DA2"/>
    <w:rsid w:val="003C0FBB"/>
    <w:rsid w:val="003C1654"/>
    <w:rsid w:val="003C2593"/>
    <w:rsid w:val="003C26B6"/>
    <w:rsid w:val="003C26C8"/>
    <w:rsid w:val="003C2796"/>
    <w:rsid w:val="003C2CAD"/>
    <w:rsid w:val="003C2DE2"/>
    <w:rsid w:val="003C2DE3"/>
    <w:rsid w:val="003C3D28"/>
    <w:rsid w:val="003C3EF0"/>
    <w:rsid w:val="003C432C"/>
    <w:rsid w:val="003C45A3"/>
    <w:rsid w:val="003C5542"/>
    <w:rsid w:val="003C5663"/>
    <w:rsid w:val="003C620E"/>
    <w:rsid w:val="003C6401"/>
    <w:rsid w:val="003C6DF8"/>
    <w:rsid w:val="003C759B"/>
    <w:rsid w:val="003C7679"/>
    <w:rsid w:val="003C79D5"/>
    <w:rsid w:val="003C7C15"/>
    <w:rsid w:val="003C7D19"/>
    <w:rsid w:val="003C7D2F"/>
    <w:rsid w:val="003D0041"/>
    <w:rsid w:val="003D073B"/>
    <w:rsid w:val="003D0C50"/>
    <w:rsid w:val="003D0C5A"/>
    <w:rsid w:val="003D1828"/>
    <w:rsid w:val="003D1DE4"/>
    <w:rsid w:val="003D1DF3"/>
    <w:rsid w:val="003D1E9A"/>
    <w:rsid w:val="003D2422"/>
    <w:rsid w:val="003D2570"/>
    <w:rsid w:val="003D25CA"/>
    <w:rsid w:val="003D2617"/>
    <w:rsid w:val="003D2CCF"/>
    <w:rsid w:val="003D2D83"/>
    <w:rsid w:val="003D3866"/>
    <w:rsid w:val="003D38FC"/>
    <w:rsid w:val="003D39A1"/>
    <w:rsid w:val="003D3FBF"/>
    <w:rsid w:val="003D4298"/>
    <w:rsid w:val="003D4A30"/>
    <w:rsid w:val="003D51CD"/>
    <w:rsid w:val="003D56F7"/>
    <w:rsid w:val="003D653B"/>
    <w:rsid w:val="003D6F38"/>
    <w:rsid w:val="003D7452"/>
    <w:rsid w:val="003D764D"/>
    <w:rsid w:val="003D77B5"/>
    <w:rsid w:val="003D797D"/>
    <w:rsid w:val="003D79BB"/>
    <w:rsid w:val="003D7A9F"/>
    <w:rsid w:val="003D7C98"/>
    <w:rsid w:val="003D7D9D"/>
    <w:rsid w:val="003E0340"/>
    <w:rsid w:val="003E0543"/>
    <w:rsid w:val="003E1CC6"/>
    <w:rsid w:val="003E2672"/>
    <w:rsid w:val="003E2F06"/>
    <w:rsid w:val="003E350B"/>
    <w:rsid w:val="003E369B"/>
    <w:rsid w:val="003E39A9"/>
    <w:rsid w:val="003E3B8F"/>
    <w:rsid w:val="003E55F6"/>
    <w:rsid w:val="003E5603"/>
    <w:rsid w:val="003E69E6"/>
    <w:rsid w:val="003E6FEB"/>
    <w:rsid w:val="003E749E"/>
    <w:rsid w:val="003E7791"/>
    <w:rsid w:val="003E7EB7"/>
    <w:rsid w:val="003F039F"/>
    <w:rsid w:val="003F1B34"/>
    <w:rsid w:val="003F1D9C"/>
    <w:rsid w:val="003F28CA"/>
    <w:rsid w:val="003F2E68"/>
    <w:rsid w:val="003F32C8"/>
    <w:rsid w:val="003F369B"/>
    <w:rsid w:val="003F3EE9"/>
    <w:rsid w:val="003F4156"/>
    <w:rsid w:val="003F45E8"/>
    <w:rsid w:val="003F4772"/>
    <w:rsid w:val="003F488F"/>
    <w:rsid w:val="003F4B3D"/>
    <w:rsid w:val="003F4D0D"/>
    <w:rsid w:val="003F521D"/>
    <w:rsid w:val="003F5ADF"/>
    <w:rsid w:val="003F6225"/>
    <w:rsid w:val="003F7F09"/>
    <w:rsid w:val="003F7FCD"/>
    <w:rsid w:val="00400438"/>
    <w:rsid w:val="00400444"/>
    <w:rsid w:val="00400B29"/>
    <w:rsid w:val="0040136D"/>
    <w:rsid w:val="0040156C"/>
    <w:rsid w:val="00401596"/>
    <w:rsid w:val="00401DB2"/>
    <w:rsid w:val="00402236"/>
    <w:rsid w:val="00402812"/>
    <w:rsid w:val="00402EF6"/>
    <w:rsid w:val="00403750"/>
    <w:rsid w:val="00403CC1"/>
    <w:rsid w:val="00403E2A"/>
    <w:rsid w:val="004048E1"/>
    <w:rsid w:val="0040504B"/>
    <w:rsid w:val="004059F4"/>
    <w:rsid w:val="00405EE1"/>
    <w:rsid w:val="00405F4E"/>
    <w:rsid w:val="00406236"/>
    <w:rsid w:val="004065EF"/>
    <w:rsid w:val="00406B9A"/>
    <w:rsid w:val="00407E96"/>
    <w:rsid w:val="00407FE5"/>
    <w:rsid w:val="00410175"/>
    <w:rsid w:val="004101B0"/>
    <w:rsid w:val="00410311"/>
    <w:rsid w:val="00410326"/>
    <w:rsid w:val="00410708"/>
    <w:rsid w:val="00410AF8"/>
    <w:rsid w:val="00410EC7"/>
    <w:rsid w:val="00410FC2"/>
    <w:rsid w:val="0041109F"/>
    <w:rsid w:val="00411B39"/>
    <w:rsid w:val="00412701"/>
    <w:rsid w:val="004127A7"/>
    <w:rsid w:val="00413A1E"/>
    <w:rsid w:val="00413E49"/>
    <w:rsid w:val="00414476"/>
    <w:rsid w:val="00414C2E"/>
    <w:rsid w:val="004151CF"/>
    <w:rsid w:val="0041549B"/>
    <w:rsid w:val="00415E60"/>
    <w:rsid w:val="00415F5E"/>
    <w:rsid w:val="00416364"/>
    <w:rsid w:val="004168B7"/>
    <w:rsid w:val="004176CD"/>
    <w:rsid w:val="00417C6A"/>
    <w:rsid w:val="0042047F"/>
    <w:rsid w:val="00420AA6"/>
    <w:rsid w:val="00420B9F"/>
    <w:rsid w:val="00421001"/>
    <w:rsid w:val="004216F6"/>
    <w:rsid w:val="0042192C"/>
    <w:rsid w:val="00421FF7"/>
    <w:rsid w:val="00422260"/>
    <w:rsid w:val="00422BC5"/>
    <w:rsid w:val="00422C04"/>
    <w:rsid w:val="0042413F"/>
    <w:rsid w:val="00425630"/>
    <w:rsid w:val="0042563C"/>
    <w:rsid w:val="0042564B"/>
    <w:rsid w:val="00426302"/>
    <w:rsid w:val="00426478"/>
    <w:rsid w:val="00426C53"/>
    <w:rsid w:val="004270D0"/>
    <w:rsid w:val="00427CE0"/>
    <w:rsid w:val="00430A87"/>
    <w:rsid w:val="004319F8"/>
    <w:rsid w:val="00431D4D"/>
    <w:rsid w:val="00431E55"/>
    <w:rsid w:val="004321F6"/>
    <w:rsid w:val="00432823"/>
    <w:rsid w:val="004328FE"/>
    <w:rsid w:val="00432AD8"/>
    <w:rsid w:val="00432D2C"/>
    <w:rsid w:val="00433044"/>
    <w:rsid w:val="00433E9F"/>
    <w:rsid w:val="00433FF5"/>
    <w:rsid w:val="00434088"/>
    <w:rsid w:val="004342EC"/>
    <w:rsid w:val="00434DC7"/>
    <w:rsid w:val="00435C9D"/>
    <w:rsid w:val="0043632D"/>
    <w:rsid w:val="0043675A"/>
    <w:rsid w:val="00437331"/>
    <w:rsid w:val="00437391"/>
    <w:rsid w:val="004375B9"/>
    <w:rsid w:val="004376D7"/>
    <w:rsid w:val="004377A9"/>
    <w:rsid w:val="004401FD"/>
    <w:rsid w:val="00440CD5"/>
    <w:rsid w:val="00440D8F"/>
    <w:rsid w:val="00440E4D"/>
    <w:rsid w:val="004415A7"/>
    <w:rsid w:val="00442823"/>
    <w:rsid w:val="004428D0"/>
    <w:rsid w:val="00444185"/>
    <w:rsid w:val="00444248"/>
    <w:rsid w:val="004442E1"/>
    <w:rsid w:val="004443A7"/>
    <w:rsid w:val="0044442C"/>
    <w:rsid w:val="00444C78"/>
    <w:rsid w:val="00445367"/>
    <w:rsid w:val="0044540F"/>
    <w:rsid w:val="00445478"/>
    <w:rsid w:val="004458AF"/>
    <w:rsid w:val="00445941"/>
    <w:rsid w:val="00446130"/>
    <w:rsid w:val="004464EB"/>
    <w:rsid w:val="004468C0"/>
    <w:rsid w:val="00446EF7"/>
    <w:rsid w:val="004475D5"/>
    <w:rsid w:val="00447D26"/>
    <w:rsid w:val="00447DFC"/>
    <w:rsid w:val="00447F2D"/>
    <w:rsid w:val="00450468"/>
    <w:rsid w:val="00451207"/>
    <w:rsid w:val="0045238D"/>
    <w:rsid w:val="00453271"/>
    <w:rsid w:val="004535D6"/>
    <w:rsid w:val="004539E8"/>
    <w:rsid w:val="004549BA"/>
    <w:rsid w:val="00454A25"/>
    <w:rsid w:val="00454BF3"/>
    <w:rsid w:val="00454F92"/>
    <w:rsid w:val="004551D0"/>
    <w:rsid w:val="00455775"/>
    <w:rsid w:val="004557B7"/>
    <w:rsid w:val="00455CF7"/>
    <w:rsid w:val="00455D45"/>
    <w:rsid w:val="00456057"/>
    <w:rsid w:val="0045618A"/>
    <w:rsid w:val="0045707B"/>
    <w:rsid w:val="00457B67"/>
    <w:rsid w:val="00457F9B"/>
    <w:rsid w:val="00460219"/>
    <w:rsid w:val="004610F4"/>
    <w:rsid w:val="0046322E"/>
    <w:rsid w:val="0046366E"/>
    <w:rsid w:val="00463CFD"/>
    <w:rsid w:val="0046439A"/>
    <w:rsid w:val="00464595"/>
    <w:rsid w:val="004645DB"/>
    <w:rsid w:val="00464949"/>
    <w:rsid w:val="004654BA"/>
    <w:rsid w:val="0046583A"/>
    <w:rsid w:val="004658B5"/>
    <w:rsid w:val="004658BC"/>
    <w:rsid w:val="00465D84"/>
    <w:rsid w:val="004660A7"/>
    <w:rsid w:val="00466636"/>
    <w:rsid w:val="0046696C"/>
    <w:rsid w:val="00466A56"/>
    <w:rsid w:val="00466B4B"/>
    <w:rsid w:val="00466F92"/>
    <w:rsid w:val="00467839"/>
    <w:rsid w:val="004701C5"/>
    <w:rsid w:val="0047042C"/>
    <w:rsid w:val="00470501"/>
    <w:rsid w:val="004708EE"/>
    <w:rsid w:val="004709DB"/>
    <w:rsid w:val="00471283"/>
    <w:rsid w:val="00471328"/>
    <w:rsid w:val="00471964"/>
    <w:rsid w:val="00471EA5"/>
    <w:rsid w:val="0047266F"/>
    <w:rsid w:val="00472A79"/>
    <w:rsid w:val="00472C27"/>
    <w:rsid w:val="0047325E"/>
    <w:rsid w:val="004734E4"/>
    <w:rsid w:val="00473F19"/>
    <w:rsid w:val="00474296"/>
    <w:rsid w:val="00475E22"/>
    <w:rsid w:val="004764C1"/>
    <w:rsid w:val="0047718E"/>
    <w:rsid w:val="00477FC1"/>
    <w:rsid w:val="00477FFA"/>
    <w:rsid w:val="00480553"/>
    <w:rsid w:val="004806DC"/>
    <w:rsid w:val="0048088E"/>
    <w:rsid w:val="00480F2B"/>
    <w:rsid w:val="00481623"/>
    <w:rsid w:val="00481AC7"/>
    <w:rsid w:val="00481B8F"/>
    <w:rsid w:val="00482720"/>
    <w:rsid w:val="004835E7"/>
    <w:rsid w:val="0048394E"/>
    <w:rsid w:val="00484228"/>
    <w:rsid w:val="004844A7"/>
    <w:rsid w:val="00484D7E"/>
    <w:rsid w:val="00485073"/>
    <w:rsid w:val="00485302"/>
    <w:rsid w:val="004859E1"/>
    <w:rsid w:val="004867E2"/>
    <w:rsid w:val="0048687D"/>
    <w:rsid w:val="0048699D"/>
    <w:rsid w:val="004870AD"/>
    <w:rsid w:val="004870FD"/>
    <w:rsid w:val="00487168"/>
    <w:rsid w:val="00487851"/>
    <w:rsid w:val="00487D09"/>
    <w:rsid w:val="0049025D"/>
    <w:rsid w:val="00490286"/>
    <w:rsid w:val="00490B17"/>
    <w:rsid w:val="00490CD1"/>
    <w:rsid w:val="00491AE8"/>
    <w:rsid w:val="00491B3A"/>
    <w:rsid w:val="00491C29"/>
    <w:rsid w:val="00491E0A"/>
    <w:rsid w:val="004921F6"/>
    <w:rsid w:val="00492ACB"/>
    <w:rsid w:val="00492CFD"/>
    <w:rsid w:val="00492E35"/>
    <w:rsid w:val="00493357"/>
    <w:rsid w:val="00493546"/>
    <w:rsid w:val="00493941"/>
    <w:rsid w:val="00493DBA"/>
    <w:rsid w:val="004940BF"/>
    <w:rsid w:val="00494207"/>
    <w:rsid w:val="00494471"/>
    <w:rsid w:val="004948EA"/>
    <w:rsid w:val="00494C0D"/>
    <w:rsid w:val="00494DD5"/>
    <w:rsid w:val="00494DD9"/>
    <w:rsid w:val="004952FD"/>
    <w:rsid w:val="004962D2"/>
    <w:rsid w:val="004968D2"/>
    <w:rsid w:val="00497474"/>
    <w:rsid w:val="004A0601"/>
    <w:rsid w:val="004A0DA1"/>
    <w:rsid w:val="004A0E3D"/>
    <w:rsid w:val="004A13D6"/>
    <w:rsid w:val="004A15FF"/>
    <w:rsid w:val="004A1A10"/>
    <w:rsid w:val="004A253A"/>
    <w:rsid w:val="004A45C2"/>
    <w:rsid w:val="004A4767"/>
    <w:rsid w:val="004A4F6F"/>
    <w:rsid w:val="004A51EA"/>
    <w:rsid w:val="004A52E9"/>
    <w:rsid w:val="004A5A69"/>
    <w:rsid w:val="004A6040"/>
    <w:rsid w:val="004A6180"/>
    <w:rsid w:val="004A621C"/>
    <w:rsid w:val="004A6597"/>
    <w:rsid w:val="004A6B35"/>
    <w:rsid w:val="004A6ECA"/>
    <w:rsid w:val="004A7333"/>
    <w:rsid w:val="004A7848"/>
    <w:rsid w:val="004A793B"/>
    <w:rsid w:val="004A7B92"/>
    <w:rsid w:val="004A7C9E"/>
    <w:rsid w:val="004B027B"/>
    <w:rsid w:val="004B045D"/>
    <w:rsid w:val="004B1A0E"/>
    <w:rsid w:val="004B1CB4"/>
    <w:rsid w:val="004B205E"/>
    <w:rsid w:val="004B2F18"/>
    <w:rsid w:val="004B3B43"/>
    <w:rsid w:val="004B3DDB"/>
    <w:rsid w:val="004B44FD"/>
    <w:rsid w:val="004B5239"/>
    <w:rsid w:val="004B5CFC"/>
    <w:rsid w:val="004B61A2"/>
    <w:rsid w:val="004B6F79"/>
    <w:rsid w:val="004B7510"/>
    <w:rsid w:val="004B774D"/>
    <w:rsid w:val="004B7898"/>
    <w:rsid w:val="004B7BD1"/>
    <w:rsid w:val="004C05DD"/>
    <w:rsid w:val="004C1592"/>
    <w:rsid w:val="004C1C94"/>
    <w:rsid w:val="004C1D12"/>
    <w:rsid w:val="004C1DC3"/>
    <w:rsid w:val="004C237B"/>
    <w:rsid w:val="004C2AC2"/>
    <w:rsid w:val="004C3DBB"/>
    <w:rsid w:val="004C3EFC"/>
    <w:rsid w:val="004C40D0"/>
    <w:rsid w:val="004C4AED"/>
    <w:rsid w:val="004C4D07"/>
    <w:rsid w:val="004C4DA6"/>
    <w:rsid w:val="004C55C7"/>
    <w:rsid w:val="004C5A75"/>
    <w:rsid w:val="004C5C1F"/>
    <w:rsid w:val="004C644C"/>
    <w:rsid w:val="004C77BC"/>
    <w:rsid w:val="004C78F6"/>
    <w:rsid w:val="004C791F"/>
    <w:rsid w:val="004C7FDF"/>
    <w:rsid w:val="004D1DA3"/>
    <w:rsid w:val="004D2286"/>
    <w:rsid w:val="004D2399"/>
    <w:rsid w:val="004D2760"/>
    <w:rsid w:val="004D2C2D"/>
    <w:rsid w:val="004D2C61"/>
    <w:rsid w:val="004D35EA"/>
    <w:rsid w:val="004D453C"/>
    <w:rsid w:val="004D466C"/>
    <w:rsid w:val="004D4976"/>
    <w:rsid w:val="004D4A58"/>
    <w:rsid w:val="004D55D7"/>
    <w:rsid w:val="004D58C3"/>
    <w:rsid w:val="004D69B5"/>
    <w:rsid w:val="004D7227"/>
    <w:rsid w:val="004D74C7"/>
    <w:rsid w:val="004D7B5E"/>
    <w:rsid w:val="004D7B70"/>
    <w:rsid w:val="004E0E7F"/>
    <w:rsid w:val="004E0EB8"/>
    <w:rsid w:val="004E1577"/>
    <w:rsid w:val="004E1736"/>
    <w:rsid w:val="004E17E5"/>
    <w:rsid w:val="004E18E9"/>
    <w:rsid w:val="004E190B"/>
    <w:rsid w:val="004E25E9"/>
    <w:rsid w:val="004E2ADC"/>
    <w:rsid w:val="004E3AC5"/>
    <w:rsid w:val="004E43B2"/>
    <w:rsid w:val="004E460F"/>
    <w:rsid w:val="004E464A"/>
    <w:rsid w:val="004E4E0C"/>
    <w:rsid w:val="004E5F5F"/>
    <w:rsid w:val="004E6940"/>
    <w:rsid w:val="004E6B02"/>
    <w:rsid w:val="004E73D3"/>
    <w:rsid w:val="004F0AD7"/>
    <w:rsid w:val="004F1206"/>
    <w:rsid w:val="004F1356"/>
    <w:rsid w:val="004F1D02"/>
    <w:rsid w:val="004F2536"/>
    <w:rsid w:val="004F2679"/>
    <w:rsid w:val="004F2C22"/>
    <w:rsid w:val="004F2F21"/>
    <w:rsid w:val="004F3BCE"/>
    <w:rsid w:val="004F3DE5"/>
    <w:rsid w:val="004F40B5"/>
    <w:rsid w:val="004F4865"/>
    <w:rsid w:val="004F4D9D"/>
    <w:rsid w:val="004F50EA"/>
    <w:rsid w:val="004F5801"/>
    <w:rsid w:val="004F58FD"/>
    <w:rsid w:val="004F6203"/>
    <w:rsid w:val="004F670A"/>
    <w:rsid w:val="004F6913"/>
    <w:rsid w:val="004F6B05"/>
    <w:rsid w:val="004F7865"/>
    <w:rsid w:val="004F7CD7"/>
    <w:rsid w:val="004F7DA9"/>
    <w:rsid w:val="00500CED"/>
    <w:rsid w:val="00500D04"/>
    <w:rsid w:val="0050118B"/>
    <w:rsid w:val="0050174E"/>
    <w:rsid w:val="00501854"/>
    <w:rsid w:val="0050219B"/>
    <w:rsid w:val="00502DBF"/>
    <w:rsid w:val="005033FD"/>
    <w:rsid w:val="00503509"/>
    <w:rsid w:val="00503F17"/>
    <w:rsid w:val="00503F3A"/>
    <w:rsid w:val="00504A03"/>
    <w:rsid w:val="00504E8A"/>
    <w:rsid w:val="00504FEE"/>
    <w:rsid w:val="0050501F"/>
    <w:rsid w:val="00506928"/>
    <w:rsid w:val="005077EF"/>
    <w:rsid w:val="00507A93"/>
    <w:rsid w:val="00507C4C"/>
    <w:rsid w:val="005104F7"/>
    <w:rsid w:val="00510D5C"/>
    <w:rsid w:val="00510ED8"/>
    <w:rsid w:val="005115A2"/>
    <w:rsid w:val="00511AD5"/>
    <w:rsid w:val="00511CC6"/>
    <w:rsid w:val="00511DC7"/>
    <w:rsid w:val="0051251C"/>
    <w:rsid w:val="00512863"/>
    <w:rsid w:val="00512C1E"/>
    <w:rsid w:val="005130B1"/>
    <w:rsid w:val="005142C5"/>
    <w:rsid w:val="005144EF"/>
    <w:rsid w:val="005146AA"/>
    <w:rsid w:val="00514764"/>
    <w:rsid w:val="00514F85"/>
    <w:rsid w:val="0051501B"/>
    <w:rsid w:val="005152B5"/>
    <w:rsid w:val="00515886"/>
    <w:rsid w:val="00515B18"/>
    <w:rsid w:val="00516557"/>
    <w:rsid w:val="005170C1"/>
    <w:rsid w:val="005172F6"/>
    <w:rsid w:val="005173C5"/>
    <w:rsid w:val="00520AD7"/>
    <w:rsid w:val="005211B0"/>
    <w:rsid w:val="0052123C"/>
    <w:rsid w:val="00521319"/>
    <w:rsid w:val="0052131C"/>
    <w:rsid w:val="005216F9"/>
    <w:rsid w:val="00521981"/>
    <w:rsid w:val="0052198C"/>
    <w:rsid w:val="00521C9C"/>
    <w:rsid w:val="0052298E"/>
    <w:rsid w:val="00522B95"/>
    <w:rsid w:val="00522BC8"/>
    <w:rsid w:val="00522E5E"/>
    <w:rsid w:val="005230CC"/>
    <w:rsid w:val="0052357E"/>
    <w:rsid w:val="00523795"/>
    <w:rsid w:val="00523A87"/>
    <w:rsid w:val="00523C28"/>
    <w:rsid w:val="0052417D"/>
    <w:rsid w:val="005248E8"/>
    <w:rsid w:val="005258D6"/>
    <w:rsid w:val="00526E3A"/>
    <w:rsid w:val="005273EE"/>
    <w:rsid w:val="0052760D"/>
    <w:rsid w:val="00527BB3"/>
    <w:rsid w:val="0053020E"/>
    <w:rsid w:val="005303A0"/>
    <w:rsid w:val="00530422"/>
    <w:rsid w:val="0053077C"/>
    <w:rsid w:val="00530DAC"/>
    <w:rsid w:val="00530E46"/>
    <w:rsid w:val="00530F49"/>
    <w:rsid w:val="00531254"/>
    <w:rsid w:val="0053176B"/>
    <w:rsid w:val="00531838"/>
    <w:rsid w:val="005323F8"/>
    <w:rsid w:val="00532435"/>
    <w:rsid w:val="00532C20"/>
    <w:rsid w:val="005333D1"/>
    <w:rsid w:val="00533B44"/>
    <w:rsid w:val="00533E6E"/>
    <w:rsid w:val="00533FD4"/>
    <w:rsid w:val="005340B6"/>
    <w:rsid w:val="005341B3"/>
    <w:rsid w:val="005347F1"/>
    <w:rsid w:val="00535282"/>
    <w:rsid w:val="00535A6B"/>
    <w:rsid w:val="00535F74"/>
    <w:rsid w:val="00536F42"/>
    <w:rsid w:val="00537182"/>
    <w:rsid w:val="00537E9F"/>
    <w:rsid w:val="00540F91"/>
    <w:rsid w:val="005410BA"/>
    <w:rsid w:val="00541220"/>
    <w:rsid w:val="005419E5"/>
    <w:rsid w:val="00541BFE"/>
    <w:rsid w:val="00541C98"/>
    <w:rsid w:val="00541EDD"/>
    <w:rsid w:val="005426B0"/>
    <w:rsid w:val="00542743"/>
    <w:rsid w:val="00542C2D"/>
    <w:rsid w:val="00542DB1"/>
    <w:rsid w:val="00543AFB"/>
    <w:rsid w:val="00543D93"/>
    <w:rsid w:val="0054448B"/>
    <w:rsid w:val="005446A2"/>
    <w:rsid w:val="00544916"/>
    <w:rsid w:val="00544C04"/>
    <w:rsid w:val="00544D74"/>
    <w:rsid w:val="005459BF"/>
    <w:rsid w:val="00545B14"/>
    <w:rsid w:val="00545BF9"/>
    <w:rsid w:val="00545E2C"/>
    <w:rsid w:val="00546A8D"/>
    <w:rsid w:val="0054700B"/>
    <w:rsid w:val="005473F7"/>
    <w:rsid w:val="005474B8"/>
    <w:rsid w:val="005478BD"/>
    <w:rsid w:val="005479E3"/>
    <w:rsid w:val="005501B2"/>
    <w:rsid w:val="0055033D"/>
    <w:rsid w:val="0055157D"/>
    <w:rsid w:val="005516F6"/>
    <w:rsid w:val="005518D4"/>
    <w:rsid w:val="00551985"/>
    <w:rsid w:val="00551A57"/>
    <w:rsid w:val="005520EB"/>
    <w:rsid w:val="00552784"/>
    <w:rsid w:val="005527BE"/>
    <w:rsid w:val="00552BD3"/>
    <w:rsid w:val="00552FEB"/>
    <w:rsid w:val="005532A0"/>
    <w:rsid w:val="00553AF1"/>
    <w:rsid w:val="00553B19"/>
    <w:rsid w:val="00553C6D"/>
    <w:rsid w:val="00555109"/>
    <w:rsid w:val="005555F4"/>
    <w:rsid w:val="00555973"/>
    <w:rsid w:val="005564CC"/>
    <w:rsid w:val="00556B35"/>
    <w:rsid w:val="0055741A"/>
    <w:rsid w:val="005574D9"/>
    <w:rsid w:val="00557996"/>
    <w:rsid w:val="00557A27"/>
    <w:rsid w:val="00560E97"/>
    <w:rsid w:val="005611B7"/>
    <w:rsid w:val="005618D4"/>
    <w:rsid w:val="005621C8"/>
    <w:rsid w:val="00562F32"/>
    <w:rsid w:val="00562F85"/>
    <w:rsid w:val="005635DA"/>
    <w:rsid w:val="00563F7A"/>
    <w:rsid w:val="00564264"/>
    <w:rsid w:val="0056450E"/>
    <w:rsid w:val="00564867"/>
    <w:rsid w:val="00564B58"/>
    <w:rsid w:val="005654D7"/>
    <w:rsid w:val="00565C79"/>
    <w:rsid w:val="00565D23"/>
    <w:rsid w:val="00565DF0"/>
    <w:rsid w:val="0056608F"/>
    <w:rsid w:val="005662D0"/>
    <w:rsid w:val="0056696F"/>
    <w:rsid w:val="0056764D"/>
    <w:rsid w:val="0056769F"/>
    <w:rsid w:val="005676F8"/>
    <w:rsid w:val="00567DD8"/>
    <w:rsid w:val="00567EE0"/>
    <w:rsid w:val="005705DA"/>
    <w:rsid w:val="00570611"/>
    <w:rsid w:val="00571127"/>
    <w:rsid w:val="00572269"/>
    <w:rsid w:val="0057244A"/>
    <w:rsid w:val="00572715"/>
    <w:rsid w:val="00572B7B"/>
    <w:rsid w:val="00572C2D"/>
    <w:rsid w:val="00572CD5"/>
    <w:rsid w:val="00572DC5"/>
    <w:rsid w:val="00572F26"/>
    <w:rsid w:val="0057317F"/>
    <w:rsid w:val="00573499"/>
    <w:rsid w:val="00573DC9"/>
    <w:rsid w:val="005741EC"/>
    <w:rsid w:val="005750C5"/>
    <w:rsid w:val="005752DE"/>
    <w:rsid w:val="005755D6"/>
    <w:rsid w:val="00575C19"/>
    <w:rsid w:val="00575D60"/>
    <w:rsid w:val="00575D8D"/>
    <w:rsid w:val="00576972"/>
    <w:rsid w:val="00576F2D"/>
    <w:rsid w:val="00577010"/>
    <w:rsid w:val="0057721B"/>
    <w:rsid w:val="00577248"/>
    <w:rsid w:val="005779FC"/>
    <w:rsid w:val="00577B3C"/>
    <w:rsid w:val="00580270"/>
    <w:rsid w:val="005802E7"/>
    <w:rsid w:val="005813A3"/>
    <w:rsid w:val="005819E8"/>
    <w:rsid w:val="00581E2C"/>
    <w:rsid w:val="00581F0A"/>
    <w:rsid w:val="00582D76"/>
    <w:rsid w:val="00583699"/>
    <w:rsid w:val="00584C1D"/>
    <w:rsid w:val="00584E69"/>
    <w:rsid w:val="0058500A"/>
    <w:rsid w:val="005853CA"/>
    <w:rsid w:val="005859CF"/>
    <w:rsid w:val="00585B1C"/>
    <w:rsid w:val="00585CDD"/>
    <w:rsid w:val="00586188"/>
    <w:rsid w:val="005866AA"/>
    <w:rsid w:val="0058687D"/>
    <w:rsid w:val="00586895"/>
    <w:rsid w:val="00586D9E"/>
    <w:rsid w:val="00586DF8"/>
    <w:rsid w:val="00587058"/>
    <w:rsid w:val="00587AD2"/>
    <w:rsid w:val="00590422"/>
    <w:rsid w:val="0059057F"/>
    <w:rsid w:val="00590917"/>
    <w:rsid w:val="0059133C"/>
    <w:rsid w:val="00591957"/>
    <w:rsid w:val="00591FA8"/>
    <w:rsid w:val="0059235D"/>
    <w:rsid w:val="005923F4"/>
    <w:rsid w:val="0059245C"/>
    <w:rsid w:val="00592FD5"/>
    <w:rsid w:val="00593161"/>
    <w:rsid w:val="00594BA5"/>
    <w:rsid w:val="005970D6"/>
    <w:rsid w:val="00597317"/>
    <w:rsid w:val="00597BF9"/>
    <w:rsid w:val="00597C84"/>
    <w:rsid w:val="005A00FD"/>
    <w:rsid w:val="005A0C11"/>
    <w:rsid w:val="005A1839"/>
    <w:rsid w:val="005A1FCD"/>
    <w:rsid w:val="005A25C7"/>
    <w:rsid w:val="005A2C04"/>
    <w:rsid w:val="005A2F04"/>
    <w:rsid w:val="005A309A"/>
    <w:rsid w:val="005A373D"/>
    <w:rsid w:val="005A3ADF"/>
    <w:rsid w:val="005A3CD3"/>
    <w:rsid w:val="005A3CD9"/>
    <w:rsid w:val="005A400F"/>
    <w:rsid w:val="005A4107"/>
    <w:rsid w:val="005A4324"/>
    <w:rsid w:val="005A438B"/>
    <w:rsid w:val="005A454A"/>
    <w:rsid w:val="005A459D"/>
    <w:rsid w:val="005A4605"/>
    <w:rsid w:val="005A4828"/>
    <w:rsid w:val="005A5CCB"/>
    <w:rsid w:val="005A5E0A"/>
    <w:rsid w:val="005A5E8F"/>
    <w:rsid w:val="005A6165"/>
    <w:rsid w:val="005A79FA"/>
    <w:rsid w:val="005B07E6"/>
    <w:rsid w:val="005B0B58"/>
    <w:rsid w:val="005B0BFA"/>
    <w:rsid w:val="005B0CB8"/>
    <w:rsid w:val="005B1D7A"/>
    <w:rsid w:val="005B1E42"/>
    <w:rsid w:val="005B2058"/>
    <w:rsid w:val="005B2255"/>
    <w:rsid w:val="005B2A58"/>
    <w:rsid w:val="005B3133"/>
    <w:rsid w:val="005B3A4B"/>
    <w:rsid w:val="005B45BE"/>
    <w:rsid w:val="005B4DD2"/>
    <w:rsid w:val="005B4E53"/>
    <w:rsid w:val="005B5857"/>
    <w:rsid w:val="005B5A25"/>
    <w:rsid w:val="005B5A64"/>
    <w:rsid w:val="005B67BE"/>
    <w:rsid w:val="005B7223"/>
    <w:rsid w:val="005B7499"/>
    <w:rsid w:val="005B7799"/>
    <w:rsid w:val="005B7898"/>
    <w:rsid w:val="005C041E"/>
    <w:rsid w:val="005C19C4"/>
    <w:rsid w:val="005C1B83"/>
    <w:rsid w:val="005C209F"/>
    <w:rsid w:val="005C25FF"/>
    <w:rsid w:val="005C2B55"/>
    <w:rsid w:val="005C2D55"/>
    <w:rsid w:val="005C346B"/>
    <w:rsid w:val="005C3B0B"/>
    <w:rsid w:val="005C54FE"/>
    <w:rsid w:val="005C5ABC"/>
    <w:rsid w:val="005C6434"/>
    <w:rsid w:val="005C6483"/>
    <w:rsid w:val="005C6DB5"/>
    <w:rsid w:val="005C735B"/>
    <w:rsid w:val="005C768E"/>
    <w:rsid w:val="005C7707"/>
    <w:rsid w:val="005C7917"/>
    <w:rsid w:val="005C7A2C"/>
    <w:rsid w:val="005C7EB6"/>
    <w:rsid w:val="005D044D"/>
    <w:rsid w:val="005D0ABD"/>
    <w:rsid w:val="005D11FA"/>
    <w:rsid w:val="005D1539"/>
    <w:rsid w:val="005D1578"/>
    <w:rsid w:val="005D17A7"/>
    <w:rsid w:val="005D1897"/>
    <w:rsid w:val="005D18AD"/>
    <w:rsid w:val="005D2046"/>
    <w:rsid w:val="005D2421"/>
    <w:rsid w:val="005D26B4"/>
    <w:rsid w:val="005D2EF8"/>
    <w:rsid w:val="005D3BF8"/>
    <w:rsid w:val="005D3DBC"/>
    <w:rsid w:val="005D40C9"/>
    <w:rsid w:val="005D417A"/>
    <w:rsid w:val="005D42BC"/>
    <w:rsid w:val="005D438D"/>
    <w:rsid w:val="005D4A72"/>
    <w:rsid w:val="005D4D1B"/>
    <w:rsid w:val="005D51B6"/>
    <w:rsid w:val="005D58E9"/>
    <w:rsid w:val="005D5EF6"/>
    <w:rsid w:val="005D5F71"/>
    <w:rsid w:val="005D7779"/>
    <w:rsid w:val="005D7A4F"/>
    <w:rsid w:val="005D7B07"/>
    <w:rsid w:val="005E139B"/>
    <w:rsid w:val="005E1995"/>
    <w:rsid w:val="005E19C5"/>
    <w:rsid w:val="005E1D79"/>
    <w:rsid w:val="005E1F78"/>
    <w:rsid w:val="005E228D"/>
    <w:rsid w:val="005E2B34"/>
    <w:rsid w:val="005E2EA4"/>
    <w:rsid w:val="005E3422"/>
    <w:rsid w:val="005E3423"/>
    <w:rsid w:val="005E45D7"/>
    <w:rsid w:val="005E4E72"/>
    <w:rsid w:val="005E531D"/>
    <w:rsid w:val="005E53FF"/>
    <w:rsid w:val="005E6733"/>
    <w:rsid w:val="005E6A2D"/>
    <w:rsid w:val="005E6CBC"/>
    <w:rsid w:val="005E7003"/>
    <w:rsid w:val="005E72FF"/>
    <w:rsid w:val="005E73C0"/>
    <w:rsid w:val="005E77EE"/>
    <w:rsid w:val="005E7B1D"/>
    <w:rsid w:val="005F07ED"/>
    <w:rsid w:val="005F0B22"/>
    <w:rsid w:val="005F1451"/>
    <w:rsid w:val="005F16FE"/>
    <w:rsid w:val="005F2706"/>
    <w:rsid w:val="005F2A93"/>
    <w:rsid w:val="005F3A2D"/>
    <w:rsid w:val="005F43BF"/>
    <w:rsid w:val="005F4412"/>
    <w:rsid w:val="005F47B8"/>
    <w:rsid w:val="005F4F36"/>
    <w:rsid w:val="005F50EF"/>
    <w:rsid w:val="005F52F4"/>
    <w:rsid w:val="005F5A73"/>
    <w:rsid w:val="005F6A8F"/>
    <w:rsid w:val="005F6BB7"/>
    <w:rsid w:val="005F6FAE"/>
    <w:rsid w:val="005F7588"/>
    <w:rsid w:val="0060116B"/>
    <w:rsid w:val="006012B9"/>
    <w:rsid w:val="00601990"/>
    <w:rsid w:val="00602057"/>
    <w:rsid w:val="00602DCE"/>
    <w:rsid w:val="00603248"/>
    <w:rsid w:val="00603DB9"/>
    <w:rsid w:val="0060445E"/>
    <w:rsid w:val="00604612"/>
    <w:rsid w:val="006049EB"/>
    <w:rsid w:val="00605AC5"/>
    <w:rsid w:val="006063C2"/>
    <w:rsid w:val="00606447"/>
    <w:rsid w:val="00606895"/>
    <w:rsid w:val="00606C59"/>
    <w:rsid w:val="00606C8A"/>
    <w:rsid w:val="00606E42"/>
    <w:rsid w:val="00606FBA"/>
    <w:rsid w:val="0060706A"/>
    <w:rsid w:val="00607669"/>
    <w:rsid w:val="006076F4"/>
    <w:rsid w:val="00607AD4"/>
    <w:rsid w:val="00607AFD"/>
    <w:rsid w:val="00610FAE"/>
    <w:rsid w:val="0061136D"/>
    <w:rsid w:val="00611B12"/>
    <w:rsid w:val="00612296"/>
    <w:rsid w:val="00612711"/>
    <w:rsid w:val="00612F7E"/>
    <w:rsid w:val="00612F97"/>
    <w:rsid w:val="00613225"/>
    <w:rsid w:val="006133F6"/>
    <w:rsid w:val="0061345D"/>
    <w:rsid w:val="00613E6F"/>
    <w:rsid w:val="006150CF"/>
    <w:rsid w:val="0061549B"/>
    <w:rsid w:val="006160D8"/>
    <w:rsid w:val="006165C6"/>
    <w:rsid w:val="006165DD"/>
    <w:rsid w:val="00616802"/>
    <w:rsid w:val="00616D88"/>
    <w:rsid w:val="00617247"/>
    <w:rsid w:val="0061795F"/>
    <w:rsid w:val="00617C7D"/>
    <w:rsid w:val="00617E12"/>
    <w:rsid w:val="0062026E"/>
    <w:rsid w:val="00620B26"/>
    <w:rsid w:val="00620C25"/>
    <w:rsid w:val="006210DB"/>
    <w:rsid w:val="00621477"/>
    <w:rsid w:val="0062198E"/>
    <w:rsid w:val="00621ADA"/>
    <w:rsid w:val="00621B06"/>
    <w:rsid w:val="00621C26"/>
    <w:rsid w:val="00623A01"/>
    <w:rsid w:val="00623AE3"/>
    <w:rsid w:val="00623B8A"/>
    <w:rsid w:val="00623F7B"/>
    <w:rsid w:val="006248B5"/>
    <w:rsid w:val="00624BD4"/>
    <w:rsid w:val="00624C8E"/>
    <w:rsid w:val="0062506C"/>
    <w:rsid w:val="00625767"/>
    <w:rsid w:val="00625831"/>
    <w:rsid w:val="00625E0D"/>
    <w:rsid w:val="00626B80"/>
    <w:rsid w:val="00626CCD"/>
    <w:rsid w:val="00626D83"/>
    <w:rsid w:val="00627BE2"/>
    <w:rsid w:val="006301DA"/>
    <w:rsid w:val="00630877"/>
    <w:rsid w:val="00630CF2"/>
    <w:rsid w:val="00630FC4"/>
    <w:rsid w:val="0063102F"/>
    <w:rsid w:val="006310FD"/>
    <w:rsid w:val="006311D3"/>
    <w:rsid w:val="0063158F"/>
    <w:rsid w:val="00631D6B"/>
    <w:rsid w:val="00632183"/>
    <w:rsid w:val="0063293B"/>
    <w:rsid w:val="006330A1"/>
    <w:rsid w:val="006332F2"/>
    <w:rsid w:val="006337B8"/>
    <w:rsid w:val="00633E4E"/>
    <w:rsid w:val="00634406"/>
    <w:rsid w:val="0063479F"/>
    <w:rsid w:val="00634B02"/>
    <w:rsid w:val="00634D24"/>
    <w:rsid w:val="00634E4D"/>
    <w:rsid w:val="00635079"/>
    <w:rsid w:val="006353F0"/>
    <w:rsid w:val="006357B5"/>
    <w:rsid w:val="006357F1"/>
    <w:rsid w:val="006364A1"/>
    <w:rsid w:val="006366D1"/>
    <w:rsid w:val="0063678E"/>
    <w:rsid w:val="00636958"/>
    <w:rsid w:val="00636987"/>
    <w:rsid w:val="00636D9F"/>
    <w:rsid w:val="00636FC3"/>
    <w:rsid w:val="00637A9A"/>
    <w:rsid w:val="00637BFD"/>
    <w:rsid w:val="00637C5C"/>
    <w:rsid w:val="00637EB3"/>
    <w:rsid w:val="00637F9C"/>
    <w:rsid w:val="00640DFD"/>
    <w:rsid w:val="00640EDD"/>
    <w:rsid w:val="006414C1"/>
    <w:rsid w:val="0064159C"/>
    <w:rsid w:val="00641638"/>
    <w:rsid w:val="00641C4E"/>
    <w:rsid w:val="00641FB3"/>
    <w:rsid w:val="006421F5"/>
    <w:rsid w:val="0064264C"/>
    <w:rsid w:val="00642872"/>
    <w:rsid w:val="00643907"/>
    <w:rsid w:val="0064434C"/>
    <w:rsid w:val="0064479E"/>
    <w:rsid w:val="00646A2D"/>
    <w:rsid w:val="00646BBE"/>
    <w:rsid w:val="006471CC"/>
    <w:rsid w:val="006472FE"/>
    <w:rsid w:val="00647A29"/>
    <w:rsid w:val="0065079F"/>
    <w:rsid w:val="00650AA8"/>
    <w:rsid w:val="00651913"/>
    <w:rsid w:val="00651AAF"/>
    <w:rsid w:val="00651B60"/>
    <w:rsid w:val="00652A28"/>
    <w:rsid w:val="00652DD3"/>
    <w:rsid w:val="00652E7F"/>
    <w:rsid w:val="00652EB1"/>
    <w:rsid w:val="0065379F"/>
    <w:rsid w:val="00653E71"/>
    <w:rsid w:val="006542DB"/>
    <w:rsid w:val="006549D6"/>
    <w:rsid w:val="00654A3B"/>
    <w:rsid w:val="00654B6A"/>
    <w:rsid w:val="00655205"/>
    <w:rsid w:val="00655FF1"/>
    <w:rsid w:val="00656188"/>
    <w:rsid w:val="0065679A"/>
    <w:rsid w:val="006569D3"/>
    <w:rsid w:val="00656E71"/>
    <w:rsid w:val="006570C0"/>
    <w:rsid w:val="0065715A"/>
    <w:rsid w:val="00657B16"/>
    <w:rsid w:val="0066013E"/>
    <w:rsid w:val="00660221"/>
    <w:rsid w:val="0066080A"/>
    <w:rsid w:val="006610F1"/>
    <w:rsid w:val="0066183D"/>
    <w:rsid w:val="00661905"/>
    <w:rsid w:val="00661C6B"/>
    <w:rsid w:val="00661DAB"/>
    <w:rsid w:val="00661E21"/>
    <w:rsid w:val="00662D3E"/>
    <w:rsid w:val="00663520"/>
    <w:rsid w:val="006637B1"/>
    <w:rsid w:val="00663A53"/>
    <w:rsid w:val="00664307"/>
    <w:rsid w:val="00664379"/>
    <w:rsid w:val="006647A2"/>
    <w:rsid w:val="00665098"/>
    <w:rsid w:val="0066542B"/>
    <w:rsid w:val="00665907"/>
    <w:rsid w:val="006660F0"/>
    <w:rsid w:val="006666EC"/>
    <w:rsid w:val="00666E9A"/>
    <w:rsid w:val="00667824"/>
    <w:rsid w:val="00667BE3"/>
    <w:rsid w:val="00667BE4"/>
    <w:rsid w:val="00667CFB"/>
    <w:rsid w:val="00670613"/>
    <w:rsid w:val="00670CD4"/>
    <w:rsid w:val="00671004"/>
    <w:rsid w:val="00671261"/>
    <w:rsid w:val="00671CB5"/>
    <w:rsid w:val="00671EEA"/>
    <w:rsid w:val="006720D0"/>
    <w:rsid w:val="00672298"/>
    <w:rsid w:val="006724E6"/>
    <w:rsid w:val="00672646"/>
    <w:rsid w:val="00672E6E"/>
    <w:rsid w:val="0067311F"/>
    <w:rsid w:val="00673D85"/>
    <w:rsid w:val="0067419D"/>
    <w:rsid w:val="00674E42"/>
    <w:rsid w:val="00675C56"/>
    <w:rsid w:val="00676563"/>
    <w:rsid w:val="0067795A"/>
    <w:rsid w:val="0067797C"/>
    <w:rsid w:val="006801E0"/>
    <w:rsid w:val="006802E2"/>
    <w:rsid w:val="00680630"/>
    <w:rsid w:val="00680D58"/>
    <w:rsid w:val="0068110A"/>
    <w:rsid w:val="006813F8"/>
    <w:rsid w:val="0068148F"/>
    <w:rsid w:val="00681B3C"/>
    <w:rsid w:val="006820FF"/>
    <w:rsid w:val="00682112"/>
    <w:rsid w:val="0068269E"/>
    <w:rsid w:val="00682823"/>
    <w:rsid w:val="00682A04"/>
    <w:rsid w:val="00682BA6"/>
    <w:rsid w:val="00683388"/>
    <w:rsid w:val="006837D3"/>
    <w:rsid w:val="00683972"/>
    <w:rsid w:val="00683FAF"/>
    <w:rsid w:val="00684140"/>
    <w:rsid w:val="00684628"/>
    <w:rsid w:val="00684DB6"/>
    <w:rsid w:val="0068500A"/>
    <w:rsid w:val="006859F8"/>
    <w:rsid w:val="00685B38"/>
    <w:rsid w:val="00685D51"/>
    <w:rsid w:val="00686661"/>
    <w:rsid w:val="00686957"/>
    <w:rsid w:val="006872BA"/>
    <w:rsid w:val="00687CD6"/>
    <w:rsid w:val="006900B4"/>
    <w:rsid w:val="00690394"/>
    <w:rsid w:val="006903F8"/>
    <w:rsid w:val="00690795"/>
    <w:rsid w:val="00691648"/>
    <w:rsid w:val="0069171E"/>
    <w:rsid w:val="006917D7"/>
    <w:rsid w:val="00691CD2"/>
    <w:rsid w:val="006922EF"/>
    <w:rsid w:val="006930EE"/>
    <w:rsid w:val="00693281"/>
    <w:rsid w:val="00693B35"/>
    <w:rsid w:val="0069434C"/>
    <w:rsid w:val="006946FF"/>
    <w:rsid w:val="00694AD1"/>
    <w:rsid w:val="00694F06"/>
    <w:rsid w:val="00694F30"/>
    <w:rsid w:val="00694F44"/>
    <w:rsid w:val="00695352"/>
    <w:rsid w:val="006954AC"/>
    <w:rsid w:val="00696A90"/>
    <w:rsid w:val="00696E10"/>
    <w:rsid w:val="00696EF9"/>
    <w:rsid w:val="00696F51"/>
    <w:rsid w:val="0069769F"/>
    <w:rsid w:val="006979A5"/>
    <w:rsid w:val="006A016F"/>
    <w:rsid w:val="006A0805"/>
    <w:rsid w:val="006A0A97"/>
    <w:rsid w:val="006A0AD1"/>
    <w:rsid w:val="006A0D0E"/>
    <w:rsid w:val="006A0DF7"/>
    <w:rsid w:val="006A11F7"/>
    <w:rsid w:val="006A181B"/>
    <w:rsid w:val="006A1A13"/>
    <w:rsid w:val="006A1C9C"/>
    <w:rsid w:val="006A1CE9"/>
    <w:rsid w:val="006A28E7"/>
    <w:rsid w:val="006A372F"/>
    <w:rsid w:val="006A3799"/>
    <w:rsid w:val="006A4321"/>
    <w:rsid w:val="006A43D9"/>
    <w:rsid w:val="006A4DEF"/>
    <w:rsid w:val="006A521E"/>
    <w:rsid w:val="006A5A85"/>
    <w:rsid w:val="006A6029"/>
    <w:rsid w:val="006A6B99"/>
    <w:rsid w:val="006A6BEA"/>
    <w:rsid w:val="006A7261"/>
    <w:rsid w:val="006A74CB"/>
    <w:rsid w:val="006A7652"/>
    <w:rsid w:val="006A7E5F"/>
    <w:rsid w:val="006B1192"/>
    <w:rsid w:val="006B1FA8"/>
    <w:rsid w:val="006B2198"/>
    <w:rsid w:val="006B261B"/>
    <w:rsid w:val="006B2C90"/>
    <w:rsid w:val="006B2D5B"/>
    <w:rsid w:val="006B35E6"/>
    <w:rsid w:val="006B3899"/>
    <w:rsid w:val="006B393B"/>
    <w:rsid w:val="006B3ACD"/>
    <w:rsid w:val="006B465A"/>
    <w:rsid w:val="006B504D"/>
    <w:rsid w:val="006B5B6D"/>
    <w:rsid w:val="006B6130"/>
    <w:rsid w:val="006B61D3"/>
    <w:rsid w:val="006B6A59"/>
    <w:rsid w:val="006B6B2E"/>
    <w:rsid w:val="006B6DD0"/>
    <w:rsid w:val="006B70A6"/>
    <w:rsid w:val="006B7844"/>
    <w:rsid w:val="006C0166"/>
    <w:rsid w:val="006C0399"/>
    <w:rsid w:val="006C0A30"/>
    <w:rsid w:val="006C114D"/>
    <w:rsid w:val="006C158E"/>
    <w:rsid w:val="006C16F3"/>
    <w:rsid w:val="006C174C"/>
    <w:rsid w:val="006C180B"/>
    <w:rsid w:val="006C2974"/>
    <w:rsid w:val="006C2A8E"/>
    <w:rsid w:val="006C31AD"/>
    <w:rsid w:val="006C3255"/>
    <w:rsid w:val="006C3F26"/>
    <w:rsid w:val="006C4422"/>
    <w:rsid w:val="006C4854"/>
    <w:rsid w:val="006C6124"/>
    <w:rsid w:val="006C631D"/>
    <w:rsid w:val="006C653D"/>
    <w:rsid w:val="006C73DE"/>
    <w:rsid w:val="006D04AE"/>
    <w:rsid w:val="006D0D17"/>
    <w:rsid w:val="006D195C"/>
    <w:rsid w:val="006D1FC9"/>
    <w:rsid w:val="006D243F"/>
    <w:rsid w:val="006D2D5B"/>
    <w:rsid w:val="006D3C7D"/>
    <w:rsid w:val="006D4659"/>
    <w:rsid w:val="006D4B12"/>
    <w:rsid w:val="006D5D5F"/>
    <w:rsid w:val="006D68FB"/>
    <w:rsid w:val="006D7342"/>
    <w:rsid w:val="006D7428"/>
    <w:rsid w:val="006D795E"/>
    <w:rsid w:val="006E04AD"/>
    <w:rsid w:val="006E052F"/>
    <w:rsid w:val="006E09FC"/>
    <w:rsid w:val="006E0ACF"/>
    <w:rsid w:val="006E0CE2"/>
    <w:rsid w:val="006E1E87"/>
    <w:rsid w:val="006E2434"/>
    <w:rsid w:val="006E26C2"/>
    <w:rsid w:val="006E2868"/>
    <w:rsid w:val="006E2D3A"/>
    <w:rsid w:val="006E3951"/>
    <w:rsid w:val="006E40B0"/>
    <w:rsid w:val="006E5BE1"/>
    <w:rsid w:val="006E5F1F"/>
    <w:rsid w:val="006E6488"/>
    <w:rsid w:val="006E68CB"/>
    <w:rsid w:val="006E6DA4"/>
    <w:rsid w:val="006F025F"/>
    <w:rsid w:val="006F02FC"/>
    <w:rsid w:val="006F0915"/>
    <w:rsid w:val="006F1403"/>
    <w:rsid w:val="006F16D4"/>
    <w:rsid w:val="006F1B05"/>
    <w:rsid w:val="006F2B61"/>
    <w:rsid w:val="006F2E6C"/>
    <w:rsid w:val="006F306C"/>
    <w:rsid w:val="006F3078"/>
    <w:rsid w:val="006F385C"/>
    <w:rsid w:val="006F402A"/>
    <w:rsid w:val="006F4BC9"/>
    <w:rsid w:val="006F5362"/>
    <w:rsid w:val="006F5497"/>
    <w:rsid w:val="006F585D"/>
    <w:rsid w:val="006F63A5"/>
    <w:rsid w:val="006F74CC"/>
    <w:rsid w:val="006F79A9"/>
    <w:rsid w:val="006F7DAA"/>
    <w:rsid w:val="00700439"/>
    <w:rsid w:val="007005BC"/>
    <w:rsid w:val="00700F3F"/>
    <w:rsid w:val="00701285"/>
    <w:rsid w:val="0070142B"/>
    <w:rsid w:val="00701F34"/>
    <w:rsid w:val="007023A0"/>
    <w:rsid w:val="0070276E"/>
    <w:rsid w:val="00702C93"/>
    <w:rsid w:val="00702EAF"/>
    <w:rsid w:val="00702F8F"/>
    <w:rsid w:val="00703532"/>
    <w:rsid w:val="00703BAC"/>
    <w:rsid w:val="00703C42"/>
    <w:rsid w:val="00703D5E"/>
    <w:rsid w:val="0070486D"/>
    <w:rsid w:val="00705233"/>
    <w:rsid w:val="0070568B"/>
    <w:rsid w:val="007059DF"/>
    <w:rsid w:val="00706254"/>
    <w:rsid w:val="00706D8C"/>
    <w:rsid w:val="00706F2F"/>
    <w:rsid w:val="007079FC"/>
    <w:rsid w:val="00707BC7"/>
    <w:rsid w:val="0071016A"/>
    <w:rsid w:val="00711A36"/>
    <w:rsid w:val="007125D3"/>
    <w:rsid w:val="00714C26"/>
    <w:rsid w:val="0071529C"/>
    <w:rsid w:val="0071531D"/>
    <w:rsid w:val="00715798"/>
    <w:rsid w:val="007159BF"/>
    <w:rsid w:val="00715C6E"/>
    <w:rsid w:val="007163C8"/>
    <w:rsid w:val="007167B3"/>
    <w:rsid w:val="0071696A"/>
    <w:rsid w:val="00716AEA"/>
    <w:rsid w:val="00716C01"/>
    <w:rsid w:val="00716CDC"/>
    <w:rsid w:val="00716DD6"/>
    <w:rsid w:val="00716E9C"/>
    <w:rsid w:val="007170DA"/>
    <w:rsid w:val="007172AD"/>
    <w:rsid w:val="00717546"/>
    <w:rsid w:val="00717A44"/>
    <w:rsid w:val="0072013A"/>
    <w:rsid w:val="0072029B"/>
    <w:rsid w:val="00720667"/>
    <w:rsid w:val="00720801"/>
    <w:rsid w:val="00720889"/>
    <w:rsid w:val="00720E21"/>
    <w:rsid w:val="007212B7"/>
    <w:rsid w:val="00721EA3"/>
    <w:rsid w:val="00721FDC"/>
    <w:rsid w:val="00722778"/>
    <w:rsid w:val="007227FF"/>
    <w:rsid w:val="00722B1B"/>
    <w:rsid w:val="00722E91"/>
    <w:rsid w:val="0072310E"/>
    <w:rsid w:val="00723478"/>
    <w:rsid w:val="007239F9"/>
    <w:rsid w:val="00723B32"/>
    <w:rsid w:val="0072416F"/>
    <w:rsid w:val="007247F5"/>
    <w:rsid w:val="007248BB"/>
    <w:rsid w:val="0072591B"/>
    <w:rsid w:val="00726336"/>
    <w:rsid w:val="00727027"/>
    <w:rsid w:val="007274C4"/>
    <w:rsid w:val="007275E0"/>
    <w:rsid w:val="00727898"/>
    <w:rsid w:val="00727C78"/>
    <w:rsid w:val="00727C94"/>
    <w:rsid w:val="00727D26"/>
    <w:rsid w:val="0073012F"/>
    <w:rsid w:val="00731827"/>
    <w:rsid w:val="00731B0A"/>
    <w:rsid w:val="00731CAF"/>
    <w:rsid w:val="00731EAE"/>
    <w:rsid w:val="00732855"/>
    <w:rsid w:val="0073302C"/>
    <w:rsid w:val="0073305B"/>
    <w:rsid w:val="00733073"/>
    <w:rsid w:val="0073320B"/>
    <w:rsid w:val="00733A2D"/>
    <w:rsid w:val="00733A2E"/>
    <w:rsid w:val="00733C06"/>
    <w:rsid w:val="00734DB8"/>
    <w:rsid w:val="00734F08"/>
    <w:rsid w:val="00735033"/>
    <w:rsid w:val="00735328"/>
    <w:rsid w:val="007358F5"/>
    <w:rsid w:val="0073599D"/>
    <w:rsid w:val="00735B05"/>
    <w:rsid w:val="00735FC3"/>
    <w:rsid w:val="0073685B"/>
    <w:rsid w:val="00736BC4"/>
    <w:rsid w:val="007377ED"/>
    <w:rsid w:val="00737AF3"/>
    <w:rsid w:val="00737E01"/>
    <w:rsid w:val="00737EB3"/>
    <w:rsid w:val="007401D2"/>
    <w:rsid w:val="007403B6"/>
    <w:rsid w:val="00740482"/>
    <w:rsid w:val="007407AC"/>
    <w:rsid w:val="007424BD"/>
    <w:rsid w:val="00742AF3"/>
    <w:rsid w:val="00742D04"/>
    <w:rsid w:val="00744016"/>
    <w:rsid w:val="007449BF"/>
    <w:rsid w:val="00745B4F"/>
    <w:rsid w:val="00745D1E"/>
    <w:rsid w:val="00745F9E"/>
    <w:rsid w:val="007463FE"/>
    <w:rsid w:val="00746B1E"/>
    <w:rsid w:val="00746BC0"/>
    <w:rsid w:val="00746F8B"/>
    <w:rsid w:val="00747D3B"/>
    <w:rsid w:val="00747E09"/>
    <w:rsid w:val="00747ED4"/>
    <w:rsid w:val="00747FE6"/>
    <w:rsid w:val="007502CE"/>
    <w:rsid w:val="00750DDD"/>
    <w:rsid w:val="00750E11"/>
    <w:rsid w:val="00750EF9"/>
    <w:rsid w:val="007510B4"/>
    <w:rsid w:val="007510DD"/>
    <w:rsid w:val="00751D9B"/>
    <w:rsid w:val="00752142"/>
    <w:rsid w:val="007523F9"/>
    <w:rsid w:val="00752729"/>
    <w:rsid w:val="00752852"/>
    <w:rsid w:val="0075357E"/>
    <w:rsid w:val="00753B29"/>
    <w:rsid w:val="00753D43"/>
    <w:rsid w:val="00754614"/>
    <w:rsid w:val="00754E1F"/>
    <w:rsid w:val="00754F48"/>
    <w:rsid w:val="00755B8E"/>
    <w:rsid w:val="007561C5"/>
    <w:rsid w:val="007568CD"/>
    <w:rsid w:val="00756E51"/>
    <w:rsid w:val="00757061"/>
    <w:rsid w:val="007573E8"/>
    <w:rsid w:val="007579D1"/>
    <w:rsid w:val="00757B4B"/>
    <w:rsid w:val="00757C7F"/>
    <w:rsid w:val="00757FF8"/>
    <w:rsid w:val="007604E7"/>
    <w:rsid w:val="00760772"/>
    <w:rsid w:val="00760C4E"/>
    <w:rsid w:val="00760F9E"/>
    <w:rsid w:val="0076132E"/>
    <w:rsid w:val="007616E6"/>
    <w:rsid w:val="007627BE"/>
    <w:rsid w:val="00762E80"/>
    <w:rsid w:val="00763672"/>
    <w:rsid w:val="00763E71"/>
    <w:rsid w:val="007641DC"/>
    <w:rsid w:val="00764229"/>
    <w:rsid w:val="007646E1"/>
    <w:rsid w:val="00764A38"/>
    <w:rsid w:val="00764BD9"/>
    <w:rsid w:val="00764C06"/>
    <w:rsid w:val="00764F03"/>
    <w:rsid w:val="00765087"/>
    <w:rsid w:val="00765B1A"/>
    <w:rsid w:val="00765DC1"/>
    <w:rsid w:val="00765EF3"/>
    <w:rsid w:val="0076706A"/>
    <w:rsid w:val="007679E1"/>
    <w:rsid w:val="007702FD"/>
    <w:rsid w:val="00770D46"/>
    <w:rsid w:val="00770F86"/>
    <w:rsid w:val="0077103A"/>
    <w:rsid w:val="007711A0"/>
    <w:rsid w:val="00772463"/>
    <w:rsid w:val="00772BFA"/>
    <w:rsid w:val="007734AE"/>
    <w:rsid w:val="0077375B"/>
    <w:rsid w:val="00773801"/>
    <w:rsid w:val="00774911"/>
    <w:rsid w:val="007752E8"/>
    <w:rsid w:val="007764A9"/>
    <w:rsid w:val="00776890"/>
    <w:rsid w:val="00776D30"/>
    <w:rsid w:val="00776E51"/>
    <w:rsid w:val="00777335"/>
    <w:rsid w:val="007773BD"/>
    <w:rsid w:val="007775DC"/>
    <w:rsid w:val="00777648"/>
    <w:rsid w:val="007778C9"/>
    <w:rsid w:val="007808EB"/>
    <w:rsid w:val="00782165"/>
    <w:rsid w:val="007822CD"/>
    <w:rsid w:val="007828C7"/>
    <w:rsid w:val="007830B1"/>
    <w:rsid w:val="00783E42"/>
    <w:rsid w:val="007843F2"/>
    <w:rsid w:val="007846FA"/>
    <w:rsid w:val="00784E97"/>
    <w:rsid w:val="007857E2"/>
    <w:rsid w:val="00785A9F"/>
    <w:rsid w:val="00785B8C"/>
    <w:rsid w:val="00787017"/>
    <w:rsid w:val="00787602"/>
    <w:rsid w:val="00787CA1"/>
    <w:rsid w:val="007925DF"/>
    <w:rsid w:val="00792719"/>
    <w:rsid w:val="00792F1B"/>
    <w:rsid w:val="00794D0A"/>
    <w:rsid w:val="00794E0B"/>
    <w:rsid w:val="00795311"/>
    <w:rsid w:val="00795ABD"/>
    <w:rsid w:val="00795B7C"/>
    <w:rsid w:val="00795E1F"/>
    <w:rsid w:val="0079607F"/>
    <w:rsid w:val="00796830"/>
    <w:rsid w:val="00796D22"/>
    <w:rsid w:val="007970A3"/>
    <w:rsid w:val="00797FAD"/>
    <w:rsid w:val="00797FF8"/>
    <w:rsid w:val="007A08AA"/>
    <w:rsid w:val="007A0A12"/>
    <w:rsid w:val="007A0B9B"/>
    <w:rsid w:val="007A0E2E"/>
    <w:rsid w:val="007A132D"/>
    <w:rsid w:val="007A1345"/>
    <w:rsid w:val="007A1AC3"/>
    <w:rsid w:val="007A1ED0"/>
    <w:rsid w:val="007A2682"/>
    <w:rsid w:val="007A2BC6"/>
    <w:rsid w:val="007A2C54"/>
    <w:rsid w:val="007A2DDB"/>
    <w:rsid w:val="007A3122"/>
    <w:rsid w:val="007A3225"/>
    <w:rsid w:val="007A3327"/>
    <w:rsid w:val="007A367E"/>
    <w:rsid w:val="007A43A9"/>
    <w:rsid w:val="007A4451"/>
    <w:rsid w:val="007A5498"/>
    <w:rsid w:val="007A56C0"/>
    <w:rsid w:val="007A5705"/>
    <w:rsid w:val="007A6193"/>
    <w:rsid w:val="007A66EA"/>
    <w:rsid w:val="007A6C70"/>
    <w:rsid w:val="007A6CF6"/>
    <w:rsid w:val="007A70BA"/>
    <w:rsid w:val="007A749C"/>
    <w:rsid w:val="007B08F3"/>
    <w:rsid w:val="007B0A8B"/>
    <w:rsid w:val="007B0D68"/>
    <w:rsid w:val="007B0E06"/>
    <w:rsid w:val="007B181A"/>
    <w:rsid w:val="007B22B5"/>
    <w:rsid w:val="007B251D"/>
    <w:rsid w:val="007B255D"/>
    <w:rsid w:val="007B2F52"/>
    <w:rsid w:val="007B3533"/>
    <w:rsid w:val="007B41C2"/>
    <w:rsid w:val="007B4F58"/>
    <w:rsid w:val="007B5088"/>
    <w:rsid w:val="007B528D"/>
    <w:rsid w:val="007B63CA"/>
    <w:rsid w:val="007B65B5"/>
    <w:rsid w:val="007B6727"/>
    <w:rsid w:val="007B77D1"/>
    <w:rsid w:val="007C006E"/>
    <w:rsid w:val="007C03B8"/>
    <w:rsid w:val="007C0598"/>
    <w:rsid w:val="007C07C7"/>
    <w:rsid w:val="007C0A8E"/>
    <w:rsid w:val="007C1416"/>
    <w:rsid w:val="007C1507"/>
    <w:rsid w:val="007C1CD9"/>
    <w:rsid w:val="007C25C7"/>
    <w:rsid w:val="007C2D23"/>
    <w:rsid w:val="007C2FCE"/>
    <w:rsid w:val="007C32D1"/>
    <w:rsid w:val="007C32EF"/>
    <w:rsid w:val="007C3420"/>
    <w:rsid w:val="007C353B"/>
    <w:rsid w:val="007C361D"/>
    <w:rsid w:val="007C422E"/>
    <w:rsid w:val="007C4B84"/>
    <w:rsid w:val="007C4CA0"/>
    <w:rsid w:val="007C5429"/>
    <w:rsid w:val="007C5FE6"/>
    <w:rsid w:val="007C6609"/>
    <w:rsid w:val="007C689B"/>
    <w:rsid w:val="007C70FF"/>
    <w:rsid w:val="007C795C"/>
    <w:rsid w:val="007C7C25"/>
    <w:rsid w:val="007D004F"/>
    <w:rsid w:val="007D035F"/>
    <w:rsid w:val="007D06B2"/>
    <w:rsid w:val="007D085F"/>
    <w:rsid w:val="007D08D5"/>
    <w:rsid w:val="007D0B38"/>
    <w:rsid w:val="007D1413"/>
    <w:rsid w:val="007D163A"/>
    <w:rsid w:val="007D1826"/>
    <w:rsid w:val="007D1A26"/>
    <w:rsid w:val="007D219D"/>
    <w:rsid w:val="007D225F"/>
    <w:rsid w:val="007D28CE"/>
    <w:rsid w:val="007D395E"/>
    <w:rsid w:val="007D43C7"/>
    <w:rsid w:val="007D5065"/>
    <w:rsid w:val="007D5440"/>
    <w:rsid w:val="007D6221"/>
    <w:rsid w:val="007D69EB"/>
    <w:rsid w:val="007E04CA"/>
    <w:rsid w:val="007E04D4"/>
    <w:rsid w:val="007E08BF"/>
    <w:rsid w:val="007E0C7E"/>
    <w:rsid w:val="007E0FE9"/>
    <w:rsid w:val="007E128F"/>
    <w:rsid w:val="007E1933"/>
    <w:rsid w:val="007E1CFB"/>
    <w:rsid w:val="007E1F5E"/>
    <w:rsid w:val="007E2473"/>
    <w:rsid w:val="007E2601"/>
    <w:rsid w:val="007E29EA"/>
    <w:rsid w:val="007E2E75"/>
    <w:rsid w:val="007E3B06"/>
    <w:rsid w:val="007E3BF3"/>
    <w:rsid w:val="007E3EF8"/>
    <w:rsid w:val="007E4523"/>
    <w:rsid w:val="007E473F"/>
    <w:rsid w:val="007E5515"/>
    <w:rsid w:val="007E5945"/>
    <w:rsid w:val="007E5F59"/>
    <w:rsid w:val="007E790B"/>
    <w:rsid w:val="007E7A33"/>
    <w:rsid w:val="007E7A40"/>
    <w:rsid w:val="007E7CB2"/>
    <w:rsid w:val="007E7CEC"/>
    <w:rsid w:val="007F1017"/>
    <w:rsid w:val="007F1073"/>
    <w:rsid w:val="007F1815"/>
    <w:rsid w:val="007F1D58"/>
    <w:rsid w:val="007F1D7E"/>
    <w:rsid w:val="007F1EE7"/>
    <w:rsid w:val="007F2187"/>
    <w:rsid w:val="007F2B36"/>
    <w:rsid w:val="007F3A52"/>
    <w:rsid w:val="007F4382"/>
    <w:rsid w:val="007F4A3F"/>
    <w:rsid w:val="007F4A61"/>
    <w:rsid w:val="007F4D68"/>
    <w:rsid w:val="007F5255"/>
    <w:rsid w:val="007F56CC"/>
    <w:rsid w:val="007F5BD8"/>
    <w:rsid w:val="007F61C2"/>
    <w:rsid w:val="00800113"/>
    <w:rsid w:val="00800589"/>
    <w:rsid w:val="008006E2"/>
    <w:rsid w:val="0080088B"/>
    <w:rsid w:val="00800C7B"/>
    <w:rsid w:val="00801662"/>
    <w:rsid w:val="00801787"/>
    <w:rsid w:val="00801913"/>
    <w:rsid w:val="0080197D"/>
    <w:rsid w:val="00801CD1"/>
    <w:rsid w:val="0080218D"/>
    <w:rsid w:val="008024EC"/>
    <w:rsid w:val="00802ED2"/>
    <w:rsid w:val="0080391B"/>
    <w:rsid w:val="00803B99"/>
    <w:rsid w:val="0080401B"/>
    <w:rsid w:val="008042C8"/>
    <w:rsid w:val="008045A5"/>
    <w:rsid w:val="00804685"/>
    <w:rsid w:val="00804A75"/>
    <w:rsid w:val="00805142"/>
    <w:rsid w:val="00805FCE"/>
    <w:rsid w:val="0080698E"/>
    <w:rsid w:val="00806D01"/>
    <w:rsid w:val="00807275"/>
    <w:rsid w:val="008075A2"/>
    <w:rsid w:val="008078A0"/>
    <w:rsid w:val="00807A8B"/>
    <w:rsid w:val="00807FCA"/>
    <w:rsid w:val="00810A90"/>
    <w:rsid w:val="00810DA8"/>
    <w:rsid w:val="00810DFA"/>
    <w:rsid w:val="00811383"/>
    <w:rsid w:val="008113F7"/>
    <w:rsid w:val="00811D61"/>
    <w:rsid w:val="00811DB4"/>
    <w:rsid w:val="00812149"/>
    <w:rsid w:val="0081284E"/>
    <w:rsid w:val="008128AD"/>
    <w:rsid w:val="00812BC2"/>
    <w:rsid w:val="00812CAC"/>
    <w:rsid w:val="0081358C"/>
    <w:rsid w:val="008143C3"/>
    <w:rsid w:val="0081561A"/>
    <w:rsid w:val="00815669"/>
    <w:rsid w:val="00815955"/>
    <w:rsid w:val="00815ACD"/>
    <w:rsid w:val="00815E40"/>
    <w:rsid w:val="00816361"/>
    <w:rsid w:val="008166EF"/>
    <w:rsid w:val="008169AA"/>
    <w:rsid w:val="00816AC3"/>
    <w:rsid w:val="00816FEF"/>
    <w:rsid w:val="00817722"/>
    <w:rsid w:val="00817A1B"/>
    <w:rsid w:val="00817C47"/>
    <w:rsid w:val="00817D11"/>
    <w:rsid w:val="0082056E"/>
    <w:rsid w:val="00820A8C"/>
    <w:rsid w:val="00820F76"/>
    <w:rsid w:val="0082109F"/>
    <w:rsid w:val="008215FB"/>
    <w:rsid w:val="008220CC"/>
    <w:rsid w:val="00822A1D"/>
    <w:rsid w:val="0082308F"/>
    <w:rsid w:val="00823174"/>
    <w:rsid w:val="00824B24"/>
    <w:rsid w:val="0082557B"/>
    <w:rsid w:val="00825719"/>
    <w:rsid w:val="00825751"/>
    <w:rsid w:val="00825900"/>
    <w:rsid w:val="008264EB"/>
    <w:rsid w:val="008268CE"/>
    <w:rsid w:val="00826AE6"/>
    <w:rsid w:val="00826DBC"/>
    <w:rsid w:val="00827C23"/>
    <w:rsid w:val="0083030A"/>
    <w:rsid w:val="00830751"/>
    <w:rsid w:val="008308AC"/>
    <w:rsid w:val="00830BF5"/>
    <w:rsid w:val="00830DFE"/>
    <w:rsid w:val="008313D6"/>
    <w:rsid w:val="00831592"/>
    <w:rsid w:val="00831FE2"/>
    <w:rsid w:val="008322F6"/>
    <w:rsid w:val="0083283F"/>
    <w:rsid w:val="008331E1"/>
    <w:rsid w:val="00833830"/>
    <w:rsid w:val="00833B05"/>
    <w:rsid w:val="00834E1E"/>
    <w:rsid w:val="00834E60"/>
    <w:rsid w:val="0083519D"/>
    <w:rsid w:val="00835B6B"/>
    <w:rsid w:val="008362B4"/>
    <w:rsid w:val="0083652C"/>
    <w:rsid w:val="00836F3E"/>
    <w:rsid w:val="00837188"/>
    <w:rsid w:val="008374C7"/>
    <w:rsid w:val="00837B1A"/>
    <w:rsid w:val="00840ADB"/>
    <w:rsid w:val="00840CA2"/>
    <w:rsid w:val="0084124D"/>
    <w:rsid w:val="0084191D"/>
    <w:rsid w:val="00841BC4"/>
    <w:rsid w:val="008432A8"/>
    <w:rsid w:val="008433D8"/>
    <w:rsid w:val="0084374F"/>
    <w:rsid w:val="00843A8C"/>
    <w:rsid w:val="00844A22"/>
    <w:rsid w:val="0084576A"/>
    <w:rsid w:val="00846936"/>
    <w:rsid w:val="008469A1"/>
    <w:rsid w:val="00846B94"/>
    <w:rsid w:val="00846C71"/>
    <w:rsid w:val="00847639"/>
    <w:rsid w:val="00847703"/>
    <w:rsid w:val="0084790F"/>
    <w:rsid w:val="008479BD"/>
    <w:rsid w:val="00847DF5"/>
    <w:rsid w:val="0085044F"/>
    <w:rsid w:val="008506B0"/>
    <w:rsid w:val="00850935"/>
    <w:rsid w:val="00850969"/>
    <w:rsid w:val="00851C99"/>
    <w:rsid w:val="00852580"/>
    <w:rsid w:val="0085298F"/>
    <w:rsid w:val="00852B21"/>
    <w:rsid w:val="0085309D"/>
    <w:rsid w:val="00853489"/>
    <w:rsid w:val="00854625"/>
    <w:rsid w:val="008550CF"/>
    <w:rsid w:val="00855F71"/>
    <w:rsid w:val="0085602A"/>
    <w:rsid w:val="0085627F"/>
    <w:rsid w:val="00856897"/>
    <w:rsid w:val="00856E9A"/>
    <w:rsid w:val="00857780"/>
    <w:rsid w:val="008579D9"/>
    <w:rsid w:val="00857CF4"/>
    <w:rsid w:val="00857E0A"/>
    <w:rsid w:val="008604E3"/>
    <w:rsid w:val="0086075D"/>
    <w:rsid w:val="00860A82"/>
    <w:rsid w:val="00860DC4"/>
    <w:rsid w:val="0086159E"/>
    <w:rsid w:val="0086227B"/>
    <w:rsid w:val="00862502"/>
    <w:rsid w:val="008628A5"/>
    <w:rsid w:val="00862CC1"/>
    <w:rsid w:val="00862EE7"/>
    <w:rsid w:val="00863AA0"/>
    <w:rsid w:val="008642A7"/>
    <w:rsid w:val="008649CF"/>
    <w:rsid w:val="00864D99"/>
    <w:rsid w:val="0086567F"/>
    <w:rsid w:val="00865D0F"/>
    <w:rsid w:val="008660D4"/>
    <w:rsid w:val="00866B16"/>
    <w:rsid w:val="00867139"/>
    <w:rsid w:val="00870458"/>
    <w:rsid w:val="00870D19"/>
    <w:rsid w:val="00871414"/>
    <w:rsid w:val="008718A3"/>
    <w:rsid w:val="00871EE4"/>
    <w:rsid w:val="00871F9F"/>
    <w:rsid w:val="00871FA9"/>
    <w:rsid w:val="008728E9"/>
    <w:rsid w:val="0087299C"/>
    <w:rsid w:val="00874873"/>
    <w:rsid w:val="00874CD2"/>
    <w:rsid w:val="0087584A"/>
    <w:rsid w:val="00875B69"/>
    <w:rsid w:val="0087635B"/>
    <w:rsid w:val="008763AB"/>
    <w:rsid w:val="008767D7"/>
    <w:rsid w:val="00876EE7"/>
    <w:rsid w:val="00880258"/>
    <w:rsid w:val="008827F0"/>
    <w:rsid w:val="00882874"/>
    <w:rsid w:val="00882E3C"/>
    <w:rsid w:val="0088308A"/>
    <w:rsid w:val="00883787"/>
    <w:rsid w:val="00883830"/>
    <w:rsid w:val="008839B6"/>
    <w:rsid w:val="00884D62"/>
    <w:rsid w:val="00884F77"/>
    <w:rsid w:val="008850B2"/>
    <w:rsid w:val="008855E4"/>
    <w:rsid w:val="00885FE5"/>
    <w:rsid w:val="00886181"/>
    <w:rsid w:val="00886707"/>
    <w:rsid w:val="00886B38"/>
    <w:rsid w:val="00886CD2"/>
    <w:rsid w:val="00886EEC"/>
    <w:rsid w:val="00886F12"/>
    <w:rsid w:val="008876AC"/>
    <w:rsid w:val="00887733"/>
    <w:rsid w:val="008904CF"/>
    <w:rsid w:val="0089087A"/>
    <w:rsid w:val="0089097F"/>
    <w:rsid w:val="00890E5C"/>
    <w:rsid w:val="00890FC2"/>
    <w:rsid w:val="00891E57"/>
    <w:rsid w:val="00891E6F"/>
    <w:rsid w:val="008923EA"/>
    <w:rsid w:val="008926C8"/>
    <w:rsid w:val="0089275D"/>
    <w:rsid w:val="00892A01"/>
    <w:rsid w:val="00892A36"/>
    <w:rsid w:val="00892CC6"/>
    <w:rsid w:val="00893239"/>
    <w:rsid w:val="00893E7F"/>
    <w:rsid w:val="00894489"/>
    <w:rsid w:val="00894CD6"/>
    <w:rsid w:val="00894E87"/>
    <w:rsid w:val="00895078"/>
    <w:rsid w:val="008954F9"/>
    <w:rsid w:val="00895D26"/>
    <w:rsid w:val="008963A5"/>
    <w:rsid w:val="008968FE"/>
    <w:rsid w:val="00896B60"/>
    <w:rsid w:val="00896D5D"/>
    <w:rsid w:val="00896E83"/>
    <w:rsid w:val="0089702C"/>
    <w:rsid w:val="00897781"/>
    <w:rsid w:val="008978BE"/>
    <w:rsid w:val="00897BB9"/>
    <w:rsid w:val="00897FDF"/>
    <w:rsid w:val="008A0552"/>
    <w:rsid w:val="008A0B48"/>
    <w:rsid w:val="008A1626"/>
    <w:rsid w:val="008A26A9"/>
    <w:rsid w:val="008A2719"/>
    <w:rsid w:val="008A2C49"/>
    <w:rsid w:val="008A3158"/>
    <w:rsid w:val="008A3363"/>
    <w:rsid w:val="008A3371"/>
    <w:rsid w:val="008A3415"/>
    <w:rsid w:val="008A36A7"/>
    <w:rsid w:val="008A3760"/>
    <w:rsid w:val="008A3C3E"/>
    <w:rsid w:val="008A401F"/>
    <w:rsid w:val="008A47B2"/>
    <w:rsid w:val="008A6165"/>
    <w:rsid w:val="008A636D"/>
    <w:rsid w:val="008A64B6"/>
    <w:rsid w:val="008A6A1F"/>
    <w:rsid w:val="008A741C"/>
    <w:rsid w:val="008A79DE"/>
    <w:rsid w:val="008A7AC1"/>
    <w:rsid w:val="008B0478"/>
    <w:rsid w:val="008B05DE"/>
    <w:rsid w:val="008B0DAB"/>
    <w:rsid w:val="008B16DD"/>
    <w:rsid w:val="008B170F"/>
    <w:rsid w:val="008B1757"/>
    <w:rsid w:val="008B1C33"/>
    <w:rsid w:val="008B2024"/>
    <w:rsid w:val="008B2FC6"/>
    <w:rsid w:val="008B3DB1"/>
    <w:rsid w:val="008B49D5"/>
    <w:rsid w:val="008B4B6F"/>
    <w:rsid w:val="008B5125"/>
    <w:rsid w:val="008B594D"/>
    <w:rsid w:val="008B6509"/>
    <w:rsid w:val="008B6E6F"/>
    <w:rsid w:val="008B6EF3"/>
    <w:rsid w:val="008B7992"/>
    <w:rsid w:val="008B7D7E"/>
    <w:rsid w:val="008C079B"/>
    <w:rsid w:val="008C16A8"/>
    <w:rsid w:val="008C1934"/>
    <w:rsid w:val="008C218C"/>
    <w:rsid w:val="008C265D"/>
    <w:rsid w:val="008C4464"/>
    <w:rsid w:val="008C46DC"/>
    <w:rsid w:val="008C46E1"/>
    <w:rsid w:val="008C48DD"/>
    <w:rsid w:val="008C4D4C"/>
    <w:rsid w:val="008C51CF"/>
    <w:rsid w:val="008C5535"/>
    <w:rsid w:val="008C5610"/>
    <w:rsid w:val="008C5739"/>
    <w:rsid w:val="008C5BED"/>
    <w:rsid w:val="008C5D71"/>
    <w:rsid w:val="008C60B8"/>
    <w:rsid w:val="008C62D2"/>
    <w:rsid w:val="008C6826"/>
    <w:rsid w:val="008C726B"/>
    <w:rsid w:val="008C7282"/>
    <w:rsid w:val="008C7744"/>
    <w:rsid w:val="008C77CB"/>
    <w:rsid w:val="008C7ECB"/>
    <w:rsid w:val="008D006A"/>
    <w:rsid w:val="008D0173"/>
    <w:rsid w:val="008D0425"/>
    <w:rsid w:val="008D0C48"/>
    <w:rsid w:val="008D0E1E"/>
    <w:rsid w:val="008D107E"/>
    <w:rsid w:val="008D1834"/>
    <w:rsid w:val="008D2097"/>
    <w:rsid w:val="008D253F"/>
    <w:rsid w:val="008D2967"/>
    <w:rsid w:val="008D29AC"/>
    <w:rsid w:val="008D34D3"/>
    <w:rsid w:val="008D3B86"/>
    <w:rsid w:val="008D43FD"/>
    <w:rsid w:val="008D4609"/>
    <w:rsid w:val="008D4755"/>
    <w:rsid w:val="008D493B"/>
    <w:rsid w:val="008D4C3D"/>
    <w:rsid w:val="008D4D35"/>
    <w:rsid w:val="008D5602"/>
    <w:rsid w:val="008D5D00"/>
    <w:rsid w:val="008D6C4D"/>
    <w:rsid w:val="008D6F0F"/>
    <w:rsid w:val="008D743C"/>
    <w:rsid w:val="008D78E0"/>
    <w:rsid w:val="008E0D3C"/>
    <w:rsid w:val="008E11B2"/>
    <w:rsid w:val="008E1511"/>
    <w:rsid w:val="008E1B9E"/>
    <w:rsid w:val="008E2A79"/>
    <w:rsid w:val="008E40EB"/>
    <w:rsid w:val="008E4710"/>
    <w:rsid w:val="008E48D9"/>
    <w:rsid w:val="008E48F1"/>
    <w:rsid w:val="008E4E0C"/>
    <w:rsid w:val="008E5419"/>
    <w:rsid w:val="008E55AB"/>
    <w:rsid w:val="008E5B13"/>
    <w:rsid w:val="008E6419"/>
    <w:rsid w:val="008E65FE"/>
    <w:rsid w:val="008E6DA8"/>
    <w:rsid w:val="008E6F3C"/>
    <w:rsid w:val="008E74EC"/>
    <w:rsid w:val="008E7615"/>
    <w:rsid w:val="008E7EA0"/>
    <w:rsid w:val="008E7FCB"/>
    <w:rsid w:val="008F04D4"/>
    <w:rsid w:val="008F0872"/>
    <w:rsid w:val="008F120A"/>
    <w:rsid w:val="008F175E"/>
    <w:rsid w:val="008F1C39"/>
    <w:rsid w:val="008F21E4"/>
    <w:rsid w:val="008F229B"/>
    <w:rsid w:val="008F22F6"/>
    <w:rsid w:val="008F27E0"/>
    <w:rsid w:val="008F291B"/>
    <w:rsid w:val="008F2B9D"/>
    <w:rsid w:val="008F48EB"/>
    <w:rsid w:val="008F4E97"/>
    <w:rsid w:val="008F4F0B"/>
    <w:rsid w:val="008F5133"/>
    <w:rsid w:val="008F5C38"/>
    <w:rsid w:val="008F6135"/>
    <w:rsid w:val="008F647A"/>
    <w:rsid w:val="008F6930"/>
    <w:rsid w:val="008F6D9C"/>
    <w:rsid w:val="008F7140"/>
    <w:rsid w:val="008F7B24"/>
    <w:rsid w:val="00900CA3"/>
    <w:rsid w:val="00901001"/>
    <w:rsid w:val="009017D7"/>
    <w:rsid w:val="0090216C"/>
    <w:rsid w:val="0090264C"/>
    <w:rsid w:val="00902744"/>
    <w:rsid w:val="00902957"/>
    <w:rsid w:val="00902EB9"/>
    <w:rsid w:val="00902FC6"/>
    <w:rsid w:val="0090346E"/>
    <w:rsid w:val="00903631"/>
    <w:rsid w:val="00904049"/>
    <w:rsid w:val="00904128"/>
    <w:rsid w:val="009041CF"/>
    <w:rsid w:val="009043FB"/>
    <w:rsid w:val="00904501"/>
    <w:rsid w:val="009046C4"/>
    <w:rsid w:val="00904937"/>
    <w:rsid w:val="0090566F"/>
    <w:rsid w:val="009062A5"/>
    <w:rsid w:val="009065C6"/>
    <w:rsid w:val="009068D4"/>
    <w:rsid w:val="009075AD"/>
    <w:rsid w:val="00907699"/>
    <w:rsid w:val="009076B3"/>
    <w:rsid w:val="00910CFD"/>
    <w:rsid w:val="00910FA7"/>
    <w:rsid w:val="00911272"/>
    <w:rsid w:val="00911339"/>
    <w:rsid w:val="00911B78"/>
    <w:rsid w:val="00911BAE"/>
    <w:rsid w:val="009124A8"/>
    <w:rsid w:val="0091321C"/>
    <w:rsid w:val="009135C9"/>
    <w:rsid w:val="009135D6"/>
    <w:rsid w:val="00913647"/>
    <w:rsid w:val="00913E85"/>
    <w:rsid w:val="0091445D"/>
    <w:rsid w:val="00914648"/>
    <w:rsid w:val="009147F8"/>
    <w:rsid w:val="00914C77"/>
    <w:rsid w:val="00915333"/>
    <w:rsid w:val="00915BD6"/>
    <w:rsid w:val="00916483"/>
    <w:rsid w:val="00916656"/>
    <w:rsid w:val="00917519"/>
    <w:rsid w:val="00917D57"/>
    <w:rsid w:val="00920001"/>
    <w:rsid w:val="00920104"/>
    <w:rsid w:val="009215B7"/>
    <w:rsid w:val="009215E2"/>
    <w:rsid w:val="00921ACB"/>
    <w:rsid w:val="00921D5E"/>
    <w:rsid w:val="00922193"/>
    <w:rsid w:val="00922E70"/>
    <w:rsid w:val="0092369B"/>
    <w:rsid w:val="009238B6"/>
    <w:rsid w:val="0092472C"/>
    <w:rsid w:val="00924D70"/>
    <w:rsid w:val="009251D5"/>
    <w:rsid w:val="00926161"/>
    <w:rsid w:val="0092775B"/>
    <w:rsid w:val="00927CFE"/>
    <w:rsid w:val="0093067A"/>
    <w:rsid w:val="00931502"/>
    <w:rsid w:val="00933CE3"/>
    <w:rsid w:val="00933DDC"/>
    <w:rsid w:val="00933EFA"/>
    <w:rsid w:val="00934988"/>
    <w:rsid w:val="00934BEB"/>
    <w:rsid w:val="00936238"/>
    <w:rsid w:val="00936686"/>
    <w:rsid w:val="00936F9B"/>
    <w:rsid w:val="00937089"/>
    <w:rsid w:val="00937238"/>
    <w:rsid w:val="00937FA0"/>
    <w:rsid w:val="009401CA"/>
    <w:rsid w:val="009418A5"/>
    <w:rsid w:val="00942606"/>
    <w:rsid w:val="00944D87"/>
    <w:rsid w:val="00944F8A"/>
    <w:rsid w:val="00945300"/>
    <w:rsid w:val="00945D7F"/>
    <w:rsid w:val="00945F08"/>
    <w:rsid w:val="00946E72"/>
    <w:rsid w:val="00947056"/>
    <w:rsid w:val="009476A6"/>
    <w:rsid w:val="00947A73"/>
    <w:rsid w:val="00947B5D"/>
    <w:rsid w:val="00947FCA"/>
    <w:rsid w:val="009500D1"/>
    <w:rsid w:val="009505A6"/>
    <w:rsid w:val="00950983"/>
    <w:rsid w:val="00950C9C"/>
    <w:rsid w:val="00950F21"/>
    <w:rsid w:val="009510A2"/>
    <w:rsid w:val="00951B83"/>
    <w:rsid w:val="00952045"/>
    <w:rsid w:val="009522EA"/>
    <w:rsid w:val="00952F88"/>
    <w:rsid w:val="009530AE"/>
    <w:rsid w:val="00953257"/>
    <w:rsid w:val="009534C8"/>
    <w:rsid w:val="0095379B"/>
    <w:rsid w:val="009537D3"/>
    <w:rsid w:val="00953885"/>
    <w:rsid w:val="00953D1D"/>
    <w:rsid w:val="00953DF1"/>
    <w:rsid w:val="00953E4A"/>
    <w:rsid w:val="0095446F"/>
    <w:rsid w:val="0095474C"/>
    <w:rsid w:val="009549FE"/>
    <w:rsid w:val="00954E34"/>
    <w:rsid w:val="0095502B"/>
    <w:rsid w:val="0095562F"/>
    <w:rsid w:val="009557F3"/>
    <w:rsid w:val="00955F30"/>
    <w:rsid w:val="00956F83"/>
    <w:rsid w:val="009574B5"/>
    <w:rsid w:val="00957D92"/>
    <w:rsid w:val="00957F44"/>
    <w:rsid w:val="0096081F"/>
    <w:rsid w:val="0096198A"/>
    <w:rsid w:val="00961F98"/>
    <w:rsid w:val="00962CB9"/>
    <w:rsid w:val="00963338"/>
    <w:rsid w:val="00964312"/>
    <w:rsid w:val="0096432D"/>
    <w:rsid w:val="00964C92"/>
    <w:rsid w:val="00965321"/>
    <w:rsid w:val="00965AA7"/>
    <w:rsid w:val="00965AD2"/>
    <w:rsid w:val="00965B8A"/>
    <w:rsid w:val="009676B9"/>
    <w:rsid w:val="00967B23"/>
    <w:rsid w:val="00967BCF"/>
    <w:rsid w:val="009701AF"/>
    <w:rsid w:val="00970436"/>
    <w:rsid w:val="0097071F"/>
    <w:rsid w:val="00970C81"/>
    <w:rsid w:val="00970DD3"/>
    <w:rsid w:val="00970F42"/>
    <w:rsid w:val="009716F0"/>
    <w:rsid w:val="009716F4"/>
    <w:rsid w:val="009717AC"/>
    <w:rsid w:val="0097252C"/>
    <w:rsid w:val="00973133"/>
    <w:rsid w:val="0097392D"/>
    <w:rsid w:val="009739A8"/>
    <w:rsid w:val="00973BE3"/>
    <w:rsid w:val="00973C1F"/>
    <w:rsid w:val="00974397"/>
    <w:rsid w:val="00974ABB"/>
    <w:rsid w:val="00974B6F"/>
    <w:rsid w:val="00974E85"/>
    <w:rsid w:val="009751C1"/>
    <w:rsid w:val="00975631"/>
    <w:rsid w:val="00975D0F"/>
    <w:rsid w:val="00976F8B"/>
    <w:rsid w:val="00980461"/>
    <w:rsid w:val="009808B7"/>
    <w:rsid w:val="00980D17"/>
    <w:rsid w:val="009811F1"/>
    <w:rsid w:val="00981696"/>
    <w:rsid w:val="0098179E"/>
    <w:rsid w:val="009817C2"/>
    <w:rsid w:val="009817E4"/>
    <w:rsid w:val="00981EAB"/>
    <w:rsid w:val="00982325"/>
    <w:rsid w:val="00982B11"/>
    <w:rsid w:val="0098302A"/>
    <w:rsid w:val="00983C92"/>
    <w:rsid w:val="00983E57"/>
    <w:rsid w:val="0098419E"/>
    <w:rsid w:val="00984922"/>
    <w:rsid w:val="00984C27"/>
    <w:rsid w:val="0098505D"/>
    <w:rsid w:val="009850AD"/>
    <w:rsid w:val="0098547A"/>
    <w:rsid w:val="00985AA2"/>
    <w:rsid w:val="00985ADB"/>
    <w:rsid w:val="00985DE2"/>
    <w:rsid w:val="0098675D"/>
    <w:rsid w:val="00986B8F"/>
    <w:rsid w:val="0098711F"/>
    <w:rsid w:val="0098774B"/>
    <w:rsid w:val="00987BA4"/>
    <w:rsid w:val="00987C14"/>
    <w:rsid w:val="00987CC8"/>
    <w:rsid w:val="009914FA"/>
    <w:rsid w:val="00991699"/>
    <w:rsid w:val="009926E0"/>
    <w:rsid w:val="00992D95"/>
    <w:rsid w:val="009934CB"/>
    <w:rsid w:val="00993B32"/>
    <w:rsid w:val="00993F5E"/>
    <w:rsid w:val="0099451E"/>
    <w:rsid w:val="00994CF6"/>
    <w:rsid w:val="00995254"/>
    <w:rsid w:val="0099568C"/>
    <w:rsid w:val="00995814"/>
    <w:rsid w:val="009961BE"/>
    <w:rsid w:val="00996204"/>
    <w:rsid w:val="009965DA"/>
    <w:rsid w:val="00996B1A"/>
    <w:rsid w:val="00996D48"/>
    <w:rsid w:val="00996EAA"/>
    <w:rsid w:val="0099781E"/>
    <w:rsid w:val="00997836"/>
    <w:rsid w:val="009979D5"/>
    <w:rsid w:val="00997C62"/>
    <w:rsid w:val="00997DBA"/>
    <w:rsid w:val="009A1103"/>
    <w:rsid w:val="009A12FE"/>
    <w:rsid w:val="009A18F6"/>
    <w:rsid w:val="009A1C13"/>
    <w:rsid w:val="009A2DCC"/>
    <w:rsid w:val="009A3C86"/>
    <w:rsid w:val="009A5ABC"/>
    <w:rsid w:val="009A6457"/>
    <w:rsid w:val="009A6ED2"/>
    <w:rsid w:val="009A6F51"/>
    <w:rsid w:val="009A6FAB"/>
    <w:rsid w:val="009A78D7"/>
    <w:rsid w:val="009A7A93"/>
    <w:rsid w:val="009A7DCA"/>
    <w:rsid w:val="009A7F10"/>
    <w:rsid w:val="009B080F"/>
    <w:rsid w:val="009B0C1C"/>
    <w:rsid w:val="009B18AD"/>
    <w:rsid w:val="009B18F1"/>
    <w:rsid w:val="009B1937"/>
    <w:rsid w:val="009B2252"/>
    <w:rsid w:val="009B299C"/>
    <w:rsid w:val="009B2E8E"/>
    <w:rsid w:val="009B3705"/>
    <w:rsid w:val="009B374F"/>
    <w:rsid w:val="009B383A"/>
    <w:rsid w:val="009B39D3"/>
    <w:rsid w:val="009B3E26"/>
    <w:rsid w:val="009B3F25"/>
    <w:rsid w:val="009B3F26"/>
    <w:rsid w:val="009B4309"/>
    <w:rsid w:val="009B4AF5"/>
    <w:rsid w:val="009B4FE2"/>
    <w:rsid w:val="009B5445"/>
    <w:rsid w:val="009B5C5B"/>
    <w:rsid w:val="009B5EA5"/>
    <w:rsid w:val="009B6175"/>
    <w:rsid w:val="009B62A6"/>
    <w:rsid w:val="009B63FF"/>
    <w:rsid w:val="009B6496"/>
    <w:rsid w:val="009B6C8F"/>
    <w:rsid w:val="009B7055"/>
    <w:rsid w:val="009B7324"/>
    <w:rsid w:val="009B75BE"/>
    <w:rsid w:val="009B78B9"/>
    <w:rsid w:val="009C0C30"/>
    <w:rsid w:val="009C118C"/>
    <w:rsid w:val="009C1271"/>
    <w:rsid w:val="009C1E83"/>
    <w:rsid w:val="009C2ECD"/>
    <w:rsid w:val="009C3706"/>
    <w:rsid w:val="009C3897"/>
    <w:rsid w:val="009C3A3A"/>
    <w:rsid w:val="009C4423"/>
    <w:rsid w:val="009C4B5E"/>
    <w:rsid w:val="009C5425"/>
    <w:rsid w:val="009C5652"/>
    <w:rsid w:val="009C6CEA"/>
    <w:rsid w:val="009C7B85"/>
    <w:rsid w:val="009D0254"/>
    <w:rsid w:val="009D07ED"/>
    <w:rsid w:val="009D127E"/>
    <w:rsid w:val="009D12F7"/>
    <w:rsid w:val="009D1781"/>
    <w:rsid w:val="009D1A64"/>
    <w:rsid w:val="009D1EBF"/>
    <w:rsid w:val="009D21C3"/>
    <w:rsid w:val="009D3C74"/>
    <w:rsid w:val="009D3FA1"/>
    <w:rsid w:val="009D4115"/>
    <w:rsid w:val="009D4E36"/>
    <w:rsid w:val="009D5B91"/>
    <w:rsid w:val="009D6D9D"/>
    <w:rsid w:val="009D75D0"/>
    <w:rsid w:val="009D792E"/>
    <w:rsid w:val="009D7955"/>
    <w:rsid w:val="009E0137"/>
    <w:rsid w:val="009E0844"/>
    <w:rsid w:val="009E0A48"/>
    <w:rsid w:val="009E0DFE"/>
    <w:rsid w:val="009E0E6B"/>
    <w:rsid w:val="009E11C0"/>
    <w:rsid w:val="009E2FBA"/>
    <w:rsid w:val="009E3009"/>
    <w:rsid w:val="009E31F6"/>
    <w:rsid w:val="009E3404"/>
    <w:rsid w:val="009E3985"/>
    <w:rsid w:val="009E3B6E"/>
    <w:rsid w:val="009E49B7"/>
    <w:rsid w:val="009E4C07"/>
    <w:rsid w:val="009E6225"/>
    <w:rsid w:val="009E648D"/>
    <w:rsid w:val="009E64F5"/>
    <w:rsid w:val="009E670D"/>
    <w:rsid w:val="009E6FB3"/>
    <w:rsid w:val="009E71D8"/>
    <w:rsid w:val="009E777F"/>
    <w:rsid w:val="009E7ADF"/>
    <w:rsid w:val="009E7B1F"/>
    <w:rsid w:val="009F0922"/>
    <w:rsid w:val="009F0C2F"/>
    <w:rsid w:val="009F1206"/>
    <w:rsid w:val="009F150A"/>
    <w:rsid w:val="009F1755"/>
    <w:rsid w:val="009F1867"/>
    <w:rsid w:val="009F1A63"/>
    <w:rsid w:val="009F29EC"/>
    <w:rsid w:val="009F330A"/>
    <w:rsid w:val="009F395D"/>
    <w:rsid w:val="009F395E"/>
    <w:rsid w:val="009F3E66"/>
    <w:rsid w:val="009F4251"/>
    <w:rsid w:val="009F4A5F"/>
    <w:rsid w:val="009F5E88"/>
    <w:rsid w:val="009F6120"/>
    <w:rsid w:val="009F6796"/>
    <w:rsid w:val="009F67C3"/>
    <w:rsid w:val="009F68CB"/>
    <w:rsid w:val="009F6933"/>
    <w:rsid w:val="009F6A5B"/>
    <w:rsid w:val="009F6DCA"/>
    <w:rsid w:val="00A00D76"/>
    <w:rsid w:val="00A0110A"/>
    <w:rsid w:val="00A01184"/>
    <w:rsid w:val="00A011CE"/>
    <w:rsid w:val="00A01449"/>
    <w:rsid w:val="00A01467"/>
    <w:rsid w:val="00A0167A"/>
    <w:rsid w:val="00A01AD8"/>
    <w:rsid w:val="00A01B40"/>
    <w:rsid w:val="00A01D4C"/>
    <w:rsid w:val="00A01EF3"/>
    <w:rsid w:val="00A02265"/>
    <w:rsid w:val="00A02688"/>
    <w:rsid w:val="00A027B5"/>
    <w:rsid w:val="00A029DA"/>
    <w:rsid w:val="00A02E23"/>
    <w:rsid w:val="00A0358B"/>
    <w:rsid w:val="00A037C2"/>
    <w:rsid w:val="00A03874"/>
    <w:rsid w:val="00A03D43"/>
    <w:rsid w:val="00A04380"/>
    <w:rsid w:val="00A04786"/>
    <w:rsid w:val="00A05472"/>
    <w:rsid w:val="00A05BE6"/>
    <w:rsid w:val="00A05C32"/>
    <w:rsid w:val="00A05FCD"/>
    <w:rsid w:val="00A064DF"/>
    <w:rsid w:val="00A0653F"/>
    <w:rsid w:val="00A06A53"/>
    <w:rsid w:val="00A0711D"/>
    <w:rsid w:val="00A07171"/>
    <w:rsid w:val="00A073AF"/>
    <w:rsid w:val="00A07725"/>
    <w:rsid w:val="00A07B1B"/>
    <w:rsid w:val="00A1035F"/>
    <w:rsid w:val="00A10D35"/>
    <w:rsid w:val="00A1108D"/>
    <w:rsid w:val="00A11293"/>
    <w:rsid w:val="00A11311"/>
    <w:rsid w:val="00A11C84"/>
    <w:rsid w:val="00A11CD0"/>
    <w:rsid w:val="00A12138"/>
    <w:rsid w:val="00A128D1"/>
    <w:rsid w:val="00A13502"/>
    <w:rsid w:val="00A13731"/>
    <w:rsid w:val="00A13948"/>
    <w:rsid w:val="00A14330"/>
    <w:rsid w:val="00A14C3E"/>
    <w:rsid w:val="00A1524B"/>
    <w:rsid w:val="00A1555B"/>
    <w:rsid w:val="00A155C5"/>
    <w:rsid w:val="00A16055"/>
    <w:rsid w:val="00A169B2"/>
    <w:rsid w:val="00A16A89"/>
    <w:rsid w:val="00A16AD8"/>
    <w:rsid w:val="00A16CAC"/>
    <w:rsid w:val="00A1758F"/>
    <w:rsid w:val="00A17B70"/>
    <w:rsid w:val="00A2021E"/>
    <w:rsid w:val="00A20C11"/>
    <w:rsid w:val="00A21C95"/>
    <w:rsid w:val="00A21CF3"/>
    <w:rsid w:val="00A22815"/>
    <w:rsid w:val="00A22BAF"/>
    <w:rsid w:val="00A23358"/>
    <w:rsid w:val="00A2361C"/>
    <w:rsid w:val="00A237D5"/>
    <w:rsid w:val="00A245B1"/>
    <w:rsid w:val="00A24813"/>
    <w:rsid w:val="00A24ED4"/>
    <w:rsid w:val="00A251D8"/>
    <w:rsid w:val="00A25A54"/>
    <w:rsid w:val="00A25DB9"/>
    <w:rsid w:val="00A25FB4"/>
    <w:rsid w:val="00A27AEC"/>
    <w:rsid w:val="00A27BBD"/>
    <w:rsid w:val="00A27EE0"/>
    <w:rsid w:val="00A30F02"/>
    <w:rsid w:val="00A316B7"/>
    <w:rsid w:val="00A318C2"/>
    <w:rsid w:val="00A320D3"/>
    <w:rsid w:val="00A320DB"/>
    <w:rsid w:val="00A3281A"/>
    <w:rsid w:val="00A3382D"/>
    <w:rsid w:val="00A3387D"/>
    <w:rsid w:val="00A33BC2"/>
    <w:rsid w:val="00A33E7A"/>
    <w:rsid w:val="00A343B6"/>
    <w:rsid w:val="00A347BE"/>
    <w:rsid w:val="00A34BC7"/>
    <w:rsid w:val="00A34E2D"/>
    <w:rsid w:val="00A35D16"/>
    <w:rsid w:val="00A36B71"/>
    <w:rsid w:val="00A373AC"/>
    <w:rsid w:val="00A37BCD"/>
    <w:rsid w:val="00A40315"/>
    <w:rsid w:val="00A40362"/>
    <w:rsid w:val="00A40C41"/>
    <w:rsid w:val="00A4134D"/>
    <w:rsid w:val="00A41689"/>
    <w:rsid w:val="00A416A4"/>
    <w:rsid w:val="00A417BB"/>
    <w:rsid w:val="00A41854"/>
    <w:rsid w:val="00A41A9D"/>
    <w:rsid w:val="00A41FCE"/>
    <w:rsid w:val="00A42592"/>
    <w:rsid w:val="00A427A9"/>
    <w:rsid w:val="00A43C59"/>
    <w:rsid w:val="00A44068"/>
    <w:rsid w:val="00A4482A"/>
    <w:rsid w:val="00A4484C"/>
    <w:rsid w:val="00A44912"/>
    <w:rsid w:val="00A45CB8"/>
    <w:rsid w:val="00A45DE5"/>
    <w:rsid w:val="00A460FD"/>
    <w:rsid w:val="00A46564"/>
    <w:rsid w:val="00A46D7C"/>
    <w:rsid w:val="00A46E04"/>
    <w:rsid w:val="00A46E5A"/>
    <w:rsid w:val="00A4705B"/>
    <w:rsid w:val="00A5079C"/>
    <w:rsid w:val="00A5092D"/>
    <w:rsid w:val="00A50B5A"/>
    <w:rsid w:val="00A50C05"/>
    <w:rsid w:val="00A50ECD"/>
    <w:rsid w:val="00A518F3"/>
    <w:rsid w:val="00A51A25"/>
    <w:rsid w:val="00A51F09"/>
    <w:rsid w:val="00A51FD6"/>
    <w:rsid w:val="00A52729"/>
    <w:rsid w:val="00A52738"/>
    <w:rsid w:val="00A5289F"/>
    <w:rsid w:val="00A53675"/>
    <w:rsid w:val="00A53CB0"/>
    <w:rsid w:val="00A53F2F"/>
    <w:rsid w:val="00A543DB"/>
    <w:rsid w:val="00A547E8"/>
    <w:rsid w:val="00A55C2E"/>
    <w:rsid w:val="00A55E19"/>
    <w:rsid w:val="00A560A1"/>
    <w:rsid w:val="00A564D7"/>
    <w:rsid w:val="00A56B6A"/>
    <w:rsid w:val="00A56D2C"/>
    <w:rsid w:val="00A5710E"/>
    <w:rsid w:val="00A578DC"/>
    <w:rsid w:val="00A579C1"/>
    <w:rsid w:val="00A57A6E"/>
    <w:rsid w:val="00A57D2E"/>
    <w:rsid w:val="00A60049"/>
    <w:rsid w:val="00A605CF"/>
    <w:rsid w:val="00A6063D"/>
    <w:rsid w:val="00A61484"/>
    <w:rsid w:val="00A61D3C"/>
    <w:rsid w:val="00A6257F"/>
    <w:rsid w:val="00A63885"/>
    <w:rsid w:val="00A63FF5"/>
    <w:rsid w:val="00A640E2"/>
    <w:rsid w:val="00A64382"/>
    <w:rsid w:val="00A64D65"/>
    <w:rsid w:val="00A6532A"/>
    <w:rsid w:val="00A656E0"/>
    <w:rsid w:val="00A658BA"/>
    <w:rsid w:val="00A65CAD"/>
    <w:rsid w:val="00A65F57"/>
    <w:rsid w:val="00A660CB"/>
    <w:rsid w:val="00A66819"/>
    <w:rsid w:val="00A66F4A"/>
    <w:rsid w:val="00A6725B"/>
    <w:rsid w:val="00A67272"/>
    <w:rsid w:val="00A6780F"/>
    <w:rsid w:val="00A67847"/>
    <w:rsid w:val="00A679FD"/>
    <w:rsid w:val="00A67D1B"/>
    <w:rsid w:val="00A67FA9"/>
    <w:rsid w:val="00A70605"/>
    <w:rsid w:val="00A708B3"/>
    <w:rsid w:val="00A70FFA"/>
    <w:rsid w:val="00A7127D"/>
    <w:rsid w:val="00A71ED9"/>
    <w:rsid w:val="00A71FB3"/>
    <w:rsid w:val="00A7225A"/>
    <w:rsid w:val="00A722D2"/>
    <w:rsid w:val="00A72429"/>
    <w:rsid w:val="00A725C0"/>
    <w:rsid w:val="00A729E8"/>
    <w:rsid w:val="00A73134"/>
    <w:rsid w:val="00A7365A"/>
    <w:rsid w:val="00A73AEF"/>
    <w:rsid w:val="00A7434F"/>
    <w:rsid w:val="00A74E37"/>
    <w:rsid w:val="00A751B8"/>
    <w:rsid w:val="00A75318"/>
    <w:rsid w:val="00A7580C"/>
    <w:rsid w:val="00A76001"/>
    <w:rsid w:val="00A763BD"/>
    <w:rsid w:val="00A76976"/>
    <w:rsid w:val="00A769F3"/>
    <w:rsid w:val="00A771C0"/>
    <w:rsid w:val="00A777B2"/>
    <w:rsid w:val="00A77FDE"/>
    <w:rsid w:val="00A800E1"/>
    <w:rsid w:val="00A803FF"/>
    <w:rsid w:val="00A8054D"/>
    <w:rsid w:val="00A810BC"/>
    <w:rsid w:val="00A81C3A"/>
    <w:rsid w:val="00A82235"/>
    <w:rsid w:val="00A823AA"/>
    <w:rsid w:val="00A825D4"/>
    <w:rsid w:val="00A826DE"/>
    <w:rsid w:val="00A828F6"/>
    <w:rsid w:val="00A82B73"/>
    <w:rsid w:val="00A82DBA"/>
    <w:rsid w:val="00A83098"/>
    <w:rsid w:val="00A837E8"/>
    <w:rsid w:val="00A837FE"/>
    <w:rsid w:val="00A83A15"/>
    <w:rsid w:val="00A83E94"/>
    <w:rsid w:val="00A83F40"/>
    <w:rsid w:val="00A85F75"/>
    <w:rsid w:val="00A8608E"/>
    <w:rsid w:val="00A86777"/>
    <w:rsid w:val="00A86DF1"/>
    <w:rsid w:val="00A86E8B"/>
    <w:rsid w:val="00A87164"/>
    <w:rsid w:val="00A871A9"/>
    <w:rsid w:val="00A8778B"/>
    <w:rsid w:val="00A87863"/>
    <w:rsid w:val="00A879A4"/>
    <w:rsid w:val="00A87B47"/>
    <w:rsid w:val="00A90295"/>
    <w:rsid w:val="00A91D96"/>
    <w:rsid w:val="00A91E8D"/>
    <w:rsid w:val="00A9217B"/>
    <w:rsid w:val="00A92422"/>
    <w:rsid w:val="00A92648"/>
    <w:rsid w:val="00A928B9"/>
    <w:rsid w:val="00A93072"/>
    <w:rsid w:val="00A935AB"/>
    <w:rsid w:val="00A938BD"/>
    <w:rsid w:val="00A93953"/>
    <w:rsid w:val="00A954AE"/>
    <w:rsid w:val="00A959D8"/>
    <w:rsid w:val="00A96477"/>
    <w:rsid w:val="00A968AA"/>
    <w:rsid w:val="00A96FCA"/>
    <w:rsid w:val="00A97091"/>
    <w:rsid w:val="00A97294"/>
    <w:rsid w:val="00A972D2"/>
    <w:rsid w:val="00A977D5"/>
    <w:rsid w:val="00A97A21"/>
    <w:rsid w:val="00AA03BF"/>
    <w:rsid w:val="00AA113D"/>
    <w:rsid w:val="00AA16C6"/>
    <w:rsid w:val="00AA18B5"/>
    <w:rsid w:val="00AA202F"/>
    <w:rsid w:val="00AA2B60"/>
    <w:rsid w:val="00AA2C27"/>
    <w:rsid w:val="00AA3AF1"/>
    <w:rsid w:val="00AA3E8F"/>
    <w:rsid w:val="00AA4218"/>
    <w:rsid w:val="00AA524A"/>
    <w:rsid w:val="00AA52BD"/>
    <w:rsid w:val="00AA5C75"/>
    <w:rsid w:val="00AA6017"/>
    <w:rsid w:val="00AA6BD5"/>
    <w:rsid w:val="00AA6BD8"/>
    <w:rsid w:val="00AA6C7D"/>
    <w:rsid w:val="00AA78DC"/>
    <w:rsid w:val="00AA7B71"/>
    <w:rsid w:val="00AA7FD6"/>
    <w:rsid w:val="00AB042A"/>
    <w:rsid w:val="00AB04E1"/>
    <w:rsid w:val="00AB0FA3"/>
    <w:rsid w:val="00AB11AD"/>
    <w:rsid w:val="00AB19EF"/>
    <w:rsid w:val="00AB1ED3"/>
    <w:rsid w:val="00AB2495"/>
    <w:rsid w:val="00AB2D34"/>
    <w:rsid w:val="00AB3430"/>
    <w:rsid w:val="00AB37B9"/>
    <w:rsid w:val="00AB4008"/>
    <w:rsid w:val="00AB420C"/>
    <w:rsid w:val="00AB4AD1"/>
    <w:rsid w:val="00AB4C22"/>
    <w:rsid w:val="00AB4E3E"/>
    <w:rsid w:val="00AB5CD3"/>
    <w:rsid w:val="00AB5E07"/>
    <w:rsid w:val="00AB67D5"/>
    <w:rsid w:val="00AB6C5F"/>
    <w:rsid w:val="00AB75BC"/>
    <w:rsid w:val="00AB7CFA"/>
    <w:rsid w:val="00AC0378"/>
    <w:rsid w:val="00AC07B3"/>
    <w:rsid w:val="00AC1207"/>
    <w:rsid w:val="00AC23D4"/>
    <w:rsid w:val="00AC2E87"/>
    <w:rsid w:val="00AC35B1"/>
    <w:rsid w:val="00AC35D4"/>
    <w:rsid w:val="00AC3AEB"/>
    <w:rsid w:val="00AC3DA4"/>
    <w:rsid w:val="00AC3DAF"/>
    <w:rsid w:val="00AC4577"/>
    <w:rsid w:val="00AC493E"/>
    <w:rsid w:val="00AC4A1F"/>
    <w:rsid w:val="00AC5B42"/>
    <w:rsid w:val="00AC5B48"/>
    <w:rsid w:val="00AC6430"/>
    <w:rsid w:val="00AC68D5"/>
    <w:rsid w:val="00AC6D91"/>
    <w:rsid w:val="00AD0257"/>
    <w:rsid w:val="00AD0831"/>
    <w:rsid w:val="00AD1450"/>
    <w:rsid w:val="00AD148B"/>
    <w:rsid w:val="00AD15E8"/>
    <w:rsid w:val="00AD1F28"/>
    <w:rsid w:val="00AD2001"/>
    <w:rsid w:val="00AD212C"/>
    <w:rsid w:val="00AD2398"/>
    <w:rsid w:val="00AD262D"/>
    <w:rsid w:val="00AD2643"/>
    <w:rsid w:val="00AD27E5"/>
    <w:rsid w:val="00AD2BD0"/>
    <w:rsid w:val="00AD356D"/>
    <w:rsid w:val="00AD367A"/>
    <w:rsid w:val="00AD3917"/>
    <w:rsid w:val="00AD3A51"/>
    <w:rsid w:val="00AD412C"/>
    <w:rsid w:val="00AD4164"/>
    <w:rsid w:val="00AD43AB"/>
    <w:rsid w:val="00AD443A"/>
    <w:rsid w:val="00AD5DBA"/>
    <w:rsid w:val="00AD62ED"/>
    <w:rsid w:val="00AD6502"/>
    <w:rsid w:val="00AD6B43"/>
    <w:rsid w:val="00AD7034"/>
    <w:rsid w:val="00AD73C2"/>
    <w:rsid w:val="00AD74A6"/>
    <w:rsid w:val="00AE04DA"/>
    <w:rsid w:val="00AE0695"/>
    <w:rsid w:val="00AE0D6E"/>
    <w:rsid w:val="00AE1A42"/>
    <w:rsid w:val="00AE1CD3"/>
    <w:rsid w:val="00AE2967"/>
    <w:rsid w:val="00AE2D35"/>
    <w:rsid w:val="00AE2D7F"/>
    <w:rsid w:val="00AE36C7"/>
    <w:rsid w:val="00AE3808"/>
    <w:rsid w:val="00AE381C"/>
    <w:rsid w:val="00AE3A30"/>
    <w:rsid w:val="00AE3E0F"/>
    <w:rsid w:val="00AE3E7E"/>
    <w:rsid w:val="00AE4405"/>
    <w:rsid w:val="00AE4B0C"/>
    <w:rsid w:val="00AE529D"/>
    <w:rsid w:val="00AE52E6"/>
    <w:rsid w:val="00AE600F"/>
    <w:rsid w:val="00AE6188"/>
    <w:rsid w:val="00AE620B"/>
    <w:rsid w:val="00AE64B3"/>
    <w:rsid w:val="00AE6B90"/>
    <w:rsid w:val="00AE6D23"/>
    <w:rsid w:val="00AE6E62"/>
    <w:rsid w:val="00AE7E53"/>
    <w:rsid w:val="00AF02AF"/>
    <w:rsid w:val="00AF0EE1"/>
    <w:rsid w:val="00AF1315"/>
    <w:rsid w:val="00AF133D"/>
    <w:rsid w:val="00AF19BF"/>
    <w:rsid w:val="00AF1BCC"/>
    <w:rsid w:val="00AF1C03"/>
    <w:rsid w:val="00AF1C18"/>
    <w:rsid w:val="00AF277A"/>
    <w:rsid w:val="00AF27C0"/>
    <w:rsid w:val="00AF2DC3"/>
    <w:rsid w:val="00AF31C9"/>
    <w:rsid w:val="00AF3B7D"/>
    <w:rsid w:val="00AF49D3"/>
    <w:rsid w:val="00AF5221"/>
    <w:rsid w:val="00AF5795"/>
    <w:rsid w:val="00AF59E5"/>
    <w:rsid w:val="00AF683E"/>
    <w:rsid w:val="00AF6D48"/>
    <w:rsid w:val="00AF75E6"/>
    <w:rsid w:val="00AF76B2"/>
    <w:rsid w:val="00B0023D"/>
    <w:rsid w:val="00B005CF"/>
    <w:rsid w:val="00B00DB6"/>
    <w:rsid w:val="00B011F7"/>
    <w:rsid w:val="00B017D1"/>
    <w:rsid w:val="00B021C3"/>
    <w:rsid w:val="00B025C2"/>
    <w:rsid w:val="00B025FA"/>
    <w:rsid w:val="00B033E5"/>
    <w:rsid w:val="00B037F3"/>
    <w:rsid w:val="00B03A63"/>
    <w:rsid w:val="00B04269"/>
    <w:rsid w:val="00B058A4"/>
    <w:rsid w:val="00B06511"/>
    <w:rsid w:val="00B06591"/>
    <w:rsid w:val="00B069AC"/>
    <w:rsid w:val="00B070C0"/>
    <w:rsid w:val="00B071EE"/>
    <w:rsid w:val="00B10026"/>
    <w:rsid w:val="00B10276"/>
    <w:rsid w:val="00B108BF"/>
    <w:rsid w:val="00B109A6"/>
    <w:rsid w:val="00B11DDF"/>
    <w:rsid w:val="00B121CE"/>
    <w:rsid w:val="00B1268B"/>
    <w:rsid w:val="00B129A4"/>
    <w:rsid w:val="00B12C28"/>
    <w:rsid w:val="00B13374"/>
    <w:rsid w:val="00B148E0"/>
    <w:rsid w:val="00B1495B"/>
    <w:rsid w:val="00B14A89"/>
    <w:rsid w:val="00B14F25"/>
    <w:rsid w:val="00B15048"/>
    <w:rsid w:val="00B1570F"/>
    <w:rsid w:val="00B161BE"/>
    <w:rsid w:val="00B166E2"/>
    <w:rsid w:val="00B16FF3"/>
    <w:rsid w:val="00B17071"/>
    <w:rsid w:val="00B1712D"/>
    <w:rsid w:val="00B17BEE"/>
    <w:rsid w:val="00B200D5"/>
    <w:rsid w:val="00B201A4"/>
    <w:rsid w:val="00B201D1"/>
    <w:rsid w:val="00B210AA"/>
    <w:rsid w:val="00B21202"/>
    <w:rsid w:val="00B213A6"/>
    <w:rsid w:val="00B21D3A"/>
    <w:rsid w:val="00B22349"/>
    <w:rsid w:val="00B22909"/>
    <w:rsid w:val="00B22BD4"/>
    <w:rsid w:val="00B22ED5"/>
    <w:rsid w:val="00B232B3"/>
    <w:rsid w:val="00B235B0"/>
    <w:rsid w:val="00B23625"/>
    <w:rsid w:val="00B245F6"/>
    <w:rsid w:val="00B2478C"/>
    <w:rsid w:val="00B24D51"/>
    <w:rsid w:val="00B24DF6"/>
    <w:rsid w:val="00B25320"/>
    <w:rsid w:val="00B25CBA"/>
    <w:rsid w:val="00B266AE"/>
    <w:rsid w:val="00B2671F"/>
    <w:rsid w:val="00B277E1"/>
    <w:rsid w:val="00B27842"/>
    <w:rsid w:val="00B27A61"/>
    <w:rsid w:val="00B27B2D"/>
    <w:rsid w:val="00B27B8C"/>
    <w:rsid w:val="00B30467"/>
    <w:rsid w:val="00B309FE"/>
    <w:rsid w:val="00B30D5A"/>
    <w:rsid w:val="00B3117C"/>
    <w:rsid w:val="00B3148B"/>
    <w:rsid w:val="00B3159F"/>
    <w:rsid w:val="00B31FD5"/>
    <w:rsid w:val="00B324AD"/>
    <w:rsid w:val="00B3271B"/>
    <w:rsid w:val="00B32DAA"/>
    <w:rsid w:val="00B33B5C"/>
    <w:rsid w:val="00B33E3F"/>
    <w:rsid w:val="00B34560"/>
    <w:rsid w:val="00B347A7"/>
    <w:rsid w:val="00B347D4"/>
    <w:rsid w:val="00B34A72"/>
    <w:rsid w:val="00B34CA8"/>
    <w:rsid w:val="00B34FE2"/>
    <w:rsid w:val="00B35100"/>
    <w:rsid w:val="00B35166"/>
    <w:rsid w:val="00B357D8"/>
    <w:rsid w:val="00B357E2"/>
    <w:rsid w:val="00B35B25"/>
    <w:rsid w:val="00B35FB9"/>
    <w:rsid w:val="00B360F4"/>
    <w:rsid w:val="00B36A00"/>
    <w:rsid w:val="00B3768F"/>
    <w:rsid w:val="00B3792B"/>
    <w:rsid w:val="00B37BFC"/>
    <w:rsid w:val="00B37C23"/>
    <w:rsid w:val="00B40358"/>
    <w:rsid w:val="00B413EC"/>
    <w:rsid w:val="00B41614"/>
    <w:rsid w:val="00B41D6C"/>
    <w:rsid w:val="00B42845"/>
    <w:rsid w:val="00B42851"/>
    <w:rsid w:val="00B42BF4"/>
    <w:rsid w:val="00B42F80"/>
    <w:rsid w:val="00B4335E"/>
    <w:rsid w:val="00B435CB"/>
    <w:rsid w:val="00B438B6"/>
    <w:rsid w:val="00B4434D"/>
    <w:rsid w:val="00B450C3"/>
    <w:rsid w:val="00B450DF"/>
    <w:rsid w:val="00B45B0F"/>
    <w:rsid w:val="00B45FFD"/>
    <w:rsid w:val="00B46118"/>
    <w:rsid w:val="00B4613D"/>
    <w:rsid w:val="00B46396"/>
    <w:rsid w:val="00B46486"/>
    <w:rsid w:val="00B465EC"/>
    <w:rsid w:val="00B46DF8"/>
    <w:rsid w:val="00B477BD"/>
    <w:rsid w:val="00B47DD4"/>
    <w:rsid w:val="00B50374"/>
    <w:rsid w:val="00B505C8"/>
    <w:rsid w:val="00B50806"/>
    <w:rsid w:val="00B50DB8"/>
    <w:rsid w:val="00B50F7C"/>
    <w:rsid w:val="00B521D6"/>
    <w:rsid w:val="00B53247"/>
    <w:rsid w:val="00B53409"/>
    <w:rsid w:val="00B53654"/>
    <w:rsid w:val="00B5370E"/>
    <w:rsid w:val="00B53883"/>
    <w:rsid w:val="00B53905"/>
    <w:rsid w:val="00B53B26"/>
    <w:rsid w:val="00B546DB"/>
    <w:rsid w:val="00B54922"/>
    <w:rsid w:val="00B54B5B"/>
    <w:rsid w:val="00B55060"/>
    <w:rsid w:val="00B5562E"/>
    <w:rsid w:val="00B55862"/>
    <w:rsid w:val="00B55D65"/>
    <w:rsid w:val="00B56001"/>
    <w:rsid w:val="00B56305"/>
    <w:rsid w:val="00B56622"/>
    <w:rsid w:val="00B57000"/>
    <w:rsid w:val="00B57F80"/>
    <w:rsid w:val="00B6049A"/>
    <w:rsid w:val="00B60939"/>
    <w:rsid w:val="00B60AFD"/>
    <w:rsid w:val="00B61448"/>
    <w:rsid w:val="00B618CF"/>
    <w:rsid w:val="00B62658"/>
    <w:rsid w:val="00B62715"/>
    <w:rsid w:val="00B62992"/>
    <w:rsid w:val="00B63076"/>
    <w:rsid w:val="00B630C5"/>
    <w:rsid w:val="00B6311C"/>
    <w:rsid w:val="00B631F9"/>
    <w:rsid w:val="00B63A8F"/>
    <w:rsid w:val="00B63BBD"/>
    <w:rsid w:val="00B63D42"/>
    <w:rsid w:val="00B6401E"/>
    <w:rsid w:val="00B6434D"/>
    <w:rsid w:val="00B64B06"/>
    <w:rsid w:val="00B65259"/>
    <w:rsid w:val="00B655D4"/>
    <w:rsid w:val="00B65611"/>
    <w:rsid w:val="00B65717"/>
    <w:rsid w:val="00B6576B"/>
    <w:rsid w:val="00B66B29"/>
    <w:rsid w:val="00B66EAD"/>
    <w:rsid w:val="00B677BA"/>
    <w:rsid w:val="00B702BA"/>
    <w:rsid w:val="00B706A5"/>
    <w:rsid w:val="00B70881"/>
    <w:rsid w:val="00B70E8E"/>
    <w:rsid w:val="00B70E9C"/>
    <w:rsid w:val="00B71E27"/>
    <w:rsid w:val="00B721D2"/>
    <w:rsid w:val="00B72DA2"/>
    <w:rsid w:val="00B73C73"/>
    <w:rsid w:val="00B74A1E"/>
    <w:rsid w:val="00B74B50"/>
    <w:rsid w:val="00B74BF5"/>
    <w:rsid w:val="00B7543C"/>
    <w:rsid w:val="00B75E73"/>
    <w:rsid w:val="00B75EA0"/>
    <w:rsid w:val="00B76C92"/>
    <w:rsid w:val="00B76F88"/>
    <w:rsid w:val="00B77CBA"/>
    <w:rsid w:val="00B77EE4"/>
    <w:rsid w:val="00B801EB"/>
    <w:rsid w:val="00B804F7"/>
    <w:rsid w:val="00B80BCC"/>
    <w:rsid w:val="00B80EFD"/>
    <w:rsid w:val="00B80F4A"/>
    <w:rsid w:val="00B818A4"/>
    <w:rsid w:val="00B81CF9"/>
    <w:rsid w:val="00B8204A"/>
    <w:rsid w:val="00B82511"/>
    <w:rsid w:val="00B82D4A"/>
    <w:rsid w:val="00B83739"/>
    <w:rsid w:val="00B84117"/>
    <w:rsid w:val="00B8444A"/>
    <w:rsid w:val="00B849D0"/>
    <w:rsid w:val="00B84DD2"/>
    <w:rsid w:val="00B85597"/>
    <w:rsid w:val="00B858F0"/>
    <w:rsid w:val="00B85AA2"/>
    <w:rsid w:val="00B8649C"/>
    <w:rsid w:val="00B86590"/>
    <w:rsid w:val="00B868EF"/>
    <w:rsid w:val="00B8695D"/>
    <w:rsid w:val="00B86B04"/>
    <w:rsid w:val="00B8708D"/>
    <w:rsid w:val="00B8744F"/>
    <w:rsid w:val="00B87F0A"/>
    <w:rsid w:val="00B90BCB"/>
    <w:rsid w:val="00B90C4B"/>
    <w:rsid w:val="00B910D1"/>
    <w:rsid w:val="00B911B9"/>
    <w:rsid w:val="00B91628"/>
    <w:rsid w:val="00B916BB"/>
    <w:rsid w:val="00B917F5"/>
    <w:rsid w:val="00B923A0"/>
    <w:rsid w:val="00B92D0B"/>
    <w:rsid w:val="00B9402A"/>
    <w:rsid w:val="00B944D0"/>
    <w:rsid w:val="00B94945"/>
    <w:rsid w:val="00B94B9F"/>
    <w:rsid w:val="00B94DD6"/>
    <w:rsid w:val="00B94F6C"/>
    <w:rsid w:val="00B96044"/>
    <w:rsid w:val="00B960D4"/>
    <w:rsid w:val="00B96185"/>
    <w:rsid w:val="00B9798E"/>
    <w:rsid w:val="00BA0A67"/>
    <w:rsid w:val="00BA1D4D"/>
    <w:rsid w:val="00BA1EA4"/>
    <w:rsid w:val="00BA251F"/>
    <w:rsid w:val="00BA322D"/>
    <w:rsid w:val="00BA3DD5"/>
    <w:rsid w:val="00BA410E"/>
    <w:rsid w:val="00BA42AD"/>
    <w:rsid w:val="00BA43A9"/>
    <w:rsid w:val="00BA4FC5"/>
    <w:rsid w:val="00BA5380"/>
    <w:rsid w:val="00BA5854"/>
    <w:rsid w:val="00BA61FE"/>
    <w:rsid w:val="00BA63FA"/>
    <w:rsid w:val="00BA6EAE"/>
    <w:rsid w:val="00BA6F35"/>
    <w:rsid w:val="00BA79C7"/>
    <w:rsid w:val="00BB00B3"/>
    <w:rsid w:val="00BB018D"/>
    <w:rsid w:val="00BB07E8"/>
    <w:rsid w:val="00BB0BDD"/>
    <w:rsid w:val="00BB10C7"/>
    <w:rsid w:val="00BB176C"/>
    <w:rsid w:val="00BB2822"/>
    <w:rsid w:val="00BB2837"/>
    <w:rsid w:val="00BB299B"/>
    <w:rsid w:val="00BB2A73"/>
    <w:rsid w:val="00BB326C"/>
    <w:rsid w:val="00BB326E"/>
    <w:rsid w:val="00BB3757"/>
    <w:rsid w:val="00BB3A45"/>
    <w:rsid w:val="00BB41A8"/>
    <w:rsid w:val="00BB42E4"/>
    <w:rsid w:val="00BB4ACC"/>
    <w:rsid w:val="00BB4B63"/>
    <w:rsid w:val="00BB6663"/>
    <w:rsid w:val="00BB6795"/>
    <w:rsid w:val="00BB6943"/>
    <w:rsid w:val="00BB6D5F"/>
    <w:rsid w:val="00BB6DA1"/>
    <w:rsid w:val="00BB703E"/>
    <w:rsid w:val="00BB732D"/>
    <w:rsid w:val="00BB7405"/>
    <w:rsid w:val="00BB7677"/>
    <w:rsid w:val="00BB77BE"/>
    <w:rsid w:val="00BB7D34"/>
    <w:rsid w:val="00BC06C2"/>
    <w:rsid w:val="00BC1136"/>
    <w:rsid w:val="00BC14A1"/>
    <w:rsid w:val="00BC1CD9"/>
    <w:rsid w:val="00BC1F17"/>
    <w:rsid w:val="00BC1F86"/>
    <w:rsid w:val="00BC2322"/>
    <w:rsid w:val="00BC31F9"/>
    <w:rsid w:val="00BC3631"/>
    <w:rsid w:val="00BC363E"/>
    <w:rsid w:val="00BC4295"/>
    <w:rsid w:val="00BC569C"/>
    <w:rsid w:val="00BC584C"/>
    <w:rsid w:val="00BC591F"/>
    <w:rsid w:val="00BC59C0"/>
    <w:rsid w:val="00BC63EE"/>
    <w:rsid w:val="00BC7837"/>
    <w:rsid w:val="00BC7BD9"/>
    <w:rsid w:val="00BC7D6D"/>
    <w:rsid w:val="00BD0071"/>
    <w:rsid w:val="00BD0228"/>
    <w:rsid w:val="00BD06D1"/>
    <w:rsid w:val="00BD0946"/>
    <w:rsid w:val="00BD0A51"/>
    <w:rsid w:val="00BD1785"/>
    <w:rsid w:val="00BD207B"/>
    <w:rsid w:val="00BD2108"/>
    <w:rsid w:val="00BD2D86"/>
    <w:rsid w:val="00BD3355"/>
    <w:rsid w:val="00BD35DA"/>
    <w:rsid w:val="00BD393C"/>
    <w:rsid w:val="00BD5494"/>
    <w:rsid w:val="00BD5A48"/>
    <w:rsid w:val="00BD68A3"/>
    <w:rsid w:val="00BD6938"/>
    <w:rsid w:val="00BD6CDE"/>
    <w:rsid w:val="00BD6CF3"/>
    <w:rsid w:val="00BD7F72"/>
    <w:rsid w:val="00BE0640"/>
    <w:rsid w:val="00BE0ECA"/>
    <w:rsid w:val="00BE1391"/>
    <w:rsid w:val="00BE1CCC"/>
    <w:rsid w:val="00BE2180"/>
    <w:rsid w:val="00BE21F2"/>
    <w:rsid w:val="00BE22EE"/>
    <w:rsid w:val="00BE2550"/>
    <w:rsid w:val="00BE26F2"/>
    <w:rsid w:val="00BE2AAB"/>
    <w:rsid w:val="00BE385A"/>
    <w:rsid w:val="00BE3C47"/>
    <w:rsid w:val="00BE4275"/>
    <w:rsid w:val="00BE4590"/>
    <w:rsid w:val="00BE466A"/>
    <w:rsid w:val="00BE466E"/>
    <w:rsid w:val="00BE4861"/>
    <w:rsid w:val="00BE4C6F"/>
    <w:rsid w:val="00BE588A"/>
    <w:rsid w:val="00BE5AAE"/>
    <w:rsid w:val="00BE5FDD"/>
    <w:rsid w:val="00BE64FA"/>
    <w:rsid w:val="00BE68BB"/>
    <w:rsid w:val="00BE715C"/>
    <w:rsid w:val="00BE73F5"/>
    <w:rsid w:val="00BE7881"/>
    <w:rsid w:val="00BE78B4"/>
    <w:rsid w:val="00BE7901"/>
    <w:rsid w:val="00BE7975"/>
    <w:rsid w:val="00BE7DA0"/>
    <w:rsid w:val="00BF01B3"/>
    <w:rsid w:val="00BF054A"/>
    <w:rsid w:val="00BF06AE"/>
    <w:rsid w:val="00BF0C55"/>
    <w:rsid w:val="00BF0ED8"/>
    <w:rsid w:val="00BF0F95"/>
    <w:rsid w:val="00BF0FCA"/>
    <w:rsid w:val="00BF1457"/>
    <w:rsid w:val="00BF1BFD"/>
    <w:rsid w:val="00BF2283"/>
    <w:rsid w:val="00BF229B"/>
    <w:rsid w:val="00BF2433"/>
    <w:rsid w:val="00BF2E6E"/>
    <w:rsid w:val="00BF3043"/>
    <w:rsid w:val="00BF48BD"/>
    <w:rsid w:val="00BF55BB"/>
    <w:rsid w:val="00BF6128"/>
    <w:rsid w:val="00BF61C9"/>
    <w:rsid w:val="00BF6B9F"/>
    <w:rsid w:val="00BF6C5C"/>
    <w:rsid w:val="00BF6C94"/>
    <w:rsid w:val="00BF6EB2"/>
    <w:rsid w:val="00BF71BC"/>
    <w:rsid w:val="00BF7443"/>
    <w:rsid w:val="00BF7CE3"/>
    <w:rsid w:val="00C000C5"/>
    <w:rsid w:val="00C002ED"/>
    <w:rsid w:val="00C00424"/>
    <w:rsid w:val="00C00514"/>
    <w:rsid w:val="00C00609"/>
    <w:rsid w:val="00C00881"/>
    <w:rsid w:val="00C00BB0"/>
    <w:rsid w:val="00C01596"/>
    <w:rsid w:val="00C01648"/>
    <w:rsid w:val="00C01926"/>
    <w:rsid w:val="00C01A8D"/>
    <w:rsid w:val="00C01ED0"/>
    <w:rsid w:val="00C02336"/>
    <w:rsid w:val="00C02573"/>
    <w:rsid w:val="00C025BB"/>
    <w:rsid w:val="00C0324C"/>
    <w:rsid w:val="00C032ED"/>
    <w:rsid w:val="00C042D3"/>
    <w:rsid w:val="00C04617"/>
    <w:rsid w:val="00C04C9C"/>
    <w:rsid w:val="00C05574"/>
    <w:rsid w:val="00C0668F"/>
    <w:rsid w:val="00C06886"/>
    <w:rsid w:val="00C06B41"/>
    <w:rsid w:val="00C075D4"/>
    <w:rsid w:val="00C07935"/>
    <w:rsid w:val="00C07DAB"/>
    <w:rsid w:val="00C07F2E"/>
    <w:rsid w:val="00C11625"/>
    <w:rsid w:val="00C1179F"/>
    <w:rsid w:val="00C11BB1"/>
    <w:rsid w:val="00C127B9"/>
    <w:rsid w:val="00C128FA"/>
    <w:rsid w:val="00C129BC"/>
    <w:rsid w:val="00C12C14"/>
    <w:rsid w:val="00C1365C"/>
    <w:rsid w:val="00C1367E"/>
    <w:rsid w:val="00C138A7"/>
    <w:rsid w:val="00C14366"/>
    <w:rsid w:val="00C1559B"/>
    <w:rsid w:val="00C15F04"/>
    <w:rsid w:val="00C177D8"/>
    <w:rsid w:val="00C178AD"/>
    <w:rsid w:val="00C179B3"/>
    <w:rsid w:val="00C17D19"/>
    <w:rsid w:val="00C17E3F"/>
    <w:rsid w:val="00C200AA"/>
    <w:rsid w:val="00C201C8"/>
    <w:rsid w:val="00C208F8"/>
    <w:rsid w:val="00C20DE4"/>
    <w:rsid w:val="00C20EDA"/>
    <w:rsid w:val="00C219A4"/>
    <w:rsid w:val="00C223B4"/>
    <w:rsid w:val="00C2349A"/>
    <w:rsid w:val="00C237ED"/>
    <w:rsid w:val="00C24632"/>
    <w:rsid w:val="00C24D5D"/>
    <w:rsid w:val="00C24DA2"/>
    <w:rsid w:val="00C25418"/>
    <w:rsid w:val="00C257EC"/>
    <w:rsid w:val="00C2595B"/>
    <w:rsid w:val="00C25D9C"/>
    <w:rsid w:val="00C2732E"/>
    <w:rsid w:val="00C274A0"/>
    <w:rsid w:val="00C2778B"/>
    <w:rsid w:val="00C279B7"/>
    <w:rsid w:val="00C27DE3"/>
    <w:rsid w:val="00C27E2E"/>
    <w:rsid w:val="00C300C2"/>
    <w:rsid w:val="00C3088E"/>
    <w:rsid w:val="00C30AA0"/>
    <w:rsid w:val="00C31416"/>
    <w:rsid w:val="00C31649"/>
    <w:rsid w:val="00C316B4"/>
    <w:rsid w:val="00C31C9A"/>
    <w:rsid w:val="00C33323"/>
    <w:rsid w:val="00C33906"/>
    <w:rsid w:val="00C33A1F"/>
    <w:rsid w:val="00C3412A"/>
    <w:rsid w:val="00C3434C"/>
    <w:rsid w:val="00C34E92"/>
    <w:rsid w:val="00C34EA2"/>
    <w:rsid w:val="00C351DE"/>
    <w:rsid w:val="00C35863"/>
    <w:rsid w:val="00C36324"/>
    <w:rsid w:val="00C37D2C"/>
    <w:rsid w:val="00C40385"/>
    <w:rsid w:val="00C41768"/>
    <w:rsid w:val="00C41899"/>
    <w:rsid w:val="00C41D82"/>
    <w:rsid w:val="00C433CD"/>
    <w:rsid w:val="00C43A5A"/>
    <w:rsid w:val="00C43D2C"/>
    <w:rsid w:val="00C44712"/>
    <w:rsid w:val="00C44BCC"/>
    <w:rsid w:val="00C44F5F"/>
    <w:rsid w:val="00C45323"/>
    <w:rsid w:val="00C4687F"/>
    <w:rsid w:val="00C475AA"/>
    <w:rsid w:val="00C4783C"/>
    <w:rsid w:val="00C507A0"/>
    <w:rsid w:val="00C50AD1"/>
    <w:rsid w:val="00C51523"/>
    <w:rsid w:val="00C51F85"/>
    <w:rsid w:val="00C52426"/>
    <w:rsid w:val="00C52619"/>
    <w:rsid w:val="00C527C7"/>
    <w:rsid w:val="00C529A3"/>
    <w:rsid w:val="00C539E1"/>
    <w:rsid w:val="00C53C98"/>
    <w:rsid w:val="00C53C9C"/>
    <w:rsid w:val="00C54D8E"/>
    <w:rsid w:val="00C555D3"/>
    <w:rsid w:val="00C55BB1"/>
    <w:rsid w:val="00C55CB7"/>
    <w:rsid w:val="00C56383"/>
    <w:rsid w:val="00C5697F"/>
    <w:rsid w:val="00C56FCF"/>
    <w:rsid w:val="00C572AD"/>
    <w:rsid w:val="00C57376"/>
    <w:rsid w:val="00C57B6C"/>
    <w:rsid w:val="00C57DA2"/>
    <w:rsid w:val="00C602C4"/>
    <w:rsid w:val="00C6038C"/>
    <w:rsid w:val="00C611B9"/>
    <w:rsid w:val="00C61354"/>
    <w:rsid w:val="00C61A59"/>
    <w:rsid w:val="00C61D07"/>
    <w:rsid w:val="00C620FB"/>
    <w:rsid w:val="00C621C5"/>
    <w:rsid w:val="00C628A6"/>
    <w:rsid w:val="00C62A2E"/>
    <w:rsid w:val="00C64344"/>
    <w:rsid w:val="00C648CA"/>
    <w:rsid w:val="00C64D39"/>
    <w:rsid w:val="00C65108"/>
    <w:rsid w:val="00C65576"/>
    <w:rsid w:val="00C655E6"/>
    <w:rsid w:val="00C65832"/>
    <w:rsid w:val="00C66165"/>
    <w:rsid w:val="00C6646E"/>
    <w:rsid w:val="00C66D10"/>
    <w:rsid w:val="00C671A2"/>
    <w:rsid w:val="00C67501"/>
    <w:rsid w:val="00C7048F"/>
    <w:rsid w:val="00C7060A"/>
    <w:rsid w:val="00C710BC"/>
    <w:rsid w:val="00C7119D"/>
    <w:rsid w:val="00C7151A"/>
    <w:rsid w:val="00C717E3"/>
    <w:rsid w:val="00C7189F"/>
    <w:rsid w:val="00C71979"/>
    <w:rsid w:val="00C71AAC"/>
    <w:rsid w:val="00C71F60"/>
    <w:rsid w:val="00C71F72"/>
    <w:rsid w:val="00C72241"/>
    <w:rsid w:val="00C7281C"/>
    <w:rsid w:val="00C73173"/>
    <w:rsid w:val="00C732D3"/>
    <w:rsid w:val="00C7358B"/>
    <w:rsid w:val="00C7363E"/>
    <w:rsid w:val="00C73797"/>
    <w:rsid w:val="00C738B9"/>
    <w:rsid w:val="00C7412F"/>
    <w:rsid w:val="00C748C9"/>
    <w:rsid w:val="00C74AA2"/>
    <w:rsid w:val="00C75096"/>
    <w:rsid w:val="00C750B1"/>
    <w:rsid w:val="00C750C8"/>
    <w:rsid w:val="00C7560F"/>
    <w:rsid w:val="00C779C3"/>
    <w:rsid w:val="00C77E81"/>
    <w:rsid w:val="00C8081E"/>
    <w:rsid w:val="00C80936"/>
    <w:rsid w:val="00C80A0E"/>
    <w:rsid w:val="00C80B69"/>
    <w:rsid w:val="00C80BB6"/>
    <w:rsid w:val="00C80C52"/>
    <w:rsid w:val="00C81708"/>
    <w:rsid w:val="00C81C53"/>
    <w:rsid w:val="00C8211F"/>
    <w:rsid w:val="00C8213F"/>
    <w:rsid w:val="00C8247B"/>
    <w:rsid w:val="00C82C62"/>
    <w:rsid w:val="00C8303F"/>
    <w:rsid w:val="00C833B8"/>
    <w:rsid w:val="00C84226"/>
    <w:rsid w:val="00C844BD"/>
    <w:rsid w:val="00C84C2D"/>
    <w:rsid w:val="00C84F17"/>
    <w:rsid w:val="00C85154"/>
    <w:rsid w:val="00C85A70"/>
    <w:rsid w:val="00C85EF0"/>
    <w:rsid w:val="00C86727"/>
    <w:rsid w:val="00C8797A"/>
    <w:rsid w:val="00C87D9A"/>
    <w:rsid w:val="00C900B8"/>
    <w:rsid w:val="00C90197"/>
    <w:rsid w:val="00C906CF"/>
    <w:rsid w:val="00C907E1"/>
    <w:rsid w:val="00C90A9A"/>
    <w:rsid w:val="00C90C71"/>
    <w:rsid w:val="00C91011"/>
    <w:rsid w:val="00C9143E"/>
    <w:rsid w:val="00C91839"/>
    <w:rsid w:val="00C91ADB"/>
    <w:rsid w:val="00C91FD1"/>
    <w:rsid w:val="00C91FDC"/>
    <w:rsid w:val="00C92BBA"/>
    <w:rsid w:val="00C931CF"/>
    <w:rsid w:val="00C93673"/>
    <w:rsid w:val="00C938CF"/>
    <w:rsid w:val="00C939F3"/>
    <w:rsid w:val="00C93D6C"/>
    <w:rsid w:val="00C94053"/>
    <w:rsid w:val="00C94727"/>
    <w:rsid w:val="00C947E8"/>
    <w:rsid w:val="00C95006"/>
    <w:rsid w:val="00C95955"/>
    <w:rsid w:val="00C9624D"/>
    <w:rsid w:val="00C96289"/>
    <w:rsid w:val="00C969DA"/>
    <w:rsid w:val="00C96D80"/>
    <w:rsid w:val="00C97057"/>
    <w:rsid w:val="00C97201"/>
    <w:rsid w:val="00C97EC9"/>
    <w:rsid w:val="00CA04FA"/>
    <w:rsid w:val="00CA09D5"/>
    <w:rsid w:val="00CA1906"/>
    <w:rsid w:val="00CA1947"/>
    <w:rsid w:val="00CA1A1A"/>
    <w:rsid w:val="00CA21F0"/>
    <w:rsid w:val="00CA2502"/>
    <w:rsid w:val="00CA27B3"/>
    <w:rsid w:val="00CA2C15"/>
    <w:rsid w:val="00CA2C77"/>
    <w:rsid w:val="00CA301B"/>
    <w:rsid w:val="00CA3572"/>
    <w:rsid w:val="00CA35BA"/>
    <w:rsid w:val="00CA363A"/>
    <w:rsid w:val="00CA366A"/>
    <w:rsid w:val="00CA444F"/>
    <w:rsid w:val="00CA5029"/>
    <w:rsid w:val="00CA51EC"/>
    <w:rsid w:val="00CA520B"/>
    <w:rsid w:val="00CA5245"/>
    <w:rsid w:val="00CA53BA"/>
    <w:rsid w:val="00CA5666"/>
    <w:rsid w:val="00CA6D38"/>
    <w:rsid w:val="00CA71F4"/>
    <w:rsid w:val="00CA77CD"/>
    <w:rsid w:val="00CA7B09"/>
    <w:rsid w:val="00CB12A5"/>
    <w:rsid w:val="00CB13EB"/>
    <w:rsid w:val="00CB1CAC"/>
    <w:rsid w:val="00CB23F6"/>
    <w:rsid w:val="00CB24CE"/>
    <w:rsid w:val="00CB2F2A"/>
    <w:rsid w:val="00CB31BD"/>
    <w:rsid w:val="00CB3BE4"/>
    <w:rsid w:val="00CB3F6A"/>
    <w:rsid w:val="00CB496A"/>
    <w:rsid w:val="00CB58D3"/>
    <w:rsid w:val="00CB5B1A"/>
    <w:rsid w:val="00CB5EB9"/>
    <w:rsid w:val="00CB5ED2"/>
    <w:rsid w:val="00CB67CB"/>
    <w:rsid w:val="00CB6808"/>
    <w:rsid w:val="00CB6B22"/>
    <w:rsid w:val="00CB707E"/>
    <w:rsid w:val="00CB7F5F"/>
    <w:rsid w:val="00CC199B"/>
    <w:rsid w:val="00CC1B39"/>
    <w:rsid w:val="00CC1BFA"/>
    <w:rsid w:val="00CC223A"/>
    <w:rsid w:val="00CC27F1"/>
    <w:rsid w:val="00CC2E9F"/>
    <w:rsid w:val="00CC35EA"/>
    <w:rsid w:val="00CC3848"/>
    <w:rsid w:val="00CC51D2"/>
    <w:rsid w:val="00CC57E8"/>
    <w:rsid w:val="00CC64C5"/>
    <w:rsid w:val="00CC6BA3"/>
    <w:rsid w:val="00CC6D1B"/>
    <w:rsid w:val="00CC6D5E"/>
    <w:rsid w:val="00CD0200"/>
    <w:rsid w:val="00CD0500"/>
    <w:rsid w:val="00CD0F5E"/>
    <w:rsid w:val="00CD1149"/>
    <w:rsid w:val="00CD1D33"/>
    <w:rsid w:val="00CD1E6C"/>
    <w:rsid w:val="00CD21D5"/>
    <w:rsid w:val="00CD23B6"/>
    <w:rsid w:val="00CD2DA0"/>
    <w:rsid w:val="00CD3256"/>
    <w:rsid w:val="00CD348C"/>
    <w:rsid w:val="00CD3C9A"/>
    <w:rsid w:val="00CD3ECF"/>
    <w:rsid w:val="00CD3F77"/>
    <w:rsid w:val="00CD444E"/>
    <w:rsid w:val="00CD4634"/>
    <w:rsid w:val="00CD4B99"/>
    <w:rsid w:val="00CD4C3B"/>
    <w:rsid w:val="00CD57CA"/>
    <w:rsid w:val="00CD5E1A"/>
    <w:rsid w:val="00CD5E32"/>
    <w:rsid w:val="00CD6ADC"/>
    <w:rsid w:val="00CD6C45"/>
    <w:rsid w:val="00CD6F7A"/>
    <w:rsid w:val="00CD7193"/>
    <w:rsid w:val="00CD78E1"/>
    <w:rsid w:val="00CD7EDC"/>
    <w:rsid w:val="00CD7EEE"/>
    <w:rsid w:val="00CE023B"/>
    <w:rsid w:val="00CE04CD"/>
    <w:rsid w:val="00CE0A9C"/>
    <w:rsid w:val="00CE129B"/>
    <w:rsid w:val="00CE169B"/>
    <w:rsid w:val="00CE178A"/>
    <w:rsid w:val="00CE1FBC"/>
    <w:rsid w:val="00CE2851"/>
    <w:rsid w:val="00CE3167"/>
    <w:rsid w:val="00CE329A"/>
    <w:rsid w:val="00CE38C8"/>
    <w:rsid w:val="00CE39B2"/>
    <w:rsid w:val="00CE3A47"/>
    <w:rsid w:val="00CE3E49"/>
    <w:rsid w:val="00CE3F49"/>
    <w:rsid w:val="00CE40B5"/>
    <w:rsid w:val="00CE49BF"/>
    <w:rsid w:val="00CE49DB"/>
    <w:rsid w:val="00CE524F"/>
    <w:rsid w:val="00CE56C1"/>
    <w:rsid w:val="00CE58CC"/>
    <w:rsid w:val="00CE5ABF"/>
    <w:rsid w:val="00CE617F"/>
    <w:rsid w:val="00CE6274"/>
    <w:rsid w:val="00CE68E8"/>
    <w:rsid w:val="00CE756E"/>
    <w:rsid w:val="00CE77B6"/>
    <w:rsid w:val="00CE7838"/>
    <w:rsid w:val="00CE7CF8"/>
    <w:rsid w:val="00CF0586"/>
    <w:rsid w:val="00CF0A5E"/>
    <w:rsid w:val="00CF1289"/>
    <w:rsid w:val="00CF1C72"/>
    <w:rsid w:val="00CF2B8D"/>
    <w:rsid w:val="00CF33A2"/>
    <w:rsid w:val="00CF34DB"/>
    <w:rsid w:val="00CF3A1B"/>
    <w:rsid w:val="00CF430A"/>
    <w:rsid w:val="00CF456B"/>
    <w:rsid w:val="00CF5A22"/>
    <w:rsid w:val="00CF7036"/>
    <w:rsid w:val="00D00E4E"/>
    <w:rsid w:val="00D01D23"/>
    <w:rsid w:val="00D01D82"/>
    <w:rsid w:val="00D01FBB"/>
    <w:rsid w:val="00D0222A"/>
    <w:rsid w:val="00D02238"/>
    <w:rsid w:val="00D0262E"/>
    <w:rsid w:val="00D02706"/>
    <w:rsid w:val="00D02995"/>
    <w:rsid w:val="00D03532"/>
    <w:rsid w:val="00D03582"/>
    <w:rsid w:val="00D03679"/>
    <w:rsid w:val="00D036D5"/>
    <w:rsid w:val="00D03B88"/>
    <w:rsid w:val="00D03BD5"/>
    <w:rsid w:val="00D0411D"/>
    <w:rsid w:val="00D0446A"/>
    <w:rsid w:val="00D04492"/>
    <w:rsid w:val="00D04D68"/>
    <w:rsid w:val="00D04F61"/>
    <w:rsid w:val="00D04F8A"/>
    <w:rsid w:val="00D05547"/>
    <w:rsid w:val="00D05E3D"/>
    <w:rsid w:val="00D060C5"/>
    <w:rsid w:val="00D06139"/>
    <w:rsid w:val="00D0635D"/>
    <w:rsid w:val="00D06365"/>
    <w:rsid w:val="00D069A6"/>
    <w:rsid w:val="00D07287"/>
    <w:rsid w:val="00D07782"/>
    <w:rsid w:val="00D079EC"/>
    <w:rsid w:val="00D1022F"/>
    <w:rsid w:val="00D10427"/>
    <w:rsid w:val="00D10457"/>
    <w:rsid w:val="00D10C5D"/>
    <w:rsid w:val="00D110BD"/>
    <w:rsid w:val="00D115B5"/>
    <w:rsid w:val="00D11811"/>
    <w:rsid w:val="00D1185E"/>
    <w:rsid w:val="00D118CA"/>
    <w:rsid w:val="00D11925"/>
    <w:rsid w:val="00D12ACC"/>
    <w:rsid w:val="00D13143"/>
    <w:rsid w:val="00D13167"/>
    <w:rsid w:val="00D13452"/>
    <w:rsid w:val="00D13675"/>
    <w:rsid w:val="00D13E7E"/>
    <w:rsid w:val="00D14159"/>
    <w:rsid w:val="00D141E1"/>
    <w:rsid w:val="00D1447F"/>
    <w:rsid w:val="00D1486E"/>
    <w:rsid w:val="00D15314"/>
    <w:rsid w:val="00D156A8"/>
    <w:rsid w:val="00D15B48"/>
    <w:rsid w:val="00D1666E"/>
    <w:rsid w:val="00D171FF"/>
    <w:rsid w:val="00D1752E"/>
    <w:rsid w:val="00D17989"/>
    <w:rsid w:val="00D17B1E"/>
    <w:rsid w:val="00D17BF6"/>
    <w:rsid w:val="00D17D6C"/>
    <w:rsid w:val="00D20E3B"/>
    <w:rsid w:val="00D20E9F"/>
    <w:rsid w:val="00D21056"/>
    <w:rsid w:val="00D2155B"/>
    <w:rsid w:val="00D2156D"/>
    <w:rsid w:val="00D21CC1"/>
    <w:rsid w:val="00D2294C"/>
    <w:rsid w:val="00D22D61"/>
    <w:rsid w:val="00D23D11"/>
    <w:rsid w:val="00D244B6"/>
    <w:rsid w:val="00D248E1"/>
    <w:rsid w:val="00D25173"/>
    <w:rsid w:val="00D255D2"/>
    <w:rsid w:val="00D2672E"/>
    <w:rsid w:val="00D268C4"/>
    <w:rsid w:val="00D26AFA"/>
    <w:rsid w:val="00D2754D"/>
    <w:rsid w:val="00D279C6"/>
    <w:rsid w:val="00D27B27"/>
    <w:rsid w:val="00D30D5B"/>
    <w:rsid w:val="00D3189E"/>
    <w:rsid w:val="00D322F3"/>
    <w:rsid w:val="00D32537"/>
    <w:rsid w:val="00D32996"/>
    <w:rsid w:val="00D3343C"/>
    <w:rsid w:val="00D334B6"/>
    <w:rsid w:val="00D33BE9"/>
    <w:rsid w:val="00D33F93"/>
    <w:rsid w:val="00D3452E"/>
    <w:rsid w:val="00D348D0"/>
    <w:rsid w:val="00D34EF3"/>
    <w:rsid w:val="00D35176"/>
    <w:rsid w:val="00D357FF"/>
    <w:rsid w:val="00D35971"/>
    <w:rsid w:val="00D35A59"/>
    <w:rsid w:val="00D35E9B"/>
    <w:rsid w:val="00D36AA9"/>
    <w:rsid w:val="00D36BB1"/>
    <w:rsid w:val="00D37773"/>
    <w:rsid w:val="00D401A4"/>
    <w:rsid w:val="00D410E4"/>
    <w:rsid w:val="00D41362"/>
    <w:rsid w:val="00D41CB3"/>
    <w:rsid w:val="00D41F61"/>
    <w:rsid w:val="00D424C7"/>
    <w:rsid w:val="00D4257E"/>
    <w:rsid w:val="00D427FC"/>
    <w:rsid w:val="00D42C39"/>
    <w:rsid w:val="00D42C53"/>
    <w:rsid w:val="00D42EAC"/>
    <w:rsid w:val="00D42F6D"/>
    <w:rsid w:val="00D434B7"/>
    <w:rsid w:val="00D4355F"/>
    <w:rsid w:val="00D43A31"/>
    <w:rsid w:val="00D43B2A"/>
    <w:rsid w:val="00D43CF1"/>
    <w:rsid w:val="00D43D83"/>
    <w:rsid w:val="00D43E17"/>
    <w:rsid w:val="00D43F6C"/>
    <w:rsid w:val="00D44094"/>
    <w:rsid w:val="00D44A75"/>
    <w:rsid w:val="00D44FED"/>
    <w:rsid w:val="00D45288"/>
    <w:rsid w:val="00D45844"/>
    <w:rsid w:val="00D45A69"/>
    <w:rsid w:val="00D45F34"/>
    <w:rsid w:val="00D46C0D"/>
    <w:rsid w:val="00D46D89"/>
    <w:rsid w:val="00D473E2"/>
    <w:rsid w:val="00D47465"/>
    <w:rsid w:val="00D47575"/>
    <w:rsid w:val="00D50993"/>
    <w:rsid w:val="00D509BA"/>
    <w:rsid w:val="00D50A86"/>
    <w:rsid w:val="00D50D5D"/>
    <w:rsid w:val="00D511B4"/>
    <w:rsid w:val="00D512DC"/>
    <w:rsid w:val="00D519B8"/>
    <w:rsid w:val="00D51FCD"/>
    <w:rsid w:val="00D5243B"/>
    <w:rsid w:val="00D52884"/>
    <w:rsid w:val="00D52C3E"/>
    <w:rsid w:val="00D52EFE"/>
    <w:rsid w:val="00D53108"/>
    <w:rsid w:val="00D53367"/>
    <w:rsid w:val="00D533EC"/>
    <w:rsid w:val="00D53404"/>
    <w:rsid w:val="00D5359B"/>
    <w:rsid w:val="00D53890"/>
    <w:rsid w:val="00D539DB"/>
    <w:rsid w:val="00D53E32"/>
    <w:rsid w:val="00D54793"/>
    <w:rsid w:val="00D54B57"/>
    <w:rsid w:val="00D54FEB"/>
    <w:rsid w:val="00D550BF"/>
    <w:rsid w:val="00D55BC5"/>
    <w:rsid w:val="00D55BF4"/>
    <w:rsid w:val="00D56496"/>
    <w:rsid w:val="00D56A3A"/>
    <w:rsid w:val="00D56A95"/>
    <w:rsid w:val="00D57190"/>
    <w:rsid w:val="00D571C4"/>
    <w:rsid w:val="00D572FE"/>
    <w:rsid w:val="00D6076E"/>
    <w:rsid w:val="00D60AAB"/>
    <w:rsid w:val="00D610E6"/>
    <w:rsid w:val="00D611E8"/>
    <w:rsid w:val="00D620A7"/>
    <w:rsid w:val="00D624CD"/>
    <w:rsid w:val="00D63592"/>
    <w:rsid w:val="00D639F3"/>
    <w:rsid w:val="00D654B7"/>
    <w:rsid w:val="00D657A1"/>
    <w:rsid w:val="00D65A12"/>
    <w:rsid w:val="00D65FFD"/>
    <w:rsid w:val="00D66D7C"/>
    <w:rsid w:val="00D67222"/>
    <w:rsid w:val="00D701CC"/>
    <w:rsid w:val="00D702E4"/>
    <w:rsid w:val="00D709FA"/>
    <w:rsid w:val="00D70F16"/>
    <w:rsid w:val="00D713D5"/>
    <w:rsid w:val="00D719F5"/>
    <w:rsid w:val="00D72028"/>
    <w:rsid w:val="00D7213F"/>
    <w:rsid w:val="00D72147"/>
    <w:rsid w:val="00D72617"/>
    <w:rsid w:val="00D72F57"/>
    <w:rsid w:val="00D73302"/>
    <w:rsid w:val="00D73E5F"/>
    <w:rsid w:val="00D74D97"/>
    <w:rsid w:val="00D74E99"/>
    <w:rsid w:val="00D75964"/>
    <w:rsid w:val="00D759F6"/>
    <w:rsid w:val="00D75FA7"/>
    <w:rsid w:val="00D760FB"/>
    <w:rsid w:val="00D76A08"/>
    <w:rsid w:val="00D76A44"/>
    <w:rsid w:val="00D76DF9"/>
    <w:rsid w:val="00D771F7"/>
    <w:rsid w:val="00D801DF"/>
    <w:rsid w:val="00D80209"/>
    <w:rsid w:val="00D8033E"/>
    <w:rsid w:val="00D8046E"/>
    <w:rsid w:val="00D80A3C"/>
    <w:rsid w:val="00D815EF"/>
    <w:rsid w:val="00D81949"/>
    <w:rsid w:val="00D81A5F"/>
    <w:rsid w:val="00D81F26"/>
    <w:rsid w:val="00D81FB6"/>
    <w:rsid w:val="00D822E2"/>
    <w:rsid w:val="00D82B2E"/>
    <w:rsid w:val="00D82E97"/>
    <w:rsid w:val="00D840B8"/>
    <w:rsid w:val="00D843F2"/>
    <w:rsid w:val="00D8464F"/>
    <w:rsid w:val="00D85321"/>
    <w:rsid w:val="00D8543E"/>
    <w:rsid w:val="00D85B71"/>
    <w:rsid w:val="00D85CA0"/>
    <w:rsid w:val="00D85F2F"/>
    <w:rsid w:val="00D8600C"/>
    <w:rsid w:val="00D86231"/>
    <w:rsid w:val="00D863AB"/>
    <w:rsid w:val="00D86B5B"/>
    <w:rsid w:val="00D87DE9"/>
    <w:rsid w:val="00D91291"/>
    <w:rsid w:val="00D912AB"/>
    <w:rsid w:val="00D9150F"/>
    <w:rsid w:val="00D9157E"/>
    <w:rsid w:val="00D91923"/>
    <w:rsid w:val="00D91C88"/>
    <w:rsid w:val="00D92B32"/>
    <w:rsid w:val="00D932C7"/>
    <w:rsid w:val="00D93319"/>
    <w:rsid w:val="00D93446"/>
    <w:rsid w:val="00D93753"/>
    <w:rsid w:val="00D9416D"/>
    <w:rsid w:val="00D9495A"/>
    <w:rsid w:val="00D955A4"/>
    <w:rsid w:val="00D959BD"/>
    <w:rsid w:val="00D960B2"/>
    <w:rsid w:val="00D964FA"/>
    <w:rsid w:val="00D96973"/>
    <w:rsid w:val="00D97258"/>
    <w:rsid w:val="00D9743A"/>
    <w:rsid w:val="00D9755D"/>
    <w:rsid w:val="00DA0054"/>
    <w:rsid w:val="00DA03CF"/>
    <w:rsid w:val="00DA06C9"/>
    <w:rsid w:val="00DA07DF"/>
    <w:rsid w:val="00DA28E7"/>
    <w:rsid w:val="00DA3167"/>
    <w:rsid w:val="00DA317D"/>
    <w:rsid w:val="00DA32B7"/>
    <w:rsid w:val="00DA32EA"/>
    <w:rsid w:val="00DA34AC"/>
    <w:rsid w:val="00DA34AF"/>
    <w:rsid w:val="00DA3580"/>
    <w:rsid w:val="00DA3819"/>
    <w:rsid w:val="00DA383D"/>
    <w:rsid w:val="00DA39E5"/>
    <w:rsid w:val="00DA41EF"/>
    <w:rsid w:val="00DA4C07"/>
    <w:rsid w:val="00DA4CCD"/>
    <w:rsid w:val="00DA4D48"/>
    <w:rsid w:val="00DA4D96"/>
    <w:rsid w:val="00DA4DC3"/>
    <w:rsid w:val="00DA5CC6"/>
    <w:rsid w:val="00DA629B"/>
    <w:rsid w:val="00DA77A5"/>
    <w:rsid w:val="00DA79B2"/>
    <w:rsid w:val="00DA7EF6"/>
    <w:rsid w:val="00DB0020"/>
    <w:rsid w:val="00DB066A"/>
    <w:rsid w:val="00DB069E"/>
    <w:rsid w:val="00DB0E36"/>
    <w:rsid w:val="00DB0F2C"/>
    <w:rsid w:val="00DB14D3"/>
    <w:rsid w:val="00DB2750"/>
    <w:rsid w:val="00DB2C25"/>
    <w:rsid w:val="00DB2CAD"/>
    <w:rsid w:val="00DB2F73"/>
    <w:rsid w:val="00DB31E5"/>
    <w:rsid w:val="00DB3DBF"/>
    <w:rsid w:val="00DB40B1"/>
    <w:rsid w:val="00DB484F"/>
    <w:rsid w:val="00DB4E79"/>
    <w:rsid w:val="00DB52CA"/>
    <w:rsid w:val="00DB5B4A"/>
    <w:rsid w:val="00DB64F0"/>
    <w:rsid w:val="00DB699D"/>
    <w:rsid w:val="00DB76AD"/>
    <w:rsid w:val="00DC029E"/>
    <w:rsid w:val="00DC04F6"/>
    <w:rsid w:val="00DC0690"/>
    <w:rsid w:val="00DC1D65"/>
    <w:rsid w:val="00DC2A05"/>
    <w:rsid w:val="00DC39D2"/>
    <w:rsid w:val="00DC3C57"/>
    <w:rsid w:val="00DC3C92"/>
    <w:rsid w:val="00DC422A"/>
    <w:rsid w:val="00DC4BAD"/>
    <w:rsid w:val="00DC4D5E"/>
    <w:rsid w:val="00DC51C0"/>
    <w:rsid w:val="00DC5230"/>
    <w:rsid w:val="00DC54A4"/>
    <w:rsid w:val="00DC5501"/>
    <w:rsid w:val="00DC58B6"/>
    <w:rsid w:val="00DC5DE4"/>
    <w:rsid w:val="00DC63E9"/>
    <w:rsid w:val="00DC66A9"/>
    <w:rsid w:val="00DC6BDE"/>
    <w:rsid w:val="00DC6CA6"/>
    <w:rsid w:val="00DC7063"/>
    <w:rsid w:val="00DC7154"/>
    <w:rsid w:val="00DC781B"/>
    <w:rsid w:val="00DC7E8A"/>
    <w:rsid w:val="00DC7F7E"/>
    <w:rsid w:val="00DD0017"/>
    <w:rsid w:val="00DD03A8"/>
    <w:rsid w:val="00DD0A62"/>
    <w:rsid w:val="00DD0DE9"/>
    <w:rsid w:val="00DD0F78"/>
    <w:rsid w:val="00DD16DD"/>
    <w:rsid w:val="00DD1794"/>
    <w:rsid w:val="00DD1F2D"/>
    <w:rsid w:val="00DD2314"/>
    <w:rsid w:val="00DD273C"/>
    <w:rsid w:val="00DD303F"/>
    <w:rsid w:val="00DD3F28"/>
    <w:rsid w:val="00DD43F8"/>
    <w:rsid w:val="00DD4446"/>
    <w:rsid w:val="00DD4537"/>
    <w:rsid w:val="00DD4793"/>
    <w:rsid w:val="00DD4C0A"/>
    <w:rsid w:val="00DD4E15"/>
    <w:rsid w:val="00DD519E"/>
    <w:rsid w:val="00DD66F6"/>
    <w:rsid w:val="00DD68AD"/>
    <w:rsid w:val="00DD6FFD"/>
    <w:rsid w:val="00DE02AF"/>
    <w:rsid w:val="00DE09FC"/>
    <w:rsid w:val="00DE181D"/>
    <w:rsid w:val="00DE1CE6"/>
    <w:rsid w:val="00DE2304"/>
    <w:rsid w:val="00DE2E82"/>
    <w:rsid w:val="00DE3138"/>
    <w:rsid w:val="00DE31D7"/>
    <w:rsid w:val="00DE33FB"/>
    <w:rsid w:val="00DE36F4"/>
    <w:rsid w:val="00DE37F8"/>
    <w:rsid w:val="00DE39FA"/>
    <w:rsid w:val="00DE3BA0"/>
    <w:rsid w:val="00DE3D24"/>
    <w:rsid w:val="00DE3DD8"/>
    <w:rsid w:val="00DE4273"/>
    <w:rsid w:val="00DE45C1"/>
    <w:rsid w:val="00DE4A47"/>
    <w:rsid w:val="00DE4FCB"/>
    <w:rsid w:val="00DE53D3"/>
    <w:rsid w:val="00DE596E"/>
    <w:rsid w:val="00DE5B62"/>
    <w:rsid w:val="00DE5C83"/>
    <w:rsid w:val="00DE5D07"/>
    <w:rsid w:val="00DE6DC8"/>
    <w:rsid w:val="00DE7077"/>
    <w:rsid w:val="00DE72A7"/>
    <w:rsid w:val="00DE772D"/>
    <w:rsid w:val="00DE7832"/>
    <w:rsid w:val="00DF13DA"/>
    <w:rsid w:val="00DF18FC"/>
    <w:rsid w:val="00DF19EF"/>
    <w:rsid w:val="00DF1C86"/>
    <w:rsid w:val="00DF1CCE"/>
    <w:rsid w:val="00DF2BE3"/>
    <w:rsid w:val="00DF3B7C"/>
    <w:rsid w:val="00DF3DBB"/>
    <w:rsid w:val="00DF5134"/>
    <w:rsid w:val="00DF5649"/>
    <w:rsid w:val="00DF593E"/>
    <w:rsid w:val="00DF59AC"/>
    <w:rsid w:val="00DF5D2B"/>
    <w:rsid w:val="00DF5E3F"/>
    <w:rsid w:val="00DF604D"/>
    <w:rsid w:val="00DF6276"/>
    <w:rsid w:val="00DF6341"/>
    <w:rsid w:val="00DF64E8"/>
    <w:rsid w:val="00DF6568"/>
    <w:rsid w:val="00DF68BA"/>
    <w:rsid w:val="00DF715C"/>
    <w:rsid w:val="00DF7863"/>
    <w:rsid w:val="00E0055E"/>
    <w:rsid w:val="00E009BE"/>
    <w:rsid w:val="00E00E8E"/>
    <w:rsid w:val="00E019F1"/>
    <w:rsid w:val="00E02A27"/>
    <w:rsid w:val="00E02B40"/>
    <w:rsid w:val="00E03BC3"/>
    <w:rsid w:val="00E03BFA"/>
    <w:rsid w:val="00E03C89"/>
    <w:rsid w:val="00E05630"/>
    <w:rsid w:val="00E061EF"/>
    <w:rsid w:val="00E06316"/>
    <w:rsid w:val="00E063BB"/>
    <w:rsid w:val="00E06DBB"/>
    <w:rsid w:val="00E06E40"/>
    <w:rsid w:val="00E07362"/>
    <w:rsid w:val="00E078E5"/>
    <w:rsid w:val="00E10149"/>
    <w:rsid w:val="00E1025C"/>
    <w:rsid w:val="00E10878"/>
    <w:rsid w:val="00E10B1F"/>
    <w:rsid w:val="00E10EC7"/>
    <w:rsid w:val="00E11340"/>
    <w:rsid w:val="00E11629"/>
    <w:rsid w:val="00E118F3"/>
    <w:rsid w:val="00E11AB8"/>
    <w:rsid w:val="00E122A1"/>
    <w:rsid w:val="00E13418"/>
    <w:rsid w:val="00E1560A"/>
    <w:rsid w:val="00E15C26"/>
    <w:rsid w:val="00E16372"/>
    <w:rsid w:val="00E16AD8"/>
    <w:rsid w:val="00E16B90"/>
    <w:rsid w:val="00E16D20"/>
    <w:rsid w:val="00E1776B"/>
    <w:rsid w:val="00E17AE1"/>
    <w:rsid w:val="00E17FFA"/>
    <w:rsid w:val="00E20E4D"/>
    <w:rsid w:val="00E20EB6"/>
    <w:rsid w:val="00E20ED6"/>
    <w:rsid w:val="00E2119E"/>
    <w:rsid w:val="00E21358"/>
    <w:rsid w:val="00E2138E"/>
    <w:rsid w:val="00E21620"/>
    <w:rsid w:val="00E21BBE"/>
    <w:rsid w:val="00E21D69"/>
    <w:rsid w:val="00E2249B"/>
    <w:rsid w:val="00E226E3"/>
    <w:rsid w:val="00E22A0D"/>
    <w:rsid w:val="00E2389D"/>
    <w:rsid w:val="00E23A7C"/>
    <w:rsid w:val="00E23B24"/>
    <w:rsid w:val="00E24112"/>
    <w:rsid w:val="00E244F6"/>
    <w:rsid w:val="00E24878"/>
    <w:rsid w:val="00E25060"/>
    <w:rsid w:val="00E258DB"/>
    <w:rsid w:val="00E25940"/>
    <w:rsid w:val="00E25FF9"/>
    <w:rsid w:val="00E26C88"/>
    <w:rsid w:val="00E26C94"/>
    <w:rsid w:val="00E27600"/>
    <w:rsid w:val="00E2771E"/>
    <w:rsid w:val="00E27D2D"/>
    <w:rsid w:val="00E30B8A"/>
    <w:rsid w:val="00E30E03"/>
    <w:rsid w:val="00E311CE"/>
    <w:rsid w:val="00E311EF"/>
    <w:rsid w:val="00E31291"/>
    <w:rsid w:val="00E319C3"/>
    <w:rsid w:val="00E32180"/>
    <w:rsid w:val="00E322CD"/>
    <w:rsid w:val="00E32EC0"/>
    <w:rsid w:val="00E330B6"/>
    <w:rsid w:val="00E33D59"/>
    <w:rsid w:val="00E341AE"/>
    <w:rsid w:val="00E342E6"/>
    <w:rsid w:val="00E34376"/>
    <w:rsid w:val="00E34948"/>
    <w:rsid w:val="00E34AAF"/>
    <w:rsid w:val="00E34C10"/>
    <w:rsid w:val="00E34FF0"/>
    <w:rsid w:val="00E351AF"/>
    <w:rsid w:val="00E35914"/>
    <w:rsid w:val="00E35C66"/>
    <w:rsid w:val="00E35CE1"/>
    <w:rsid w:val="00E35D75"/>
    <w:rsid w:val="00E36C0B"/>
    <w:rsid w:val="00E3702E"/>
    <w:rsid w:val="00E37569"/>
    <w:rsid w:val="00E37878"/>
    <w:rsid w:val="00E378EC"/>
    <w:rsid w:val="00E37928"/>
    <w:rsid w:val="00E37CAA"/>
    <w:rsid w:val="00E401B2"/>
    <w:rsid w:val="00E40AE4"/>
    <w:rsid w:val="00E40BE7"/>
    <w:rsid w:val="00E40FFD"/>
    <w:rsid w:val="00E41BD0"/>
    <w:rsid w:val="00E41E30"/>
    <w:rsid w:val="00E41EA3"/>
    <w:rsid w:val="00E42171"/>
    <w:rsid w:val="00E426D9"/>
    <w:rsid w:val="00E42B3C"/>
    <w:rsid w:val="00E42F73"/>
    <w:rsid w:val="00E43119"/>
    <w:rsid w:val="00E436E7"/>
    <w:rsid w:val="00E438BA"/>
    <w:rsid w:val="00E43D70"/>
    <w:rsid w:val="00E44635"/>
    <w:rsid w:val="00E451A3"/>
    <w:rsid w:val="00E45FF5"/>
    <w:rsid w:val="00E4622F"/>
    <w:rsid w:val="00E466F3"/>
    <w:rsid w:val="00E4681C"/>
    <w:rsid w:val="00E4694E"/>
    <w:rsid w:val="00E46E8B"/>
    <w:rsid w:val="00E470B0"/>
    <w:rsid w:val="00E47213"/>
    <w:rsid w:val="00E47B2C"/>
    <w:rsid w:val="00E51056"/>
    <w:rsid w:val="00E514FD"/>
    <w:rsid w:val="00E51560"/>
    <w:rsid w:val="00E51571"/>
    <w:rsid w:val="00E51821"/>
    <w:rsid w:val="00E5190E"/>
    <w:rsid w:val="00E51E3E"/>
    <w:rsid w:val="00E52865"/>
    <w:rsid w:val="00E532A1"/>
    <w:rsid w:val="00E535A6"/>
    <w:rsid w:val="00E537F7"/>
    <w:rsid w:val="00E53819"/>
    <w:rsid w:val="00E53FC8"/>
    <w:rsid w:val="00E54201"/>
    <w:rsid w:val="00E54347"/>
    <w:rsid w:val="00E543EF"/>
    <w:rsid w:val="00E54D6F"/>
    <w:rsid w:val="00E54ED7"/>
    <w:rsid w:val="00E552A2"/>
    <w:rsid w:val="00E5541A"/>
    <w:rsid w:val="00E55424"/>
    <w:rsid w:val="00E555A8"/>
    <w:rsid w:val="00E55915"/>
    <w:rsid w:val="00E55BB5"/>
    <w:rsid w:val="00E561C6"/>
    <w:rsid w:val="00E56280"/>
    <w:rsid w:val="00E567F1"/>
    <w:rsid w:val="00E5692D"/>
    <w:rsid w:val="00E569B6"/>
    <w:rsid w:val="00E5741D"/>
    <w:rsid w:val="00E57C86"/>
    <w:rsid w:val="00E57F13"/>
    <w:rsid w:val="00E60148"/>
    <w:rsid w:val="00E60274"/>
    <w:rsid w:val="00E60773"/>
    <w:rsid w:val="00E611DF"/>
    <w:rsid w:val="00E61FE3"/>
    <w:rsid w:val="00E624AB"/>
    <w:rsid w:val="00E62FF2"/>
    <w:rsid w:val="00E64595"/>
    <w:rsid w:val="00E648FA"/>
    <w:rsid w:val="00E64F8D"/>
    <w:rsid w:val="00E65E79"/>
    <w:rsid w:val="00E66B63"/>
    <w:rsid w:val="00E66BA2"/>
    <w:rsid w:val="00E66D8E"/>
    <w:rsid w:val="00E67416"/>
    <w:rsid w:val="00E67DE2"/>
    <w:rsid w:val="00E67EEA"/>
    <w:rsid w:val="00E67FBB"/>
    <w:rsid w:val="00E70121"/>
    <w:rsid w:val="00E701F0"/>
    <w:rsid w:val="00E70607"/>
    <w:rsid w:val="00E7062D"/>
    <w:rsid w:val="00E70E58"/>
    <w:rsid w:val="00E711F7"/>
    <w:rsid w:val="00E715CA"/>
    <w:rsid w:val="00E715DE"/>
    <w:rsid w:val="00E718B6"/>
    <w:rsid w:val="00E71CFE"/>
    <w:rsid w:val="00E71F8C"/>
    <w:rsid w:val="00E723BA"/>
    <w:rsid w:val="00E72BC9"/>
    <w:rsid w:val="00E72CBF"/>
    <w:rsid w:val="00E72DD8"/>
    <w:rsid w:val="00E72F14"/>
    <w:rsid w:val="00E73520"/>
    <w:rsid w:val="00E73581"/>
    <w:rsid w:val="00E73F27"/>
    <w:rsid w:val="00E748C5"/>
    <w:rsid w:val="00E75253"/>
    <w:rsid w:val="00E75636"/>
    <w:rsid w:val="00E757F8"/>
    <w:rsid w:val="00E77FA3"/>
    <w:rsid w:val="00E77FEF"/>
    <w:rsid w:val="00E80321"/>
    <w:rsid w:val="00E82BF4"/>
    <w:rsid w:val="00E82CE8"/>
    <w:rsid w:val="00E82FC3"/>
    <w:rsid w:val="00E83311"/>
    <w:rsid w:val="00E833F7"/>
    <w:rsid w:val="00E83856"/>
    <w:rsid w:val="00E83BDF"/>
    <w:rsid w:val="00E8470C"/>
    <w:rsid w:val="00E84844"/>
    <w:rsid w:val="00E850B6"/>
    <w:rsid w:val="00E85DC4"/>
    <w:rsid w:val="00E85FF7"/>
    <w:rsid w:val="00E86596"/>
    <w:rsid w:val="00E86D32"/>
    <w:rsid w:val="00E86DD7"/>
    <w:rsid w:val="00E86FCC"/>
    <w:rsid w:val="00E872D7"/>
    <w:rsid w:val="00E877AA"/>
    <w:rsid w:val="00E87A1D"/>
    <w:rsid w:val="00E9094A"/>
    <w:rsid w:val="00E90BDE"/>
    <w:rsid w:val="00E90FDC"/>
    <w:rsid w:val="00E91D35"/>
    <w:rsid w:val="00E91FA0"/>
    <w:rsid w:val="00E91FB0"/>
    <w:rsid w:val="00E926A5"/>
    <w:rsid w:val="00E926FD"/>
    <w:rsid w:val="00E92BB3"/>
    <w:rsid w:val="00E92E00"/>
    <w:rsid w:val="00E92F03"/>
    <w:rsid w:val="00E93CDA"/>
    <w:rsid w:val="00E93DC5"/>
    <w:rsid w:val="00E94785"/>
    <w:rsid w:val="00E94884"/>
    <w:rsid w:val="00E95E7E"/>
    <w:rsid w:val="00E95EC4"/>
    <w:rsid w:val="00E962CC"/>
    <w:rsid w:val="00E96F22"/>
    <w:rsid w:val="00E9730C"/>
    <w:rsid w:val="00E9764B"/>
    <w:rsid w:val="00E979A0"/>
    <w:rsid w:val="00E97BB0"/>
    <w:rsid w:val="00E97BF1"/>
    <w:rsid w:val="00EA0702"/>
    <w:rsid w:val="00EA085E"/>
    <w:rsid w:val="00EA09AF"/>
    <w:rsid w:val="00EA17C3"/>
    <w:rsid w:val="00EA1901"/>
    <w:rsid w:val="00EA1935"/>
    <w:rsid w:val="00EA20F2"/>
    <w:rsid w:val="00EA25BE"/>
    <w:rsid w:val="00EA2CAA"/>
    <w:rsid w:val="00EA31E8"/>
    <w:rsid w:val="00EA3328"/>
    <w:rsid w:val="00EA358B"/>
    <w:rsid w:val="00EA3864"/>
    <w:rsid w:val="00EA3CDD"/>
    <w:rsid w:val="00EA3D70"/>
    <w:rsid w:val="00EA4172"/>
    <w:rsid w:val="00EA447D"/>
    <w:rsid w:val="00EA4C2F"/>
    <w:rsid w:val="00EA5249"/>
    <w:rsid w:val="00EA59D6"/>
    <w:rsid w:val="00EA6F72"/>
    <w:rsid w:val="00EA72C2"/>
    <w:rsid w:val="00EA7395"/>
    <w:rsid w:val="00EA7598"/>
    <w:rsid w:val="00EA7F1C"/>
    <w:rsid w:val="00EB152C"/>
    <w:rsid w:val="00EB15B6"/>
    <w:rsid w:val="00EB3D06"/>
    <w:rsid w:val="00EB4512"/>
    <w:rsid w:val="00EB4624"/>
    <w:rsid w:val="00EB4916"/>
    <w:rsid w:val="00EB4A2D"/>
    <w:rsid w:val="00EB4E19"/>
    <w:rsid w:val="00EB5950"/>
    <w:rsid w:val="00EB5BF4"/>
    <w:rsid w:val="00EB6167"/>
    <w:rsid w:val="00EB65DF"/>
    <w:rsid w:val="00EB6A60"/>
    <w:rsid w:val="00EB6BB6"/>
    <w:rsid w:val="00EB6EBE"/>
    <w:rsid w:val="00EB7338"/>
    <w:rsid w:val="00EB7894"/>
    <w:rsid w:val="00EB7BE7"/>
    <w:rsid w:val="00EB7F13"/>
    <w:rsid w:val="00EC00C9"/>
    <w:rsid w:val="00EC022E"/>
    <w:rsid w:val="00EC0260"/>
    <w:rsid w:val="00EC0D74"/>
    <w:rsid w:val="00EC0DD9"/>
    <w:rsid w:val="00EC121B"/>
    <w:rsid w:val="00EC15D7"/>
    <w:rsid w:val="00EC16CF"/>
    <w:rsid w:val="00EC191F"/>
    <w:rsid w:val="00EC1F1D"/>
    <w:rsid w:val="00EC22E4"/>
    <w:rsid w:val="00EC2649"/>
    <w:rsid w:val="00EC2D33"/>
    <w:rsid w:val="00EC3011"/>
    <w:rsid w:val="00EC31ED"/>
    <w:rsid w:val="00EC37B6"/>
    <w:rsid w:val="00EC3E27"/>
    <w:rsid w:val="00EC402D"/>
    <w:rsid w:val="00EC4552"/>
    <w:rsid w:val="00EC46E1"/>
    <w:rsid w:val="00EC52BD"/>
    <w:rsid w:val="00EC5442"/>
    <w:rsid w:val="00EC54A6"/>
    <w:rsid w:val="00EC55C4"/>
    <w:rsid w:val="00EC5836"/>
    <w:rsid w:val="00EC5E56"/>
    <w:rsid w:val="00EC5F39"/>
    <w:rsid w:val="00EC6477"/>
    <w:rsid w:val="00EC688C"/>
    <w:rsid w:val="00EC6E59"/>
    <w:rsid w:val="00EC6F7C"/>
    <w:rsid w:val="00EC7060"/>
    <w:rsid w:val="00EC76D1"/>
    <w:rsid w:val="00EC7FEF"/>
    <w:rsid w:val="00ED0151"/>
    <w:rsid w:val="00ED0DD5"/>
    <w:rsid w:val="00ED0EE4"/>
    <w:rsid w:val="00ED12E3"/>
    <w:rsid w:val="00ED142A"/>
    <w:rsid w:val="00ED1659"/>
    <w:rsid w:val="00ED168D"/>
    <w:rsid w:val="00ED1B01"/>
    <w:rsid w:val="00ED2ED5"/>
    <w:rsid w:val="00ED328B"/>
    <w:rsid w:val="00ED3CB7"/>
    <w:rsid w:val="00ED4552"/>
    <w:rsid w:val="00ED455B"/>
    <w:rsid w:val="00ED4B04"/>
    <w:rsid w:val="00ED4B13"/>
    <w:rsid w:val="00ED4DB3"/>
    <w:rsid w:val="00ED51B2"/>
    <w:rsid w:val="00ED5491"/>
    <w:rsid w:val="00ED57EA"/>
    <w:rsid w:val="00ED5BD4"/>
    <w:rsid w:val="00ED640A"/>
    <w:rsid w:val="00ED6AE1"/>
    <w:rsid w:val="00ED6EEF"/>
    <w:rsid w:val="00ED731F"/>
    <w:rsid w:val="00ED7BA2"/>
    <w:rsid w:val="00EE07D3"/>
    <w:rsid w:val="00EE0888"/>
    <w:rsid w:val="00EE0E84"/>
    <w:rsid w:val="00EE1087"/>
    <w:rsid w:val="00EE10CA"/>
    <w:rsid w:val="00EE1102"/>
    <w:rsid w:val="00EE11D5"/>
    <w:rsid w:val="00EE160F"/>
    <w:rsid w:val="00EE1996"/>
    <w:rsid w:val="00EE1C01"/>
    <w:rsid w:val="00EE227E"/>
    <w:rsid w:val="00EE22AF"/>
    <w:rsid w:val="00EE26AC"/>
    <w:rsid w:val="00EE3BA3"/>
    <w:rsid w:val="00EE52C6"/>
    <w:rsid w:val="00EE5A5D"/>
    <w:rsid w:val="00EE5F68"/>
    <w:rsid w:val="00EE6796"/>
    <w:rsid w:val="00EE6B9B"/>
    <w:rsid w:val="00EE77A4"/>
    <w:rsid w:val="00EF0171"/>
    <w:rsid w:val="00EF0CB1"/>
    <w:rsid w:val="00EF11F1"/>
    <w:rsid w:val="00EF1B25"/>
    <w:rsid w:val="00EF1DA0"/>
    <w:rsid w:val="00EF1DD7"/>
    <w:rsid w:val="00EF3496"/>
    <w:rsid w:val="00EF4190"/>
    <w:rsid w:val="00EF4747"/>
    <w:rsid w:val="00EF4BF8"/>
    <w:rsid w:val="00EF4C43"/>
    <w:rsid w:val="00EF5B0C"/>
    <w:rsid w:val="00EF5F1F"/>
    <w:rsid w:val="00EF646E"/>
    <w:rsid w:val="00EF64C0"/>
    <w:rsid w:val="00EF698C"/>
    <w:rsid w:val="00EF6F65"/>
    <w:rsid w:val="00EF717F"/>
    <w:rsid w:val="00EF72CB"/>
    <w:rsid w:val="00EF7328"/>
    <w:rsid w:val="00EF757E"/>
    <w:rsid w:val="00F00235"/>
    <w:rsid w:val="00F00398"/>
    <w:rsid w:val="00F007AE"/>
    <w:rsid w:val="00F009EA"/>
    <w:rsid w:val="00F01D90"/>
    <w:rsid w:val="00F021F4"/>
    <w:rsid w:val="00F02253"/>
    <w:rsid w:val="00F03550"/>
    <w:rsid w:val="00F03A19"/>
    <w:rsid w:val="00F03A3C"/>
    <w:rsid w:val="00F03C2E"/>
    <w:rsid w:val="00F04913"/>
    <w:rsid w:val="00F04A66"/>
    <w:rsid w:val="00F04B4B"/>
    <w:rsid w:val="00F0516C"/>
    <w:rsid w:val="00F05448"/>
    <w:rsid w:val="00F063C7"/>
    <w:rsid w:val="00F067A2"/>
    <w:rsid w:val="00F07B9E"/>
    <w:rsid w:val="00F07D1F"/>
    <w:rsid w:val="00F07D98"/>
    <w:rsid w:val="00F10030"/>
    <w:rsid w:val="00F1077A"/>
    <w:rsid w:val="00F10977"/>
    <w:rsid w:val="00F109F0"/>
    <w:rsid w:val="00F10D55"/>
    <w:rsid w:val="00F11055"/>
    <w:rsid w:val="00F1116F"/>
    <w:rsid w:val="00F114CB"/>
    <w:rsid w:val="00F11DA4"/>
    <w:rsid w:val="00F120BB"/>
    <w:rsid w:val="00F12248"/>
    <w:rsid w:val="00F122C7"/>
    <w:rsid w:val="00F1263A"/>
    <w:rsid w:val="00F13596"/>
    <w:rsid w:val="00F139C5"/>
    <w:rsid w:val="00F14AD9"/>
    <w:rsid w:val="00F15426"/>
    <w:rsid w:val="00F15A60"/>
    <w:rsid w:val="00F15B77"/>
    <w:rsid w:val="00F168D8"/>
    <w:rsid w:val="00F16CA9"/>
    <w:rsid w:val="00F170F2"/>
    <w:rsid w:val="00F20036"/>
    <w:rsid w:val="00F202BE"/>
    <w:rsid w:val="00F20580"/>
    <w:rsid w:val="00F20B9B"/>
    <w:rsid w:val="00F20FAF"/>
    <w:rsid w:val="00F21236"/>
    <w:rsid w:val="00F2167D"/>
    <w:rsid w:val="00F217C7"/>
    <w:rsid w:val="00F21E76"/>
    <w:rsid w:val="00F22ED6"/>
    <w:rsid w:val="00F2309F"/>
    <w:rsid w:val="00F239DF"/>
    <w:rsid w:val="00F240FD"/>
    <w:rsid w:val="00F241EE"/>
    <w:rsid w:val="00F24837"/>
    <w:rsid w:val="00F2575F"/>
    <w:rsid w:val="00F257E0"/>
    <w:rsid w:val="00F2690C"/>
    <w:rsid w:val="00F27211"/>
    <w:rsid w:val="00F27414"/>
    <w:rsid w:val="00F27565"/>
    <w:rsid w:val="00F27762"/>
    <w:rsid w:val="00F30018"/>
    <w:rsid w:val="00F3001E"/>
    <w:rsid w:val="00F3017D"/>
    <w:rsid w:val="00F30430"/>
    <w:rsid w:val="00F30702"/>
    <w:rsid w:val="00F30A3E"/>
    <w:rsid w:val="00F30C05"/>
    <w:rsid w:val="00F310D4"/>
    <w:rsid w:val="00F31457"/>
    <w:rsid w:val="00F3151B"/>
    <w:rsid w:val="00F31AB8"/>
    <w:rsid w:val="00F31D5A"/>
    <w:rsid w:val="00F32010"/>
    <w:rsid w:val="00F32279"/>
    <w:rsid w:val="00F32758"/>
    <w:rsid w:val="00F32EE6"/>
    <w:rsid w:val="00F32FC8"/>
    <w:rsid w:val="00F330DB"/>
    <w:rsid w:val="00F33975"/>
    <w:rsid w:val="00F33DE9"/>
    <w:rsid w:val="00F344B0"/>
    <w:rsid w:val="00F3469B"/>
    <w:rsid w:val="00F34851"/>
    <w:rsid w:val="00F3518E"/>
    <w:rsid w:val="00F35196"/>
    <w:rsid w:val="00F3528C"/>
    <w:rsid w:val="00F35D88"/>
    <w:rsid w:val="00F35E6D"/>
    <w:rsid w:val="00F3619A"/>
    <w:rsid w:val="00F364E7"/>
    <w:rsid w:val="00F367D7"/>
    <w:rsid w:val="00F36844"/>
    <w:rsid w:val="00F36ABC"/>
    <w:rsid w:val="00F36EDA"/>
    <w:rsid w:val="00F37751"/>
    <w:rsid w:val="00F40AAA"/>
    <w:rsid w:val="00F40BA7"/>
    <w:rsid w:val="00F40F9D"/>
    <w:rsid w:val="00F410E8"/>
    <w:rsid w:val="00F41330"/>
    <w:rsid w:val="00F41364"/>
    <w:rsid w:val="00F414CF"/>
    <w:rsid w:val="00F41516"/>
    <w:rsid w:val="00F41A7C"/>
    <w:rsid w:val="00F41ACD"/>
    <w:rsid w:val="00F41CB0"/>
    <w:rsid w:val="00F41D1D"/>
    <w:rsid w:val="00F41E84"/>
    <w:rsid w:val="00F42178"/>
    <w:rsid w:val="00F421DA"/>
    <w:rsid w:val="00F42657"/>
    <w:rsid w:val="00F426B1"/>
    <w:rsid w:val="00F43238"/>
    <w:rsid w:val="00F43A74"/>
    <w:rsid w:val="00F43F12"/>
    <w:rsid w:val="00F4489A"/>
    <w:rsid w:val="00F44EA0"/>
    <w:rsid w:val="00F455FE"/>
    <w:rsid w:val="00F4593A"/>
    <w:rsid w:val="00F46530"/>
    <w:rsid w:val="00F4667D"/>
    <w:rsid w:val="00F46C19"/>
    <w:rsid w:val="00F46CB6"/>
    <w:rsid w:val="00F4756D"/>
    <w:rsid w:val="00F479FF"/>
    <w:rsid w:val="00F47C76"/>
    <w:rsid w:val="00F47DC4"/>
    <w:rsid w:val="00F47DE8"/>
    <w:rsid w:val="00F5006B"/>
    <w:rsid w:val="00F50227"/>
    <w:rsid w:val="00F50821"/>
    <w:rsid w:val="00F50903"/>
    <w:rsid w:val="00F53E01"/>
    <w:rsid w:val="00F5401D"/>
    <w:rsid w:val="00F542C1"/>
    <w:rsid w:val="00F54593"/>
    <w:rsid w:val="00F550E3"/>
    <w:rsid w:val="00F551E3"/>
    <w:rsid w:val="00F55E73"/>
    <w:rsid w:val="00F55EDA"/>
    <w:rsid w:val="00F561FF"/>
    <w:rsid w:val="00F562C9"/>
    <w:rsid w:val="00F56C80"/>
    <w:rsid w:val="00F57644"/>
    <w:rsid w:val="00F57CB7"/>
    <w:rsid w:val="00F57E15"/>
    <w:rsid w:val="00F60012"/>
    <w:rsid w:val="00F60092"/>
    <w:rsid w:val="00F603FE"/>
    <w:rsid w:val="00F6074C"/>
    <w:rsid w:val="00F60CAB"/>
    <w:rsid w:val="00F61311"/>
    <w:rsid w:val="00F613E9"/>
    <w:rsid w:val="00F615B4"/>
    <w:rsid w:val="00F61C18"/>
    <w:rsid w:val="00F628BE"/>
    <w:rsid w:val="00F62975"/>
    <w:rsid w:val="00F63840"/>
    <w:rsid w:val="00F63AE3"/>
    <w:rsid w:val="00F63C8C"/>
    <w:rsid w:val="00F63E39"/>
    <w:rsid w:val="00F63E87"/>
    <w:rsid w:val="00F642B7"/>
    <w:rsid w:val="00F643DC"/>
    <w:rsid w:val="00F64DA1"/>
    <w:rsid w:val="00F65977"/>
    <w:rsid w:val="00F65BA5"/>
    <w:rsid w:val="00F65F4B"/>
    <w:rsid w:val="00F66B29"/>
    <w:rsid w:val="00F66B36"/>
    <w:rsid w:val="00F67A69"/>
    <w:rsid w:val="00F70BFF"/>
    <w:rsid w:val="00F70C9D"/>
    <w:rsid w:val="00F7137B"/>
    <w:rsid w:val="00F71592"/>
    <w:rsid w:val="00F719EA"/>
    <w:rsid w:val="00F720AB"/>
    <w:rsid w:val="00F721F0"/>
    <w:rsid w:val="00F72942"/>
    <w:rsid w:val="00F73B35"/>
    <w:rsid w:val="00F73E08"/>
    <w:rsid w:val="00F73E66"/>
    <w:rsid w:val="00F73EC1"/>
    <w:rsid w:val="00F74CD9"/>
    <w:rsid w:val="00F74DF0"/>
    <w:rsid w:val="00F75E61"/>
    <w:rsid w:val="00F76F4B"/>
    <w:rsid w:val="00F773F3"/>
    <w:rsid w:val="00F77737"/>
    <w:rsid w:val="00F77F44"/>
    <w:rsid w:val="00F80895"/>
    <w:rsid w:val="00F808E3"/>
    <w:rsid w:val="00F80A4A"/>
    <w:rsid w:val="00F80A7B"/>
    <w:rsid w:val="00F80E5D"/>
    <w:rsid w:val="00F80E8C"/>
    <w:rsid w:val="00F81E78"/>
    <w:rsid w:val="00F81F68"/>
    <w:rsid w:val="00F82871"/>
    <w:rsid w:val="00F83916"/>
    <w:rsid w:val="00F8464F"/>
    <w:rsid w:val="00F851CE"/>
    <w:rsid w:val="00F851E8"/>
    <w:rsid w:val="00F85AED"/>
    <w:rsid w:val="00F85C65"/>
    <w:rsid w:val="00F86286"/>
    <w:rsid w:val="00F86396"/>
    <w:rsid w:val="00F865BB"/>
    <w:rsid w:val="00F86E63"/>
    <w:rsid w:val="00F8725D"/>
    <w:rsid w:val="00F872D4"/>
    <w:rsid w:val="00F87436"/>
    <w:rsid w:val="00F875F9"/>
    <w:rsid w:val="00F8779F"/>
    <w:rsid w:val="00F878EE"/>
    <w:rsid w:val="00F907A8"/>
    <w:rsid w:val="00F91219"/>
    <w:rsid w:val="00F91383"/>
    <w:rsid w:val="00F918A3"/>
    <w:rsid w:val="00F92444"/>
    <w:rsid w:val="00F9282E"/>
    <w:rsid w:val="00F93252"/>
    <w:rsid w:val="00F9393E"/>
    <w:rsid w:val="00F93F27"/>
    <w:rsid w:val="00F940EF"/>
    <w:rsid w:val="00F942F9"/>
    <w:rsid w:val="00F947C5"/>
    <w:rsid w:val="00F94DFB"/>
    <w:rsid w:val="00F96C80"/>
    <w:rsid w:val="00F96FD0"/>
    <w:rsid w:val="00F9723C"/>
    <w:rsid w:val="00F973DF"/>
    <w:rsid w:val="00F976E2"/>
    <w:rsid w:val="00F9775C"/>
    <w:rsid w:val="00F9793A"/>
    <w:rsid w:val="00F97A78"/>
    <w:rsid w:val="00F97AFD"/>
    <w:rsid w:val="00FA004B"/>
    <w:rsid w:val="00FA0453"/>
    <w:rsid w:val="00FA0468"/>
    <w:rsid w:val="00FA0700"/>
    <w:rsid w:val="00FA0B20"/>
    <w:rsid w:val="00FA0EFE"/>
    <w:rsid w:val="00FA1045"/>
    <w:rsid w:val="00FA1112"/>
    <w:rsid w:val="00FA1E86"/>
    <w:rsid w:val="00FA224E"/>
    <w:rsid w:val="00FA24E7"/>
    <w:rsid w:val="00FA2DCC"/>
    <w:rsid w:val="00FA3172"/>
    <w:rsid w:val="00FA31A8"/>
    <w:rsid w:val="00FA3203"/>
    <w:rsid w:val="00FA33AE"/>
    <w:rsid w:val="00FA3CEB"/>
    <w:rsid w:val="00FA41DA"/>
    <w:rsid w:val="00FA45AC"/>
    <w:rsid w:val="00FA4DA7"/>
    <w:rsid w:val="00FA5743"/>
    <w:rsid w:val="00FA57AF"/>
    <w:rsid w:val="00FA59F3"/>
    <w:rsid w:val="00FA5EE6"/>
    <w:rsid w:val="00FA66B2"/>
    <w:rsid w:val="00FA7368"/>
    <w:rsid w:val="00FA74B9"/>
    <w:rsid w:val="00FA7902"/>
    <w:rsid w:val="00FA7956"/>
    <w:rsid w:val="00FB00CC"/>
    <w:rsid w:val="00FB049F"/>
    <w:rsid w:val="00FB0824"/>
    <w:rsid w:val="00FB1409"/>
    <w:rsid w:val="00FB186B"/>
    <w:rsid w:val="00FB1A29"/>
    <w:rsid w:val="00FB1EFC"/>
    <w:rsid w:val="00FB2EBB"/>
    <w:rsid w:val="00FB2FCB"/>
    <w:rsid w:val="00FB3069"/>
    <w:rsid w:val="00FB33B8"/>
    <w:rsid w:val="00FB3D84"/>
    <w:rsid w:val="00FB42BB"/>
    <w:rsid w:val="00FB4C6D"/>
    <w:rsid w:val="00FB4C9C"/>
    <w:rsid w:val="00FB4CC7"/>
    <w:rsid w:val="00FB5439"/>
    <w:rsid w:val="00FB6E09"/>
    <w:rsid w:val="00FB7C55"/>
    <w:rsid w:val="00FC074A"/>
    <w:rsid w:val="00FC0EF3"/>
    <w:rsid w:val="00FC1074"/>
    <w:rsid w:val="00FC12CD"/>
    <w:rsid w:val="00FC1640"/>
    <w:rsid w:val="00FC1884"/>
    <w:rsid w:val="00FC1F20"/>
    <w:rsid w:val="00FC2972"/>
    <w:rsid w:val="00FC2E09"/>
    <w:rsid w:val="00FC2FB2"/>
    <w:rsid w:val="00FC3448"/>
    <w:rsid w:val="00FC3573"/>
    <w:rsid w:val="00FC371D"/>
    <w:rsid w:val="00FC3D0C"/>
    <w:rsid w:val="00FC3D8C"/>
    <w:rsid w:val="00FC42AA"/>
    <w:rsid w:val="00FC4B90"/>
    <w:rsid w:val="00FC4FCF"/>
    <w:rsid w:val="00FC50ED"/>
    <w:rsid w:val="00FC53D7"/>
    <w:rsid w:val="00FC5D75"/>
    <w:rsid w:val="00FC5EA8"/>
    <w:rsid w:val="00FC5F0B"/>
    <w:rsid w:val="00FC6342"/>
    <w:rsid w:val="00FC6BE5"/>
    <w:rsid w:val="00FC7410"/>
    <w:rsid w:val="00FC753A"/>
    <w:rsid w:val="00FD00EF"/>
    <w:rsid w:val="00FD0598"/>
    <w:rsid w:val="00FD0791"/>
    <w:rsid w:val="00FD079D"/>
    <w:rsid w:val="00FD1106"/>
    <w:rsid w:val="00FD1260"/>
    <w:rsid w:val="00FD1F8D"/>
    <w:rsid w:val="00FD2100"/>
    <w:rsid w:val="00FD27F4"/>
    <w:rsid w:val="00FD2EC8"/>
    <w:rsid w:val="00FD3423"/>
    <w:rsid w:val="00FD3441"/>
    <w:rsid w:val="00FD3FD4"/>
    <w:rsid w:val="00FD436C"/>
    <w:rsid w:val="00FD446D"/>
    <w:rsid w:val="00FD4570"/>
    <w:rsid w:val="00FD4649"/>
    <w:rsid w:val="00FD48F7"/>
    <w:rsid w:val="00FD4908"/>
    <w:rsid w:val="00FD49C9"/>
    <w:rsid w:val="00FD4B84"/>
    <w:rsid w:val="00FD4CB3"/>
    <w:rsid w:val="00FD4ED6"/>
    <w:rsid w:val="00FD4F2C"/>
    <w:rsid w:val="00FD53B6"/>
    <w:rsid w:val="00FD58DF"/>
    <w:rsid w:val="00FD58FD"/>
    <w:rsid w:val="00FD5D81"/>
    <w:rsid w:val="00FD6394"/>
    <w:rsid w:val="00FD6AE5"/>
    <w:rsid w:val="00FD72B7"/>
    <w:rsid w:val="00FD7775"/>
    <w:rsid w:val="00FD77FA"/>
    <w:rsid w:val="00FD7A24"/>
    <w:rsid w:val="00FE0446"/>
    <w:rsid w:val="00FE0C5E"/>
    <w:rsid w:val="00FE0D6B"/>
    <w:rsid w:val="00FE0E6C"/>
    <w:rsid w:val="00FE1105"/>
    <w:rsid w:val="00FE146E"/>
    <w:rsid w:val="00FE1BC8"/>
    <w:rsid w:val="00FE1CDC"/>
    <w:rsid w:val="00FE2AA6"/>
    <w:rsid w:val="00FE32FD"/>
    <w:rsid w:val="00FE33E1"/>
    <w:rsid w:val="00FE5B5D"/>
    <w:rsid w:val="00FE68E6"/>
    <w:rsid w:val="00FE6CF7"/>
    <w:rsid w:val="00FE6F02"/>
    <w:rsid w:val="00FE70C3"/>
    <w:rsid w:val="00FE71BE"/>
    <w:rsid w:val="00FE7892"/>
    <w:rsid w:val="00FF013B"/>
    <w:rsid w:val="00FF0868"/>
    <w:rsid w:val="00FF0E18"/>
    <w:rsid w:val="00FF0F0A"/>
    <w:rsid w:val="00FF1A8B"/>
    <w:rsid w:val="00FF27B1"/>
    <w:rsid w:val="00FF29ED"/>
    <w:rsid w:val="00FF2AD9"/>
    <w:rsid w:val="00FF2BA8"/>
    <w:rsid w:val="00FF359F"/>
    <w:rsid w:val="00FF3DCF"/>
    <w:rsid w:val="00FF3DE6"/>
    <w:rsid w:val="00FF492C"/>
    <w:rsid w:val="00FF4A21"/>
    <w:rsid w:val="00FF4B22"/>
    <w:rsid w:val="00FF57C1"/>
    <w:rsid w:val="00FF5AA3"/>
    <w:rsid w:val="00FF5AD8"/>
    <w:rsid w:val="00FF5C75"/>
    <w:rsid w:val="00FF669F"/>
    <w:rsid w:val="00FF6E62"/>
    <w:rsid w:val="00FF7048"/>
    <w:rsid w:val="00FF71A5"/>
    <w:rsid w:val="00FF770D"/>
    <w:rsid w:val="00FF7C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340"/>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next w:val="Normal"/>
    <w:link w:val="Heading2Char"/>
    <w:rsid w:val="00D410E4"/>
    <w:pPr>
      <w:outlineLvl w:val="1"/>
    </w:pPr>
    <w:rPr>
      <w:rFonts w:ascii="Calibri" w:hAnsi="Calibri" w:cs="Arial"/>
      <w:b/>
      <w:i/>
      <w:sz w:val="28"/>
      <w:szCs w:val="24"/>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DB0020"/>
    <w:pPr>
      <w:ind w:left="1134"/>
    </w:pPr>
  </w:style>
  <w:style w:type="paragraph" w:customStyle="1" w:styleId="COMexecsummmainissuesbullets">
    <w:name w:val="COM exec summ main issues bullets"/>
    <w:basedOn w:val="ListParagraph"/>
    <w:link w:val="COMexecsummmainissuesbulletsChar"/>
    <w:qFormat/>
    <w:rsid w:val="00023AB6"/>
    <w:pPr>
      <w:numPr>
        <w:numId w:val="5"/>
      </w:numPr>
    </w:pPr>
    <w:rPr>
      <w:color w:val="0066FF"/>
    </w:rPr>
  </w:style>
  <w:style w:type="character" w:customStyle="1" w:styleId="COMexecsummbulletlistChar">
    <w:name w:val="COM exec summ bullet list Char"/>
    <w:basedOn w:val="ListParagraphChar"/>
    <w:link w:val="COMexecsummbulletlist"/>
    <w:rsid w:val="00DB0020"/>
    <w:rPr>
      <w:rFonts w:asciiTheme="minorHAnsi" w:hAnsiTheme="minorHAnsi" w:cs="Arial"/>
      <w:snapToGrid w:val="0"/>
      <w:sz w:val="24"/>
      <w:szCs w:val="24"/>
    </w:rPr>
  </w:style>
  <w:style w:type="paragraph" w:customStyle="1" w:styleId="COMH3">
    <w:name w:val="COM H3"/>
    <w:basedOn w:val="Normal"/>
    <w:next w:val="Normal"/>
    <w:link w:val="COMH3Char"/>
    <w:qFormat/>
    <w:rsid w:val="00996EAA"/>
    <w:pPr>
      <w:keepNext/>
      <w:spacing w:after="240"/>
      <w:outlineLvl w:val="2"/>
    </w:pPr>
    <w:rPr>
      <w:b/>
      <w:iCs/>
      <w:sz w:val="28"/>
    </w:rPr>
  </w:style>
  <w:style w:type="paragraph" w:styleId="ListParagraph">
    <w:name w:val="List Paragraph"/>
    <w:aliases w:val="Numbered para,BulletPoints,Bullet point,List Paragraph1,List Paragraph11,Recommendation,Footnote,ES Paragraph,PBAC ES Paragraph,PBAC normal points,Bullet List,Figure_name,Numbered Indented Text,Bullet- First level,List NUmber"/>
    <w:next w:val="ListBullet"/>
    <w:link w:val="ListParagraphChar"/>
    <w:uiPriority w:val="34"/>
    <w:qFormat/>
    <w:rsid w:val="00BB00B3"/>
    <w:pPr>
      <w:numPr>
        <w:numId w:val="2"/>
      </w:numPr>
      <w:spacing w:after="120"/>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numPr>
        <w:numId w:val="3"/>
      </w:numPr>
      <w:contextualSpacing/>
    </w:pPr>
  </w:style>
  <w:style w:type="character" w:customStyle="1" w:styleId="ListParagraphChar">
    <w:name w:val="List Paragraph Char"/>
    <w:aliases w:val="Numbered para Char,BulletPoints Char,Bullet point Char,List Paragraph1 Char,List Paragraph11 Char,Recommendation Char,Footnote Char,ES Paragraph Char,PBAC ES Paragraph Char,PBAC normal points Char,Bullet List Char,Figure_name Char"/>
    <w:basedOn w:val="DefaultParagraphFont"/>
    <w:link w:val="ListParagraph"/>
    <w:uiPriority w:val="34"/>
    <w:qFormat/>
    <w:locked/>
    <w:rsid w:val="00BB00B3"/>
    <w:rPr>
      <w:rFonts w:asciiTheme="minorHAnsi" w:hAnsiTheme="minorHAnsi" w:cs="Arial"/>
      <w:snapToGrid w:val="0"/>
      <w:sz w:val="24"/>
      <w:szCs w:val="24"/>
    </w:rPr>
  </w:style>
  <w:style w:type="table" w:styleId="TableGrid">
    <w:name w:val="Table Grid"/>
    <w:aliases w:val="Summary box,Table Gridbeth,CMA Table Template,ASD Table,PBAC table,new style,MSD Table Grid,Lash Style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721EA3"/>
    <w:pPr>
      <w:keepNext/>
      <w:spacing w:after="240"/>
    </w:p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023AB6"/>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qFormat/>
    <w:rsid w:val="00C042D3"/>
    <w:pPr>
      <w:spacing w:after="120"/>
    </w:pPr>
    <w:rPr>
      <w:b/>
      <w:i/>
    </w:rPr>
  </w:style>
  <w:style w:type="character" w:customStyle="1" w:styleId="COMH3Char">
    <w:name w:val="COM H3 Char"/>
    <w:basedOn w:val="DefaultParagraphFont"/>
    <w:link w:val="COMH3"/>
    <w:rsid w:val="00996EAA"/>
    <w:rPr>
      <w:rFonts w:ascii="Calibri" w:hAnsi="Calibri" w:cs="Arial"/>
      <w:b/>
      <w:iCs/>
      <w:sz w:val="28"/>
      <w:szCs w:val="24"/>
    </w:rPr>
  </w:style>
  <w:style w:type="paragraph" w:customStyle="1" w:styleId="COMbodybulletlist">
    <w:name w:val="COM body bullet list"/>
    <w:basedOn w:val="ListBullet"/>
    <w:link w:val="COMbodybulletlistChar"/>
    <w:qFormat/>
    <w:rsid w:val="00894E87"/>
  </w:style>
  <w:style w:type="character" w:customStyle="1" w:styleId="COMH4Char">
    <w:name w:val="COM H4 Char"/>
    <w:basedOn w:val="DefaultParagraphFont"/>
    <w:link w:val="COMH4"/>
    <w:rsid w:val="00C042D3"/>
    <w:rPr>
      <w:rFonts w:ascii="Calibri" w:hAnsi="Calibri" w:cs="Arial"/>
      <w:b/>
      <w:i/>
      <w:sz w:val="24"/>
      <w:szCs w:val="24"/>
    </w:rPr>
  </w:style>
  <w:style w:type="paragraph" w:customStyle="1" w:styleId="zzBulletpoints">
    <w:name w:val="zz Bullet points"/>
    <w:basedOn w:val="ListParagraph"/>
    <w:rsid w:val="00B70E8E"/>
    <w:pPr>
      <w:numPr>
        <w:numId w:val="1"/>
      </w:numPr>
      <w:contextualSpacing/>
    </w:pPr>
  </w:style>
  <w:style w:type="paragraph" w:customStyle="1" w:styleId="COMBody">
    <w:name w:val="COM Body"/>
    <w:basedOn w:val="Normal"/>
    <w:link w:val="COMBodyChar"/>
    <w:qFormat/>
    <w:rsid w:val="00894E87"/>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894E87"/>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qFormat/>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qFormat/>
    <w:rsid w:val="00163E81"/>
    <w:pPr>
      <w:keepNext/>
      <w:numPr>
        <w:numId w:val="4"/>
      </w:numPr>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603248"/>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603248"/>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autoRedefine/>
    <w:qFormat/>
    <w:rsid w:val="00E94884"/>
    <w:pPr>
      <w:keepNext/>
    </w:pPr>
    <w:rPr>
      <w:rFonts w:ascii="Arial Narrow" w:eastAsiaTheme="majorEastAsia" w:hAnsi="Arial Narrow" w:cstheme="majorBidi"/>
      <w:b/>
      <w:bCs/>
      <w:szCs w:val="22"/>
    </w:rPr>
  </w:style>
  <w:style w:type="character" w:customStyle="1" w:styleId="COMtablefigcaptionChar">
    <w:name w:val="COM table/fig caption Char"/>
    <w:basedOn w:val="DefaultParagraphFont"/>
    <w:link w:val="COMtablefigcaption"/>
    <w:rsid w:val="00E94884"/>
    <w:rPr>
      <w:rFonts w:ascii="Arial Narrow" w:eastAsiaTheme="majorEastAsia" w:hAnsi="Arial Narrow" w:cstheme="majorBidi"/>
      <w:b/>
      <w:bCs/>
      <w:szCs w:val="22"/>
    </w:rPr>
  </w:style>
  <w:style w:type="paragraph" w:customStyle="1" w:styleId="COMexecsumnumberedpara">
    <w:name w:val="COM exec sum numbered para"/>
    <w:basedOn w:val="ListParagraph"/>
    <w:link w:val="COMexecsumnumberedparaChar"/>
    <w:qFormat/>
    <w:rsid w:val="00B5370E"/>
    <w:pPr>
      <w:numPr>
        <w:ilvl w:val="1"/>
        <w:numId w:val="4"/>
      </w:numPr>
    </w:pPr>
  </w:style>
  <w:style w:type="character" w:customStyle="1" w:styleId="COMexecsumnumberedparaChar">
    <w:name w:val="COM exec sum numbered para Char"/>
    <w:basedOn w:val="ListParagraphChar"/>
    <w:link w:val="COMexecsumnumberedpara"/>
    <w:rsid w:val="00B5370E"/>
    <w:rPr>
      <w:rFonts w:asciiTheme="minorHAnsi" w:hAnsiTheme="minorHAnsi" w:cs="Arial"/>
      <w:snapToGrid w:val="0"/>
      <w:sz w:val="24"/>
      <w:szCs w:val="24"/>
    </w:rPr>
  </w:style>
  <w:style w:type="paragraph" w:customStyle="1" w:styleId="COMTablefooter">
    <w:name w:val="COM Table footer"/>
    <w:basedOn w:val="Normal"/>
    <w:next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character" w:styleId="Hyperlink">
    <w:name w:val="Hyperlink"/>
    <w:basedOn w:val="DefaultParagraphFont"/>
    <w:uiPriority w:val="99"/>
    <w:unhideWhenUsed/>
    <w:rsid w:val="006A74CB"/>
    <w:rPr>
      <w:color w:val="0000FF" w:themeColor="hyperlink"/>
      <w:u w:val="single"/>
    </w:rPr>
  </w:style>
  <w:style w:type="paragraph" w:styleId="TOC4">
    <w:name w:val="toc 4"/>
    <w:basedOn w:val="Normal"/>
    <w:next w:val="Normal"/>
    <w:autoRedefine/>
    <w:uiPriority w:val="39"/>
    <w:unhideWhenUsed/>
    <w:rsid w:val="006A74CB"/>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A74CB"/>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A74CB"/>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A74CB"/>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A74CB"/>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A74CB"/>
    <w:pPr>
      <w:spacing w:after="100" w:line="259" w:lineRule="auto"/>
      <w:ind w:left="1760"/>
      <w:jc w:val="left"/>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6A74CB"/>
    <w:rPr>
      <w:color w:val="605E5C"/>
      <w:shd w:val="clear" w:color="auto" w:fill="E1DFDD"/>
    </w:rPr>
  </w:style>
  <w:style w:type="paragraph" w:styleId="Header">
    <w:name w:val="header"/>
    <w:basedOn w:val="Normal"/>
    <w:link w:val="HeaderChar"/>
    <w:unhideWhenUsed/>
    <w:qFormat/>
    <w:rsid w:val="00316194"/>
    <w:pPr>
      <w:tabs>
        <w:tab w:val="center" w:pos="4513"/>
        <w:tab w:val="right" w:pos="9026"/>
      </w:tabs>
    </w:pPr>
  </w:style>
  <w:style w:type="character" w:customStyle="1" w:styleId="HeaderChar">
    <w:name w:val="Header Char"/>
    <w:basedOn w:val="DefaultParagraphFont"/>
    <w:link w:val="Header"/>
    <w:rsid w:val="00316194"/>
    <w:rPr>
      <w:rFonts w:ascii="Calibri" w:hAnsi="Calibri" w:cs="Arial"/>
      <w:sz w:val="24"/>
      <w:szCs w:val="24"/>
    </w:rPr>
  </w:style>
  <w:style w:type="paragraph" w:styleId="Footer">
    <w:name w:val="footer"/>
    <w:basedOn w:val="Normal"/>
    <w:link w:val="FooterChar"/>
    <w:uiPriority w:val="99"/>
    <w:unhideWhenUsed/>
    <w:rsid w:val="00316194"/>
    <w:pPr>
      <w:tabs>
        <w:tab w:val="center" w:pos="4513"/>
        <w:tab w:val="right" w:pos="9026"/>
      </w:tabs>
    </w:pPr>
  </w:style>
  <w:style w:type="character" w:customStyle="1" w:styleId="FooterChar">
    <w:name w:val="Footer Char"/>
    <w:basedOn w:val="DefaultParagraphFont"/>
    <w:link w:val="Footer"/>
    <w:uiPriority w:val="99"/>
    <w:rsid w:val="00316194"/>
    <w:rPr>
      <w:rFonts w:ascii="Calibri" w:hAnsi="Calibri" w:cs="Arial"/>
      <w:sz w:val="24"/>
      <w:szCs w:val="24"/>
    </w:rPr>
  </w:style>
  <w:style w:type="paragraph" w:customStyle="1" w:styleId="TableText">
    <w:name w:val="Table Text"/>
    <w:basedOn w:val="Normal"/>
    <w:link w:val="TableTextChar"/>
    <w:qFormat/>
    <w:rsid w:val="00B22349"/>
    <w:pPr>
      <w:keepNext/>
      <w:spacing w:before="40" w:after="40"/>
      <w:jc w:val="left"/>
    </w:pPr>
    <w:rPr>
      <w:rFonts w:ascii="Arial Narrow" w:eastAsiaTheme="minorHAnsi" w:hAnsi="Arial Narrow" w:cstheme="minorBidi"/>
      <w:sz w:val="20"/>
      <w:szCs w:val="22"/>
      <w:lang w:eastAsia="en-US"/>
    </w:rPr>
  </w:style>
  <w:style w:type="character" w:customStyle="1" w:styleId="TableTextChar">
    <w:name w:val="Table Text Char"/>
    <w:link w:val="TableText"/>
    <w:locked/>
    <w:rsid w:val="00B22349"/>
    <w:rPr>
      <w:rFonts w:ascii="Arial Narrow" w:eastAsiaTheme="minorHAnsi" w:hAnsi="Arial Narrow" w:cstheme="minorBidi"/>
      <w:szCs w:val="22"/>
      <w:lang w:eastAsia="en-US"/>
    </w:rPr>
  </w:style>
  <w:style w:type="character" w:styleId="CommentReference">
    <w:name w:val="annotation reference"/>
    <w:aliases w:val="Table Title"/>
    <w:basedOn w:val="DefaultParagraphFont"/>
    <w:uiPriority w:val="99"/>
    <w:unhideWhenUsed/>
    <w:qFormat/>
    <w:rsid w:val="006210DB"/>
    <w:rPr>
      <w:sz w:val="16"/>
      <w:szCs w:val="16"/>
    </w:rPr>
  </w:style>
  <w:style w:type="paragraph" w:styleId="CommentText">
    <w:name w:val="annotation text"/>
    <w:basedOn w:val="Normal"/>
    <w:link w:val="CommentTextChar"/>
    <w:uiPriority w:val="99"/>
    <w:unhideWhenUsed/>
    <w:rsid w:val="006210DB"/>
    <w:rPr>
      <w:sz w:val="20"/>
      <w:szCs w:val="20"/>
    </w:rPr>
  </w:style>
  <w:style w:type="character" w:customStyle="1" w:styleId="CommentTextChar">
    <w:name w:val="Comment Text Char"/>
    <w:basedOn w:val="DefaultParagraphFont"/>
    <w:link w:val="CommentText"/>
    <w:uiPriority w:val="99"/>
    <w:rsid w:val="006210DB"/>
    <w:rPr>
      <w:rFonts w:ascii="Calibri" w:hAnsi="Calibri" w:cs="Arial"/>
    </w:rPr>
  </w:style>
  <w:style w:type="paragraph" w:styleId="CommentSubject">
    <w:name w:val="annotation subject"/>
    <w:basedOn w:val="CommentText"/>
    <w:next w:val="CommentText"/>
    <w:link w:val="CommentSubjectChar"/>
    <w:semiHidden/>
    <w:unhideWhenUsed/>
    <w:rsid w:val="006210DB"/>
    <w:rPr>
      <w:b/>
      <w:bCs/>
    </w:rPr>
  </w:style>
  <w:style w:type="character" w:customStyle="1" w:styleId="CommentSubjectChar">
    <w:name w:val="Comment Subject Char"/>
    <w:basedOn w:val="CommentTextChar"/>
    <w:link w:val="CommentSubject"/>
    <w:semiHidden/>
    <w:rsid w:val="006210DB"/>
    <w:rPr>
      <w:rFonts w:ascii="Calibri" w:hAnsi="Calibri" w:cs="Arial"/>
      <w:b/>
      <w:bCs/>
    </w:rPr>
  </w:style>
  <w:style w:type="paragraph" w:customStyle="1" w:styleId="TableFooter">
    <w:name w:val="Table Footer"/>
    <w:basedOn w:val="Normal"/>
    <w:link w:val="TableFooterChar"/>
    <w:qFormat/>
    <w:rsid w:val="004A7333"/>
    <w:pPr>
      <w:widowControl w:val="0"/>
    </w:pPr>
    <w:rPr>
      <w:rFonts w:ascii="Arial Narrow" w:hAnsi="Arial Narrow"/>
      <w:snapToGrid w:val="0"/>
      <w:sz w:val="18"/>
      <w:szCs w:val="22"/>
      <w:lang w:eastAsia="en-US"/>
    </w:rPr>
  </w:style>
  <w:style w:type="character" w:customStyle="1" w:styleId="TableFooterChar">
    <w:name w:val="Table Footer Char"/>
    <w:link w:val="TableFooter"/>
    <w:rsid w:val="004A7333"/>
    <w:rPr>
      <w:rFonts w:ascii="Arial Narrow" w:hAnsi="Arial Narrow" w:cs="Arial"/>
      <w:snapToGrid w:val="0"/>
      <w:sz w:val="18"/>
      <w:szCs w:val="22"/>
      <w:lang w:eastAsia="en-US"/>
    </w:rPr>
  </w:style>
  <w:style w:type="paragraph" w:customStyle="1" w:styleId="TableHeading">
    <w:name w:val="Table Heading"/>
    <w:basedOn w:val="Normal"/>
    <w:link w:val="TableHeadingChar"/>
    <w:qFormat/>
    <w:rsid w:val="004A7333"/>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4A7333"/>
    <w:rPr>
      <w:rFonts w:ascii="Arial Narrow" w:eastAsiaTheme="minorHAnsi" w:hAnsi="Arial Narrow" w:cstheme="minorBidi"/>
      <w:b/>
      <w:szCs w:val="22"/>
      <w:lang w:eastAsia="en-US"/>
    </w:rPr>
  </w:style>
  <w:style w:type="numbering" w:customStyle="1" w:styleId="Style23">
    <w:name w:val="Style23"/>
    <w:uiPriority w:val="99"/>
    <w:rsid w:val="004A7333"/>
    <w:pPr>
      <w:numPr>
        <w:numId w:val="6"/>
      </w:numPr>
    </w:pPr>
  </w:style>
  <w:style w:type="paragraph" w:customStyle="1" w:styleId="Tabletext0">
    <w:name w:val="Table text"/>
    <w:basedOn w:val="Normal"/>
    <w:link w:val="TabletextChar0"/>
    <w:uiPriority w:val="2"/>
    <w:qFormat/>
    <w:rsid w:val="00DB5B4A"/>
    <w:pPr>
      <w:jc w:val="left"/>
    </w:pPr>
    <w:rPr>
      <w:rFonts w:ascii="Arial Narrow" w:hAnsi="Arial Narrow" w:cs="Times New Roman"/>
      <w:sz w:val="20"/>
      <w:szCs w:val="22"/>
      <w:lang w:eastAsia="en-US"/>
    </w:rPr>
  </w:style>
  <w:style w:type="character" w:customStyle="1" w:styleId="TabletextChar0">
    <w:name w:val="Table text Char"/>
    <w:link w:val="Tabletext0"/>
    <w:uiPriority w:val="2"/>
    <w:rsid w:val="00DB5B4A"/>
    <w:rPr>
      <w:rFonts w:ascii="Arial Narrow" w:hAnsi="Arial Narrow"/>
      <w:szCs w:val="22"/>
      <w:lang w:eastAsia="en-US"/>
    </w:rPr>
  </w:style>
  <w:style w:type="character" w:customStyle="1" w:styleId="li-content">
    <w:name w:val="li-content"/>
    <w:basedOn w:val="DefaultParagraphFont"/>
    <w:rsid w:val="000017B8"/>
    <w:rPr>
      <w:color w:val="000000"/>
    </w:rPr>
  </w:style>
  <w:style w:type="character" w:customStyle="1" w:styleId="UnresolvedMention10">
    <w:name w:val="Unresolved Mention1"/>
    <w:basedOn w:val="DefaultParagraphFont"/>
    <w:uiPriority w:val="99"/>
    <w:semiHidden/>
    <w:unhideWhenUsed/>
    <w:rsid w:val="00B702BA"/>
    <w:rPr>
      <w:color w:val="605E5C"/>
      <w:shd w:val="clear" w:color="auto" w:fill="E1DFDD"/>
    </w:rPr>
  </w:style>
  <w:style w:type="paragraph" w:customStyle="1" w:styleId="TableFigureFooter">
    <w:name w:val="Table/Figure Footer"/>
    <w:basedOn w:val="Normal"/>
    <w:link w:val="TableFigureFooterChar"/>
    <w:qFormat/>
    <w:rsid w:val="00B702BA"/>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B702BA"/>
    <w:rPr>
      <w:rFonts w:ascii="Arial Narrow" w:hAnsi="Arial Narrow" w:cs="Arial"/>
      <w:snapToGrid w:val="0"/>
      <w:sz w:val="18"/>
      <w:szCs w:val="22"/>
    </w:rPr>
  </w:style>
  <w:style w:type="paragraph" w:customStyle="1" w:styleId="4-SubsectSubhead">
    <w:name w:val="4-Subsect Subhead"/>
    <w:basedOn w:val="Heading3"/>
    <w:next w:val="Normal"/>
    <w:link w:val="4-SubsectSubheadChar"/>
    <w:qFormat/>
    <w:rsid w:val="00B702BA"/>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B702BA"/>
    <w:rPr>
      <w:rFonts w:asciiTheme="minorHAnsi" w:eastAsiaTheme="majorEastAsia" w:hAnsiTheme="minorHAnsi" w:cstheme="majorBidi"/>
      <w:b/>
      <w:color w:val="000000" w:themeColor="text1"/>
      <w:sz w:val="28"/>
      <w:szCs w:val="28"/>
    </w:rPr>
  </w:style>
  <w:style w:type="character" w:customStyle="1" w:styleId="UnresolvedMention2">
    <w:name w:val="Unresolved Mention2"/>
    <w:basedOn w:val="DefaultParagraphFont"/>
    <w:uiPriority w:val="99"/>
    <w:semiHidden/>
    <w:unhideWhenUsed/>
    <w:rsid w:val="00B702BA"/>
    <w:rPr>
      <w:color w:val="605E5C"/>
      <w:shd w:val="clear" w:color="auto" w:fill="E1DFDD"/>
    </w:rPr>
  </w:style>
  <w:style w:type="paragraph" w:customStyle="1" w:styleId="Tableheadingrow">
    <w:name w:val="Table heading row"/>
    <w:qFormat/>
    <w:rsid w:val="00B702BA"/>
    <w:pPr>
      <w:keepNext/>
    </w:pPr>
    <w:rPr>
      <w:rFonts w:ascii="Arial Narrow" w:eastAsiaTheme="majorEastAsia" w:hAnsi="Arial Narrow"/>
      <w:b/>
      <w:szCs w:val="24"/>
      <w:lang w:val="en-US"/>
    </w:rPr>
  </w:style>
  <w:style w:type="character" w:styleId="Emphasis">
    <w:name w:val="Emphasis"/>
    <w:basedOn w:val="DefaultParagraphFont"/>
    <w:uiPriority w:val="20"/>
    <w:qFormat/>
    <w:rsid w:val="00B702BA"/>
    <w:rPr>
      <w:i/>
      <w:iCs/>
    </w:rPr>
  </w:style>
  <w:style w:type="character" w:customStyle="1" w:styleId="UnresolvedMention3">
    <w:name w:val="Unresolved Mention3"/>
    <w:basedOn w:val="DefaultParagraphFont"/>
    <w:uiPriority w:val="99"/>
    <w:semiHidden/>
    <w:unhideWhenUsed/>
    <w:rsid w:val="00B702BA"/>
    <w:rPr>
      <w:color w:val="605E5C"/>
      <w:shd w:val="clear" w:color="auto" w:fill="E1DFDD"/>
    </w:rPr>
  </w:style>
  <w:style w:type="paragraph" w:customStyle="1" w:styleId="2-SectionHeading">
    <w:name w:val="2-Section Heading"/>
    <w:qFormat/>
    <w:rsid w:val="00AF75E6"/>
    <w:pPr>
      <w:keepNext/>
      <w:spacing w:before="240" w:after="120"/>
      <w:ind w:left="720" w:hanging="720"/>
      <w:outlineLvl w:val="0"/>
    </w:pPr>
    <w:rPr>
      <w:rFonts w:asciiTheme="minorHAnsi" w:hAnsiTheme="minorHAnsi" w:cs="Arial"/>
      <w:b/>
      <w:snapToGrid w:val="0"/>
      <w:sz w:val="32"/>
      <w:szCs w:val="32"/>
    </w:rPr>
  </w:style>
  <w:style w:type="paragraph" w:customStyle="1" w:styleId="ExecSumBodyText">
    <w:name w:val="Exec Sum Body Text"/>
    <w:basedOn w:val="Normal"/>
    <w:link w:val="ExecSumBodyTextChar"/>
    <w:qFormat/>
    <w:rsid w:val="00AF75E6"/>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AF75E6"/>
    <w:rPr>
      <w:rFonts w:asciiTheme="minorHAnsi" w:hAnsiTheme="minorHAnsi" w:cs="Arial"/>
      <w:snapToGrid w:val="0"/>
      <w:sz w:val="24"/>
      <w:szCs w:val="24"/>
    </w:rPr>
  </w:style>
  <w:style w:type="paragraph" w:styleId="Caption">
    <w:name w:val="caption"/>
    <w:aliases w:val="Caption PRIMA,Bayer Caption,IB Caption,Medical Caption,Char,CSR Caption,Caption Char1,Caption Char Char,Char Char Char,Char Char1,Char1,Table caption,Caption 3,c,appendix,Figure caption,Figure caption1 Char Char,Caption SYNEVi,- H17,Bayer,12+,12"/>
    <w:basedOn w:val="Normal"/>
    <w:next w:val="Normal"/>
    <w:link w:val="CaptionChar"/>
    <w:uiPriority w:val="99"/>
    <w:unhideWhenUsed/>
    <w:qFormat/>
    <w:rsid w:val="00733C06"/>
    <w:pPr>
      <w:spacing w:after="200"/>
    </w:pPr>
    <w:rPr>
      <w:i/>
      <w:iCs/>
      <w:color w:val="1F497D" w:themeColor="text2"/>
      <w:sz w:val="18"/>
      <w:szCs w:val="18"/>
    </w:rPr>
  </w:style>
  <w:style w:type="table" w:customStyle="1" w:styleId="TableGridbeth2">
    <w:name w:val="Table Gridbeth2"/>
    <w:basedOn w:val="TableNormal"/>
    <w:next w:val="TableGrid"/>
    <w:uiPriority w:val="39"/>
    <w:rsid w:val="00A45CB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E5541A"/>
    <w:pPr>
      <w:spacing w:after="120"/>
      <w:ind w:left="720"/>
      <w:contextualSpacing/>
    </w:pPr>
    <w:rPr>
      <w:snapToGrid w:val="0"/>
    </w:rPr>
  </w:style>
  <w:style w:type="paragraph" w:styleId="FootnoteText">
    <w:name w:val="footnote text"/>
    <w:basedOn w:val="Normal"/>
    <w:link w:val="FootnoteTextChar"/>
    <w:semiHidden/>
    <w:unhideWhenUsed/>
    <w:rsid w:val="00F04913"/>
    <w:rPr>
      <w:sz w:val="20"/>
      <w:szCs w:val="20"/>
    </w:rPr>
  </w:style>
  <w:style w:type="character" w:customStyle="1" w:styleId="FootnoteTextChar">
    <w:name w:val="Footnote Text Char"/>
    <w:basedOn w:val="DefaultParagraphFont"/>
    <w:link w:val="FootnoteText"/>
    <w:semiHidden/>
    <w:rsid w:val="00F04913"/>
    <w:rPr>
      <w:rFonts w:ascii="Calibri" w:hAnsi="Calibri" w:cs="Arial"/>
    </w:rPr>
  </w:style>
  <w:style w:type="character" w:styleId="FootnoteReference">
    <w:name w:val="footnote reference"/>
    <w:basedOn w:val="DefaultParagraphFont"/>
    <w:semiHidden/>
    <w:unhideWhenUsed/>
    <w:rsid w:val="00F04913"/>
    <w:rPr>
      <w:vertAlign w:val="superscript"/>
    </w:rPr>
  </w:style>
  <w:style w:type="numbering" w:customStyle="1" w:styleId="CurrentList1">
    <w:name w:val="Current List1"/>
    <w:uiPriority w:val="99"/>
    <w:rsid w:val="00883830"/>
    <w:pPr>
      <w:numPr>
        <w:numId w:val="17"/>
      </w:numPr>
    </w:pPr>
  </w:style>
  <w:style w:type="paragraph" w:customStyle="1" w:styleId="null">
    <w:name w:val="null"/>
    <w:basedOn w:val="Normal"/>
    <w:rsid w:val="00282516"/>
    <w:pPr>
      <w:spacing w:before="100" w:beforeAutospacing="1" w:after="100" w:afterAutospacing="1"/>
      <w:jc w:val="left"/>
    </w:pPr>
    <w:rPr>
      <w:rFonts w:eastAsiaTheme="minorHAnsi" w:cs="Calibri"/>
      <w:sz w:val="20"/>
      <w:szCs w:val="20"/>
    </w:rPr>
  </w:style>
  <w:style w:type="character" w:customStyle="1" w:styleId="CaptionChar">
    <w:name w:val="Caption Char"/>
    <w:aliases w:val="Caption PRIMA Char,Bayer Caption Char,IB Caption Char,Medical Caption Char,Char Char,CSR Caption Char,Caption Char1 Char,Caption Char Char Char,Char Char Char Char,Char Char1 Char,Char1 Char,Table caption Char,Caption 3 Char,c Char,12+ Char"/>
    <w:basedOn w:val="DefaultParagraphFont"/>
    <w:link w:val="Caption"/>
    <w:uiPriority w:val="99"/>
    <w:rsid w:val="00E26C94"/>
    <w:rPr>
      <w:rFonts w:ascii="Calibri" w:hAnsi="Calibri" w:cs="Arial"/>
      <w:i/>
      <w:iCs/>
      <w:color w:val="1F497D" w:themeColor="text2"/>
      <w:sz w:val="18"/>
      <w:szCs w:val="18"/>
    </w:rPr>
  </w:style>
  <w:style w:type="character" w:styleId="UnresolvedMention">
    <w:name w:val="Unresolved Mention"/>
    <w:basedOn w:val="DefaultParagraphFont"/>
    <w:uiPriority w:val="99"/>
    <w:semiHidden/>
    <w:unhideWhenUsed/>
    <w:rsid w:val="00A45DE5"/>
    <w:rPr>
      <w:color w:val="605E5C"/>
      <w:shd w:val="clear" w:color="auto" w:fill="E1DFDD"/>
    </w:rPr>
  </w:style>
  <w:style w:type="paragraph" w:customStyle="1" w:styleId="3-SubsectionHeading">
    <w:name w:val="3-Subsection Heading"/>
    <w:basedOn w:val="Heading2"/>
    <w:next w:val="Normal"/>
    <w:link w:val="3-SubsectionHeadingChar"/>
    <w:qFormat/>
    <w:rsid w:val="00422C04"/>
    <w:pPr>
      <w:keepNext/>
      <w:spacing w:before="120" w:after="120"/>
      <w:jc w:val="both"/>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422C04"/>
    <w:rPr>
      <w:rFonts w:asciiTheme="minorHAnsi" w:eastAsiaTheme="majorEastAsia" w:hAnsiTheme="minorHAnsi" w:cstheme="majorBidi"/>
      <w:b/>
      <w:i/>
      <w:color w:val="365F91" w:themeColor="accent1" w:themeShade="BF"/>
      <w:spacing w:val="5"/>
      <w:kern w:val="28"/>
      <w:sz w:val="28"/>
      <w:szCs w:val="36"/>
      <w:lang w:eastAsia="en-US"/>
    </w:rPr>
  </w:style>
  <w:style w:type="character" w:customStyle="1" w:styleId="null1">
    <w:name w:val="null1"/>
    <w:basedOn w:val="DefaultParagraphFont"/>
    <w:rsid w:val="00AC1207"/>
  </w:style>
  <w:style w:type="paragraph" w:customStyle="1" w:styleId="3-BodyText">
    <w:name w:val="3-Body Text"/>
    <w:basedOn w:val="ListParagraph"/>
    <w:link w:val="3-BodyTextChar"/>
    <w:qFormat/>
    <w:rsid w:val="00DA34AC"/>
    <w:pPr>
      <w:numPr>
        <w:numId w:val="0"/>
      </w:numPr>
      <w:ind w:left="720" w:hanging="720"/>
    </w:pPr>
  </w:style>
  <w:style w:type="character" w:customStyle="1" w:styleId="3-BodyTextChar">
    <w:name w:val="3-Body Text Char"/>
    <w:basedOn w:val="DefaultParagraphFont"/>
    <w:link w:val="3-BodyText"/>
    <w:rsid w:val="00DA34AC"/>
    <w:rPr>
      <w:rFonts w:asciiTheme="minorHAnsi" w:hAnsiTheme="minorHAnsi" w:cs="Arial"/>
      <w:snapToGrid w:val="0"/>
      <w:sz w:val="24"/>
      <w:szCs w:val="24"/>
    </w:rPr>
  </w:style>
  <w:style w:type="paragraph" w:customStyle="1" w:styleId="xxmsolistparagraph">
    <w:name w:val="x_xmsolistparagraph"/>
    <w:basedOn w:val="Normal"/>
    <w:rsid w:val="001B00F0"/>
    <w:pPr>
      <w:ind w:left="720"/>
      <w:jc w:val="left"/>
    </w:pPr>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2580393">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3810019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05096118">
      <w:bodyDiv w:val="1"/>
      <w:marLeft w:val="0"/>
      <w:marRight w:val="0"/>
      <w:marTop w:val="0"/>
      <w:marBottom w:val="0"/>
      <w:divBdr>
        <w:top w:val="none" w:sz="0" w:space="0" w:color="auto"/>
        <w:left w:val="none" w:sz="0" w:space="0" w:color="auto"/>
        <w:bottom w:val="none" w:sz="0" w:space="0" w:color="auto"/>
        <w:right w:val="none" w:sz="0" w:space="0" w:color="auto"/>
      </w:divBdr>
    </w:div>
    <w:div w:id="522089072">
      <w:bodyDiv w:val="1"/>
      <w:marLeft w:val="0"/>
      <w:marRight w:val="0"/>
      <w:marTop w:val="0"/>
      <w:marBottom w:val="0"/>
      <w:divBdr>
        <w:top w:val="none" w:sz="0" w:space="0" w:color="auto"/>
        <w:left w:val="none" w:sz="0" w:space="0" w:color="auto"/>
        <w:bottom w:val="none" w:sz="0" w:space="0" w:color="auto"/>
        <w:right w:val="none" w:sz="0" w:space="0" w:color="auto"/>
      </w:divBdr>
    </w:div>
    <w:div w:id="582035641">
      <w:bodyDiv w:val="1"/>
      <w:marLeft w:val="0"/>
      <w:marRight w:val="0"/>
      <w:marTop w:val="0"/>
      <w:marBottom w:val="0"/>
      <w:divBdr>
        <w:top w:val="none" w:sz="0" w:space="0" w:color="auto"/>
        <w:left w:val="none" w:sz="0" w:space="0" w:color="auto"/>
        <w:bottom w:val="none" w:sz="0" w:space="0" w:color="auto"/>
        <w:right w:val="none" w:sz="0" w:space="0" w:color="auto"/>
      </w:divBdr>
    </w:div>
    <w:div w:id="821458984">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4590317">
      <w:bodyDiv w:val="1"/>
      <w:marLeft w:val="0"/>
      <w:marRight w:val="0"/>
      <w:marTop w:val="0"/>
      <w:marBottom w:val="0"/>
      <w:divBdr>
        <w:top w:val="none" w:sz="0" w:space="0" w:color="auto"/>
        <w:left w:val="none" w:sz="0" w:space="0" w:color="auto"/>
        <w:bottom w:val="none" w:sz="0" w:space="0" w:color="auto"/>
        <w:right w:val="none" w:sz="0" w:space="0" w:color="auto"/>
      </w:divBdr>
    </w:div>
    <w:div w:id="1198201056">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471483308">
      <w:bodyDiv w:val="1"/>
      <w:marLeft w:val="0"/>
      <w:marRight w:val="0"/>
      <w:marTop w:val="0"/>
      <w:marBottom w:val="0"/>
      <w:divBdr>
        <w:top w:val="none" w:sz="0" w:space="0" w:color="auto"/>
        <w:left w:val="none" w:sz="0" w:space="0" w:color="auto"/>
        <w:bottom w:val="none" w:sz="0" w:space="0" w:color="auto"/>
        <w:right w:val="none" w:sz="0" w:space="0" w:color="auto"/>
      </w:divBdr>
    </w:div>
    <w:div w:id="1778671748">
      <w:bodyDiv w:val="1"/>
      <w:marLeft w:val="0"/>
      <w:marRight w:val="0"/>
      <w:marTop w:val="0"/>
      <w:marBottom w:val="0"/>
      <w:divBdr>
        <w:top w:val="none" w:sz="0" w:space="0" w:color="auto"/>
        <w:left w:val="none" w:sz="0" w:space="0" w:color="auto"/>
        <w:bottom w:val="none" w:sz="0" w:space="0" w:color="auto"/>
        <w:right w:val="none" w:sz="0" w:space="0" w:color="auto"/>
      </w:divBdr>
    </w:div>
    <w:div w:id="180415903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procedure-guidance/6-consideration-submissions/6-3-management-of-parallel-process-submiss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iabetesshop.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atabase.ich.org/sites/default/files/E9-R1_Step4_Guideline_2019_12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DFAFC-89A5-4101-8F67-B1507A676A11}">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42</Pages>
  <Words>17775</Words>
  <Characters>101321</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2023-10-31T23:30:00Z</dcterms:created>
  <dcterms:modified xsi:type="dcterms:W3CDTF">2023-10-31T23:30:00Z</dcterms:modified>
</cp:coreProperties>
</file>